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20" w:beforeLines="50" w:after="120" w:afterLines="50"/>
        <w:rPr>
          <w:bCs/>
          <w:szCs w:val="21"/>
        </w:rPr>
      </w:pPr>
      <w:r>
        <w:rPr>
          <w:rFonts w:hint="eastAsia"/>
          <w:bCs/>
          <w:szCs w:val="21"/>
        </w:rPr>
        <w:t>公司代码：</w:t>
      </w:r>
      <w:sdt>
        <w:sdtPr>
          <w:rPr>
            <w:rFonts w:hint="eastAsia"/>
            <w:bCs/>
            <w:szCs w:val="21"/>
          </w:rPr>
          <w:alias w:val="公司代码"/>
          <w:tag w:val="_GBC_704b7b03ea3f4a93b8d4655a09b2ff61"/>
          <w:id w:val="-603034497"/>
          <w:lock w:val="sdtLocked"/>
          <w:placeholder>
            <w:docPart w:val="GBC22222222222222222222222222222"/>
          </w:placeholder>
        </w:sdtPr>
        <w:sdtEndPr>
          <w:rPr>
            <w:rFonts w:hint="eastAsia"/>
            <w:bCs/>
            <w:szCs w:val="21"/>
          </w:rPr>
        </w:sdtEndPr>
        <w:sdtContent>
          <w:r>
            <w:rPr>
              <w:rFonts w:hint="eastAsia"/>
              <w:bCs/>
              <w:szCs w:val="21"/>
            </w:rPr>
            <w:t xml:space="preserve">601777                                                 </w:t>
          </w:r>
        </w:sdtContent>
      </w:sdt>
      <w:r>
        <w:rPr>
          <w:rFonts w:hint="eastAsia"/>
          <w:bCs/>
          <w:szCs w:val="21"/>
        </w:rPr>
        <w:t>公司简称：</w:t>
      </w:r>
      <w:sdt>
        <w:sdtPr>
          <w:rPr>
            <w:rFonts w:hint="eastAsia"/>
            <w:bCs/>
            <w:szCs w:val="21"/>
          </w:rPr>
          <w:alias w:val="公司简称"/>
          <w:tag w:val="_GBC_0384ae715a1e4b4894a29e4d27f5bef4"/>
          <w:id w:val="-1499494536"/>
          <w:lock w:val="sdtLocked"/>
          <w:placeholder>
            <w:docPart w:val="GBC22222222222222222222222222222"/>
          </w:placeholder>
        </w:sdtPr>
        <w:sdtEndPr>
          <w:rPr>
            <w:rFonts w:hint="eastAsia"/>
            <w:bCs/>
            <w:szCs w:val="21"/>
          </w:rPr>
        </w:sdtEndPr>
        <w:sdtContent>
          <w:r>
            <w:rPr>
              <w:rFonts w:hint="eastAsia"/>
              <w:bCs/>
              <w:szCs w:val="21"/>
            </w:rPr>
            <w:t>力帆科技</w:t>
          </w:r>
        </w:sdtContent>
      </w:sdt>
    </w:p>
    <w:p/>
    <w:p/>
    <w:p/>
    <w:p/>
    <w:p/>
    <w:p/>
    <w:p>
      <w:pPr>
        <w:rPr>
          <w:b/>
          <w:bCs/>
          <w:szCs w:val="21"/>
        </w:rPr>
      </w:pPr>
    </w:p>
    <w:p>
      <w:pPr>
        <w:ind w:left="6661" w:leftChars="3172"/>
        <w:rPr>
          <w:b/>
          <w:bCs/>
          <w:szCs w:val="21"/>
        </w:rPr>
      </w:pPr>
      <w:r>
        <w:drawing>
          <wp:anchor distT="0" distB="0" distL="114300" distR="114300" simplePos="0" relativeHeight="251659264" behindDoc="0" locked="0" layoutInCell="1" allowOverlap="1">
            <wp:simplePos x="0" y="0"/>
            <wp:positionH relativeFrom="column">
              <wp:posOffset>1417955</wp:posOffset>
            </wp:positionH>
            <wp:positionV relativeFrom="paragraph">
              <wp:posOffset>92075</wp:posOffset>
            </wp:positionV>
            <wp:extent cx="2851150" cy="795020"/>
            <wp:effectExtent l="0" t="0" r="635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1150" cy="795020"/>
                    </a:xfrm>
                    <a:prstGeom prst="rect">
                      <a:avLst/>
                    </a:prstGeom>
                  </pic:spPr>
                </pic:pic>
              </a:graphicData>
            </a:graphic>
          </wp:anchor>
        </w:drawing>
      </w: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rPr>
          <w:b/>
          <w:bCs/>
          <w:szCs w:val="21"/>
        </w:rPr>
      </w:pPr>
    </w:p>
    <w:p>
      <w:pPr>
        <w:ind w:left="567" w:leftChars="270"/>
        <w:rPr>
          <w:b/>
          <w:bCs/>
          <w:szCs w:val="21"/>
        </w:rPr>
      </w:pPr>
    </w:p>
    <w:sdt>
      <w:sdtPr>
        <w:rPr>
          <w:b/>
          <w:bCs/>
          <w:szCs w:val="21"/>
        </w:rPr>
        <w:alias w:val="模块:股份有限公司"/>
        <w:tag w:val="_SEC_053d5dad2cbb4a7e949bd9642e6c577f"/>
        <w:id w:val="-2053295891"/>
        <w:lock w:val="sdtLocked"/>
        <w:placeholder>
          <w:docPart w:val="GBC22222222222222222222222222222"/>
        </w:placeholder>
      </w:sdtPr>
      <w:sdtEndPr>
        <w:rPr>
          <w:rFonts w:ascii="黑体" w:hAnsi="黑体" w:eastAsia="黑体"/>
          <w:b/>
          <w:bCs/>
          <w:color w:val="FF0000"/>
          <w:sz w:val="44"/>
          <w:szCs w:val="44"/>
        </w:rPr>
      </w:sdtEndPr>
      <w:sdtContent>
        <w:p>
          <w:pPr>
            <w:spacing w:line="360" w:lineRule="auto"/>
            <w:jc w:val="center"/>
            <w:rPr>
              <w:rFonts w:ascii="黑体" w:hAnsi="黑体" w:eastAsia="黑体"/>
              <w:b/>
              <w:bCs/>
              <w:color w:val="FF0000"/>
              <w:sz w:val="44"/>
              <w:szCs w:val="44"/>
            </w:rPr>
          </w:pPr>
          <w:sdt>
            <w:sdtPr>
              <w:rPr>
                <w:rFonts w:hint="eastAsia" w:ascii="黑体" w:hAnsi="黑体" w:eastAsia="黑体"/>
                <w:b/>
                <w:bCs/>
                <w:color w:val="FF0000"/>
                <w:sz w:val="44"/>
                <w:szCs w:val="44"/>
              </w:rPr>
              <w:alias w:val="公司法定中文名称"/>
              <w:tag w:val="_GBC_47adbfeb6fae494fb72f2a2b2c73d969"/>
              <w:id w:val="1871097944"/>
              <w:lock w:val="sdtLocked"/>
              <w:placeholder>
                <w:docPart w:val="GBC22222222222222222222222222222"/>
              </w:placeholder>
              <w:text/>
            </w:sdtPr>
            <w:sdtEndPr>
              <w:rPr>
                <w:rFonts w:hint="eastAsia" w:ascii="黑体" w:hAnsi="黑体" w:eastAsia="黑体"/>
                <w:b/>
                <w:bCs/>
                <w:color w:val="FF0000"/>
                <w:sz w:val="44"/>
                <w:szCs w:val="44"/>
              </w:rPr>
            </w:sdtEndPr>
            <w:sdtContent>
              <w:r>
                <w:rPr>
                  <w:rFonts w:hint="eastAsia" w:ascii="黑体" w:hAnsi="黑体" w:eastAsia="黑体"/>
                  <w:b/>
                  <w:bCs/>
                  <w:color w:val="FF0000"/>
                  <w:sz w:val="44"/>
                  <w:szCs w:val="44"/>
                </w:rPr>
                <w:t>力帆科技（集团）股份有限公司</w:t>
              </w:r>
            </w:sdtContent>
          </w:sdt>
        </w:p>
      </w:sdtContent>
    </w:sdt>
    <w:p>
      <w:pPr>
        <w:spacing w:line="360" w:lineRule="auto"/>
        <w:jc w:val="center"/>
        <w:rPr>
          <w:rFonts w:ascii="黑体" w:hAnsi="黑体" w:eastAsia="黑体"/>
          <w:b/>
          <w:bCs/>
          <w:color w:val="FF0000"/>
          <w:sz w:val="44"/>
          <w:szCs w:val="44"/>
        </w:rPr>
      </w:pPr>
      <w:r>
        <w:rPr>
          <w:rFonts w:ascii="黑体" w:hAnsi="黑体" w:eastAsia="黑体"/>
          <w:b/>
          <w:bCs/>
          <w:color w:val="FF0000"/>
          <w:sz w:val="44"/>
          <w:szCs w:val="44"/>
        </w:rPr>
        <w:t>2021</w:t>
      </w:r>
      <w:r>
        <w:rPr>
          <w:rFonts w:hint="eastAsia" w:ascii="黑体" w:hAnsi="黑体" w:eastAsia="黑体"/>
          <w:b/>
          <w:bCs/>
          <w:color w:val="FF0000"/>
          <w:sz w:val="44"/>
          <w:szCs w:val="44"/>
        </w:rPr>
        <w:t>年年度报告</w:t>
      </w:r>
    </w:p>
    <w:p/>
    <w:p/>
    <w:p/>
    <w:p/>
    <w:p/>
    <w:p/>
    <w:p>
      <w:pPr>
        <w:rPr>
          <w:rFonts w:ascii="黑体" w:hAnsi="黑体" w:eastAsia="黑体"/>
          <w:b/>
          <w:bCs/>
          <w:color w:val="FF0000"/>
          <w:sz w:val="44"/>
          <w:szCs w:val="44"/>
        </w:rPr>
        <w:sectPr>
          <w:headerReference r:id="rId3" w:type="default"/>
          <w:footerReference r:id="rId4" w:type="default"/>
          <w:pgSz w:w="11906" w:h="16838"/>
          <w:pgMar w:top="1525" w:right="1276" w:bottom="1440" w:left="1797" w:header="855" w:footer="992" w:gutter="0"/>
          <w:cols w:space="425" w:num="1"/>
          <w:docGrid w:linePitch="312" w:charSpace="0"/>
        </w:sectPr>
      </w:pPr>
    </w:p>
    <w:p/>
    <w:p>
      <w:pPr>
        <w:pStyle w:val="32"/>
        <w:spacing w:after="280" w:afterAutospacing="0"/>
        <w:jc w:val="center"/>
        <w:rPr>
          <w:rFonts w:ascii="黑体" w:eastAsia="黑体"/>
          <w:b/>
          <w:bCs/>
          <w:sz w:val="28"/>
          <w:szCs w:val="28"/>
        </w:rPr>
      </w:pPr>
      <w:bookmarkStart w:id="0" w:name="_Toc387656034"/>
      <w:r>
        <w:rPr>
          <w:rFonts w:hint="eastAsia" w:ascii="黑体" w:eastAsia="黑体"/>
          <w:b/>
          <w:bCs/>
          <w:sz w:val="28"/>
          <w:szCs w:val="28"/>
        </w:rPr>
        <w:t>重要提示</w:t>
      </w:r>
      <w:bookmarkEnd w:id="0"/>
    </w:p>
    <w:sdt>
      <w:sdtPr>
        <w:rPr>
          <w:rFonts w:hint="eastAsia" w:ascii="宋体" w:hAnsi="宋体" w:cs="宋体"/>
          <w:b w:val="0"/>
          <w:bCs w:val="0"/>
          <w:kern w:val="0"/>
          <w:szCs w:val="24"/>
        </w:rPr>
        <w:alias w:val="选项模块:董事会及董事声明"/>
        <w:tag w:val="_SEC_7d2cef92505949c6b5bd6a9bd88e1b07"/>
        <w:id w:val="-1373991945"/>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1"/>
            </w:numPr>
            <w:tabs>
              <w:tab w:val="left" w:pos="434"/>
            </w:tabs>
            <w:spacing w:before="0" w:after="0" w:line="360" w:lineRule="auto"/>
            <w:ind w:left="368" w:hanging="367" w:hangingChars="175"/>
          </w:pPr>
          <w:sdt>
            <w:sdtPr>
              <w:rPr>
                <w:rFonts w:hint="eastAsia"/>
              </w:rPr>
              <w:alias w:val="董事会及董事声明"/>
              <w:tag w:val="_GBC_7a4abe6548364d7e8583e54b6ff64105"/>
              <w:id w:val="1075788056"/>
              <w:lock w:val="sdtLocked"/>
              <w:placeholder>
                <w:docPart w:val="GBC22222222222222222222222222222"/>
              </w:placeholder>
            </w:sdtPr>
            <w:sdtEndPr>
              <w:rPr>
                <w:rFonts w:hint="eastAsia"/>
              </w:rPr>
            </w:sdtEndPr>
            <w:sdtContent>
              <w:r>
                <w:rPr>
                  <w:rFonts w:ascii="Times New Roman" w:hAnsi="宋体" w:cs="宋体"/>
                  <w:bCs w:val="0"/>
                </w:rPr>
                <w:t>本公司董事会、监事会及董事、监事、高级管理人员保证年度报告内容的真实</w:t>
              </w:r>
              <w:r>
                <w:rPr>
                  <w:rFonts w:hint="eastAsia" w:ascii="Times New Roman" w:hAnsi="宋体" w:cs="宋体"/>
                  <w:bCs w:val="0"/>
                </w:rPr>
                <w:t>性</w:t>
              </w:r>
              <w:r>
                <w:rPr>
                  <w:rFonts w:ascii="Times New Roman" w:hAnsi="宋体" w:cs="宋体"/>
                  <w:bCs w:val="0"/>
                </w:rPr>
                <w:t>、准确</w:t>
              </w:r>
              <w:r>
                <w:rPr>
                  <w:rFonts w:hint="eastAsia" w:ascii="Times New Roman" w:hAnsi="宋体" w:cs="宋体"/>
                  <w:bCs w:val="0"/>
                </w:rPr>
                <w:t>性</w:t>
              </w:r>
              <w:r>
                <w:rPr>
                  <w:rFonts w:ascii="Times New Roman" w:hAnsi="宋体" w:cs="宋体"/>
                  <w:bCs w:val="0"/>
                </w:rPr>
                <w:t>、完整</w:t>
              </w:r>
              <w:r>
                <w:rPr>
                  <w:rFonts w:hint="eastAsia" w:ascii="Times New Roman" w:hAnsi="宋体" w:cs="宋体"/>
                  <w:bCs w:val="0"/>
                </w:rPr>
                <w:t>性</w:t>
              </w:r>
              <w:r>
                <w:rPr>
                  <w:rFonts w:ascii="Times New Roman" w:hAnsi="宋体" w:cs="宋体"/>
                  <w:bCs w:val="0"/>
                </w:rPr>
                <w:t>，不存在虚假记载、误导性陈述或重大遗漏，并承担个别和连带的法律责任。</w:t>
              </w:r>
            </w:sdtContent>
          </w:sdt>
        </w:p>
        <w:p/>
      </w:sdtContent>
    </w:sdt>
    <w:sdt>
      <w:sdtPr>
        <w:rPr>
          <w:rFonts w:hint="eastAsia" w:ascii="Calibri" w:hAnsi="Calibri" w:cs="宋体"/>
          <w:b w:val="0"/>
          <w:bCs w:val="0"/>
          <w:kern w:val="0"/>
          <w:sz w:val="24"/>
          <w:szCs w:val="22"/>
        </w:rPr>
        <w:alias w:val="选项模块:公司全体董事出席董事会会议。"/>
        <w:tag w:val="_SEC_22f2821f4b8f443f90d5135b8aaff83a"/>
        <w:id w:val="-808236120"/>
        <w:lock w:val="sdtLocked"/>
        <w:placeholder>
          <w:docPart w:val="GBC22222222222222222222222222222"/>
        </w:placeholder>
      </w:sdtPr>
      <w:sdtEndPr>
        <w:rPr>
          <w:rFonts w:hint="default" w:ascii="宋体" w:hAnsi="宋体" w:cs="宋体"/>
          <w:b w:val="0"/>
          <w:bCs w:val="0"/>
          <w:kern w:val="0"/>
          <w:sz w:val="21"/>
          <w:szCs w:val="21"/>
        </w:rPr>
      </w:sdtEndPr>
      <w:sdtContent>
        <w:p>
          <w:pPr>
            <w:pStyle w:val="3"/>
            <w:numPr>
              <w:ilvl w:val="0"/>
              <w:numId w:val="1"/>
            </w:numPr>
            <w:tabs>
              <w:tab w:val="left" w:pos="448"/>
            </w:tabs>
            <w:spacing w:before="0" w:after="0" w:line="360" w:lineRule="auto"/>
            <w:ind w:left="420" w:hangingChars="175"/>
          </w:pPr>
          <w:r>
            <w:rPr>
              <w:rFonts w:hint="eastAsia"/>
            </w:rPr>
            <w:t>公司</w:t>
          </w:r>
          <w:sdt>
            <w:sdtPr>
              <w:rPr>
                <w:rFonts w:hint="eastAsia"/>
              </w:rPr>
              <w:tag w:val="_PLD_67dfe594d3e24f69b6f9757d86ded61b"/>
              <w:id w:val="-277565777"/>
              <w:lock w:val="sdtLocked"/>
              <w:placeholder>
                <w:docPart w:val="GBC22222222222222222222222222222"/>
              </w:placeholder>
            </w:sdtPr>
            <w:sdtEndPr>
              <w:rPr>
                <w:rFonts w:hint="eastAsia"/>
              </w:rPr>
            </w:sdtEndPr>
            <w:sdtContent>
              <w:r>
                <w:rPr>
                  <w:rFonts w:hint="eastAsia"/>
                </w:rPr>
                <w:t>全体董事出席</w:t>
              </w:r>
            </w:sdtContent>
          </w:sdt>
          <w:r>
            <w:rPr>
              <w:rFonts w:hint="eastAsia"/>
            </w:rPr>
            <w:t>董事会会议。</w:t>
          </w:r>
        </w:p>
        <w:p>
          <w:pPr>
            <w:rPr>
              <w:szCs w:val="21"/>
            </w:rPr>
          </w:pPr>
        </w:p>
      </w:sdtContent>
    </w:sdt>
    <w:sdt>
      <w:sdtPr>
        <w:rPr>
          <w:rFonts w:hint="eastAsia" w:ascii="Calibri" w:hAnsi="Calibri" w:cs="宋体"/>
          <w:b w:val="0"/>
          <w:bCs w:val="0"/>
          <w:kern w:val="0"/>
          <w:sz w:val="24"/>
          <w:szCs w:val="24"/>
        </w:rPr>
        <w:alias w:val="选项模块:事务所为本公司出具了标准无保留意见的审计报告。"/>
        <w:tag w:val="_SEC_40fba4905c084fec81ccf5c248050f25"/>
        <w:id w:val="-819569188"/>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0"/>
              <w:numId w:val="1"/>
            </w:numPr>
            <w:tabs>
              <w:tab w:val="left" w:pos="518"/>
            </w:tabs>
            <w:spacing w:before="0" w:after="0" w:line="360" w:lineRule="auto"/>
            <w:ind w:left="420" w:hangingChars="175"/>
            <w:jc w:val="left"/>
            <w:rPr>
              <w:rFonts w:ascii="宋体" w:hAnsi="宋体"/>
            </w:rPr>
          </w:pPr>
          <w:sdt>
            <w:sdtPr>
              <w:rPr>
                <w:rFonts w:hint="eastAsia" w:ascii="宋体" w:hAnsi="宋体"/>
              </w:rPr>
              <w:alias w:val="公司聘请的境内会计师事务所名称"/>
              <w:tag w:val="_GBC_ad504284986e4ab994733d7125ba1c33"/>
              <w:id w:val="-1136410827"/>
              <w:lock w:val="sdtLocked"/>
              <w:placeholder>
                <w:docPart w:val="GBC22222222222222222222222222222"/>
              </w:placeholder>
            </w:sdtPr>
            <w:sdtEndPr>
              <w:rPr>
                <w:rFonts w:hint="eastAsia" w:ascii="宋体" w:hAnsi="宋体"/>
              </w:rPr>
            </w:sdtEndPr>
            <w:sdtContent>
              <w:r>
                <w:rPr>
                  <w:rFonts w:hint="eastAsia" w:ascii="宋体" w:hAnsi="宋体"/>
                </w:rPr>
                <w:t>天衡会计</w:t>
              </w:r>
              <w:r>
                <w:rPr>
                  <w:rFonts w:ascii="宋体" w:hAnsi="宋体"/>
                </w:rPr>
                <w:t>师事务所（特殊普通合伙）</w:t>
              </w:r>
            </w:sdtContent>
          </w:sdt>
          <w:r>
            <w:rPr>
              <w:rFonts w:hint="eastAsia" w:ascii="宋体" w:hAnsi="宋体"/>
            </w:rPr>
            <w:t>为本公司出具了</w:t>
          </w:r>
          <w:sdt>
            <w:sdtPr>
              <w:rPr>
                <w:rFonts w:hint="eastAsia" w:ascii="宋体" w:hAnsi="宋体"/>
              </w:rPr>
              <w:alias w:val="会计师事务所审计意见类型"/>
              <w:tag w:val="_GBC_fc66ac35f9514436909a413223854389"/>
              <w:id w:val="-1163475493"/>
              <w:lock w:val="sdtContentLocked"/>
              <w:placeholder>
                <w:docPart w:val="GBC22222222222222222222222222222"/>
              </w:placeholder>
            </w:sdtPr>
            <w:sdtEndPr>
              <w:rPr>
                <w:rFonts w:hint="eastAsia" w:ascii="宋体" w:hAnsi="宋体"/>
              </w:rPr>
            </w:sdtEndPr>
            <w:sdtContent>
              <w:r>
                <w:rPr>
                  <w:rFonts w:hint="eastAsia" w:ascii="宋体" w:hAnsi="宋体"/>
                </w:rPr>
                <w:t>标准无保留意见</w:t>
              </w:r>
            </w:sdtContent>
          </w:sdt>
          <w:r>
            <w:rPr>
              <w:rFonts w:hint="eastAsia" w:ascii="宋体" w:hAnsi="宋体"/>
            </w:rPr>
            <w:t>的审计报告。</w:t>
          </w:r>
        </w:p>
        <w:p>
          <w:pPr>
            <w:rPr>
              <w:szCs w:val="21"/>
            </w:rPr>
          </w:pPr>
        </w:p>
      </w:sdtContent>
    </w:sdt>
    <w:sdt>
      <w:sdtPr>
        <w:rPr>
          <w:rFonts w:hint="eastAsia" w:ascii="宋体" w:hAnsi="宋体" w:cs="宋体"/>
          <w:b w:val="0"/>
          <w:bCs w:val="0"/>
          <w:kern w:val="0"/>
          <w:szCs w:val="24"/>
        </w:rPr>
        <w:alias w:val="模块:公司负责人等声明"/>
        <w:tag w:val="_SEC_aa772887f17444efa3f14932a3ab86a1"/>
        <w:id w:val="969013628"/>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
            </w:numPr>
            <w:tabs>
              <w:tab w:val="left" w:pos="434"/>
            </w:tabs>
            <w:spacing w:before="0" w:after="0" w:line="360" w:lineRule="auto"/>
            <w:ind w:left="368" w:hanging="367" w:hangingChars="175"/>
            <w:rPr>
              <w:rFonts w:ascii="宋体" w:hAnsi="宋体"/>
            </w:rPr>
          </w:pPr>
          <w:r>
            <w:rPr>
              <w:rFonts w:hint="eastAsia" w:ascii="宋体" w:hAnsi="宋体"/>
            </w:rPr>
            <w:t>公司负责人</w:t>
          </w:r>
          <w:sdt>
            <w:sdtPr>
              <w:alias w:val="公司负责人姓名"/>
              <w:tag w:val="_GBC_ba0728eaa9a342098d20addcde59ed31"/>
              <w:id w:val="367274325"/>
              <w:lock w:val="sdtLocked"/>
              <w:placeholder>
                <w:docPart w:val="GBC22222222222222222222222222222"/>
              </w:placeholder>
              <w:text/>
            </w:sdtPr>
            <w:sdtContent>
              <w:r>
                <w:rPr>
                  <w:rFonts w:hint="eastAsia"/>
                </w:rPr>
                <w:t>徐志豪</w:t>
              </w:r>
            </w:sdtContent>
          </w:sdt>
          <w:r>
            <w:rPr>
              <w:rFonts w:hint="eastAsia" w:ascii="宋体" w:hAnsi="宋体"/>
            </w:rPr>
            <w:t>、主管会计工作负责人</w:t>
          </w:r>
          <w:sdt>
            <w:sdtPr>
              <w:rPr>
                <w:rFonts w:ascii="宋体" w:hAnsi="宋体"/>
              </w:rPr>
              <w:alias w:val="主管会计工作负责人姓名"/>
              <w:tag w:val="_GBC_9ac791ae357946e68402505d2aa6b3b9"/>
              <w:id w:val="-260845002"/>
              <w:lock w:val="sdtLocked"/>
              <w:placeholder>
                <w:docPart w:val="GBC22222222222222222222222222222"/>
              </w:placeholder>
              <w:text/>
            </w:sdtPr>
            <w:sdtEndPr>
              <w:rPr>
                <w:rFonts w:ascii="宋体" w:hAnsi="宋体"/>
              </w:rPr>
            </w:sdtEndPr>
            <w:sdtContent>
              <w:r>
                <w:rPr>
                  <w:rFonts w:hint="eastAsia" w:ascii="宋体" w:hAnsi="宋体"/>
                </w:rPr>
                <w:t>张琳</w:t>
              </w:r>
              <w:r>
                <w:rPr>
                  <w:rFonts w:ascii="宋体" w:hAnsi="宋体"/>
                </w:rPr>
                <w:t>斌</w:t>
              </w:r>
            </w:sdtContent>
          </w:sdt>
          <w:r>
            <w:rPr>
              <w:rFonts w:hint="eastAsia" w:ascii="宋体" w:hAnsi="宋体"/>
            </w:rPr>
            <w:t>及会计机构负责人（会计主管人员）</w:t>
          </w:r>
          <w:sdt>
            <w:sdtPr>
              <w:rPr>
                <w:rFonts w:ascii="宋体" w:hAnsi="宋体"/>
              </w:rPr>
              <w:alias w:val="会计机构负责人姓名"/>
              <w:tag w:val="_GBC_c6edcd184788428d9dc08d896d5d98a9"/>
              <w:id w:val="-1159761265"/>
              <w:lock w:val="sdtLocked"/>
              <w:placeholder>
                <w:docPart w:val="GBC22222222222222222222222222222"/>
              </w:placeholder>
              <w:text/>
            </w:sdtPr>
            <w:sdtEndPr>
              <w:rPr>
                <w:rFonts w:ascii="宋体" w:hAnsi="宋体"/>
              </w:rPr>
            </w:sdtEndPr>
            <w:sdtContent>
              <w:r>
                <w:rPr>
                  <w:rFonts w:hint="eastAsia" w:ascii="宋体" w:hAnsi="宋体"/>
                </w:rPr>
                <w:t>张琳</w:t>
              </w:r>
              <w:r>
                <w:rPr>
                  <w:rFonts w:ascii="宋体" w:hAnsi="宋体"/>
                </w:rPr>
                <w:t>斌</w:t>
              </w:r>
            </w:sdtContent>
          </w:sdt>
          <w:r>
            <w:rPr>
              <w:rFonts w:hint="eastAsia" w:ascii="宋体" w:hAnsi="宋体"/>
            </w:rPr>
            <w:t>声明：保证年度报告中财务报告的真实、准确、完整。</w:t>
          </w:r>
        </w:p>
        <w:p/>
      </w:sdtContent>
    </w:sdt>
    <w:sdt>
      <w:sdtPr>
        <w:rPr>
          <w:rFonts w:ascii="Calibri" w:hAnsi="Calibri" w:cs="宋体"/>
          <w:b w:val="0"/>
          <w:bCs w:val="0"/>
          <w:kern w:val="0"/>
          <w:sz w:val="24"/>
          <w:szCs w:val="24"/>
        </w:rPr>
        <w:alias w:val="模块:经董事会审议的报告期利润分配预案或公积金转增股本预案"/>
        <w:tag w:val="_SEC_a501adcd5b1e409f9a26e2205a1217af"/>
        <w:id w:val="-882554560"/>
        <w:lock w:val="sdtLocked"/>
        <w:placeholder>
          <w:docPart w:val="GBC22222222222222222222222222222"/>
        </w:placeholder>
      </w:sdtPr>
      <w:sdtEndPr>
        <w:rPr>
          <w:rFonts w:hint="eastAsia" w:ascii="宋体" w:hAnsi="宋体" w:cs="宋体"/>
          <w:b w:val="0"/>
          <w:bCs w:val="0"/>
          <w:kern w:val="0"/>
          <w:sz w:val="21"/>
          <w:szCs w:val="24"/>
          <w:shd w:val="pct10" w:color="auto" w:fill="FFFFFF"/>
        </w:rPr>
      </w:sdtEndPr>
      <w:sdtContent>
        <w:p>
          <w:pPr>
            <w:pStyle w:val="3"/>
            <w:numPr>
              <w:ilvl w:val="0"/>
              <w:numId w:val="1"/>
            </w:numPr>
            <w:tabs>
              <w:tab w:val="left" w:pos="490"/>
            </w:tabs>
            <w:spacing w:before="0" w:after="0" w:line="360" w:lineRule="auto"/>
            <w:ind w:left="420" w:hangingChars="175"/>
            <w:rPr>
              <w:rFonts w:ascii="宋体" w:hAnsi="宋体"/>
            </w:rPr>
          </w:pPr>
          <w:r>
            <w:rPr>
              <w:rFonts w:hint="eastAsia" w:ascii="Calibri" w:hAnsi="Calibri" w:cs="宋体"/>
              <w:kern w:val="0"/>
            </w:rPr>
            <w:t>董事会决议通过的本报告期利润分配预案或公积金转增股本预案</w:t>
          </w:r>
        </w:p>
        <w:sdt>
          <w:sdtPr>
            <w:rPr>
              <w:rFonts w:hint="eastAsia"/>
              <w:szCs w:val="21"/>
            </w:rPr>
            <w:alias w:val="经董事会审议的报告期利润分配预案或公积金转增股本预案"/>
            <w:tag w:val="_GBC_87fdd30c16df49cc824b47e55e4be6d9"/>
            <w:id w:val="-2093621989"/>
            <w:lock w:val="sdtLocked"/>
            <w:placeholder>
              <w:docPart w:val="GBC22222222222222222222222222222"/>
            </w:placeholder>
          </w:sdtPr>
          <w:sdtEndPr>
            <w:rPr>
              <w:rFonts w:hint="eastAsia"/>
              <w:szCs w:val="21"/>
              <w:shd w:val="pct10" w:color="auto" w:fill="FFFFFF"/>
            </w:rPr>
          </w:sdtEndPr>
          <w:sdtContent>
            <w:p>
              <w:pPr>
                <w:spacing w:line="360" w:lineRule="auto"/>
                <w:ind w:firstLine="420" w:firstLineChars="200"/>
                <w:rPr>
                  <w:rFonts w:cs="Arial" w:asciiTheme="minorEastAsia" w:hAnsiTheme="minorEastAsia" w:eastAsiaTheme="minorEastAsia"/>
                  <w:szCs w:val="21"/>
                  <w:shd w:val="clear" w:color="auto" w:fill="FFFFFF"/>
                </w:rPr>
              </w:pPr>
              <w:r>
                <w:rPr>
                  <w:rFonts w:hint="eastAsia" w:cs="Arial" w:asciiTheme="minorEastAsia" w:hAnsiTheme="minorEastAsia" w:eastAsiaTheme="minorEastAsia"/>
                  <w:szCs w:val="21"/>
                  <w:shd w:val="clear" w:color="auto" w:fill="FFFFFF"/>
                </w:rPr>
                <w:t>经天衡会计师事务所（特殊普通合伙）审计，</w:t>
              </w:r>
              <w:r>
                <w:rPr>
                  <w:rFonts w:cs="Arial" w:asciiTheme="minorEastAsia" w:hAnsiTheme="minorEastAsia" w:eastAsiaTheme="minorEastAsia"/>
                  <w:szCs w:val="21"/>
                  <w:shd w:val="clear" w:color="auto" w:fill="FFFFFF"/>
                </w:rPr>
                <w:t>公司20</w:t>
              </w:r>
              <w:r>
                <w:rPr>
                  <w:rFonts w:hint="eastAsia" w:cs="Arial" w:asciiTheme="minorEastAsia" w:hAnsiTheme="minorEastAsia" w:eastAsiaTheme="minorEastAsia"/>
                  <w:szCs w:val="21"/>
                  <w:shd w:val="clear" w:color="auto" w:fill="FFFFFF"/>
                </w:rPr>
                <w:t>2</w:t>
              </w:r>
              <w:r>
                <w:rPr>
                  <w:rFonts w:cs="Arial" w:asciiTheme="minorEastAsia" w:hAnsiTheme="minorEastAsia" w:eastAsiaTheme="minorEastAsia"/>
                  <w:szCs w:val="21"/>
                  <w:shd w:val="clear" w:color="auto" w:fill="FFFFFF"/>
                </w:rPr>
                <w:t>1年度</w:t>
              </w:r>
              <w:r>
                <w:rPr>
                  <w:rFonts w:hint="eastAsia" w:cs="Arial" w:asciiTheme="minorEastAsia" w:hAnsiTheme="minorEastAsia" w:eastAsiaTheme="minorEastAsia"/>
                  <w:szCs w:val="21"/>
                  <w:shd w:val="clear" w:color="auto" w:fill="FFFFFF"/>
                </w:rPr>
                <w:t>合并报表实现归属上市公司股东的</w:t>
              </w:r>
              <w:r>
                <w:rPr>
                  <w:rFonts w:cs="Arial" w:asciiTheme="minorEastAsia" w:hAnsiTheme="minorEastAsia" w:eastAsiaTheme="minorEastAsia"/>
                  <w:szCs w:val="21"/>
                  <w:shd w:val="clear" w:color="auto" w:fill="FFFFFF"/>
                </w:rPr>
                <w:t>净利润</w:t>
              </w:r>
              <w:r>
                <w:rPr>
                  <w:rFonts w:hint="eastAsia" w:cs="Arial" w:asciiTheme="minorEastAsia" w:hAnsiTheme="minorEastAsia" w:eastAsiaTheme="minorEastAsia"/>
                  <w:szCs w:val="21"/>
                  <w:shd w:val="clear" w:color="auto" w:fill="FFFFFF"/>
                </w:rPr>
                <w:t>为</w:t>
              </w:r>
              <w:r>
                <w:rPr>
                  <w:rFonts w:cs="Arial" w:asciiTheme="minorEastAsia" w:hAnsiTheme="minorEastAsia" w:eastAsiaTheme="minorEastAsia"/>
                  <w:szCs w:val="21"/>
                  <w:shd w:val="clear" w:color="auto" w:fill="FFFFFF"/>
                </w:rPr>
                <w:t>55</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642</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068.</w:t>
              </w:r>
              <w:r>
                <w:rPr>
                  <w:rFonts w:hint="eastAsia" w:cs="Arial" w:asciiTheme="minorEastAsia" w:hAnsiTheme="minorEastAsia" w:eastAsiaTheme="minorEastAsia"/>
                  <w:szCs w:val="21"/>
                  <w:shd w:val="clear" w:color="auto" w:fill="FFFFFF"/>
                </w:rPr>
                <w:t>60</w:t>
              </w:r>
              <w:r>
                <w:rPr>
                  <w:rFonts w:cs="Arial" w:asciiTheme="minorEastAsia" w:hAnsiTheme="minorEastAsia" w:eastAsiaTheme="minorEastAsia"/>
                  <w:szCs w:val="21"/>
                  <w:shd w:val="clear" w:color="auto" w:fill="FFFFFF"/>
                </w:rPr>
                <w:t>元，</w:t>
              </w:r>
              <w:r>
                <w:rPr>
                  <w:rFonts w:hint="eastAsia" w:cs="Arial" w:asciiTheme="minorEastAsia" w:hAnsiTheme="minorEastAsia" w:eastAsiaTheme="minorEastAsia"/>
                  <w:szCs w:val="21"/>
                  <w:shd w:val="clear" w:color="auto" w:fill="FFFFFF"/>
                </w:rPr>
                <w:t>其中母公司实现净利润为</w:t>
              </w:r>
              <w:r>
                <w:rPr>
                  <w:rFonts w:cs="Arial" w:asciiTheme="minorEastAsia" w:hAnsiTheme="minorEastAsia" w:eastAsiaTheme="minorEastAsia"/>
                  <w:szCs w:val="21"/>
                  <w:shd w:val="clear" w:color="auto" w:fill="FFFFFF"/>
                </w:rPr>
                <w:t>126</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983</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849.05</w:t>
              </w:r>
              <w:r>
                <w:rPr>
                  <w:rFonts w:hint="eastAsia" w:cs="Arial" w:asciiTheme="minorEastAsia" w:hAnsiTheme="minorEastAsia" w:eastAsiaTheme="minorEastAsia"/>
                  <w:szCs w:val="21"/>
                  <w:shd w:val="clear" w:color="auto" w:fill="FFFFFF"/>
                </w:rPr>
                <w:t>元 。截止202</w:t>
              </w:r>
              <w:r>
                <w:rPr>
                  <w:rFonts w:cs="Arial" w:asciiTheme="minorEastAsia" w:hAnsiTheme="minorEastAsia" w:eastAsiaTheme="minorEastAsia"/>
                  <w:szCs w:val="21"/>
                  <w:shd w:val="clear" w:color="auto" w:fill="FFFFFF"/>
                </w:rPr>
                <w:t>1</w:t>
              </w:r>
              <w:r>
                <w:rPr>
                  <w:rFonts w:hint="eastAsia" w:cs="Arial" w:asciiTheme="minorEastAsia" w:hAnsiTheme="minorEastAsia" w:eastAsiaTheme="minorEastAsia"/>
                  <w:szCs w:val="21"/>
                  <w:shd w:val="clear" w:color="auto" w:fill="FFFFFF"/>
                </w:rPr>
                <w:t>年12月31日，合并报表未分配利润余额</w:t>
              </w:r>
              <w:r>
                <w:rPr>
                  <w:rFonts w:cs="Arial" w:asciiTheme="minorEastAsia" w:hAnsiTheme="minorEastAsia" w:eastAsiaTheme="minorEastAsia"/>
                  <w:szCs w:val="21"/>
                  <w:shd w:val="clear" w:color="auto" w:fill="FFFFFF"/>
                </w:rPr>
                <w:t>为-3</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005</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982</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244.24</w:t>
              </w:r>
              <w:r>
                <w:rPr>
                  <w:rFonts w:hint="eastAsia" w:cs="Arial" w:asciiTheme="minorEastAsia" w:hAnsiTheme="minorEastAsia" w:eastAsiaTheme="minorEastAsia"/>
                  <w:szCs w:val="21"/>
                  <w:shd w:val="clear" w:color="auto" w:fill="FFFFFF"/>
                </w:rPr>
                <w:t>元，其中母公司未分配利润余额为</w:t>
              </w:r>
              <w:r>
                <w:rPr>
                  <w:rFonts w:cs="Arial" w:asciiTheme="minorEastAsia" w:hAnsiTheme="minorEastAsia" w:eastAsiaTheme="minorEastAsia"/>
                  <w:szCs w:val="21"/>
                  <w:shd w:val="clear" w:color="auto" w:fill="FFFFFF"/>
                </w:rPr>
                <w:t>-1</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106</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062</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494.35</w:t>
              </w:r>
              <w:r>
                <w:rPr>
                  <w:rFonts w:hint="eastAsia" w:cs="Arial" w:asciiTheme="minorEastAsia" w:hAnsiTheme="minorEastAsia" w:eastAsiaTheme="minorEastAsia"/>
                  <w:szCs w:val="21"/>
                  <w:shd w:val="clear" w:color="auto" w:fill="FFFFFF"/>
                </w:rPr>
                <w:t>元</w:t>
              </w:r>
              <w:r>
                <w:rPr>
                  <w:rFonts w:cs="Arial" w:asciiTheme="minorEastAsia" w:hAnsiTheme="minorEastAsia" w:eastAsiaTheme="minorEastAsia"/>
                  <w:szCs w:val="21"/>
                  <w:shd w:val="clear" w:color="auto" w:fill="FFFFFF"/>
                </w:rPr>
                <w:t>。</w:t>
              </w:r>
              <w:r>
                <w:rPr>
                  <w:rFonts w:hint="eastAsia" w:cs="Arial" w:asciiTheme="minorEastAsia" w:hAnsiTheme="minorEastAsia" w:eastAsiaTheme="minorEastAsia"/>
                  <w:szCs w:val="21"/>
                  <w:shd w:val="clear" w:color="auto" w:fill="FFFFFF"/>
                </w:rPr>
                <w:t>鉴于公司202</w:t>
              </w:r>
              <w:r>
                <w:rPr>
                  <w:rFonts w:cs="Arial" w:asciiTheme="minorEastAsia" w:hAnsiTheme="minorEastAsia" w:eastAsiaTheme="minorEastAsia"/>
                  <w:szCs w:val="21"/>
                  <w:shd w:val="clear" w:color="auto" w:fill="FFFFFF"/>
                </w:rPr>
                <w:t>1</w:t>
              </w:r>
              <w:r>
                <w:rPr>
                  <w:rFonts w:hint="eastAsia" w:cs="Arial" w:asciiTheme="minorEastAsia" w:hAnsiTheme="minorEastAsia" w:eastAsiaTheme="minorEastAsia"/>
                  <w:szCs w:val="21"/>
                  <w:shd w:val="clear" w:color="auto" w:fill="FFFFFF"/>
                </w:rPr>
                <w:t>年末可供分配利润为负数，根据《公司法》《公司章程》相关规定，202</w:t>
              </w:r>
              <w:r>
                <w:rPr>
                  <w:rFonts w:cs="Arial" w:asciiTheme="minorEastAsia" w:hAnsiTheme="minorEastAsia" w:eastAsiaTheme="minorEastAsia"/>
                  <w:szCs w:val="21"/>
                  <w:shd w:val="clear" w:color="auto" w:fill="FFFFFF"/>
                </w:rPr>
                <w:t>1</w:t>
              </w:r>
              <w:r>
                <w:rPr>
                  <w:rFonts w:hint="eastAsia" w:cs="Arial" w:asciiTheme="minorEastAsia" w:hAnsiTheme="minorEastAsia" w:eastAsiaTheme="minorEastAsia"/>
                  <w:szCs w:val="21"/>
                  <w:shd w:val="clear" w:color="auto" w:fill="FFFFFF"/>
                </w:rPr>
                <w:t>年度拟不进行利润分配（含现金分红和股票股利分配），不实施资本公积金转增股本。该预案尚需提交公司2</w:t>
              </w:r>
              <w:r>
                <w:rPr>
                  <w:rFonts w:cs="Arial" w:asciiTheme="minorEastAsia" w:hAnsiTheme="minorEastAsia" w:eastAsiaTheme="minorEastAsia"/>
                  <w:szCs w:val="21"/>
                  <w:shd w:val="clear" w:color="auto" w:fill="FFFFFF"/>
                </w:rPr>
                <w:t>021</w:t>
              </w:r>
              <w:r>
                <w:rPr>
                  <w:rFonts w:hint="eastAsia" w:cs="Arial" w:asciiTheme="minorEastAsia" w:hAnsiTheme="minorEastAsia" w:eastAsiaTheme="minorEastAsia"/>
                  <w:szCs w:val="21"/>
                  <w:shd w:val="clear" w:color="auto" w:fill="FFFFFF"/>
                </w:rPr>
                <w:t>年年度股东大会审议。</w:t>
              </w:r>
            </w:p>
            <w:p>
              <w:pPr>
                <w:spacing w:line="360" w:lineRule="auto"/>
                <w:ind w:firstLine="420" w:firstLineChars="200"/>
                <w:rPr>
                  <w:rFonts w:cs="Arial" w:asciiTheme="minorEastAsia" w:hAnsiTheme="minorEastAsia" w:eastAsiaTheme="minorEastAsia"/>
                  <w:szCs w:val="21"/>
                  <w:shd w:val="clear" w:color="auto" w:fill="FFFFFF"/>
                </w:rPr>
              </w:pPr>
            </w:p>
          </w:sdtContent>
        </w:sdt>
      </w:sdtContent>
    </w:sdt>
    <w:sdt>
      <w:sdtPr>
        <w:rPr>
          <w:rFonts w:ascii="Calibri" w:hAnsi="Calibri" w:cs="宋体"/>
          <w:b w:val="0"/>
          <w:bCs w:val="0"/>
          <w:kern w:val="0"/>
          <w:sz w:val="24"/>
          <w:szCs w:val="24"/>
        </w:rPr>
        <w:alias w:val="模块:前瞻性陈述的风险声明"/>
        <w:tag w:val="_SEC_cc0a682043544feca8d6178ae3f9b57a"/>
        <w:id w:val="2091426827"/>
        <w:lock w:val="sdtLocked"/>
        <w:placeholder>
          <w:docPart w:val="GBC22222222222222222222222222222"/>
        </w:placeholder>
      </w:sdtPr>
      <w:sdtEndPr>
        <w:rPr>
          <w:rFonts w:hint="eastAsia" w:ascii="宋体" w:hAnsi="宋体" w:cs="宋体"/>
          <w:b w:val="0"/>
          <w:bCs w:val="0"/>
          <w:kern w:val="0"/>
          <w:sz w:val="21"/>
          <w:szCs w:val="24"/>
          <w:shd w:val="pct10" w:color="auto" w:fill="FFFFFF"/>
        </w:rPr>
      </w:sdtEndPr>
      <w:sdtContent>
        <w:p>
          <w:pPr>
            <w:pStyle w:val="3"/>
            <w:numPr>
              <w:ilvl w:val="0"/>
              <w:numId w:val="1"/>
            </w:numPr>
            <w:tabs>
              <w:tab w:val="left" w:pos="504"/>
            </w:tabs>
            <w:spacing w:before="0" w:after="0" w:line="360" w:lineRule="auto"/>
            <w:ind w:left="420" w:hangingChars="175"/>
          </w:pPr>
          <w:r>
            <w:t>前瞻性陈述的风险声明</w:t>
          </w:r>
        </w:p>
        <w:sdt>
          <w:sdtPr>
            <w:alias w:val="是否适用：前瞻性陈述的风险声明[双击切换]"/>
            <w:tag w:val="_GBC_5e5553f9f96e47e8b5eded9c0e6a26c0"/>
            <w:id w:val="1717002464"/>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公司对报告涉及未来计划等前瞻性陈述的声明"/>
            <w:tag w:val="_GBC_1f83625afa8e46e9bb2a951797b077a3"/>
            <w:id w:val="-1037736841"/>
            <w:lock w:val="sdtLocked"/>
            <w:placeholder>
              <w:docPart w:val="GBC22222222222222222222222222222"/>
            </w:placeholder>
          </w:sdtPr>
          <w:sdtEndPr>
            <w:rPr>
              <w:rFonts w:hint="eastAsia"/>
              <w:szCs w:val="21"/>
              <w:shd w:val="pct10" w:color="auto" w:fill="FFFFFF"/>
            </w:rPr>
          </w:sdtEndPr>
          <w:sdtContent>
            <w:p>
              <w:pPr>
                <w:spacing w:line="360" w:lineRule="auto"/>
                <w:ind w:firstLine="420" w:firstLineChars="200"/>
                <w:rPr>
                  <w:rFonts w:ascii="Times New Roman" w:hAnsi="Times New Roman" w:cs="Times New Roman"/>
                  <w:szCs w:val="21"/>
                </w:rPr>
              </w:pPr>
              <w:r>
                <w:rPr>
                  <w:rFonts w:hint="eastAsia"/>
                </w:rPr>
                <w:t>本年度报告内容中涉及的经营计划、发展战略等前瞻性陈述，不构成公司对投资者的实质承诺，敬请投资者注意投资风险。</w:t>
              </w:r>
            </w:p>
          </w:sdtContent>
        </w:sdt>
        <w:p>
          <w:pPr>
            <w:kinsoku w:val="0"/>
            <w:overflowPunct w:val="0"/>
            <w:autoSpaceDE w:val="0"/>
            <w:autoSpaceDN w:val="0"/>
            <w:adjustRightInd w:val="0"/>
            <w:snapToGrid w:val="0"/>
            <w:spacing w:line="360" w:lineRule="exact"/>
            <w:rPr>
              <w:szCs w:val="21"/>
              <w:shd w:val="pct10" w:color="auto" w:fill="FFFFFF"/>
            </w:rPr>
          </w:pPr>
        </w:p>
      </w:sdtContent>
    </w:sdt>
    <w:sdt>
      <w:sdtPr>
        <w:rPr>
          <w:rFonts w:hint="eastAsia" w:ascii="Calibri" w:hAnsi="Calibri" w:cs="宋体"/>
          <w:b w:val="0"/>
          <w:bCs w:val="0"/>
          <w:kern w:val="0"/>
          <w:sz w:val="24"/>
          <w:szCs w:val="24"/>
          <w:shd w:val="pct10" w:color="auto" w:fill="FFFFFF"/>
        </w:rPr>
        <w:alias w:val="模块:本公司是否存在大股东占用资金情况"/>
        <w:tag w:val="_SEC_dd7ae952183947878c4ccc9b523f2fd5"/>
        <w:id w:val="1880196185"/>
        <w:lock w:val="sdtLocked"/>
        <w:placeholder>
          <w:docPart w:val="GBC22222222222222222222222222222"/>
        </w:placeholder>
      </w:sdtPr>
      <w:sdtEndPr>
        <w:rPr>
          <w:rFonts w:hint="eastAsia" w:ascii="宋体" w:hAnsi="宋体" w:cs="宋体"/>
          <w:b w:val="0"/>
          <w:bCs w:val="0"/>
          <w:kern w:val="0"/>
          <w:sz w:val="21"/>
          <w:szCs w:val="24"/>
          <w:shd w:val="clear" w:color="auto" w:fill="auto"/>
        </w:rPr>
      </w:sdtEndPr>
      <w:sdtContent>
        <w:p>
          <w:pPr>
            <w:pStyle w:val="3"/>
            <w:numPr>
              <w:ilvl w:val="0"/>
              <w:numId w:val="1"/>
            </w:numPr>
            <w:tabs>
              <w:tab w:val="left" w:pos="434"/>
              <w:tab w:val="left" w:pos="644"/>
            </w:tabs>
            <w:spacing w:before="0" w:after="0" w:line="360" w:lineRule="auto"/>
            <w:ind w:left="420" w:hangingChars="175"/>
          </w:pPr>
          <w:r>
            <w:t>是否存在被控股股东及其关联方非经营性占用资金情况</w:t>
          </w:r>
        </w:p>
        <w:sdt>
          <w:sdtPr>
            <w:rPr>
              <w:rFonts w:hint="eastAsia" w:ascii="Arial" w:hAnsi="Arial"/>
              <w:bCs/>
              <w:szCs w:val="21"/>
            </w:rPr>
            <w:alias w:val="本公司是否存在大股东占用资金情况"/>
            <w:tag w:val="_GBC_a9b8d3170fbb4d50a645223c117f8b30"/>
            <w:id w:val="-1739622644"/>
            <w:lock w:val="sdtLocked"/>
            <w:placeholder>
              <w:docPart w:val="GBC22222222222222222222222222222"/>
            </w:placeholder>
            <w:comboBox>
              <w:listItem w:displayText="是" w:value="true"/>
              <w:listItem w:displayText="否" w:value="false"/>
            </w:comboBox>
          </w:sdtPr>
          <w:sdtEndPr>
            <w:rPr>
              <w:rFonts w:hint="eastAsia" w:ascii="Arial" w:hAnsi="Arial"/>
              <w:bCs/>
              <w:szCs w:val="21"/>
            </w:rPr>
          </w:sdtEndPr>
          <w:sdtContent>
            <w:p>
              <w:pPr>
                <w:kinsoku w:val="0"/>
                <w:overflowPunct w:val="0"/>
                <w:autoSpaceDE w:val="0"/>
                <w:autoSpaceDN w:val="0"/>
                <w:adjustRightInd w:val="0"/>
                <w:snapToGrid w:val="0"/>
                <w:spacing w:line="360" w:lineRule="exact"/>
                <w:rPr>
                  <w:rFonts w:ascii="Arial" w:hAnsi="Arial"/>
                  <w:bCs/>
                  <w:szCs w:val="21"/>
                </w:rPr>
              </w:pPr>
              <w:r>
                <w:rPr>
                  <w:rFonts w:hint="eastAsia" w:ascii="Arial" w:hAnsi="Arial"/>
                  <w:bCs/>
                  <w:szCs w:val="21"/>
                </w:rPr>
                <w:t>否</w:t>
              </w:r>
            </w:p>
          </w:sdtContent>
        </w:sdt>
        <w:p>
          <w:pPr>
            <w:kinsoku w:val="0"/>
            <w:overflowPunct w:val="0"/>
            <w:autoSpaceDE w:val="0"/>
            <w:autoSpaceDN w:val="0"/>
            <w:adjustRightInd w:val="0"/>
            <w:snapToGrid w:val="0"/>
            <w:spacing w:line="360" w:lineRule="exact"/>
            <w:rPr>
              <w:rFonts w:ascii="Arial" w:hAnsi="Arial"/>
              <w:bCs/>
              <w:szCs w:val="21"/>
            </w:rPr>
          </w:pPr>
        </w:p>
      </w:sdtContent>
    </w:sdt>
    <w:sdt>
      <w:sdtPr>
        <w:rPr>
          <w:rFonts w:ascii="Calibri" w:hAnsi="Calibri" w:cs="宋体"/>
          <w:b w:val="0"/>
          <w:bCs w:val="0"/>
          <w:kern w:val="0"/>
          <w:sz w:val="24"/>
          <w:szCs w:val="24"/>
        </w:rPr>
        <w:alias w:val="模块:本公司是否存在违反规定决策程序对外提供担保的情况"/>
        <w:tag w:val="_SEC_05a034f558514905b67eb7706c31865e"/>
        <w:id w:val="1212234763"/>
        <w:lock w:val="sdtLocked"/>
        <w:placeholder>
          <w:docPart w:val="GBC22222222222222222222222222222"/>
        </w:placeholder>
      </w:sdtPr>
      <w:sdtEndPr>
        <w:rPr>
          <w:rFonts w:hint="eastAsia" w:ascii="宋体" w:hAnsi="宋体" w:cs="宋体"/>
          <w:b w:val="0"/>
          <w:bCs w:val="0"/>
          <w:kern w:val="0"/>
          <w:sz w:val="21"/>
          <w:szCs w:val="24"/>
        </w:rPr>
      </w:sdtEndPr>
      <w:sdtContent>
        <w:p>
          <w:pPr>
            <w:pStyle w:val="3"/>
            <w:numPr>
              <w:ilvl w:val="0"/>
              <w:numId w:val="1"/>
            </w:numPr>
            <w:tabs>
              <w:tab w:val="left" w:pos="434"/>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1243492330"/>
            <w:lock w:val="sdtLocked"/>
            <w:placeholder>
              <w:docPart w:val="GBC22222222222222222222222222222"/>
            </w:placeholder>
            <w:comboBox>
              <w:listItem w:displayText="是" w:value="true"/>
              <w:listItem w:displayText="否" w:value="false"/>
            </w:comboBox>
          </w:sdtPr>
          <w:sdtEndPr>
            <w:rPr>
              <w:rFonts w:hint="eastAsia"/>
              <w:szCs w:val="21"/>
            </w:rPr>
          </w:sdtEndPr>
          <w:sdtContent>
            <w:p>
              <w:pPr>
                <w:rPr>
                  <w:szCs w:val="21"/>
                </w:rPr>
              </w:pPr>
              <w:r>
                <w:rPr>
                  <w:rFonts w:hint="eastAsia"/>
                  <w:szCs w:val="21"/>
                </w:rPr>
                <w:t>否</w:t>
              </w:r>
            </w:p>
          </w:sdtContent>
        </w:sdt>
        <w:p/>
      </w:sdtContent>
    </w:sdt>
    <w:sdt>
      <w:sdtPr>
        <w:rPr>
          <w:rFonts w:ascii="Calibri" w:hAnsi="Calibri" w:cs="宋体"/>
          <w:b w:val="0"/>
          <w:bCs w:val="0"/>
          <w:kern w:val="0"/>
          <w:szCs w:val="24"/>
        </w:rPr>
        <w:alias w:val="模块:是否存在半数以上董事无法保证公司所披露年度报告的真实性、准确..."/>
        <w:tag w:val="_SEC_48356da23f6a4bf99307cdd80c7327ad"/>
        <w:id w:val="48737072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
            </w:numPr>
            <w:tabs>
              <w:tab w:val="left" w:pos="434"/>
              <w:tab w:val="left" w:pos="644"/>
            </w:tabs>
            <w:spacing w:before="0" w:after="0" w:line="360" w:lineRule="auto"/>
            <w:ind w:left="368" w:hanging="367" w:hangingChars="175"/>
            <w:rPr>
              <w:rFonts w:ascii="Calibri" w:hAnsi="Calibri" w:cs="宋体"/>
              <w:kern w:val="0"/>
            </w:rPr>
          </w:pPr>
          <w:bookmarkStart w:id="1" w:name="_Hlk61881950"/>
          <w:r>
            <w:t>是否</w:t>
          </w:r>
          <w:r>
            <w:rPr>
              <w:rFonts w:ascii="Calibri" w:hAnsi="Calibri" w:cs="宋体"/>
              <w:kern w:val="0"/>
            </w:rPr>
            <w:t>存在半数</w:t>
          </w:r>
          <w:r>
            <w:rPr>
              <w:rFonts w:hint="eastAsia" w:ascii="Calibri" w:hAnsi="Calibri" w:cs="宋体"/>
              <w:kern w:val="0"/>
            </w:rPr>
            <w:t>以上</w:t>
          </w:r>
          <w:r>
            <w:rPr>
              <w:rFonts w:ascii="Calibri" w:hAnsi="Calibri" w:cs="宋体"/>
              <w:kern w:val="0"/>
            </w:rPr>
            <w:t>董事无法保证公司所披露年度报告的真实性、准确性和完整性</w:t>
          </w:r>
          <w:bookmarkEnd w:id="1"/>
        </w:p>
        <w:sdt>
          <w:sdtPr>
            <w:rPr>
              <w:rFonts w:hint="eastAsia"/>
            </w:rPr>
            <w:alias w:val="是否存在半数以上董事无法保证公司所披露年度报告的真实性、准确性和完整性"/>
            <w:tag w:val="_GBC_abc43c78fabf487d8ee599f7fe1628a3"/>
            <w:id w:val="-769384807"/>
            <w:lock w:val="sdtLocked"/>
            <w:placeholder>
              <w:docPart w:val="GBC22222222222222222222222222222"/>
            </w:placeholder>
            <w:comboBox>
              <w:listItem w:displayText="是" w:value="是"/>
              <w:listItem w:displayText="否" w:value="否"/>
            </w:comboBox>
          </w:sdtPr>
          <w:sdtEndPr>
            <w:rPr>
              <w:rFonts w:hint="eastAsia"/>
            </w:rPr>
          </w:sdtEndPr>
          <w:sdtContent>
            <w:p>
              <w:r>
                <w:rPr>
                  <w:rFonts w:hint="eastAsia"/>
                </w:rPr>
                <w:t>否</w:t>
              </w:r>
            </w:p>
          </w:sdtContent>
        </w:sdt>
      </w:sdtContent>
    </w:sdt>
    <w:sdt>
      <w:sdtPr>
        <w:rPr>
          <w:b/>
          <w:bCs/>
        </w:rPr>
        <w:alias w:val="模块:重大风险提示"/>
        <w:tag w:val="_SEC_9889b4a81d8e4a009c1c90b6eaff4bed"/>
        <w:id w:val="1084502263"/>
        <w:lock w:val="sdtLocked"/>
        <w:placeholder>
          <w:docPart w:val="GBC22222222222222222222222222222"/>
        </w:placeholder>
      </w:sdtPr>
      <w:sdtEndPr>
        <w:rPr>
          <w:b w:val="0"/>
          <w:bCs w:val="0"/>
        </w:rPr>
      </w:sdtEndPr>
      <w:sdtContent>
        <w:p>
          <w:pPr>
            <w:rPr>
              <w:szCs w:val="21"/>
            </w:rPr>
          </w:pPr>
        </w:p>
        <w:p>
          <w:pPr>
            <w:pStyle w:val="3"/>
            <w:numPr>
              <w:ilvl w:val="0"/>
              <w:numId w:val="1"/>
            </w:numPr>
            <w:tabs>
              <w:tab w:val="left" w:pos="434"/>
              <w:tab w:val="left" w:pos="644"/>
            </w:tabs>
            <w:spacing w:before="0" w:after="0" w:line="360" w:lineRule="auto"/>
            <w:ind w:left="369" w:hanging="369" w:hangingChars="175"/>
          </w:pPr>
          <w:r>
            <w:rPr>
              <w:rFonts w:hint="eastAsia"/>
            </w:rPr>
            <w:t>重大风险提示</w:t>
          </w:r>
        </w:p>
        <w:sdt>
          <w:sdtPr>
            <w:alias w:val="重大风险提示"/>
            <w:tag w:val="_GBC_43a6b8847e0241f1af5326af848c7cec"/>
            <w:id w:val="-2082898558"/>
            <w:lock w:val="sdtLocked"/>
            <w:placeholder>
              <w:docPart w:val="GBC22222222222222222222222222222"/>
            </w:placeholder>
          </w:sdtPr>
          <w:sdtContent>
            <w:p>
              <w:pPr>
                <w:spacing w:line="360" w:lineRule="auto"/>
                <w:ind w:firstLine="420" w:firstLineChars="200"/>
                <w:rPr>
                  <w:szCs w:val="21"/>
                </w:rPr>
              </w:pPr>
              <w:r>
                <w:rPr>
                  <w:rFonts w:hint="eastAsia"/>
                </w:rPr>
                <w:t>公司已在本报告中详细描述可能存在的相关风险，敬请查阅本报告中第三节“管理</w:t>
              </w:r>
              <w:r>
                <w:t>层讨论与分析</w:t>
              </w:r>
              <w:r>
                <w:rPr>
                  <w:rFonts w:hint="eastAsia"/>
                </w:rPr>
                <w:t>”中“可能面对的风险”相关描述。</w:t>
              </w:r>
            </w:p>
          </w:sdtContent>
        </w:sdt>
        <w:p/>
      </w:sdtContent>
    </w:sdt>
    <w:sdt>
      <w:sdtPr>
        <w:rPr>
          <w:rFonts w:ascii="宋体" w:hAnsi="宋体" w:cs="宋体"/>
          <w:b w:val="0"/>
          <w:bCs w:val="0"/>
          <w:kern w:val="0"/>
          <w:szCs w:val="24"/>
        </w:rPr>
        <w:alias w:val="模块:重要提示的其他情况说明"/>
        <w:tag w:val="_SEC_e9484471c6da4ac39a115f2e22fdac24"/>
        <w:id w:val="-1097392396"/>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
            </w:numPr>
            <w:tabs>
              <w:tab w:val="left" w:pos="588"/>
              <w:tab w:val="left" w:pos="644"/>
              <w:tab w:val="left" w:pos="672"/>
            </w:tabs>
            <w:spacing w:before="0" w:after="0" w:line="360" w:lineRule="auto"/>
            <w:ind w:left="368" w:hanging="367" w:hangingChars="175"/>
          </w:pPr>
          <w:r>
            <w:rPr>
              <w:rFonts w:hint="eastAsia"/>
            </w:rPr>
            <w:t>其他</w:t>
          </w:r>
        </w:p>
        <w:sdt>
          <w:sdtPr>
            <w:alias w:val="是否适用：其他重要提示[双击切换]"/>
            <w:tag w:val="_GBC_0eafa210a73340628544c13dacbc7643"/>
            <w:id w:val="-708101877"/>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b/>
          <w:sz w:val="28"/>
          <w:szCs w:val="28"/>
        </w:rPr>
      </w:pPr>
      <w:r>
        <w:rPr>
          <w:rFonts w:hint="eastAsia"/>
          <w:b/>
          <w:sz w:val="28"/>
          <w:szCs w:val="28"/>
        </w:rPr>
        <w:br w:type="page"/>
      </w:r>
    </w:p>
    <w:p>
      <w:pPr>
        <w:spacing w:line="480" w:lineRule="auto"/>
        <w:jc w:val="center"/>
        <w:rPr>
          <w:b/>
          <w:sz w:val="28"/>
          <w:szCs w:val="28"/>
        </w:rPr>
      </w:pPr>
      <w:r>
        <w:rPr>
          <w:rFonts w:hint="eastAsia"/>
          <w:b/>
          <w:sz w:val="28"/>
          <w:szCs w:val="28"/>
        </w:rPr>
        <w:t>目录</w:t>
      </w:r>
    </w:p>
    <w:p>
      <w:pPr>
        <w:pStyle w:val="27"/>
        <w:rPr>
          <w:rFonts w:asciiTheme="minorHAnsi" w:hAnsiTheme="minorHAnsi" w:eastAsiaTheme="minorEastAsia" w:cstheme="minorBidi"/>
          <w:b/>
          <w:bCs/>
          <w:szCs w:val="22"/>
        </w:rPr>
      </w:pPr>
      <w:r>
        <w:rPr>
          <w:b/>
          <w:bCs/>
        </w:rPr>
        <w:fldChar w:fldCharType="begin"/>
      </w:r>
      <w:r>
        <w:rPr>
          <w:b/>
          <w:bCs/>
        </w:rPr>
        <w:instrText xml:space="preserve"> TOC \o "1-1" \h \z \u </w:instrText>
      </w:r>
      <w:r>
        <w:rPr>
          <w:b/>
          <w:bCs/>
        </w:rPr>
        <w:fldChar w:fldCharType="separate"/>
      </w:r>
      <w:r>
        <w:fldChar w:fldCharType="begin"/>
      </w:r>
      <w:r>
        <w:instrText xml:space="preserve"> HYPERLINK \l "_Toc89790248" </w:instrText>
      </w:r>
      <w:r>
        <w:fldChar w:fldCharType="separate"/>
      </w:r>
      <w:r>
        <w:rPr>
          <w:rStyle w:val="41"/>
          <w:b/>
          <w:bCs/>
        </w:rPr>
        <w:t>第一节</w:t>
      </w:r>
      <w:r>
        <w:rPr>
          <w:rFonts w:asciiTheme="minorHAnsi" w:hAnsiTheme="minorHAnsi" w:eastAsiaTheme="minorEastAsia" w:cstheme="minorBidi"/>
          <w:b/>
          <w:bCs/>
          <w:szCs w:val="22"/>
        </w:rPr>
        <w:tab/>
      </w:r>
      <w:r>
        <w:rPr>
          <w:rStyle w:val="41"/>
          <w:b/>
          <w:bCs/>
        </w:rPr>
        <w:t>释义</w:t>
      </w:r>
      <w:r>
        <w:rPr>
          <w:b/>
          <w:bCs/>
        </w:rPr>
        <w:tab/>
      </w:r>
      <w:r>
        <w:rPr>
          <w:b/>
          <w:bCs/>
        </w:rPr>
        <w:fldChar w:fldCharType="begin"/>
      </w:r>
      <w:r>
        <w:rPr>
          <w:b/>
          <w:bCs/>
        </w:rPr>
        <w:instrText xml:space="preserve"> PAGEREF _Toc89790248 \h </w:instrText>
      </w:r>
      <w:r>
        <w:rPr>
          <w:b/>
          <w:bCs/>
        </w:rPr>
        <w:fldChar w:fldCharType="separate"/>
      </w:r>
      <w:r>
        <w:rPr>
          <w:b/>
          <w:bCs/>
        </w:rPr>
        <w:t>3</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"_Toc89790249" </w:instrText>
      </w:r>
      <w:r>
        <w:fldChar w:fldCharType="separate"/>
      </w:r>
      <w:r>
        <w:rPr>
          <w:rStyle w:val="41"/>
          <w:b/>
          <w:bCs/>
        </w:rPr>
        <w:t>第二节</w:t>
      </w:r>
      <w:r>
        <w:rPr>
          <w:rFonts w:asciiTheme="minorHAnsi" w:hAnsiTheme="minorHAnsi" w:eastAsiaTheme="minorEastAsia" w:cstheme="minorBidi"/>
          <w:b/>
          <w:bCs/>
          <w:szCs w:val="22"/>
        </w:rPr>
        <w:tab/>
      </w:r>
      <w:r>
        <w:rPr>
          <w:rStyle w:val="41"/>
          <w:b/>
          <w:bCs/>
        </w:rPr>
        <w:t>公司简介和主要财务指标</w:t>
      </w:r>
      <w:r>
        <w:rPr>
          <w:b/>
          <w:bCs/>
        </w:rPr>
        <w:tab/>
      </w:r>
      <w:r>
        <w:rPr>
          <w:b/>
          <w:bCs/>
        </w:rPr>
        <w:fldChar w:fldCharType="begin"/>
      </w:r>
      <w:r>
        <w:rPr>
          <w:b/>
          <w:bCs/>
        </w:rPr>
        <w:instrText xml:space="preserve"> PAGEREF _Toc89790249 \h </w:instrText>
      </w:r>
      <w:r>
        <w:rPr>
          <w:b/>
          <w:bCs/>
        </w:rPr>
        <w:fldChar w:fldCharType="separate"/>
      </w:r>
      <w:r>
        <w:rPr>
          <w:b/>
          <w:bCs/>
        </w:rPr>
        <w:t>4</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"_Toc89790250" </w:instrText>
      </w:r>
      <w:r>
        <w:fldChar w:fldCharType="separate"/>
      </w:r>
      <w:r>
        <w:rPr>
          <w:rStyle w:val="41"/>
          <w:b/>
          <w:bCs/>
        </w:rPr>
        <w:t>第三节</w:t>
      </w:r>
      <w:r>
        <w:rPr>
          <w:rFonts w:asciiTheme="minorHAnsi" w:hAnsiTheme="minorHAnsi" w:eastAsiaTheme="minorEastAsia" w:cstheme="minorBidi"/>
          <w:b/>
          <w:bCs/>
          <w:szCs w:val="22"/>
        </w:rPr>
        <w:tab/>
      </w:r>
      <w:r>
        <w:rPr>
          <w:rStyle w:val="41"/>
          <w:b/>
          <w:bCs/>
        </w:rPr>
        <w:t>管理层讨论与分析</w:t>
      </w:r>
      <w:r>
        <w:rPr>
          <w:b/>
          <w:bCs/>
        </w:rPr>
        <w:tab/>
      </w:r>
      <w:r>
        <w:rPr>
          <w:b/>
          <w:bCs/>
        </w:rPr>
        <w:fldChar w:fldCharType="begin"/>
      </w:r>
      <w:r>
        <w:rPr>
          <w:b/>
          <w:bCs/>
        </w:rPr>
        <w:instrText xml:space="preserve"> PAGEREF _Toc89790250 \h </w:instrText>
      </w:r>
      <w:r>
        <w:rPr>
          <w:b/>
          <w:bCs/>
        </w:rPr>
        <w:fldChar w:fldCharType="separate"/>
      </w:r>
      <w:r>
        <w:rPr>
          <w:b/>
          <w:bCs/>
        </w:rPr>
        <w:t>9</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"_Toc89790251" </w:instrText>
      </w:r>
      <w:r>
        <w:fldChar w:fldCharType="separate"/>
      </w:r>
      <w:r>
        <w:rPr>
          <w:rStyle w:val="41"/>
          <w:b/>
          <w:bCs/>
        </w:rPr>
        <w:t>第四节</w:t>
      </w:r>
      <w:r>
        <w:rPr>
          <w:rFonts w:asciiTheme="minorHAnsi" w:hAnsiTheme="minorHAnsi" w:eastAsiaTheme="minorEastAsia" w:cstheme="minorBidi"/>
          <w:b/>
          <w:bCs/>
          <w:szCs w:val="22"/>
        </w:rPr>
        <w:tab/>
      </w:r>
      <w:r>
        <w:rPr>
          <w:rStyle w:val="41"/>
          <w:b/>
          <w:bCs/>
        </w:rPr>
        <w:t>公司治理</w:t>
      </w:r>
      <w:r>
        <w:rPr>
          <w:b/>
          <w:bCs/>
        </w:rPr>
        <w:tab/>
      </w:r>
      <w:r>
        <w:rPr>
          <w:b/>
          <w:bCs/>
        </w:rPr>
        <w:fldChar w:fldCharType="begin"/>
      </w:r>
      <w:r>
        <w:rPr>
          <w:b/>
          <w:bCs/>
        </w:rPr>
        <w:instrText xml:space="preserve"> PAGEREF _Toc89790251 \h </w:instrText>
      </w:r>
      <w:r>
        <w:rPr>
          <w:b/>
          <w:bCs/>
        </w:rPr>
        <w:fldChar w:fldCharType="separate"/>
      </w:r>
      <w:r>
        <w:rPr>
          <w:b/>
          <w:bCs/>
        </w:rPr>
        <w:t>18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"_Toc89790252" </w:instrText>
      </w:r>
      <w:r>
        <w:fldChar w:fldCharType="separate"/>
      </w:r>
      <w:r>
        <w:rPr>
          <w:rStyle w:val="41"/>
          <w:b/>
          <w:bCs/>
        </w:rPr>
        <w:t>第五节</w:t>
      </w:r>
      <w:r>
        <w:rPr>
          <w:rFonts w:asciiTheme="minorHAnsi" w:hAnsiTheme="minorHAnsi" w:eastAsiaTheme="minorEastAsia" w:cstheme="minorBidi"/>
          <w:b/>
          <w:bCs/>
          <w:szCs w:val="22"/>
        </w:rPr>
        <w:tab/>
      </w:r>
      <w:r>
        <w:rPr>
          <w:rStyle w:val="41"/>
          <w:b/>
          <w:bCs/>
        </w:rPr>
        <w:t>环境与社会责任</w:t>
      </w:r>
      <w:r>
        <w:rPr>
          <w:b/>
          <w:bCs/>
        </w:rPr>
        <w:tab/>
      </w:r>
      <w:r>
        <w:rPr>
          <w:b/>
          <w:bCs/>
        </w:rPr>
        <w:fldChar w:fldCharType="begin"/>
      </w:r>
      <w:r>
        <w:rPr>
          <w:b/>
          <w:bCs/>
        </w:rPr>
        <w:instrText xml:space="preserve"> PAGEREF _Toc89790252 \h </w:instrText>
      </w:r>
      <w:r>
        <w:rPr>
          <w:b/>
          <w:bCs/>
        </w:rPr>
        <w:fldChar w:fldCharType="separate"/>
      </w:r>
      <w:r>
        <w:rPr>
          <w:b/>
          <w:bCs/>
        </w:rPr>
        <w:t>38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"_Toc89790253" </w:instrText>
      </w:r>
      <w:r>
        <w:fldChar w:fldCharType="separate"/>
      </w:r>
      <w:r>
        <w:rPr>
          <w:rStyle w:val="41"/>
          <w:b/>
          <w:bCs/>
        </w:rPr>
        <w:t>第六节</w:t>
      </w:r>
      <w:r>
        <w:rPr>
          <w:rFonts w:asciiTheme="minorHAnsi" w:hAnsiTheme="minorHAnsi" w:eastAsiaTheme="minorEastAsia" w:cstheme="minorBidi"/>
          <w:b/>
          <w:bCs/>
          <w:szCs w:val="22"/>
        </w:rPr>
        <w:tab/>
      </w:r>
      <w:r>
        <w:rPr>
          <w:rStyle w:val="41"/>
          <w:b/>
          <w:bCs/>
        </w:rPr>
        <w:t>重要事项</w:t>
      </w:r>
      <w:r>
        <w:rPr>
          <w:b/>
          <w:bCs/>
        </w:rPr>
        <w:tab/>
      </w:r>
      <w:r>
        <w:rPr>
          <w:b/>
          <w:bCs/>
        </w:rPr>
        <w:fldChar w:fldCharType="begin"/>
      </w:r>
      <w:r>
        <w:rPr>
          <w:b/>
          <w:bCs/>
        </w:rPr>
        <w:instrText xml:space="preserve"> PAGEREF _Toc89790253 \h </w:instrText>
      </w:r>
      <w:r>
        <w:rPr>
          <w:b/>
          <w:bCs/>
        </w:rPr>
        <w:fldChar w:fldCharType="separate"/>
      </w:r>
      <w:r>
        <w:rPr>
          <w:b/>
          <w:bCs/>
        </w:rPr>
        <w:t>42</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"_Toc89790254" </w:instrText>
      </w:r>
      <w:r>
        <w:fldChar w:fldCharType="separate"/>
      </w:r>
      <w:r>
        <w:rPr>
          <w:rStyle w:val="41"/>
          <w:b/>
          <w:bCs/>
        </w:rPr>
        <w:t>第七节</w:t>
      </w:r>
      <w:r>
        <w:rPr>
          <w:rFonts w:asciiTheme="minorHAnsi" w:hAnsiTheme="minorHAnsi" w:eastAsiaTheme="minorEastAsia" w:cstheme="minorBidi"/>
          <w:b/>
          <w:bCs/>
          <w:szCs w:val="22"/>
        </w:rPr>
        <w:tab/>
      </w:r>
      <w:r>
        <w:rPr>
          <w:rStyle w:val="41"/>
          <w:b/>
          <w:bCs/>
        </w:rPr>
        <w:t>股份变动及股东情况</w:t>
      </w:r>
      <w:r>
        <w:rPr>
          <w:b/>
          <w:bCs/>
        </w:rPr>
        <w:tab/>
      </w:r>
      <w:r>
        <w:rPr>
          <w:b/>
          <w:bCs/>
        </w:rPr>
        <w:fldChar w:fldCharType="begin"/>
      </w:r>
      <w:r>
        <w:rPr>
          <w:b/>
          <w:bCs/>
        </w:rPr>
        <w:instrText xml:space="preserve"> PAGEREF _Toc89790254 \h </w:instrText>
      </w:r>
      <w:r>
        <w:rPr>
          <w:b/>
          <w:bCs/>
        </w:rPr>
        <w:fldChar w:fldCharType="separate"/>
      </w:r>
      <w:r>
        <w:rPr>
          <w:b/>
          <w:bCs/>
        </w:rPr>
        <w:t>58</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"_Toc89790255" </w:instrText>
      </w:r>
      <w:r>
        <w:fldChar w:fldCharType="separate"/>
      </w:r>
      <w:r>
        <w:rPr>
          <w:rStyle w:val="41"/>
          <w:b/>
          <w:bCs/>
        </w:rPr>
        <w:t>第八节</w:t>
      </w:r>
      <w:r>
        <w:rPr>
          <w:rFonts w:asciiTheme="minorHAnsi" w:hAnsiTheme="minorHAnsi" w:eastAsiaTheme="minorEastAsia" w:cstheme="minorBidi"/>
          <w:b/>
          <w:bCs/>
          <w:szCs w:val="22"/>
        </w:rPr>
        <w:tab/>
      </w:r>
      <w:r>
        <w:rPr>
          <w:rStyle w:val="41"/>
          <w:b/>
          <w:bCs/>
        </w:rPr>
        <w:t>优先股相关情况</w:t>
      </w:r>
      <w:r>
        <w:rPr>
          <w:b/>
          <w:bCs/>
        </w:rPr>
        <w:tab/>
      </w:r>
      <w:r>
        <w:rPr>
          <w:b/>
          <w:bCs/>
        </w:rPr>
        <w:fldChar w:fldCharType="begin"/>
      </w:r>
      <w:r>
        <w:rPr>
          <w:b/>
          <w:bCs/>
        </w:rPr>
        <w:instrText xml:space="preserve"> PAGEREF _Toc89790255 \h </w:instrText>
      </w:r>
      <w:r>
        <w:rPr>
          <w:b/>
          <w:bCs/>
        </w:rPr>
        <w:fldChar w:fldCharType="separate"/>
      </w:r>
      <w:r>
        <w:rPr>
          <w:b/>
          <w:bCs/>
        </w:rPr>
        <w:t>65</w:t>
      </w:r>
      <w:r>
        <w:rPr>
          <w:b/>
          <w:bCs/>
        </w:rPr>
        <w:fldChar w:fldCharType="end"/>
      </w:r>
      <w:r>
        <w:rPr>
          <w:b/>
          <w:bCs/>
        </w:rPr>
        <w:fldChar w:fldCharType="end"/>
      </w:r>
    </w:p>
    <w:p>
      <w:pPr>
        <w:pStyle w:val="27"/>
        <w:rPr>
          <w:rFonts w:asciiTheme="minorHAnsi" w:hAnsiTheme="minorHAnsi" w:eastAsiaTheme="minorEastAsia" w:cstheme="minorBidi"/>
          <w:b/>
          <w:bCs/>
          <w:szCs w:val="22"/>
        </w:rPr>
      </w:pPr>
      <w:r>
        <w:fldChar w:fldCharType="begin"/>
      </w:r>
      <w:r>
        <w:instrText xml:space="preserve"> HYPERLINK \l "_Toc89790256" </w:instrText>
      </w:r>
      <w:r>
        <w:fldChar w:fldCharType="separate"/>
      </w:r>
      <w:r>
        <w:rPr>
          <w:rStyle w:val="41"/>
          <w:b/>
          <w:bCs/>
        </w:rPr>
        <w:t>第九节</w:t>
      </w:r>
      <w:r>
        <w:rPr>
          <w:rFonts w:asciiTheme="minorHAnsi" w:hAnsiTheme="minorHAnsi" w:eastAsiaTheme="minorEastAsia" w:cstheme="minorBidi"/>
          <w:b/>
          <w:bCs/>
          <w:szCs w:val="22"/>
        </w:rPr>
        <w:tab/>
      </w:r>
      <w:r>
        <w:rPr>
          <w:rStyle w:val="41"/>
          <w:b/>
          <w:bCs/>
        </w:rPr>
        <w:t>债券相关情况</w:t>
      </w:r>
      <w:r>
        <w:rPr>
          <w:b/>
          <w:bCs/>
        </w:rPr>
        <w:tab/>
      </w:r>
      <w:r>
        <w:rPr>
          <w:b/>
          <w:bCs/>
        </w:rPr>
        <w:fldChar w:fldCharType="begin"/>
      </w:r>
      <w:r>
        <w:rPr>
          <w:b/>
          <w:bCs/>
        </w:rPr>
        <w:instrText xml:space="preserve"> PAGEREF _Toc89790256 \h </w:instrText>
      </w:r>
      <w:r>
        <w:rPr>
          <w:b/>
          <w:bCs/>
        </w:rPr>
        <w:fldChar w:fldCharType="separate"/>
      </w:r>
      <w:r>
        <w:rPr>
          <w:b/>
          <w:bCs/>
        </w:rPr>
        <w:t>66</w:t>
      </w:r>
      <w:r>
        <w:rPr>
          <w:b/>
          <w:bCs/>
        </w:rPr>
        <w:fldChar w:fldCharType="end"/>
      </w:r>
      <w:r>
        <w:rPr>
          <w:b/>
          <w:bCs/>
        </w:rPr>
        <w:fldChar w:fldCharType="end"/>
      </w:r>
    </w:p>
    <w:p>
      <w:pPr>
        <w:pStyle w:val="27"/>
        <w:rPr>
          <w:rStyle w:val="41"/>
          <w:b/>
          <w:bCs/>
        </w:rPr>
      </w:pPr>
      <w:r>
        <w:fldChar w:fldCharType="begin"/>
      </w:r>
      <w:r>
        <w:instrText xml:space="preserve"> HYPERLINK \l "_Toc89790257" </w:instrText>
      </w:r>
      <w:r>
        <w:fldChar w:fldCharType="separate"/>
      </w:r>
      <w:r>
        <w:rPr>
          <w:rStyle w:val="41"/>
          <w:rFonts w:ascii="宋体" w:hAnsi="宋体"/>
          <w:b/>
          <w:bCs/>
        </w:rPr>
        <w:t>第十节</w:t>
      </w:r>
      <w:r>
        <w:rPr>
          <w:rFonts w:asciiTheme="minorHAnsi" w:hAnsiTheme="minorHAnsi" w:eastAsiaTheme="minorEastAsia" w:cstheme="minorBidi"/>
          <w:b/>
          <w:bCs/>
          <w:szCs w:val="22"/>
        </w:rPr>
        <w:tab/>
      </w:r>
      <w:r>
        <w:rPr>
          <w:rStyle w:val="41"/>
          <w:rFonts w:ascii="宋体" w:hAnsi="宋体"/>
          <w:b/>
          <w:bCs/>
        </w:rPr>
        <w:t>财务报告</w:t>
      </w:r>
      <w:r>
        <w:rPr>
          <w:b/>
          <w:bCs/>
        </w:rPr>
        <w:tab/>
      </w:r>
      <w:r>
        <w:rPr>
          <w:b/>
          <w:bCs/>
        </w:rPr>
        <w:fldChar w:fldCharType="begin"/>
      </w:r>
      <w:r>
        <w:rPr>
          <w:b/>
          <w:bCs/>
        </w:rPr>
        <w:instrText xml:space="preserve"> PAGEREF _Toc89790257 \h </w:instrText>
      </w:r>
      <w:r>
        <w:rPr>
          <w:b/>
          <w:bCs/>
        </w:rPr>
        <w:fldChar w:fldCharType="separate"/>
      </w:r>
      <w:r>
        <w:rPr>
          <w:b/>
          <w:bCs/>
        </w:rPr>
        <w:t>66</w:t>
      </w:r>
      <w:r>
        <w:rPr>
          <w:b/>
          <w:bCs/>
        </w:rPr>
        <w:fldChar w:fldCharType="end"/>
      </w:r>
      <w:r>
        <w:rPr>
          <w:b/>
          <w:bCs/>
        </w:rPr>
        <w:fldChar w:fldCharType="end"/>
      </w:r>
    </w:p>
    <w:p/>
    <w:p>
      <w:r>
        <w:rPr>
          <w:b/>
          <w:bCs/>
        </w:rPr>
        <w:fldChar w:fldCharType="end"/>
      </w:r>
      <w:bookmarkStart w:id="2" w:name="_Toc436392761"/>
      <w:bookmarkStart w:id="3" w:name="_Toc437440708"/>
      <w:bookmarkStart w:id="4" w:name="_Toc407111354"/>
      <w:bookmarkStart w:id="5" w:name="_Toc89790248"/>
    </w:p>
    <w:sdt>
      <w:sdtPr>
        <w:rPr>
          <w:b/>
          <w:bCs/>
          <w:sz w:val="24"/>
        </w:rPr>
        <w:alias w:val="模块:备查文件目录"/>
        <w:tag w:val="_SEC_e649d09f3b7f42b7b4f14c158bb328aa"/>
        <w:id w:val="-1734462205"/>
        <w:lock w:val="sdtLocked"/>
        <w:placeholder>
          <w:docPart w:val="GBC22222222222222222222222222222"/>
        </w:placeholder>
      </w:sdtPr>
      <w:sdtEndPr>
        <w:rPr>
          <w:b w:val="0"/>
          <w:bCs w:val="0"/>
          <w:sz w:val="21"/>
        </w:rPr>
      </w:sdtEndPr>
      <w:sdtContent>
        <w:p>
          <w:pPr>
            <w:spacing w:line="360" w:lineRule="exact"/>
            <w:ind w:right="5"/>
            <w:rPr>
              <w:b/>
              <w:bCs/>
              <w:sz w:val="24"/>
            </w:rPr>
          </w:pPr>
          <w:bookmarkStart w:id="6" w:name="_Hlk90893687"/>
          <w:bookmarkStart w:id="7" w:name="_Hlk90888086"/>
          <w:bookmarkStart w:id="8" w:name="_Hlk90891770"/>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356"/>
            <w:gridCol w:w="6774"/>
          </w:tblGrid>
          <w:sdt>
            <w:sdtPr>
              <w:alias w:val="备查文件情况"/>
              <w:tag w:val="_TUP_bb3c6eba15bb4f89aaabf5b28bea5766"/>
              <w:id w:val="-1959795560"/>
              <w:placeholder>
                <w:docPart w:val="E50B03EB9D74497B844EE4E5C232BF75"/>
              </w:placeholder>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1290" w:type="pct"/>
                    <w:vMerge w:val="restart"/>
                    <w:tcBorders>
                      <w:top w:val="single" w:color="auto" w:sz="4" w:space="0"/>
                      <w:left w:val="single" w:color="auto" w:sz="4" w:space="0"/>
                      <w:bottom w:val="single" w:color="auto" w:sz="4" w:space="0"/>
                      <w:right w:val="single" w:color="auto" w:sz="4" w:space="0"/>
                    </w:tcBorders>
                    <w:vAlign w:val="center"/>
                  </w:tcPr>
                  <w:sdt>
                    <w:sdtPr>
                      <w:tag w:val="_PLD_a77548a64feb4f70a4cecbb587219734"/>
                      <w:id w:val="-1194075043"/>
                      <w:lock w:val="sdtLocked"/>
                    </w:sdtPr>
                    <w:sdtContent>
                      <w:p>
                        <w:pPr>
                          <w:autoSpaceDE w:val="0"/>
                          <w:autoSpaceDN w:val="0"/>
                          <w:adjustRightInd w:val="0"/>
                          <w:jc w:val="center"/>
                        </w:pPr>
                        <w:r>
                          <w:t>备查文件目录</w:t>
                        </w:r>
                      </w:p>
                    </w:sdtContent>
                  </w:sdt>
                </w:tc>
                <w:sdt>
                  <w:sdtPr>
                    <w:alias w:val="备查文件目录"/>
                    <w:tag w:val="_GBC_0c6e892b0eee4faaa5b2883811d0eed4"/>
                    <w:id w:val="995232000"/>
                    <w:lock w:val="sdtLocked"/>
                  </w:sdtPr>
                  <w:sdtContent>
                    <w:tc>
                      <w:tcPr>
                        <w:tcW w:w="3710" w:type="pct"/>
                        <w:tcBorders>
                          <w:top w:val="single" w:color="auto" w:sz="4" w:space="0"/>
                          <w:left w:val="single" w:color="auto" w:sz="4" w:space="0"/>
                          <w:bottom w:val="single" w:color="auto" w:sz="4" w:space="0"/>
                          <w:right w:val="single" w:color="auto" w:sz="4" w:space="0"/>
                        </w:tcBorders>
                      </w:tcPr>
                      <w:p>
                        <w:pPr>
                          <w:rPr>
                            <w:szCs w:val="21"/>
                          </w:rPr>
                        </w:pPr>
                        <w:r>
                          <w:rPr>
                            <w:rFonts w:hint="eastAsia"/>
                          </w:rPr>
                          <w:t>（一）</w:t>
                        </w:r>
                        <w:r>
                          <w:t>载有公司负责人、主管会计工</w:t>
                        </w:r>
                        <w:r>
                          <w:rPr>
                            <w:rFonts w:hint="eastAsia"/>
                          </w:rPr>
                          <w:t>作</w:t>
                        </w:r>
                        <w:r>
                          <w:t>负责人、会计机构负责人（会计主管人员）签名并盖章的财务报表。</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533" w:hRule="atLeast"/>
            </w:trPr>
            <w:tc>
              <w:tcPr>
                <w:tcW w:w="1290" w:type="pct"/>
                <w:vMerge w:val="continue"/>
                <w:tcBorders>
                  <w:top w:val="single" w:color="auto" w:sz="4" w:space="0"/>
                  <w:left w:val="single" w:color="auto" w:sz="4" w:space="0"/>
                  <w:bottom w:val="single" w:color="auto" w:sz="4" w:space="0"/>
                  <w:right w:val="single" w:color="auto" w:sz="4" w:space="0"/>
                </w:tcBorders>
                <w:vAlign w:val="center"/>
              </w:tcPr>
              <w:p/>
            </w:tc>
            <w:sdt>
              <w:sdtPr>
                <w:alias w:val="备查文件目录"/>
                <w:tag w:val="_GBC_0c6e892b0eee4faaa5b2883811d0eed4"/>
                <w:id w:val="-194691649"/>
                <w:lock w:val="sdtLocked"/>
              </w:sdtPr>
              <w:sdtContent>
                <w:tc>
                  <w:tcPr>
                    <w:tcW w:w="3710" w:type="pct"/>
                    <w:tcBorders>
                      <w:top w:val="single" w:color="auto" w:sz="4" w:space="0"/>
                      <w:left w:val="single" w:color="auto" w:sz="4" w:space="0"/>
                      <w:bottom w:val="single" w:color="auto" w:sz="4" w:space="0"/>
                      <w:right w:val="single" w:color="auto" w:sz="4" w:space="0"/>
                    </w:tcBorders>
                    <w:vAlign w:val="center"/>
                  </w:tcPr>
                  <w:p>
                    <w:pPr>
                      <w:jc w:val="both"/>
                      <w:rPr>
                        <w:szCs w:val="21"/>
                      </w:rPr>
                    </w:pPr>
                    <w:r>
                      <w:rPr>
                        <w:rFonts w:hint="eastAsia"/>
                      </w:rPr>
                      <w:t>（</w:t>
                    </w:r>
                    <w:r>
                      <w:t>二）载有会计师事</w:t>
                    </w:r>
                    <w:r>
                      <w:rPr>
                        <w:rFonts w:hint="eastAsia"/>
                      </w:rPr>
                      <w:t>务</w:t>
                    </w:r>
                    <w:r>
                      <w:t>所盖</w:t>
                    </w:r>
                    <w:r>
                      <w:rPr>
                        <w:rFonts w:hint="eastAsia"/>
                      </w:rPr>
                      <w:t>章</w:t>
                    </w:r>
                    <w:r>
                      <w:t>、注册会计师签名并盖章的审计报告原件</w:t>
                    </w:r>
                    <w:r>
                      <w:rPr>
                        <w:rFonts w:hint="eastAsia"/>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290" w:type="pct"/>
                <w:vMerge w:val="continue"/>
                <w:tcBorders>
                  <w:top w:val="single" w:color="auto" w:sz="4" w:space="0"/>
                  <w:left w:val="single" w:color="auto" w:sz="4" w:space="0"/>
                  <w:bottom w:val="single" w:color="auto" w:sz="4" w:space="0"/>
                  <w:right w:val="single" w:color="auto" w:sz="4" w:space="0"/>
                </w:tcBorders>
                <w:vAlign w:val="center"/>
              </w:tcPr>
              <w:p/>
            </w:tc>
            <w:sdt>
              <w:sdtPr>
                <w:alias w:val="备查文件目录"/>
                <w:tag w:val="_GBC_0c6e892b0eee4faaa5b2883811d0eed4"/>
                <w:id w:val="194432454"/>
                <w:lock w:val="sdtLocked"/>
              </w:sdtPr>
              <w:sdtContent>
                <w:tc>
                  <w:tcPr>
                    <w:tcW w:w="3710" w:type="pct"/>
                    <w:tcBorders>
                      <w:top w:val="single" w:color="auto" w:sz="4" w:space="0"/>
                      <w:left w:val="single" w:color="auto" w:sz="4" w:space="0"/>
                      <w:bottom w:val="single" w:color="auto" w:sz="4" w:space="0"/>
                      <w:right w:val="single" w:color="auto" w:sz="4" w:space="0"/>
                    </w:tcBorders>
                  </w:tcPr>
                  <w:p>
                    <w:pPr>
                      <w:rPr>
                        <w:szCs w:val="21"/>
                      </w:rPr>
                    </w:pPr>
                    <w:r>
                      <w:rPr>
                        <w:rFonts w:hint="eastAsia"/>
                      </w:rPr>
                      <w:t>（三</w:t>
                    </w:r>
                    <w:r>
                      <w:t>）</w:t>
                    </w:r>
                    <w:r>
                      <w:rPr>
                        <w:rFonts w:hint="eastAsia"/>
                      </w:rPr>
                      <w:t>报告期内在上海证券交易所网站和《上海证券报》《中国证券报》《证券时报》《证券日报》上公开披露过的所有公司文件的正本及公告的原稿。</w:t>
                    </w:r>
                  </w:p>
                </w:tc>
              </w:sdtContent>
            </w:sdt>
          </w:tr>
        </w:tbl>
        <w:p/>
      </w:sdtContent>
    </w:sdt>
    <w:bookmarkEnd w:id="6"/>
    <w:bookmarkEnd w:id="7"/>
    <w:p/>
    <w:p/>
    <w:bookmarkEnd w:id="8"/>
    <w:p>
      <w:pPr>
        <w:sectPr>
          <w:pgSz w:w="11906" w:h="16838"/>
          <w:pgMar w:top="1418" w:right="1418" w:bottom="1418" w:left="1418" w:header="856" w:footer="992" w:gutter="0"/>
          <w:cols w:space="425" w:num="1"/>
          <w:docGrid w:linePitch="312" w:charSpace="0"/>
        </w:sectPr>
      </w:pPr>
    </w:p>
    <w:p>
      <w:pPr>
        <w:pStyle w:val="2"/>
        <w:numPr>
          <w:ilvl w:val="0"/>
          <w:numId w:val="2"/>
        </w:numPr>
        <w:ind w:left="19" w:hanging="19"/>
      </w:pPr>
      <w:r>
        <w:rPr>
          <w:rFonts w:hint="eastAsia"/>
        </w:rPr>
        <w:t>释义</w:t>
      </w:r>
      <w:bookmarkEnd w:id="2"/>
      <w:bookmarkEnd w:id="3"/>
      <w:bookmarkEnd w:id="4"/>
      <w:bookmarkEnd w:id="5"/>
    </w:p>
    <w:sdt>
      <w:sdtPr>
        <w:rPr>
          <w:rFonts w:ascii="Calibri" w:hAnsi="Calibri" w:cs="宋体"/>
          <w:b w:val="0"/>
          <w:bCs w:val="0"/>
          <w:kern w:val="0"/>
          <w:sz w:val="24"/>
          <w:szCs w:val="22"/>
        </w:rPr>
        <w:alias w:val="模块:释义"/>
        <w:tag w:val="_SEC_e0ada4191e1e474fa6a3f5096e480871"/>
        <w:id w:val="137228212"/>
        <w:lock w:val="sdtLocked"/>
        <w:placeholder>
          <w:docPart w:val="GBC22222222222222222222222222222"/>
        </w:placeholder>
      </w:sdtPr>
      <w:sdtEndPr>
        <w:rPr>
          <w:rFonts w:ascii="宋体" w:hAnsi="宋体" w:cs="宋体"/>
          <w:b w:val="0"/>
          <w:bCs w:val="0"/>
          <w:kern w:val="0"/>
          <w:sz w:val="21"/>
          <w:szCs w:val="24"/>
        </w:rPr>
      </w:sdtEndPr>
      <w:sdtContent>
        <w:p>
          <w:pPr>
            <w:pStyle w:val="3"/>
            <w:numPr>
              <w:ilvl w:val="0"/>
              <w:numId w:val="3"/>
            </w:numPr>
            <w:tabs>
              <w:tab w:val="left" w:pos="588"/>
            </w:tabs>
            <w:ind w:hangingChars="175"/>
          </w:pPr>
          <w:r>
            <w:t>释义</w:t>
          </w:r>
        </w:p>
        <w:p>
          <w:pPr>
            <w:rPr>
              <w:szCs w:val="21"/>
            </w:rPr>
          </w:pPr>
          <w:r>
            <w:rPr>
              <w:szCs w:val="21"/>
            </w:rPr>
            <w:t>在本报告书中，除非文义另有所指，下列词语具有如下含义：</w:t>
          </w:r>
        </w:p>
        <w:tbl>
          <w:tblPr>
            <w:tblStyle w:val="37"/>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920"/>
            <w:gridCol w:w="4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tag w:val="_PLD_bf37a984a1d34209a94aac58652eb6b9"/>
                <w:id w:val="-1473598947"/>
                <w:lock w:val="sdtLocked"/>
              </w:sdtPr>
              <w:sdtContent>
                <w:tc>
                  <w:tcPr>
                    <w:tcW w:w="8897" w:type="dxa"/>
                    <w:gridSpan w:val="3"/>
                    <w:vAlign w:val="center"/>
                  </w:tcPr>
                  <w:p>
                    <w:pPr>
                      <w:widowControl w:val="0"/>
                      <w:jc w:val="center"/>
                      <w:rPr>
                        <w:szCs w:val="21"/>
                      </w:rPr>
                    </w:pPr>
                    <w:r>
                      <w:rPr>
                        <w:szCs w:val="21"/>
                      </w:rPr>
                      <w:t>常用词语释义</w:t>
                    </w:r>
                  </w:p>
                </w:tc>
              </w:sdtContent>
            </w:sdt>
          </w:tr>
          <w:sdt>
            <w:sdtPr>
              <w:rPr>
                <w:rFonts w:hint="eastAsia" w:ascii="Calibri" w:hAnsi="Calibri" w:eastAsiaTheme="minorEastAsia" w:cstheme="minorBidi"/>
                <w:kern w:val="2"/>
                <w:szCs w:val="21"/>
              </w:rPr>
              <w:alias w:val="释义"/>
              <w:tag w:val="_TUP_44bf5f5b8d4e40a1afa2f3a4be6551b6"/>
              <w:id w:val="449526141"/>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中国证监会</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2132551025"/>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中国证券监督管理委员会</w:t>
                        </w:r>
                      </w:p>
                    </w:tc>
                  </w:sdtContent>
                </w:sdt>
              </w:tr>
            </w:sdtContent>
          </w:sdt>
          <w:sdt>
            <w:sdtPr>
              <w:rPr>
                <w:rFonts w:hint="eastAsia" w:ascii="Calibri" w:hAnsi="Calibri" w:eastAsiaTheme="minorEastAsia" w:cstheme="minorBidi"/>
                <w:kern w:val="2"/>
                <w:szCs w:val="21"/>
              </w:rPr>
              <w:alias w:val="释义"/>
              <w:tag w:val="_TUP_44bf5f5b8d4e40a1afa2f3a4be6551b6"/>
              <w:id w:val="-1675868165"/>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重庆市五中院</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200632738"/>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重庆市第五中级人民法院</w:t>
                        </w:r>
                      </w:p>
                    </w:tc>
                  </w:sdtContent>
                </w:sdt>
              </w:tr>
            </w:sdtContent>
          </w:sdt>
          <w:sdt>
            <w:sdtPr>
              <w:rPr>
                <w:rFonts w:hint="eastAsia" w:ascii="Calibri" w:hAnsi="Calibri" w:eastAsiaTheme="minorEastAsia" w:cstheme="minorBidi"/>
                <w:kern w:val="2"/>
                <w:szCs w:val="21"/>
              </w:rPr>
              <w:alias w:val="释义"/>
              <w:tag w:val="_TUP_44bf5f5b8d4e40a1afa2f3a4be6551b6"/>
              <w:id w:val="1118408462"/>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公司、本公司、力帆股份、力帆科技</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423479697"/>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力帆科技（集团）股份有限公司[更名前为：力帆实业（集团）股份有限公司]</w:t>
                        </w:r>
                      </w:p>
                    </w:tc>
                  </w:sdtContent>
                </w:sdt>
              </w:tr>
            </w:sdtContent>
          </w:sdt>
          <w:sdt>
            <w:sdtPr>
              <w:rPr>
                <w:rFonts w:hint="eastAsia" w:ascii="Calibri" w:hAnsi="Calibri" w:eastAsiaTheme="minorEastAsia" w:cstheme="minorBidi"/>
                <w:kern w:val="2"/>
                <w:szCs w:val="21"/>
              </w:rPr>
              <w:alias w:val="释义"/>
              <w:tag w:val="_TUP_44bf5f5b8d4e40a1afa2f3a4be6551b6"/>
              <w:id w:val="1938012983"/>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控股股东、满江红基金</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480574425"/>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重庆满江红股权投资基金合伙企业（有限合伙）</w:t>
                        </w:r>
                      </w:p>
                    </w:tc>
                  </w:sdtContent>
                </w:sdt>
              </w:tr>
            </w:sdtContent>
          </w:sdt>
          <w:sdt>
            <w:sdtPr>
              <w:rPr>
                <w:rFonts w:hint="eastAsia" w:ascii="Calibri" w:hAnsi="Calibri" w:eastAsiaTheme="minorEastAsia" w:cstheme="minorBidi"/>
                <w:kern w:val="2"/>
                <w:szCs w:val="21"/>
              </w:rPr>
              <w:alias w:val="释义"/>
              <w:tag w:val="_TUP_44bf5f5b8d4e40a1afa2f3a4be6551b6"/>
              <w:id w:val="1683083370"/>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实际控制人</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2048435122"/>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重庆满江红企业管理有限公司</w:t>
                        </w:r>
                      </w:p>
                    </w:tc>
                  </w:sdtContent>
                </w:sdt>
              </w:tr>
            </w:sdtContent>
          </w:sdt>
          <w:sdt>
            <w:sdtPr>
              <w:rPr>
                <w:rFonts w:hint="eastAsia" w:ascii="Calibri" w:hAnsi="Calibri" w:eastAsiaTheme="minorEastAsia" w:cstheme="minorBidi"/>
                <w:kern w:val="2"/>
                <w:szCs w:val="21"/>
              </w:rPr>
              <w:alias w:val="释义"/>
              <w:tag w:val="_TUP_44bf5f5b8d4e40a1afa2f3a4be6551b6"/>
              <w:id w:val="1387058505"/>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重庆江河汇</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484469585"/>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重庆江河汇企业管理有限责任公司</w:t>
                        </w:r>
                      </w:p>
                    </w:tc>
                  </w:sdtContent>
                </w:sdt>
              </w:tr>
            </w:sdtContent>
          </w:sdt>
          <w:sdt>
            <w:sdtPr>
              <w:rPr>
                <w:rFonts w:hint="eastAsia" w:ascii="Calibri" w:hAnsi="Calibri" w:eastAsiaTheme="minorEastAsia" w:cstheme="minorBidi"/>
                <w:kern w:val="2"/>
                <w:szCs w:val="21"/>
              </w:rPr>
              <w:alias w:val="释义"/>
              <w:tag w:val="_TUP_44bf5f5b8d4e40a1afa2f3a4be6551b6"/>
              <w:id w:val="-1207870338"/>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《公司法》</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188450381"/>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《中华人民共和国公司法》</w:t>
                        </w:r>
                      </w:p>
                    </w:tc>
                  </w:sdtContent>
                </w:sdt>
              </w:tr>
            </w:sdtContent>
          </w:sdt>
          <w:sdt>
            <w:sdtPr>
              <w:rPr>
                <w:rFonts w:hint="eastAsia" w:ascii="Calibri" w:hAnsi="Calibri" w:eastAsiaTheme="minorEastAsia" w:cstheme="minorBidi"/>
                <w:kern w:val="2"/>
                <w:szCs w:val="21"/>
              </w:rPr>
              <w:alias w:val="释义"/>
              <w:tag w:val="_TUP_44bf5f5b8d4e40a1afa2f3a4be6551b6"/>
              <w:id w:val="604856813"/>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《证券法》</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295972019"/>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《中华人民共和国证券法》</w:t>
                        </w:r>
                      </w:p>
                    </w:tc>
                  </w:sdtContent>
                </w:sdt>
              </w:tr>
            </w:sdtContent>
          </w:sdt>
          <w:sdt>
            <w:sdtPr>
              <w:rPr>
                <w:rFonts w:hint="eastAsia" w:ascii="Calibri" w:hAnsi="Calibri" w:eastAsiaTheme="minorEastAsia" w:cstheme="minorBidi"/>
                <w:kern w:val="2"/>
                <w:szCs w:val="21"/>
              </w:rPr>
              <w:alias w:val="释义"/>
              <w:tag w:val="_TUP_44bf5f5b8d4e40a1afa2f3a4be6551b6"/>
              <w:id w:val="246551781"/>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公司章程</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440276218"/>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力帆科技（集团）股份有限公司章程</w:t>
                        </w:r>
                      </w:p>
                    </w:tc>
                  </w:sdtContent>
                </w:sdt>
              </w:tr>
            </w:sdtContent>
          </w:sdt>
          <w:sdt>
            <w:sdtPr>
              <w:rPr>
                <w:rFonts w:hint="eastAsia" w:ascii="Calibri" w:hAnsi="Calibri" w:eastAsiaTheme="minorEastAsia" w:cstheme="minorBidi"/>
                <w:kern w:val="2"/>
                <w:szCs w:val="21"/>
              </w:rPr>
              <w:alias w:val="释义"/>
              <w:tag w:val="_TUP_44bf5f5b8d4e40a1afa2f3a4be6551b6"/>
              <w:id w:val="34391651"/>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公司股东大会</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289749813"/>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力帆科技（集团）股份有限公司股东大会</w:t>
                        </w:r>
                      </w:p>
                    </w:tc>
                  </w:sdtContent>
                </w:sdt>
              </w:tr>
            </w:sdtContent>
          </w:sdt>
          <w:sdt>
            <w:sdtPr>
              <w:rPr>
                <w:rFonts w:hint="eastAsia" w:ascii="Calibri" w:hAnsi="Calibri" w:eastAsiaTheme="minorEastAsia" w:cstheme="minorBidi"/>
                <w:kern w:val="2"/>
                <w:szCs w:val="21"/>
              </w:rPr>
              <w:alias w:val="释义"/>
              <w:tag w:val="_TUP_44bf5f5b8d4e40a1afa2f3a4be6551b6"/>
              <w:id w:val="-2136173850"/>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公司董事会</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635458885"/>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力帆科技（集团）股份有限公司董事</w:t>
                        </w:r>
                        <w:r>
                          <w:t>会</w:t>
                        </w:r>
                      </w:p>
                    </w:tc>
                  </w:sdtContent>
                </w:sdt>
              </w:tr>
            </w:sdtContent>
          </w:sdt>
          <w:sdt>
            <w:sdtPr>
              <w:rPr>
                <w:rFonts w:hint="eastAsia" w:ascii="Calibri" w:hAnsi="Calibri" w:eastAsiaTheme="minorEastAsia" w:cstheme="minorBidi"/>
                <w:kern w:val="2"/>
                <w:szCs w:val="21"/>
              </w:rPr>
              <w:alias w:val="释义"/>
              <w:tag w:val="_TUP_44bf5f5b8d4e40a1afa2f3a4be6551b6"/>
              <w:id w:val="337515610"/>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重整计划</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613976330"/>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力帆实业（集团）股份有限公司重整计划</w:t>
                        </w:r>
                      </w:p>
                    </w:tc>
                  </w:sdtContent>
                </w:sdt>
              </w:tr>
            </w:sdtContent>
          </w:sdt>
          <w:sdt>
            <w:sdtPr>
              <w:rPr>
                <w:rFonts w:hint="eastAsia" w:ascii="Calibri" w:hAnsi="Calibri" w:eastAsiaTheme="minorEastAsia" w:cstheme="minorBidi"/>
                <w:kern w:val="2"/>
                <w:szCs w:val="21"/>
              </w:rPr>
              <w:alias w:val="释义"/>
              <w:tag w:val="_TUP_44bf5f5b8d4e40a1afa2f3a4be6551b6"/>
              <w:id w:val="1031771622"/>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原控股股东、力帆控股</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435496829"/>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重庆力帆控股有限公司</w:t>
                        </w:r>
                      </w:p>
                    </w:tc>
                  </w:sdtContent>
                </w:sdt>
              </w:tr>
            </w:sdtContent>
          </w:sdt>
          <w:sdt>
            <w:sdtPr>
              <w:rPr>
                <w:rFonts w:hint="eastAsia" w:ascii="Calibri" w:hAnsi="Calibri" w:eastAsiaTheme="minorEastAsia" w:cstheme="minorBidi"/>
                <w:kern w:val="2"/>
                <w:szCs w:val="21"/>
              </w:rPr>
              <w:alias w:val="释义"/>
              <w:tag w:val="_TUP_44bf5f5b8d4e40a1afa2f3a4be6551b6"/>
              <w:id w:val="-1576117857"/>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润田房地产</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22912251"/>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重庆润田房地产开发有限公司</w:t>
                        </w:r>
                      </w:p>
                    </w:tc>
                  </w:sdtContent>
                </w:sdt>
              </w:tr>
            </w:sdtContent>
          </w:sdt>
          <w:sdt>
            <w:sdtPr>
              <w:rPr>
                <w:rFonts w:hint="eastAsia" w:ascii="Calibri" w:hAnsi="Calibri" w:eastAsiaTheme="minorEastAsia" w:cstheme="minorBidi"/>
                <w:kern w:val="2"/>
                <w:szCs w:val="21"/>
              </w:rPr>
              <w:alias w:val="释义"/>
              <w:tag w:val="_TUP_44bf5f5b8d4e40a1afa2f3a4be6551b6"/>
              <w:id w:val="-107742448"/>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力帆乘用车</w:t>
                    </w:r>
                    <w:r>
                      <w:rPr>
                        <w:rFonts w:hint="eastAsia"/>
                      </w:rPr>
                      <w:t>、乘用车工厂</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946728807"/>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重庆力帆乘用车有限公司</w:t>
                        </w:r>
                      </w:p>
                    </w:tc>
                  </w:sdtContent>
                </w:sdt>
              </w:tr>
            </w:sdtContent>
          </w:sdt>
          <w:sdt>
            <w:sdtPr>
              <w:rPr>
                <w:rFonts w:hint="eastAsia" w:ascii="Calibri" w:hAnsi="Calibri" w:eastAsiaTheme="minorEastAsia" w:cstheme="minorBidi"/>
                <w:kern w:val="2"/>
                <w:szCs w:val="21"/>
              </w:rPr>
              <w:alias w:val="释义"/>
              <w:tag w:val="_TUP_44bf5f5b8d4e40a1afa2f3a4be6551b6"/>
              <w:id w:val="1696721810"/>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rPr>
                        <w:rFonts w:hint="eastAsia" w:ascii="Calibri" w:hAnsi="Calibri" w:eastAsiaTheme="minorEastAsia" w:cstheme="minorBidi"/>
                        <w:kern w:val="2"/>
                        <w:szCs w:val="21"/>
                      </w:rPr>
                      <w:t>力帆实业销售</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742592608"/>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szCs w:val="21"/>
                          </w:rPr>
                          <w:t>重庆力帆实业集团销售有限公司</w:t>
                        </w:r>
                      </w:p>
                    </w:tc>
                  </w:sdtContent>
                </w:sdt>
              </w:tr>
            </w:sdtContent>
          </w:sdt>
          <w:sdt>
            <w:sdtPr>
              <w:rPr>
                <w:rFonts w:hint="eastAsia" w:ascii="Calibri" w:hAnsi="Calibri" w:eastAsiaTheme="minorEastAsia" w:cstheme="minorBidi"/>
                <w:kern w:val="2"/>
                <w:szCs w:val="21"/>
              </w:rPr>
              <w:alias w:val="释义"/>
              <w:tag w:val="_TUP_44bf5f5b8d4e40a1afa2f3a4be6551b6"/>
              <w:id w:val="-337850246"/>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吉利科技集团</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410766129"/>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吉利科技集团有限公司</w:t>
                        </w:r>
                      </w:p>
                    </w:tc>
                  </w:sdtContent>
                </w:sdt>
              </w:tr>
            </w:sdtContent>
          </w:sdt>
          <w:sdt>
            <w:sdtPr>
              <w:rPr>
                <w:rFonts w:hint="eastAsia" w:ascii="Calibri" w:hAnsi="Calibri" w:eastAsiaTheme="minorEastAsia" w:cstheme="minorBidi"/>
                <w:kern w:val="2"/>
                <w:szCs w:val="21"/>
              </w:rPr>
              <w:alias w:val="释义"/>
              <w:tag w:val="_TUP_44bf5f5b8d4e40a1afa2f3a4be6551b6"/>
              <w:id w:val="-2034943153"/>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rPr>
                        <w:rFonts w:hint="eastAsia" w:ascii="Calibri" w:hAnsi="Calibri" w:eastAsiaTheme="minorEastAsia" w:cstheme="minorBidi"/>
                        <w:kern w:val="2"/>
                        <w:szCs w:val="21"/>
                      </w:rPr>
                      <w:t>吉利汽车</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080334449"/>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szCs w:val="21"/>
                          </w:rPr>
                          <w:t>吉利汽车控股有限公司</w:t>
                        </w:r>
                      </w:p>
                    </w:tc>
                  </w:sdtContent>
                </w:sdt>
              </w:tr>
            </w:sdtContent>
          </w:sdt>
          <w:sdt>
            <w:sdtPr>
              <w:rPr>
                <w:rFonts w:hint="eastAsia" w:ascii="Calibri" w:hAnsi="Calibri" w:eastAsiaTheme="minorEastAsia" w:cstheme="minorBidi"/>
                <w:kern w:val="2"/>
                <w:szCs w:val="21"/>
              </w:rPr>
              <w:alias w:val="释义"/>
              <w:tag w:val="_TUP_44bf5f5b8d4e40a1afa2f3a4be6551b6"/>
              <w:id w:val="-1225218339"/>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rPr>
                        <w:rFonts w:ascii="Calibri" w:hAnsi="Calibri" w:eastAsiaTheme="minorEastAsia" w:cstheme="minorBidi"/>
                        <w:kern w:val="2"/>
                        <w:szCs w:val="21"/>
                      </w:rPr>
                      <w:t>合资公司</w:t>
                    </w:r>
                    <w:r>
                      <w:rPr>
                        <w:rFonts w:hint="eastAsia" w:ascii="Calibri" w:hAnsi="Calibri" w:eastAsiaTheme="minorEastAsia" w:cstheme="minorBidi"/>
                        <w:kern w:val="2"/>
                        <w:szCs w:val="21"/>
                      </w:rPr>
                      <w:t>、睿蓝汽车</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836527504"/>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szCs w:val="21"/>
                          </w:rPr>
                          <w:t>重庆睿蓝汽车科技有限公司</w:t>
                        </w:r>
                      </w:p>
                    </w:tc>
                  </w:sdtContent>
                </w:sdt>
              </w:tr>
            </w:sdtContent>
          </w:sdt>
          <w:sdt>
            <w:sdtPr>
              <w:rPr>
                <w:rFonts w:hint="eastAsia" w:ascii="Calibri" w:hAnsi="Calibri" w:eastAsiaTheme="minorEastAsia" w:cstheme="minorBidi"/>
                <w:kern w:val="2"/>
                <w:szCs w:val="21"/>
              </w:rPr>
              <w:alias w:val="释义"/>
              <w:tag w:val="_TUP_44bf5f5b8d4e40a1afa2f3a4be6551b6"/>
              <w:id w:val="847440592"/>
              <w:lock w:val="sdtLocked"/>
            </w:sdtPr>
            <w:sdtEndPr>
              <w:rPr>
                <w:rFonts w:hint="eastAsia" w:ascii="Calibri" w:hAnsi="Calibr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rPr>
                        <w:szCs w:val="21"/>
                      </w:rPr>
                    </w:pPr>
                    <w:r>
                      <w:t>元、万元、亿元</w:t>
                    </w:r>
                  </w:p>
                </w:tc>
                <w:tc>
                  <w:tcPr>
                    <w:tcW w:w="920" w:type="dxa"/>
                  </w:tcPr>
                  <w:p>
                    <w:pPr>
                      <w:widowControl w:val="0"/>
                      <w:jc w:val="center"/>
                      <w:rPr>
                        <w:szCs w:val="21"/>
                        <w:highlight w:val="lightGray"/>
                      </w:rPr>
                    </w:pPr>
                    <w:r>
                      <w:rPr>
                        <w:rFonts w:hint="eastAsia"/>
                        <w:szCs w:val="21"/>
                      </w:rPr>
                      <w:t>指</w:t>
                    </w:r>
                  </w:p>
                </w:tc>
                <w:sdt>
                  <w:sdtPr>
                    <w:rPr>
                      <w:rFonts w:hint="eastAsia" w:ascii="Times New Roman" w:hAnsi="Times New Roman"/>
                      <w:szCs w:val="21"/>
                    </w:rPr>
                    <w:alias w:val="常用词语释义"/>
                    <w:tag w:val="_GBC_95f4d86e45ba49aa927d765641387f28"/>
                    <w:id w:val="-1050524264"/>
                    <w:lock w:val="sdtLocked"/>
                  </w:sdtPr>
                  <w:sdtEndPr>
                    <w:rPr>
                      <w:rFonts w:hint="eastAsia" w:ascii="Times New Roman" w:hAnsi="Times New Roman"/>
                      <w:szCs w:val="21"/>
                    </w:rPr>
                  </w:sdtEndPr>
                  <w:sdtContent>
                    <w:tc>
                      <w:tcPr>
                        <w:tcW w:w="4961" w:type="dxa"/>
                      </w:tcPr>
                      <w:p>
                        <w:pPr>
                          <w:widowControl w:val="0"/>
                          <w:jc w:val="both"/>
                          <w:rPr>
                            <w:szCs w:val="21"/>
                          </w:rPr>
                        </w:pPr>
                        <w:r>
                          <w:rPr>
                            <w:rFonts w:hint="eastAsia"/>
                          </w:rPr>
                          <w:t>人民币元、人民币万元、人民币亿元</w:t>
                        </w:r>
                      </w:p>
                    </w:tc>
                  </w:sdtContent>
                </w:sdt>
              </w:tr>
            </w:sdtContent>
          </w:sdt>
        </w:tbl>
        <w:p/>
      </w:sdtContent>
    </w:sdt>
    <w:p>
      <w:pPr>
        <w:pStyle w:val="2"/>
        <w:numPr>
          <w:ilvl w:val="0"/>
          <w:numId w:val="2"/>
        </w:numPr>
        <w:ind w:left="0" w:firstLine="0"/>
        <w:rPr>
          <w:color w:val="FF0000"/>
          <w:u w:val="single"/>
        </w:rPr>
      </w:pPr>
      <w:bookmarkStart w:id="9" w:name="_Toc436392762"/>
      <w:bookmarkStart w:id="10" w:name="_Toc407111355"/>
      <w:bookmarkStart w:id="11" w:name="_Toc89790249"/>
      <w:bookmarkStart w:id="12" w:name="_Toc437440709"/>
      <w:r>
        <w:rPr>
          <w:rFonts w:hint="eastAsia"/>
        </w:rPr>
        <w:t>公司简介</w:t>
      </w:r>
      <w:bookmarkEnd w:id="9"/>
      <w:bookmarkEnd w:id="10"/>
      <w:r>
        <w:rPr>
          <w:rFonts w:hint="eastAsia"/>
        </w:rPr>
        <w:t>和主要财务指标</w:t>
      </w:r>
      <w:bookmarkEnd w:id="11"/>
      <w:bookmarkEnd w:id="12"/>
    </w:p>
    <w:sdt>
      <w:sdtPr>
        <w:rPr>
          <w:rFonts w:hint="eastAsia" w:ascii="Calibri" w:hAnsi="Calibri" w:cs="宋体"/>
          <w:b w:val="0"/>
          <w:bCs w:val="0"/>
          <w:kern w:val="0"/>
          <w:sz w:val="24"/>
          <w:szCs w:val="22"/>
        </w:rPr>
        <w:alias w:val="模块:公司信息"/>
        <w:tag w:val="_SEC_21d2355d13dd4c3a8618d612216e1d43"/>
        <w:id w:val="-1351568754"/>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1"/>
              <w:numId w:val="4"/>
            </w:numPr>
            <w:ind w:left="566" w:hanging="566" w:hangingChars="236"/>
            <w:rPr>
              <w:color w:val="FF0000"/>
              <w:u w:val="single"/>
            </w:rPr>
          </w:pPr>
          <w:bookmarkStart w:id="13" w:name="_Toc342051041"/>
          <w:bookmarkStart w:id="14" w:name="_Toc342565881"/>
          <w:r>
            <w:rPr>
              <w:rFonts w:hint="eastAsia"/>
            </w:rPr>
            <w:t>公司信息</w:t>
          </w:r>
          <w:bookmarkEnd w:id="13"/>
          <w:bookmarkEnd w:id="14"/>
        </w:p>
        <w:tbl>
          <w:tblPr>
            <w:tblStyle w:val="10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961"/>
            <w:gridCol w:w="51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6a4e08611bc46959c5497248a51b877"/>
                <w:id w:val="886918313"/>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公司的中文名称</w:t>
                    </w:r>
                  </w:p>
                </w:tc>
              </w:sdtContent>
            </w:sdt>
            <w:sdt>
              <w:sdtPr>
                <w:rPr>
                  <w:rFonts w:hint="eastAsia"/>
                  <w:szCs w:val="21"/>
                </w:rPr>
                <w:alias w:val="公司法定中文名称"/>
                <w:tag w:val="_GBC_7adfc39908d049d2970c391497a360e4"/>
                <w:id w:val="1179396022"/>
                <w:lock w:val="sdtLocked"/>
                <w:text/>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jc w:val="center"/>
                      <w:rPr>
                        <w:color w:val="FFC000"/>
                        <w:szCs w:val="21"/>
                      </w:rPr>
                    </w:pPr>
                    <w:r>
                      <w:rPr>
                        <w:rFonts w:hint="eastAsia"/>
                        <w:szCs w:val="21"/>
                      </w:rPr>
                      <w:t>力帆科技（集团）股份有限公司</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d8e18738ed5412e8760c2285c087dc8"/>
                <w:id w:val="-940372510"/>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公司的中文简称</w:t>
                    </w:r>
                  </w:p>
                </w:tc>
              </w:sdtContent>
            </w:sdt>
            <w:tc>
              <w:tcPr>
                <w:tcW w:w="2831" w:type="pct"/>
                <w:tcBorders>
                  <w:top w:val="single" w:color="auto" w:sz="4" w:space="0"/>
                  <w:left w:val="single" w:color="auto" w:sz="4" w:space="0"/>
                  <w:bottom w:val="single" w:color="auto" w:sz="4" w:space="0"/>
                </w:tcBorders>
                <w:vAlign w:val="center"/>
              </w:tcPr>
              <w:p>
                <w:pPr>
                  <w:jc w:val="center"/>
                  <w:rPr>
                    <w:sz w:val="24"/>
                  </w:rPr>
                </w:pPr>
                <w:r>
                  <w:t>力帆科技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6ad5cbeacfc64a4d994ad6b8da3d46ce"/>
                <w:id w:val="-653610959"/>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公司的外文名称</w:t>
                    </w:r>
                  </w:p>
                </w:tc>
              </w:sdtContent>
            </w:sdt>
            <w:tc>
              <w:tcPr>
                <w:tcW w:w="2831" w:type="pct"/>
                <w:tcBorders>
                  <w:top w:val="single" w:color="auto" w:sz="4" w:space="0"/>
                  <w:left w:val="single" w:color="auto" w:sz="4" w:space="0"/>
                  <w:bottom w:val="single" w:color="auto" w:sz="4" w:space="0"/>
                </w:tcBorders>
                <w:vAlign w:val="center"/>
              </w:tcPr>
              <w:p>
                <w:pPr>
                  <w:jc w:val="center"/>
                </w:pPr>
                <w:r>
                  <w:t>Lifan Technology(Group)Co.,Ltd.</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2725d33fa5348b5b56757232178bc55"/>
                <w:id w:val="-1523308731"/>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公司的外文名称缩写</w:t>
                    </w:r>
                  </w:p>
                </w:tc>
              </w:sdtContent>
            </w:sdt>
            <w:tc>
              <w:tcPr>
                <w:tcW w:w="2831" w:type="pct"/>
                <w:tcBorders>
                  <w:top w:val="single" w:color="auto" w:sz="4" w:space="0"/>
                  <w:left w:val="single" w:color="auto" w:sz="4" w:space="0"/>
                  <w:bottom w:val="single" w:color="auto" w:sz="4" w:space="0"/>
                </w:tcBorders>
                <w:vAlign w:val="center"/>
              </w:tcPr>
              <w:p>
                <w:pPr>
                  <w:jc w:val="center"/>
                </w:pPr>
                <w:r>
                  <w:t>Lifan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f7b4aabdee04e669a63fcdcfe41ffe0"/>
                <w:id w:val="-503821070"/>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公司的法定代表人</w:t>
                    </w:r>
                  </w:p>
                </w:tc>
              </w:sdtContent>
            </w:sdt>
            <w:sdt>
              <w:sdtPr>
                <w:rPr>
                  <w:rFonts w:hint="eastAsia"/>
                  <w:szCs w:val="21"/>
                </w:rPr>
                <w:alias w:val="公司法定代表人"/>
                <w:tag w:val="_GBC_769fe82e3b744e0889d7c811ffa80455"/>
                <w:id w:val="1142615971"/>
                <w:lock w:val="sdtLocked"/>
                <w:text/>
              </w:sdtPr>
              <w:sdtEndPr>
                <w:rPr>
                  <w:rFonts w:hint="eastAsia"/>
                  <w:szCs w:val="21"/>
                </w:rPr>
              </w:sdtEndPr>
              <w:sdtContent>
                <w:tc>
                  <w:tcPr>
                    <w:tcW w:w="2831"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jc w:val="center"/>
                      <w:rPr>
                        <w:szCs w:val="21"/>
                      </w:rPr>
                    </w:pPr>
                    <w:r>
                      <w:rPr>
                        <w:rFonts w:hint="eastAsia"/>
                        <w:szCs w:val="21"/>
                      </w:rPr>
                      <w:t>徐志豪</w:t>
                    </w:r>
                  </w:p>
                </w:tc>
              </w:sdtContent>
            </w:sdt>
          </w:tr>
        </w:tbl>
        <w:p/>
      </w:sdtContent>
    </w:sdt>
    <w:sdt>
      <w:sdtPr>
        <w:rPr>
          <w:rFonts w:hint="eastAsia" w:ascii="Calibri" w:hAnsi="Calibri" w:cs="宋体"/>
          <w:b w:val="0"/>
          <w:bCs w:val="0"/>
          <w:kern w:val="0"/>
          <w:sz w:val="24"/>
          <w:szCs w:val="22"/>
        </w:rPr>
        <w:alias w:val="模块:联系人和联系方式"/>
        <w:tag w:val="_SEC_c723c6b18eac4f1fa6cc19fd1ec13bac"/>
        <w:id w:val="1533377409"/>
        <w:lock w:val="sdtLocked"/>
        <w:placeholder>
          <w:docPart w:val="GBC22222222222222222222222222222"/>
        </w:placeholder>
      </w:sdtPr>
      <w:sdtEndPr>
        <w:rPr>
          <w:rFonts w:hint="default" w:ascii="宋体" w:hAnsi="宋体" w:cs="宋体"/>
          <w:b w:val="0"/>
          <w:bCs w:val="0"/>
          <w:kern w:val="0"/>
          <w:sz w:val="21"/>
          <w:szCs w:val="24"/>
        </w:rPr>
      </w:sdtEndPr>
      <w:sdtContent>
        <w:p>
          <w:pPr>
            <w:pStyle w:val="3"/>
            <w:numPr>
              <w:ilvl w:val="1"/>
              <w:numId w:val="4"/>
            </w:numPr>
            <w:ind w:left="566" w:hanging="566" w:hangingChars="236"/>
          </w:pPr>
          <w:bookmarkStart w:id="15" w:name="_Toc342051042"/>
          <w:bookmarkStart w:id="16" w:name="_Toc342565882"/>
          <w:r>
            <w:rPr>
              <w:rFonts w:hint="eastAsia"/>
            </w:rPr>
            <w:t>联系人和联系方式</w:t>
          </w:r>
          <w:bookmarkEnd w:id="15"/>
          <w:bookmarkEnd w:id="16"/>
        </w:p>
        <w:tbl>
          <w:tblPr>
            <w:tblStyle w:val="10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777"/>
            <w:gridCol w:w="3639"/>
            <w:gridCol w:w="37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c>
              <w:tcPr>
                <w:tcW w:w="97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p>
            </w:tc>
            <w:tc>
              <w:tcPr>
                <w:tcW w:w="1993" w:type="pct"/>
                <w:tcBorders>
                  <w:top w:val="single" w:color="auto" w:sz="4" w:space="0"/>
                  <w:left w:val="single" w:color="auto" w:sz="4" w:space="0"/>
                  <w:bottom w:val="single" w:color="auto" w:sz="4" w:space="0"/>
                  <w:right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olor w:val="008000"/>
                  </w:rPr>
                </w:pPr>
                <w:sdt>
                  <w:sdtPr>
                    <w:tag w:val="_PLD_e3b56ea4d9044947a48312d084d6e0c4"/>
                    <w:id w:val="1324001557"/>
                    <w:lock w:val="sdtLocked"/>
                  </w:sdtPr>
                  <w:sdtContent>
                    <w:r>
                      <w:rPr>
                        <w:rFonts w:hint="eastAsia" w:ascii="宋体" w:hAnsi="宋体" w:cs="宋体"/>
                      </w:rPr>
                      <w:t>董事会秘书</w:t>
                    </w:r>
                  </w:sdtContent>
                </w:sdt>
              </w:p>
            </w:tc>
            <w:sdt>
              <w:sdtPr>
                <w:tag w:val="_PLD_3c890d5ebae5433cbd8a04f8846a0d9c"/>
                <w:id w:val="-423038955"/>
                <w:lock w:val="sdtLocked"/>
              </w:sdtPr>
              <w:sdtContent>
                <w:tc>
                  <w:tcPr>
                    <w:tcW w:w="2034" w:type="pct"/>
                    <w:tcBorders>
                      <w:top w:val="single" w:color="auto" w:sz="4" w:space="0"/>
                      <w:left w:val="single" w:color="auto" w:sz="4" w:space="0"/>
                      <w:bottom w:val="single" w:color="auto" w:sz="4" w:space="0"/>
                    </w:tcBorders>
                    <w:shd w:val="clear" w:color="auto" w:fill="auto"/>
                  </w:tcPr>
                  <w:p>
                    <w:pPr>
                      <w:pStyle w:val="15"/>
                      <w:kinsoku w:val="0"/>
                      <w:overflowPunct w:val="0"/>
                      <w:autoSpaceDE w:val="0"/>
                      <w:autoSpaceDN w:val="0"/>
                      <w:adjustRightInd w:val="0"/>
                      <w:snapToGrid w:val="0"/>
                      <w:jc w:val="center"/>
                      <w:rPr>
                        <w:rFonts w:ascii="宋体" w:hAnsi="宋体" w:cs="宋体"/>
                      </w:rPr>
                    </w:pPr>
                    <w:r>
                      <w:rPr>
                        <w:rFonts w:hint="eastAsia" w:ascii="宋体" w:hAnsi="宋体" w:cs="宋体"/>
                      </w:rPr>
                      <w:t>证券事务代表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b3cf3cc2950f4dda9f834cfc035f4162"/>
                <w:id w:val="-1148739009"/>
                <w:lock w:val="sdtLocked"/>
              </w:sdtPr>
              <w:sdtContent>
                <w:tc>
                  <w:tcPr>
                    <w:tcW w:w="97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姓名</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center"/>
                  <w:rPr>
                    <w:sz w:val="24"/>
                  </w:rPr>
                </w:pPr>
                <w:r>
                  <w:t>伍定军</w:t>
                </w:r>
              </w:p>
            </w:tc>
            <w:tc>
              <w:tcPr>
                <w:tcW w:w="2034" w:type="pct"/>
                <w:tcBorders>
                  <w:top w:val="single" w:color="auto" w:sz="4" w:space="0"/>
                  <w:left w:val="single" w:color="auto" w:sz="4" w:space="0"/>
                  <w:bottom w:val="single" w:color="auto" w:sz="4" w:space="0"/>
                </w:tcBorders>
                <w:vAlign w:val="center"/>
              </w:tcPr>
              <w:p>
                <w:pPr>
                  <w:jc w:val="center"/>
                </w:pPr>
                <w:r>
                  <w:t>刘凯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96f7c5d10740423ea389d22caaba3d57"/>
                <w:id w:val="-1182585132"/>
                <w:lock w:val="sdtLocked"/>
              </w:sdtPr>
              <w:sdtContent>
                <w:tc>
                  <w:tcPr>
                    <w:tcW w:w="97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联系地址</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center"/>
                </w:pPr>
                <w:r>
                  <w:t>重庆市北碚区蔡家岗镇凤栖路16号</w:t>
                </w:r>
              </w:p>
            </w:tc>
            <w:tc>
              <w:tcPr>
                <w:tcW w:w="2034" w:type="pct"/>
                <w:tcBorders>
                  <w:top w:val="single" w:color="auto" w:sz="4" w:space="0"/>
                  <w:left w:val="single" w:color="auto" w:sz="4" w:space="0"/>
                  <w:bottom w:val="single" w:color="auto" w:sz="4" w:space="0"/>
                </w:tcBorders>
                <w:vAlign w:val="center"/>
              </w:tcPr>
              <w:p>
                <w:pPr>
                  <w:jc w:val="center"/>
                </w:pPr>
                <w:r>
                  <w:t>重庆市北碚区蔡家岗镇凤栖路16号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d4e86ed7770a42129d9e099023bce649"/>
                <w:id w:val="-1138334696"/>
                <w:lock w:val="sdtLocked"/>
              </w:sdtPr>
              <w:sdtContent>
                <w:tc>
                  <w:tcPr>
                    <w:tcW w:w="97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电话</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center"/>
                </w:pPr>
                <w:r>
                  <w:t>023-61663050</w:t>
                </w:r>
              </w:p>
            </w:tc>
            <w:tc>
              <w:tcPr>
                <w:tcW w:w="2034" w:type="pct"/>
                <w:tcBorders>
                  <w:top w:val="single" w:color="auto" w:sz="4" w:space="0"/>
                  <w:left w:val="single" w:color="auto" w:sz="4" w:space="0"/>
                  <w:bottom w:val="single" w:color="auto" w:sz="4" w:space="0"/>
                </w:tcBorders>
                <w:vAlign w:val="center"/>
              </w:tcPr>
              <w:p>
                <w:pPr>
                  <w:jc w:val="center"/>
                </w:pPr>
                <w:r>
                  <w:t>023-61663050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ac000fe0146046e69c0678d412246e74"/>
                <w:id w:val="1290094568"/>
                <w:lock w:val="sdtLocked"/>
              </w:sdtPr>
              <w:sdtContent>
                <w:tc>
                  <w:tcPr>
                    <w:tcW w:w="97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传真</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center"/>
                </w:pPr>
                <w:r>
                  <w:t>023-65213175</w:t>
                </w:r>
              </w:p>
            </w:tc>
            <w:tc>
              <w:tcPr>
                <w:tcW w:w="2034" w:type="pct"/>
                <w:tcBorders>
                  <w:top w:val="single" w:color="auto" w:sz="4" w:space="0"/>
                  <w:left w:val="single" w:color="auto" w:sz="4" w:space="0"/>
                  <w:bottom w:val="single" w:color="auto" w:sz="4" w:space="0"/>
                </w:tcBorders>
                <w:vAlign w:val="center"/>
              </w:tcPr>
              <w:p>
                <w:pPr>
                  <w:jc w:val="center"/>
                </w:pPr>
                <w:r>
                  <w:t>023-65213175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sdt>
              <w:sdtPr>
                <w:tag w:val="_PLD_2043b13d40b44118ab0841c72e6e7478"/>
                <w:id w:val="690335718"/>
                <w:lock w:val="sdtLocked"/>
              </w:sdtPr>
              <w:sdtContent>
                <w:tc>
                  <w:tcPr>
                    <w:tcW w:w="973"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电子信箱</w:t>
                    </w:r>
                  </w:p>
                </w:tc>
              </w:sdtContent>
            </w:sdt>
            <w:tc>
              <w:tcPr>
                <w:tcW w:w="1993" w:type="pct"/>
                <w:tcBorders>
                  <w:top w:val="single" w:color="auto" w:sz="4" w:space="0"/>
                  <w:left w:val="single" w:color="auto" w:sz="4" w:space="0"/>
                  <w:bottom w:val="single" w:color="auto" w:sz="4" w:space="0"/>
                  <w:right w:val="single" w:color="auto" w:sz="4" w:space="0"/>
                </w:tcBorders>
                <w:vAlign w:val="center"/>
              </w:tcPr>
              <w:p>
                <w:pPr>
                  <w:jc w:val="center"/>
                </w:pPr>
                <w:r>
                  <w:t>tzzqb@lifan.com</w:t>
                </w:r>
              </w:p>
            </w:tc>
            <w:tc>
              <w:tcPr>
                <w:tcW w:w="2034" w:type="pct"/>
                <w:tcBorders>
                  <w:top w:val="single" w:color="auto" w:sz="4" w:space="0"/>
                  <w:left w:val="single" w:color="auto" w:sz="4" w:space="0"/>
                  <w:bottom w:val="single" w:color="auto" w:sz="4" w:space="0"/>
                </w:tcBorders>
                <w:vAlign w:val="center"/>
              </w:tcPr>
              <w:p>
                <w:pPr>
                  <w:jc w:val="center"/>
                </w:pPr>
                <w:r>
                  <w:t>tzzqb@lifan.com</w:t>
                </w:r>
              </w:p>
            </w:tc>
          </w:tr>
        </w:tbl>
        <w:p/>
      </w:sdtContent>
    </w:sdt>
    <w:sdt>
      <w:sdtPr>
        <w:rPr>
          <w:rFonts w:ascii="宋体" w:hAnsi="宋体" w:cs="宋体"/>
          <w:b w:val="0"/>
          <w:bCs w:val="0"/>
          <w:kern w:val="0"/>
          <w:szCs w:val="24"/>
        </w:rPr>
        <w:alias w:val="模块:基本情况变更简介"/>
        <w:tag w:val="_SEC_956d025c8a1d451390392ecb3e2602be"/>
        <w:id w:val="-1215966200"/>
        <w:lock w:val="sdtLocked"/>
        <w:placeholder>
          <w:docPart w:val="GBC22222222222222222222222222222"/>
        </w:placeholder>
      </w:sdtPr>
      <w:sdtEndPr>
        <w:rPr>
          <w:rFonts w:ascii="宋体" w:hAnsi="宋体" w:cs="宋体"/>
          <w:b w:val="0"/>
          <w:bCs w:val="0"/>
          <w:kern w:val="0"/>
          <w:szCs w:val="24"/>
        </w:rPr>
      </w:sdtEndPr>
      <w:sdtContent>
        <w:p>
          <w:pPr>
            <w:pStyle w:val="3"/>
            <w:numPr>
              <w:ilvl w:val="1"/>
              <w:numId w:val="4"/>
            </w:numPr>
            <w:ind w:left="496" w:hanging="495" w:hangingChars="236"/>
            <w:rPr>
              <w:rFonts w:ascii="宋体" w:hAnsi="宋体"/>
            </w:rPr>
          </w:pPr>
          <w:r>
            <w:t>基本情况</w:t>
          </w:r>
          <w:r>
            <w:rPr>
              <w:rFonts w:hint="eastAsia"/>
            </w:rPr>
            <w:t>简介</w:t>
          </w:r>
        </w:p>
        <w:tbl>
          <w:tblPr>
            <w:tblStyle w:val="10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3961"/>
            <w:gridCol w:w="516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65800154c9f246eeaabfb6d49f89b105"/>
                <w:id w:val="1874037148"/>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公司注册地址</w:t>
                    </w:r>
                  </w:p>
                </w:tc>
              </w:sdtContent>
            </w:sdt>
            <w:sdt>
              <w:sdtPr>
                <w:rPr>
                  <w:szCs w:val="21"/>
                </w:rPr>
                <w:alias w:val="公司注册地址"/>
                <w:tag w:val="_GBC_89833c4f8593417f8d5751e5d0001721"/>
                <w:id w:val="-1862114726"/>
                <w:lock w:val="sdtLocked"/>
              </w:sdtPr>
              <w:sdtEndPr>
                <w:rPr>
                  <w:szCs w:val="21"/>
                </w:rPr>
              </w:sdtEndPr>
              <w:sdtContent>
                <w:tc>
                  <w:tcPr>
                    <w:tcW w:w="2831" w:type="pct"/>
                    <w:tcBorders>
                      <w:top w:val="single" w:color="auto" w:sz="4" w:space="0"/>
                      <w:left w:val="single" w:color="auto" w:sz="4" w:space="0"/>
                      <w:bottom w:val="single" w:color="auto" w:sz="4" w:space="0"/>
                    </w:tcBorders>
                  </w:tcPr>
                  <w:p>
                    <w:pPr>
                      <w:jc w:val="center"/>
                      <w:rPr>
                        <w:szCs w:val="21"/>
                      </w:rPr>
                    </w:pPr>
                    <w:r>
                      <w:rPr>
                        <w:rFonts w:hint="eastAsia"/>
                      </w:rPr>
                      <w:t>重庆市两江新区金山大道黄环北路2号</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rPr>
                  <w:rFonts w:hint="eastAsia"/>
                </w:rPr>
                <w:tag w:val="_PLD_ac2707d2ebd340138473eb9d4270baf7"/>
                <w:id w:val="1667131183"/>
                <w:lock w:val="sdtLocked"/>
              </w:sdtPr>
              <w:sdtEndPr>
                <w:rPr>
                  <w:rFonts w:hint="eastAsia"/>
                </w:rPr>
              </w:sdtEnd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pPr>
                    <w:r>
                      <w:rPr>
                        <w:rFonts w:hint="eastAsia"/>
                      </w:rPr>
                      <w:t>公司注册地址的历史变更情况</w:t>
                    </w:r>
                  </w:p>
                </w:tc>
              </w:sdtContent>
            </w:sdt>
            <w:tc>
              <w:tcPr>
                <w:tcW w:w="2831" w:type="pct"/>
                <w:tcBorders>
                  <w:top w:val="single" w:color="auto" w:sz="4" w:space="0"/>
                  <w:left w:val="single" w:color="auto" w:sz="4" w:space="0"/>
                  <w:bottom w:val="single" w:color="auto" w:sz="4" w:space="0"/>
                </w:tcBorders>
                <w:vAlign w:val="center"/>
              </w:tcPr>
              <w:p>
                <w:pPr>
                  <w:rPr>
                    <w:szCs w:val="21"/>
                  </w:rPr>
                </w:pPr>
                <w:r>
                  <w:rPr>
                    <w:rFonts w:hint="eastAsia"/>
                  </w:rPr>
                  <w:t>2019年1月24日公司注册地址由重庆市沙坪坝区上桥张家湾60号变更为重庆市北部新区金山大道黄环北路2号。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c5cbfe8381724c20914d7847d169547b"/>
                <w:id w:val="-886331897"/>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公司办公地址</w:t>
                    </w:r>
                  </w:p>
                </w:tc>
              </w:sdtContent>
            </w:sdt>
            <w:tc>
              <w:tcPr>
                <w:tcW w:w="2831" w:type="pct"/>
                <w:tcBorders>
                  <w:top w:val="single" w:color="auto" w:sz="4" w:space="0"/>
                  <w:left w:val="single" w:color="auto" w:sz="4" w:space="0"/>
                  <w:bottom w:val="single" w:color="auto" w:sz="4" w:space="0"/>
                </w:tcBorders>
                <w:vAlign w:val="center"/>
              </w:tcPr>
              <w:p>
                <w:pPr>
                  <w:jc w:val="center"/>
                </w:pPr>
                <w:r>
                  <w:t>重庆市北碚区蔡家岗镇凤栖路16号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c0f9f2f044124800b7edc314d8f4bf39"/>
                <w:id w:val="-1333605872"/>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公司办公地址的邮政编码</w:t>
                    </w:r>
                  </w:p>
                </w:tc>
              </w:sdtContent>
            </w:sdt>
            <w:tc>
              <w:tcPr>
                <w:tcW w:w="2831" w:type="pct"/>
                <w:tcBorders>
                  <w:top w:val="single" w:color="auto" w:sz="4" w:space="0"/>
                  <w:left w:val="single" w:color="auto" w:sz="4" w:space="0"/>
                  <w:bottom w:val="single" w:color="auto" w:sz="4" w:space="0"/>
                </w:tcBorders>
                <w:vAlign w:val="center"/>
              </w:tcPr>
              <w:p>
                <w:pPr>
                  <w:jc w:val="center"/>
                </w:pPr>
                <w:r>
                  <w:t>400707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3c5fab8bd79464e94b1e64f18ac73f7"/>
                <w:id w:val="897701708"/>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公司网址</w:t>
                    </w:r>
                  </w:p>
                </w:tc>
              </w:sdtContent>
            </w:sdt>
            <w:tc>
              <w:tcPr>
                <w:tcW w:w="2831" w:type="pct"/>
                <w:tcBorders>
                  <w:top w:val="single" w:color="auto" w:sz="4" w:space="0"/>
                  <w:left w:val="single" w:color="auto" w:sz="4" w:space="0"/>
                  <w:bottom w:val="single" w:color="auto" w:sz="4" w:space="0"/>
                </w:tcBorders>
                <w:vAlign w:val="center"/>
              </w:tcPr>
              <w:p>
                <w:pPr>
                  <w:jc w:val="center"/>
                </w:pPr>
                <w:r>
                  <w:t>www.lifan.com</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ea428593a2c548b2b1d58ce3789bf356"/>
                <w:id w:val="-248589403"/>
                <w:lock w:val="sdtLocked"/>
              </w:sdtPr>
              <w:sdtContent>
                <w:tc>
                  <w:tcPr>
                    <w:tcW w:w="2169"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电子信箱</w:t>
                    </w:r>
                  </w:p>
                </w:tc>
              </w:sdtContent>
            </w:sdt>
            <w:tc>
              <w:tcPr>
                <w:tcW w:w="2831" w:type="pct"/>
                <w:tcBorders>
                  <w:top w:val="single" w:color="auto" w:sz="4" w:space="0"/>
                  <w:left w:val="single" w:color="auto" w:sz="4" w:space="0"/>
                  <w:bottom w:val="single" w:color="auto" w:sz="4" w:space="0"/>
                </w:tcBorders>
                <w:vAlign w:val="center"/>
              </w:tcPr>
              <w:p>
                <w:pPr>
                  <w:jc w:val="center"/>
                </w:pPr>
                <w:r>
                  <w:t>mail@lifan.com</w:t>
                </w:r>
              </w:p>
            </w:tc>
          </w:tr>
        </w:tbl>
        <w:p/>
      </w:sdtContent>
    </w:sdt>
    <w:sdt>
      <w:sdtPr>
        <w:rPr>
          <w:rFonts w:ascii="宋体" w:hAnsi="宋体" w:cs="宋体"/>
          <w:b w:val="0"/>
          <w:bCs w:val="0"/>
          <w:kern w:val="0"/>
          <w:szCs w:val="24"/>
        </w:rPr>
        <w:alias w:val="模块:信息披露及备置地点变更情况简介"/>
        <w:tag w:val="_SEC_0df805cd09bf439989b9eac11c342a74"/>
        <w:id w:val="-584920345"/>
        <w:lock w:val="sdtLocked"/>
        <w:placeholder>
          <w:docPart w:val="GBC22222222222222222222222222222"/>
        </w:placeholder>
      </w:sdtPr>
      <w:sdtEndPr>
        <w:rPr>
          <w:rFonts w:ascii="宋体" w:hAnsi="宋体" w:cs="宋体"/>
          <w:b w:val="0"/>
          <w:bCs w:val="0"/>
          <w:kern w:val="0"/>
          <w:szCs w:val="24"/>
        </w:rPr>
      </w:sdtEndPr>
      <w:sdtContent>
        <w:p>
          <w:pPr>
            <w:pStyle w:val="3"/>
            <w:numPr>
              <w:ilvl w:val="1"/>
              <w:numId w:val="4"/>
            </w:numPr>
            <w:ind w:left="496" w:hanging="495" w:hangingChars="236"/>
            <w:rPr>
              <w:rFonts w:ascii="宋体" w:hAnsi="宋体"/>
            </w:rPr>
          </w:pPr>
          <w:r>
            <w:t>信息披露及备置地点</w:t>
          </w:r>
        </w:p>
        <w:tbl>
          <w:tblPr>
            <w:tblStyle w:val="10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4251"/>
            <w:gridCol w:w="48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bbba55a3ebda46da946a09caf15c63b6"/>
                <w:id w:val="-1865357143"/>
                <w:lock w:val="sdtLocked"/>
              </w:sdtPr>
              <w:sdtContent>
                <w:tc>
                  <w:tcPr>
                    <w:tcW w:w="2328"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w:t>
                    </w:r>
                    <w:r>
                      <w:rPr>
                        <w:rFonts w:hint="eastAsia"/>
                        <w:szCs w:val="21"/>
                      </w:rPr>
                      <w:t>披露年度报告的媒体</w:t>
                    </w:r>
                    <w:r>
                      <w:rPr>
                        <w:szCs w:val="21"/>
                      </w:rPr>
                      <w:t>名称</w:t>
                    </w:r>
                    <w:r>
                      <w:rPr>
                        <w:rFonts w:hint="eastAsia"/>
                        <w:szCs w:val="21"/>
                      </w:rPr>
                      <w:t>及网址</w:t>
                    </w:r>
                  </w:p>
                </w:tc>
              </w:sdtContent>
            </w:sdt>
            <w:sdt>
              <w:sdtPr>
                <w:rPr>
                  <w:szCs w:val="21"/>
                </w:rPr>
                <w:alias w:val="公司选定的信息披露报纸名称"/>
                <w:tag w:val="_GBC_001b00e5e370415c93177612f89840ec"/>
                <w:id w:val="364187287"/>
                <w:lock w:val="sdtLocked"/>
              </w:sdtPr>
              <w:sdtEndPr>
                <w:rPr>
                  <w:szCs w:val="21"/>
                </w:rPr>
              </w:sdtEndPr>
              <w:sdtContent>
                <w:tc>
                  <w:tcPr>
                    <w:tcW w:w="2672"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rPr>
                        <w:szCs w:val="21"/>
                      </w:rPr>
                      <w:t>上海证券报、中国证券报、证券时报、证券日报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31f320acb6ad4f508259e25ef7cbc0f5"/>
                <w:id w:val="213551759"/>
                <w:lock w:val="sdtLocked"/>
              </w:sdtPr>
              <w:sdtContent>
                <w:tc>
                  <w:tcPr>
                    <w:tcW w:w="2328"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rFonts w:hint="eastAsia"/>
                        <w:szCs w:val="21"/>
                      </w:rPr>
                      <w:t>公司披露年度报告的证券交易所</w:t>
                    </w:r>
                    <w:r>
                      <w:rPr>
                        <w:szCs w:val="21"/>
                      </w:rPr>
                      <w:t>网址</w:t>
                    </w:r>
                  </w:p>
                </w:tc>
              </w:sdtContent>
            </w:sdt>
            <w:tc>
              <w:tcPr>
                <w:tcW w:w="2672"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www.sse.com.cn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50e24717ca4f4b96aa76957c34f09561"/>
                <w:id w:val="-434139535"/>
                <w:lock w:val="sdtLocked"/>
              </w:sdtPr>
              <w:sdtContent>
                <w:tc>
                  <w:tcPr>
                    <w:tcW w:w="2328"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rPr>
                        <w:szCs w:val="21"/>
                      </w:rPr>
                    </w:pPr>
                    <w:r>
                      <w:rPr>
                        <w:szCs w:val="21"/>
                      </w:rPr>
                      <w:t>公司年度报告备置地点</w:t>
                    </w:r>
                  </w:p>
                </w:tc>
              </w:sdtContent>
            </w:sdt>
            <w:tc>
              <w:tcPr>
                <w:tcW w:w="2672" w:type="pct"/>
                <w:tcBorders>
                  <w:top w:val="single" w:color="auto" w:sz="4" w:space="0"/>
                  <w:left w:val="single" w:color="auto" w:sz="4" w:space="0"/>
                  <w:bottom w:val="single" w:color="auto" w:sz="4" w:space="0"/>
                </w:tcBorders>
              </w:tcPr>
              <w:p>
                <w:pPr>
                  <w:kinsoku w:val="0"/>
                  <w:overflowPunct w:val="0"/>
                  <w:autoSpaceDE w:val="0"/>
                  <w:autoSpaceDN w:val="0"/>
                  <w:adjustRightInd w:val="0"/>
                  <w:snapToGrid w:val="0"/>
                  <w:rPr>
                    <w:szCs w:val="21"/>
                  </w:rPr>
                </w:pPr>
                <w:r>
                  <w:t>公司董事会办公室</w:t>
                </w:r>
              </w:p>
            </w:tc>
          </w:tr>
        </w:tbl>
        <w:p/>
        <w:p/>
      </w:sdtContent>
    </w:sdt>
    <w:sdt>
      <w:sdtPr>
        <w:rPr>
          <w:rFonts w:hint="eastAsia" w:ascii="Calibri" w:hAnsi="Calibri" w:cs="宋体"/>
          <w:b w:val="0"/>
          <w:bCs w:val="0"/>
          <w:kern w:val="0"/>
          <w:sz w:val="24"/>
          <w:szCs w:val="22"/>
        </w:rPr>
        <w:alias w:val="模块:公司股票简况"/>
        <w:tag w:val="_SEC_58c4b7a4d9a845aea87791adfb6845e7"/>
        <w:id w:val="-338319092"/>
        <w:lock w:val="sdtLocked"/>
        <w:placeholder>
          <w:docPart w:val="GBC22222222222222222222222222222"/>
        </w:placeholder>
      </w:sdtPr>
      <w:sdtEndPr>
        <w:rPr>
          <w:rFonts w:hint="eastAsia" w:ascii="宋体" w:hAnsi="宋体" w:cs="宋体"/>
          <w:b w:val="0"/>
          <w:bCs w:val="0"/>
          <w:color w:val="0070C0"/>
          <w:kern w:val="0"/>
          <w:sz w:val="21"/>
          <w:szCs w:val="24"/>
        </w:rPr>
      </w:sdtEndPr>
      <w:sdtContent>
        <w:p>
          <w:pPr>
            <w:pStyle w:val="3"/>
            <w:numPr>
              <w:ilvl w:val="1"/>
              <w:numId w:val="4"/>
            </w:numPr>
            <w:ind w:left="566" w:hanging="566" w:hangingChars="236"/>
          </w:pPr>
          <w:bookmarkStart w:id="17" w:name="_Toc342051045"/>
          <w:bookmarkStart w:id="18" w:name="_Toc342565885"/>
          <w:r>
            <w:rPr>
              <w:rFonts w:hint="eastAsia"/>
            </w:rPr>
            <w:t>公司股票简况</w:t>
          </w:r>
          <w:bookmarkEnd w:id="17"/>
          <w:bookmarkEnd w:id="18"/>
        </w:p>
        <w:tbl>
          <w:tblPr>
            <w:tblStyle w:val="108"/>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30" w:type="dxa"/>
              <w:bottom w:w="0" w:type="dxa"/>
              <w:right w:w="30" w:type="dxa"/>
            </w:tblCellMar>
          </w:tblPr>
          <w:tblGrid>
            <w:gridCol w:w="1826"/>
            <w:gridCol w:w="1826"/>
            <w:gridCol w:w="1826"/>
            <w:gridCol w:w="1826"/>
            <w:gridCol w:w="182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71e874b79d5946dfbee802d1ebcf10a8"/>
                <w:id w:val="1223018309"/>
                <w:lock w:val="sdtLocked"/>
              </w:sdtPr>
              <w:sdtContent>
                <w:tc>
                  <w:tcPr>
                    <w:tcW w:w="5000" w:type="pct"/>
                    <w:gridSpan w:val="5"/>
                    <w:tcBorders>
                      <w:top w:val="single" w:color="auto" w:sz="4" w:space="0"/>
                      <w:bottom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公司股票简况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8c7d8e96d5f4491aa9e7c3c601503603"/>
                <w:id w:val="375820537"/>
                <w:lock w:val="sdtLocked"/>
              </w:sdtPr>
              <w:sdtContent>
                <w:tc>
                  <w:tcPr>
                    <w:tcW w:w="100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股票种类</w:t>
                    </w:r>
                  </w:p>
                </w:tc>
              </w:sdtContent>
            </w:sdt>
            <w:sdt>
              <w:sdtPr>
                <w:tag w:val="_PLD_b56a72f5279041b38925f5228f2089f6"/>
                <w:id w:val="-49999956"/>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股票上市交易所</w:t>
                    </w:r>
                  </w:p>
                </w:tc>
              </w:sdtContent>
            </w:sdt>
            <w:sdt>
              <w:sdtPr>
                <w:tag w:val="_PLD_6dd4e584e21c4367b3dfe6f7f5c64696"/>
                <w:id w:val="-1855029759"/>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股票简称</w:t>
                    </w:r>
                  </w:p>
                </w:tc>
              </w:sdtContent>
            </w:sdt>
            <w:sdt>
              <w:sdtPr>
                <w:tag w:val="_PLD_e6f819a9bdc4409c94aa103da8c19dc3"/>
                <w:id w:val="1099676050"/>
                <w:lock w:val="sdtLocked"/>
              </w:sdtPr>
              <w:sdtContent>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股票代码</w:t>
                    </w:r>
                  </w:p>
                </w:tc>
              </w:sdtContent>
            </w:sdt>
            <w:sdt>
              <w:sdtPr>
                <w:tag w:val="_PLD_ca5cfb3ed3b74ffa856f651b379dc207"/>
                <w:id w:val="1855538351"/>
                <w:lock w:val="sdtLocked"/>
              </w:sdtPr>
              <w:sdtContent>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szCs w:val="21"/>
                      </w:rPr>
                      <w:t>变更前股票简称</w:t>
                    </w:r>
                  </w:p>
                </w:tc>
              </w:sdtContent>
            </w:sdt>
          </w:tr>
          <w:sdt>
            <w:sdtPr>
              <w:rPr>
                <w:rFonts w:hint="eastAsia"/>
                <w:szCs w:val="21"/>
              </w:rPr>
              <w:alias w:val="公司其他股票简况"/>
              <w:tag w:val="_TUP_e5d457081246497986b9ceb7d695398e"/>
              <w:id w:val="78292134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1000" w:type="pct"/>
                    <w:tcBorders>
                      <w:top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t>A股</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t>上海证券交易所</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t>力帆科技</w:t>
                    </w:r>
                  </w:p>
                </w:tc>
                <w:tc>
                  <w:tcPr>
                    <w:tcW w:w="1000" w:type="pct"/>
                    <w:tcBorders>
                      <w:top w:val="single" w:color="auto" w:sz="4" w:space="0"/>
                      <w:left w:val="single" w:color="auto" w:sz="4" w:space="0"/>
                      <w:bottom w:val="single" w:color="auto" w:sz="4" w:space="0"/>
                      <w:right w:val="single" w:color="auto" w:sz="4" w:space="0"/>
                    </w:tcBorders>
                    <w:shd w:val="clear" w:color="auto" w:fill="auto"/>
                  </w:tcPr>
                  <w:p>
                    <w:pPr>
                      <w:kinsoku w:val="0"/>
                      <w:overflowPunct w:val="0"/>
                      <w:autoSpaceDE w:val="0"/>
                      <w:autoSpaceDN w:val="0"/>
                      <w:adjustRightInd w:val="0"/>
                      <w:snapToGrid w:val="0"/>
                      <w:jc w:val="center"/>
                      <w:rPr>
                        <w:szCs w:val="21"/>
                      </w:rPr>
                    </w:pPr>
                    <w:r>
                      <w:t>601777</w:t>
                    </w:r>
                  </w:p>
                </w:tc>
                <w:tc>
                  <w:tcPr>
                    <w:tcW w:w="1000" w:type="pct"/>
                    <w:tcBorders>
                      <w:top w:val="single" w:color="auto" w:sz="4" w:space="0"/>
                      <w:left w:val="single" w:color="auto" w:sz="4" w:space="0"/>
                      <w:bottom w:val="single" w:color="auto" w:sz="4" w:space="0"/>
                    </w:tcBorders>
                    <w:shd w:val="clear" w:color="auto" w:fill="auto"/>
                  </w:tcPr>
                  <w:p>
                    <w:pPr>
                      <w:kinsoku w:val="0"/>
                      <w:overflowPunct w:val="0"/>
                      <w:autoSpaceDE w:val="0"/>
                      <w:autoSpaceDN w:val="0"/>
                      <w:adjustRightInd w:val="0"/>
                      <w:snapToGrid w:val="0"/>
                      <w:jc w:val="center"/>
                      <w:rPr>
                        <w:szCs w:val="21"/>
                      </w:rPr>
                    </w:pPr>
                    <w:r>
                      <w:rPr>
                        <w:rFonts w:hint="eastAsia"/>
                      </w:rPr>
                      <w:t>ST</w:t>
                    </w:r>
                    <w:r>
                      <w:t>力帆</w:t>
                    </w:r>
                  </w:p>
                </w:tc>
              </w:tr>
            </w:sdtContent>
          </w:sdt>
        </w:tbl>
        <w:p/>
        <w:p>
          <w:pPr>
            <w:rPr>
              <w:color w:val="0070C0"/>
            </w:rPr>
          </w:pPr>
        </w:p>
      </w:sdtContent>
    </w:sdt>
    <w:sdt>
      <w:sdtPr>
        <w:rPr>
          <w:rFonts w:ascii="宋体" w:hAnsi="宋体" w:cs="宋体"/>
          <w:b w:val="0"/>
          <w:bCs w:val="0"/>
          <w:kern w:val="0"/>
          <w:szCs w:val="24"/>
        </w:rPr>
        <w:alias w:val="模块:其他有关资料"/>
        <w:tag w:val="_SEC_003e0cedcbeb43af9103dfb4bc32cd9f"/>
        <w:id w:val="864483498"/>
        <w:lock w:val="sdtLocked"/>
        <w:placeholder>
          <w:docPart w:val="GBC22222222222222222222222222222"/>
        </w:placeholder>
      </w:sdtPr>
      <w:sdtEndPr>
        <w:rPr>
          <w:rFonts w:ascii="宋体" w:hAnsi="宋体" w:cs="宋体"/>
          <w:b w:val="0"/>
          <w:bCs w:val="0"/>
          <w:kern w:val="0"/>
          <w:szCs w:val="24"/>
        </w:rPr>
      </w:sdtEndPr>
      <w:sdtContent>
        <w:p>
          <w:pPr>
            <w:pStyle w:val="3"/>
            <w:numPr>
              <w:ilvl w:val="1"/>
              <w:numId w:val="4"/>
            </w:numPr>
            <w:ind w:left="496" w:hanging="495" w:hangingChars="236"/>
          </w:pPr>
          <w:r>
            <w:t>其他</w:t>
          </w:r>
          <w:r>
            <w:rPr>
              <w:rFonts w:hint="eastAsia"/>
            </w:rPr>
            <w:t>相</w:t>
          </w:r>
          <w:r>
            <w:t>关资料</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2"/>
            <w:gridCol w:w="1840"/>
            <w:gridCol w:w="4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e6bf57c678134e2ab9f21f313ee3de3c"/>
                <w:id w:val="-1626226857"/>
                <w:lock w:val="sdtLocked"/>
              </w:sdtPr>
              <w:sdtContent>
                <w:tc>
                  <w:tcPr>
                    <w:tcW w:w="1654" w:type="pct"/>
                    <w:vMerge w:val="restart"/>
                    <w:vAlign w:val="center"/>
                  </w:tcPr>
                  <w:p>
                    <w:pPr>
                      <w:widowControl w:val="0"/>
                      <w:jc w:val="both"/>
                      <w:rPr>
                        <w:szCs w:val="21"/>
                      </w:rPr>
                    </w:pPr>
                    <w:r>
                      <w:rPr>
                        <w:rFonts w:hint="eastAsia"/>
                        <w:szCs w:val="21"/>
                      </w:rPr>
                      <w:t>公司聘请的会计师事务所（境内）</w:t>
                    </w:r>
                  </w:p>
                </w:tc>
              </w:sdtContent>
            </w:sdt>
            <w:sdt>
              <w:sdtPr>
                <w:tag w:val="_PLD_8ca47cc04c324c599365d04f46dbfb0f"/>
                <w:id w:val="-876547614"/>
                <w:lock w:val="sdtLocked"/>
              </w:sdtPr>
              <w:sdtContent>
                <w:tc>
                  <w:tcPr>
                    <w:tcW w:w="991" w:type="pct"/>
                  </w:tcPr>
                  <w:p>
                    <w:pPr>
                      <w:widowControl w:val="0"/>
                      <w:jc w:val="both"/>
                      <w:rPr>
                        <w:szCs w:val="21"/>
                      </w:rPr>
                    </w:pPr>
                    <w:r>
                      <w:rPr>
                        <w:rFonts w:hint="eastAsia"/>
                        <w:szCs w:val="21"/>
                      </w:rPr>
                      <w:t>名称</w:t>
                    </w:r>
                  </w:p>
                </w:tc>
              </w:sdtContent>
            </w:sdt>
            <w:sdt>
              <w:sdtPr>
                <w:rPr>
                  <w:rFonts w:hint="eastAsia" w:ascii="Times New Roman" w:hAnsi="Times New Roman"/>
                  <w:szCs w:val="21"/>
                </w:rPr>
                <w:alias w:val="公司聘请的境内会计师事务所明细-名称"/>
                <w:tag w:val="_GBC_5e101497eaf44ba79cb610647f4aa3d5"/>
                <w:id w:val="-807243875"/>
                <w:lock w:val="sdtLocked"/>
              </w:sdtPr>
              <w:sdtEndPr>
                <w:rPr>
                  <w:rFonts w:hint="eastAsia" w:ascii="Times New Roman" w:hAnsi="Times New Roman"/>
                  <w:szCs w:val="21"/>
                </w:rPr>
              </w:sdtEndPr>
              <w:sdtContent>
                <w:tc>
                  <w:tcPr>
                    <w:tcW w:w="2355" w:type="pct"/>
                  </w:tcPr>
                  <w:p>
                    <w:pPr>
                      <w:widowControl w:val="0"/>
                      <w:jc w:val="both"/>
                      <w:rPr>
                        <w:rFonts w:ascii="Times New Roman" w:hAnsi="Times New Roman" w:cs="Times New Roman"/>
                        <w:szCs w:val="21"/>
                      </w:rPr>
                    </w:pPr>
                    <w:r>
                      <w:rPr>
                        <w:rFonts w:hint="eastAsia"/>
                      </w:rPr>
                      <w:t>天衡会计师事务所（特殊普通合伙）</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4" w:type="pct"/>
                <w:vMerge w:val="continue"/>
                <w:vAlign w:val="center"/>
              </w:tcPr>
              <w:p>
                <w:pPr>
                  <w:widowControl w:val="0"/>
                  <w:jc w:val="both"/>
                  <w:rPr>
                    <w:szCs w:val="21"/>
                  </w:rPr>
                </w:pPr>
              </w:p>
            </w:tc>
            <w:sdt>
              <w:sdtPr>
                <w:tag w:val="_PLD_d81c8b501e6d407989da734d8b7bd34b"/>
                <w:id w:val="762568062"/>
                <w:lock w:val="sdtLocked"/>
              </w:sdtPr>
              <w:sdtContent>
                <w:tc>
                  <w:tcPr>
                    <w:tcW w:w="991" w:type="pct"/>
                  </w:tcPr>
                  <w:p>
                    <w:pPr>
                      <w:widowControl w:val="0"/>
                      <w:jc w:val="both"/>
                      <w:rPr>
                        <w:szCs w:val="21"/>
                      </w:rPr>
                    </w:pPr>
                    <w:r>
                      <w:rPr>
                        <w:rFonts w:hint="eastAsia"/>
                        <w:szCs w:val="21"/>
                      </w:rPr>
                      <w:t>办公地址</w:t>
                    </w:r>
                  </w:p>
                </w:tc>
              </w:sdtContent>
            </w:sdt>
            <w:tc>
              <w:tcPr>
                <w:tcW w:w="2355" w:type="pct"/>
                <w:vAlign w:val="center"/>
              </w:tcPr>
              <w:p>
                <w:pPr>
                  <w:widowControl w:val="0"/>
                  <w:jc w:val="both"/>
                  <w:rPr>
                    <w:sz w:val="24"/>
                  </w:rPr>
                </w:pPr>
                <w:r>
                  <w:t>南京市建邺区江东中路106号1907室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1654" w:type="pct"/>
                <w:vMerge w:val="continue"/>
                <w:vAlign w:val="center"/>
              </w:tcPr>
              <w:p>
                <w:pPr>
                  <w:widowControl w:val="0"/>
                  <w:jc w:val="both"/>
                  <w:rPr>
                    <w:szCs w:val="21"/>
                  </w:rPr>
                </w:pPr>
              </w:p>
            </w:tc>
            <w:sdt>
              <w:sdtPr>
                <w:tag w:val="_PLD_0d7c31c02260419e806193f66b086dd8"/>
                <w:id w:val="-1531022038"/>
                <w:lock w:val="sdtLocked"/>
              </w:sdtPr>
              <w:sdtContent>
                <w:tc>
                  <w:tcPr>
                    <w:tcW w:w="991" w:type="pct"/>
                  </w:tcPr>
                  <w:p>
                    <w:pPr>
                      <w:widowControl w:val="0"/>
                      <w:jc w:val="both"/>
                      <w:rPr>
                        <w:szCs w:val="21"/>
                      </w:rPr>
                    </w:pPr>
                    <w:r>
                      <w:rPr>
                        <w:rFonts w:hint="eastAsia"/>
                        <w:szCs w:val="21"/>
                      </w:rPr>
                      <w:t>签字会计师姓名</w:t>
                    </w:r>
                  </w:p>
                </w:tc>
              </w:sdtContent>
            </w:sdt>
            <w:tc>
              <w:tcPr>
                <w:tcW w:w="2355" w:type="pct"/>
                <w:vAlign w:val="center"/>
              </w:tcPr>
              <w:p>
                <w:pPr>
                  <w:widowControl w:val="0"/>
                  <w:jc w:val="both"/>
                </w:pPr>
                <w:r>
                  <w:t>谢栋清、王强</w:t>
                </w:r>
              </w:p>
            </w:tc>
          </w:tr>
        </w:tbl>
        <w:p/>
      </w:sdtContent>
    </w:sdt>
    <w:p>
      <w:pPr>
        <w:pStyle w:val="3"/>
        <w:numPr>
          <w:ilvl w:val="1"/>
          <w:numId w:val="4"/>
        </w:numPr>
        <w:ind w:left="498" w:hanging="498" w:hangingChars="236"/>
      </w:pPr>
      <w:bookmarkStart w:id="19" w:name="_Toc342056397"/>
      <w:bookmarkStart w:id="20" w:name="_Toc342565889"/>
      <w:r>
        <w:rPr>
          <w:rFonts w:hint="eastAsia"/>
        </w:rPr>
        <w:t>近三年主要会计数据和财务指标</w:t>
      </w:r>
      <w:bookmarkEnd w:id="19"/>
      <w:bookmarkEnd w:id="20"/>
    </w:p>
    <w:p>
      <w:pPr>
        <w:pStyle w:val="4"/>
        <w:numPr>
          <w:ilvl w:val="1"/>
          <w:numId w:val="5"/>
        </w:numPr>
      </w:pPr>
      <w:r>
        <w:rPr>
          <w:rFonts w:hint="eastAsia"/>
        </w:rPr>
        <w:t>主要会计数据</w:t>
      </w:r>
    </w:p>
    <w:p>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736593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772364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sdt>
      <w:sdtPr>
        <w:rPr>
          <w:rFonts w:hint="eastAsia"/>
          <w:szCs w:val="21"/>
        </w:rPr>
        <w:alias w:val="选项模块:主要会计数据(无追溯)"/>
        <w:tag w:val="_SEC_054de9a865fc43068e5affd816d52d7b"/>
        <w:id w:val="-997733650"/>
        <w:lock w:val="sdtLocked"/>
        <w:placeholder>
          <w:docPart w:val="GBC22222222222222222222222222222"/>
        </w:placeholder>
      </w:sdtPr>
      <w:sdtEndPr>
        <w:rPr>
          <w:rFonts w:hint="default"/>
          <w:szCs w:val="24"/>
        </w:rPr>
      </w:sdtEndPr>
      <w:sdtContent>
        <w:tbl>
          <w:tblPr>
            <w:tblStyle w:val="37"/>
            <w:tblW w:w="50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2193"/>
            <w:gridCol w:w="2182"/>
            <w:gridCol w:w="872"/>
            <w:gridCol w:w="2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sdt>
              <w:sdtPr>
                <w:rPr>
                  <w:rFonts w:hint="eastAsia" w:ascii="Times New Roman" w:hAnsi="Times New Roman"/>
                  <w:szCs w:val="21"/>
                </w:rPr>
                <w:tag w:val="_PLD_11b4c598f0e64f3480d144156bedd8c8"/>
                <w:id w:val="-2001337760"/>
                <w:lock w:val="sdtLocked"/>
              </w:sdtPr>
              <w:sdtEndPr>
                <w:rPr>
                  <w:rFonts w:hint="default" w:ascii="Times New Roman" w:hAnsi="Times New Roman"/>
                  <w:szCs w:val="24"/>
                </w:rPr>
              </w:sdtEndPr>
              <w:sdtContent>
                <w:tc>
                  <w:tcPr>
                    <w:tcW w:w="1071" w:type="pct"/>
                    <w:vAlign w:val="center"/>
                  </w:tcPr>
                  <w:p>
                    <w:pPr>
                      <w:widowControl w:val="0"/>
                      <w:kinsoku w:val="0"/>
                      <w:overflowPunct w:val="0"/>
                      <w:autoSpaceDE w:val="0"/>
                      <w:autoSpaceDN w:val="0"/>
                      <w:adjustRightInd w:val="0"/>
                      <w:snapToGrid w:val="0"/>
                      <w:jc w:val="center"/>
                      <w:rPr>
                        <w:szCs w:val="21"/>
                      </w:rPr>
                    </w:pPr>
                    <w:r>
                      <w:rPr>
                        <w:rFonts w:hint="eastAsia"/>
                        <w:szCs w:val="21"/>
                      </w:rPr>
                      <w:t>主要会计数据</w:t>
                    </w:r>
                  </w:p>
                </w:tc>
              </w:sdtContent>
            </w:sdt>
            <w:sdt>
              <w:sdtPr>
                <w:tag w:val="_PLD_b13b04da4c2a41028c11512814762a3d"/>
                <w:id w:val="1504475029"/>
                <w:lock w:val="sdtLocked"/>
              </w:sdtPr>
              <w:sdtContent>
                <w:tc>
                  <w:tcPr>
                    <w:tcW w:w="1159" w:type="pct"/>
                    <w:vAlign w:val="center"/>
                  </w:tcPr>
                  <w:p>
                    <w:pPr>
                      <w:widowControl w:val="0"/>
                      <w:kinsoku w:val="0"/>
                      <w:overflowPunct w:val="0"/>
                      <w:autoSpaceDE w:val="0"/>
                      <w:autoSpaceDN w:val="0"/>
                      <w:adjustRightInd w:val="0"/>
                      <w:snapToGrid w:val="0"/>
                      <w:jc w:val="center"/>
                      <w:rPr>
                        <w:szCs w:val="21"/>
                      </w:rPr>
                    </w:pPr>
                    <w:r>
                      <w:rPr>
                        <w:rFonts w:hint="eastAsia"/>
                        <w:szCs w:val="21"/>
                      </w:rPr>
                      <w:t>2021年</w:t>
                    </w:r>
                  </w:p>
                </w:tc>
              </w:sdtContent>
            </w:sdt>
            <w:sdt>
              <w:sdtPr>
                <w:tag w:val="_PLD_0269ed04fa784ad3a61b37ff6ea4e755"/>
                <w:id w:val="-239399335"/>
                <w:lock w:val="sdtLocked"/>
              </w:sdtPr>
              <w:sdtContent>
                <w:tc>
                  <w:tcPr>
                    <w:tcW w:w="1154" w:type="pct"/>
                    <w:vAlign w:val="center"/>
                  </w:tcPr>
                  <w:p>
                    <w:pPr>
                      <w:widowControl w:val="0"/>
                      <w:kinsoku w:val="0"/>
                      <w:overflowPunct w:val="0"/>
                      <w:autoSpaceDE w:val="0"/>
                      <w:autoSpaceDN w:val="0"/>
                      <w:adjustRightInd w:val="0"/>
                      <w:snapToGrid w:val="0"/>
                      <w:jc w:val="center"/>
                      <w:rPr>
                        <w:szCs w:val="21"/>
                      </w:rPr>
                    </w:pPr>
                    <w:r>
                      <w:rPr>
                        <w:rFonts w:hint="eastAsia"/>
                        <w:szCs w:val="21"/>
                      </w:rPr>
                      <w:t>2020年</w:t>
                    </w:r>
                  </w:p>
                </w:tc>
              </w:sdtContent>
            </w:sdt>
            <w:sdt>
              <w:sdtPr>
                <w:tag w:val="_PLD_04887d69202349c58f450c785cfaef93"/>
                <w:id w:val="-1123226282"/>
                <w:lock w:val="sdtLocked"/>
              </w:sdtPr>
              <w:sdtContent>
                <w:tc>
                  <w:tcPr>
                    <w:tcW w:w="461" w:type="pct"/>
                    <w:vAlign w:val="center"/>
                  </w:tcPr>
                  <w:p>
                    <w:pPr>
                      <w:widowControl w:val="0"/>
                      <w:kinsoku w:val="0"/>
                      <w:overflowPunct w:val="0"/>
                      <w:autoSpaceDE w:val="0"/>
                      <w:autoSpaceDN w:val="0"/>
                      <w:adjustRightInd w:val="0"/>
                      <w:snapToGrid w:val="0"/>
                      <w:jc w:val="center"/>
                      <w:rPr>
                        <w:szCs w:val="21"/>
                      </w:rPr>
                    </w:pPr>
                    <w:r>
                      <w:rPr>
                        <w:rFonts w:hint="eastAsia"/>
                        <w:szCs w:val="21"/>
                      </w:rPr>
                      <w:t>本期比上年同期增减</w:t>
                    </w:r>
                    <w:r>
                      <w:rPr>
                        <w:szCs w:val="21"/>
                      </w:rPr>
                      <w:t>(%)</w:t>
                    </w:r>
                  </w:p>
                </w:tc>
              </w:sdtContent>
            </w:sdt>
            <w:sdt>
              <w:sdtPr>
                <w:tag w:val="_PLD_cf8d3caaf1bc4b2eb15a4b6e1b823368"/>
                <w:id w:val="1524127883"/>
                <w:lock w:val="sdtLocked"/>
              </w:sdtPr>
              <w:sdtContent>
                <w:tc>
                  <w:tcPr>
                    <w:tcW w:w="1154" w:type="pct"/>
                    <w:vAlign w:val="center"/>
                  </w:tcPr>
                  <w:p>
                    <w:pPr>
                      <w:widowControl w:val="0"/>
                      <w:kinsoku w:val="0"/>
                      <w:overflowPunct w:val="0"/>
                      <w:autoSpaceDE w:val="0"/>
                      <w:autoSpaceDN w:val="0"/>
                      <w:adjustRightInd w:val="0"/>
                      <w:snapToGrid w:val="0"/>
                      <w:jc w:val="center"/>
                      <w:rPr>
                        <w:szCs w:val="21"/>
                      </w:rPr>
                    </w:pPr>
                    <w:r>
                      <w:rPr>
                        <w:rFonts w:hint="eastAsia"/>
                        <w:szCs w:val="21"/>
                      </w:rPr>
                      <w:t>2019年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szCs w:val="21"/>
                </w:rPr>
                <w:tag w:val="_PLD_e6322632b3594caeab1c5a7755e81efc"/>
                <w:id w:val="557291806"/>
                <w:lock w:val="sdtLocked"/>
              </w:sdtPr>
              <w:sdtEndPr>
                <w:rPr>
                  <w:rFonts w:ascii="Times New Roman" w:hAnsi="Times New Roman"/>
                  <w:szCs w:val="21"/>
                </w:rPr>
              </w:sdtEndPr>
              <w:sdtContent>
                <w:tc>
                  <w:tcPr>
                    <w:tcW w:w="1071" w:type="pct"/>
                  </w:tcPr>
                  <w:p>
                    <w:pPr>
                      <w:widowControl w:val="0"/>
                      <w:kinsoku w:val="0"/>
                      <w:overflowPunct w:val="0"/>
                      <w:autoSpaceDE w:val="0"/>
                      <w:autoSpaceDN w:val="0"/>
                      <w:adjustRightInd w:val="0"/>
                      <w:snapToGrid w:val="0"/>
                      <w:jc w:val="both"/>
                      <w:rPr>
                        <w:szCs w:val="21"/>
                      </w:rPr>
                    </w:pPr>
                    <w:r>
                      <w:rPr>
                        <w:rFonts w:hint="eastAsia"/>
                        <w:szCs w:val="21"/>
                      </w:rPr>
                      <w:t>营业收入</w:t>
                    </w:r>
                  </w:p>
                </w:tc>
              </w:sdtContent>
            </w:sdt>
            <w:tc>
              <w:tcPr>
                <w:tcW w:w="1159" w:type="pct"/>
                <w:vAlign w:val="center"/>
              </w:tcPr>
              <w:p>
                <w:pPr>
                  <w:widowControl w:val="0"/>
                  <w:jc w:val="right"/>
                  <w:rPr>
                    <w:szCs w:val="21"/>
                  </w:rPr>
                </w:pPr>
                <w:r>
                  <w:rPr>
                    <w:szCs w:val="21"/>
                  </w:rPr>
                  <w:t>3,977,224,819.19</w:t>
                </w:r>
              </w:p>
            </w:tc>
            <w:tc>
              <w:tcPr>
                <w:tcW w:w="1154" w:type="pct"/>
                <w:vAlign w:val="center"/>
              </w:tcPr>
              <w:p>
                <w:pPr>
                  <w:widowControl w:val="0"/>
                  <w:jc w:val="right"/>
                  <w:rPr>
                    <w:szCs w:val="21"/>
                  </w:rPr>
                </w:pPr>
                <w:r>
                  <w:rPr>
                    <w:szCs w:val="21"/>
                  </w:rPr>
                  <w:t>3,637,106,063.44</w:t>
                </w:r>
              </w:p>
            </w:tc>
            <w:tc>
              <w:tcPr>
                <w:tcW w:w="461" w:type="pct"/>
                <w:vAlign w:val="center"/>
              </w:tcPr>
              <w:p>
                <w:pPr>
                  <w:widowControl w:val="0"/>
                  <w:jc w:val="center"/>
                  <w:rPr>
                    <w:szCs w:val="21"/>
                  </w:rPr>
                </w:pPr>
                <w:r>
                  <w:rPr>
                    <w:szCs w:val="21"/>
                  </w:rPr>
                  <w:t>9.35</w:t>
                </w:r>
              </w:p>
            </w:tc>
            <w:tc>
              <w:tcPr>
                <w:tcW w:w="1154" w:type="pct"/>
                <w:vAlign w:val="center"/>
              </w:tcPr>
              <w:p>
                <w:pPr>
                  <w:widowControl w:val="0"/>
                  <w:jc w:val="right"/>
                  <w:rPr>
                    <w:szCs w:val="21"/>
                  </w:rPr>
                </w:pPr>
                <w:r>
                  <w:rPr>
                    <w:szCs w:val="21"/>
                  </w:rPr>
                  <w:t>7,449,773,246.68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szCs w:val="21"/>
                </w:rPr>
                <w:tag w:val="_PLD_17d11c2d9b33405b9045eb7589e09eec"/>
                <w:id w:val="1771277285"/>
                <w:lock w:val="sdtLocked"/>
              </w:sdtPr>
              <w:sdtEndPr>
                <w:rPr>
                  <w:rFonts w:ascii="Times New Roman" w:hAnsi="Times New Roman"/>
                  <w:szCs w:val="21"/>
                </w:rPr>
              </w:sdtEndPr>
              <w:sdtContent>
                <w:tc>
                  <w:tcPr>
                    <w:tcW w:w="1071" w:type="pct"/>
                  </w:tcPr>
                  <w:p>
                    <w:pPr>
                      <w:widowControl w:val="0"/>
                      <w:kinsoku w:val="0"/>
                      <w:overflowPunct w:val="0"/>
                      <w:autoSpaceDE w:val="0"/>
                      <w:autoSpaceDN w:val="0"/>
                      <w:adjustRightInd w:val="0"/>
                      <w:snapToGrid w:val="0"/>
                      <w:jc w:val="both"/>
                      <w:rPr>
                        <w:szCs w:val="21"/>
                      </w:rPr>
                    </w:pPr>
                    <w:r>
                      <w:rPr>
                        <w:rFonts w:hint="eastAsia"/>
                        <w:szCs w:val="21"/>
                      </w:rPr>
                      <w:t>归属于上市公司股东的净利润</w:t>
                    </w:r>
                  </w:p>
                </w:tc>
              </w:sdtContent>
            </w:sdt>
            <w:tc>
              <w:tcPr>
                <w:tcW w:w="1159" w:type="pct"/>
                <w:vAlign w:val="center"/>
              </w:tcPr>
              <w:p>
                <w:pPr>
                  <w:widowControl w:val="0"/>
                  <w:jc w:val="right"/>
                  <w:rPr>
                    <w:sz w:val="24"/>
                  </w:rPr>
                </w:pPr>
                <w:r>
                  <w:t>55,642,068.60</w:t>
                </w:r>
              </w:p>
            </w:tc>
            <w:tc>
              <w:tcPr>
                <w:tcW w:w="1154" w:type="pct"/>
                <w:vAlign w:val="center"/>
              </w:tcPr>
              <w:p>
                <w:pPr>
                  <w:widowControl w:val="0"/>
                  <w:jc w:val="right"/>
                  <w:rPr>
                    <w:szCs w:val="21"/>
                  </w:rPr>
                </w:pPr>
                <w:r>
                  <w:rPr>
                    <w:szCs w:val="21"/>
                  </w:rPr>
                  <w:t>58,103,794.46</w:t>
                </w:r>
              </w:p>
            </w:tc>
            <w:tc>
              <w:tcPr>
                <w:tcW w:w="461" w:type="pct"/>
                <w:vAlign w:val="center"/>
              </w:tcPr>
              <w:p>
                <w:pPr>
                  <w:widowControl w:val="0"/>
                  <w:jc w:val="center"/>
                  <w:rPr>
                    <w:szCs w:val="21"/>
                  </w:rPr>
                </w:pPr>
                <w:r>
                  <w:rPr>
                    <w:szCs w:val="21"/>
                  </w:rPr>
                  <w:t>-4.</w:t>
                </w:r>
                <w:r>
                  <w:rPr>
                    <w:rFonts w:hint="eastAsia"/>
                    <w:szCs w:val="21"/>
                  </w:rPr>
                  <w:t>24</w:t>
                </w:r>
              </w:p>
            </w:tc>
            <w:tc>
              <w:tcPr>
                <w:tcW w:w="1154" w:type="pct"/>
                <w:vAlign w:val="center"/>
              </w:tcPr>
              <w:p>
                <w:pPr>
                  <w:widowControl w:val="0"/>
                  <w:jc w:val="right"/>
                  <w:rPr>
                    <w:szCs w:val="21"/>
                  </w:rPr>
                </w:pPr>
                <w:r>
                  <w:rPr>
                    <w:szCs w:val="21"/>
                  </w:rPr>
                  <w:t>-4,682,082,431.10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szCs w:val="21"/>
                </w:rPr>
                <w:tag w:val="_PLD_2edc3c137a564aba88618b0231d4f232"/>
                <w:id w:val="1002246565"/>
                <w:lock w:val="sdtLocked"/>
              </w:sdtPr>
              <w:sdtEndPr>
                <w:rPr>
                  <w:rFonts w:ascii="Times New Roman" w:hAnsi="Times New Roman"/>
                  <w:szCs w:val="21"/>
                </w:rPr>
              </w:sdtEndPr>
              <w:sdtContent>
                <w:tc>
                  <w:tcPr>
                    <w:tcW w:w="1071" w:type="pct"/>
                  </w:tcPr>
                  <w:p>
                    <w:pPr>
                      <w:widowControl w:val="0"/>
                      <w:kinsoku w:val="0"/>
                      <w:overflowPunct w:val="0"/>
                      <w:autoSpaceDE w:val="0"/>
                      <w:autoSpaceDN w:val="0"/>
                      <w:adjustRightInd w:val="0"/>
                      <w:snapToGrid w:val="0"/>
                      <w:jc w:val="both"/>
                      <w:rPr>
                        <w:szCs w:val="21"/>
                      </w:rPr>
                    </w:pPr>
                    <w:r>
                      <w:rPr>
                        <w:rFonts w:hint="eastAsia"/>
                        <w:szCs w:val="21"/>
                      </w:rPr>
                      <w:t>归属于上市公司股东的扣除非经常性损益的净利润</w:t>
                    </w:r>
                  </w:p>
                </w:tc>
              </w:sdtContent>
            </w:sdt>
            <w:tc>
              <w:tcPr>
                <w:tcW w:w="1159" w:type="pct"/>
                <w:vAlign w:val="center"/>
              </w:tcPr>
              <w:p>
                <w:pPr>
                  <w:widowControl w:val="0"/>
                  <w:jc w:val="right"/>
                  <w:rPr>
                    <w:sz w:val="24"/>
                  </w:rPr>
                </w:pPr>
                <w:r>
                  <w:t>-36,499,528.88</w:t>
                </w:r>
              </w:p>
            </w:tc>
            <w:tc>
              <w:tcPr>
                <w:tcW w:w="1154" w:type="pct"/>
                <w:vAlign w:val="center"/>
              </w:tcPr>
              <w:p>
                <w:pPr>
                  <w:widowControl w:val="0"/>
                  <w:jc w:val="right"/>
                  <w:rPr>
                    <w:szCs w:val="21"/>
                  </w:rPr>
                </w:pPr>
                <w:r>
                  <w:rPr>
                    <w:szCs w:val="21"/>
                  </w:rPr>
                  <w:t>-6,334,033,625.68</w:t>
                </w:r>
              </w:p>
            </w:tc>
            <w:tc>
              <w:tcPr>
                <w:tcW w:w="461" w:type="pct"/>
                <w:vAlign w:val="center"/>
              </w:tcPr>
              <w:p>
                <w:pPr>
                  <w:widowControl w:val="0"/>
                  <w:ind w:right="105"/>
                  <w:jc w:val="center"/>
                  <w:rPr>
                    <w:szCs w:val="21"/>
                  </w:rPr>
                </w:pPr>
                <w:r>
                  <w:rPr>
                    <w:rFonts w:hint="eastAsia"/>
                    <w:szCs w:val="21"/>
                  </w:rPr>
                  <w:t>不适用</w:t>
                </w:r>
              </w:p>
            </w:tc>
            <w:tc>
              <w:tcPr>
                <w:tcW w:w="1154" w:type="pct"/>
                <w:vAlign w:val="center"/>
              </w:tcPr>
              <w:p>
                <w:pPr>
                  <w:widowControl w:val="0"/>
                  <w:jc w:val="right"/>
                  <w:rPr>
                    <w:szCs w:val="21"/>
                  </w:rPr>
                </w:pPr>
                <w:r>
                  <w:rPr>
                    <w:szCs w:val="21"/>
                  </w:rPr>
                  <w:t>-4,395,212,111.65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rPr>
                  <w:rFonts w:ascii="Times New Roman" w:hAnsi="Times New Roman"/>
                  <w:szCs w:val="21"/>
                </w:rPr>
                <w:tag w:val="_PLD_e26583adfa0643ac904634eeb576245b"/>
                <w:id w:val="965625290"/>
                <w:lock w:val="sdtLocked"/>
              </w:sdtPr>
              <w:sdtEndPr>
                <w:rPr>
                  <w:rFonts w:ascii="Times New Roman" w:hAnsi="Times New Roman"/>
                  <w:szCs w:val="21"/>
                </w:rPr>
              </w:sdtEndPr>
              <w:sdtContent>
                <w:tc>
                  <w:tcPr>
                    <w:tcW w:w="1071" w:type="pct"/>
                  </w:tcPr>
                  <w:p>
                    <w:pPr>
                      <w:widowControl w:val="0"/>
                      <w:kinsoku w:val="0"/>
                      <w:overflowPunct w:val="0"/>
                      <w:autoSpaceDE w:val="0"/>
                      <w:autoSpaceDN w:val="0"/>
                      <w:adjustRightInd w:val="0"/>
                      <w:snapToGrid w:val="0"/>
                      <w:jc w:val="both"/>
                      <w:rPr>
                        <w:szCs w:val="21"/>
                        <w:highlight w:val="magenta"/>
                      </w:rPr>
                    </w:pPr>
                    <w:r>
                      <w:rPr>
                        <w:rFonts w:hint="eastAsia"/>
                        <w:szCs w:val="21"/>
                      </w:rPr>
                      <w:t>经营活动产生的现金流量净额</w:t>
                    </w:r>
                  </w:p>
                </w:tc>
              </w:sdtContent>
            </w:sdt>
            <w:tc>
              <w:tcPr>
                <w:tcW w:w="1159" w:type="pct"/>
                <w:vAlign w:val="center"/>
              </w:tcPr>
              <w:p>
                <w:pPr>
                  <w:widowControl w:val="0"/>
                  <w:jc w:val="right"/>
                  <w:rPr>
                    <w:szCs w:val="21"/>
                  </w:rPr>
                </w:pPr>
                <w:r>
                  <w:rPr>
                    <w:szCs w:val="21"/>
                  </w:rPr>
                  <w:t>375,500,566.85</w:t>
                </w:r>
              </w:p>
            </w:tc>
            <w:tc>
              <w:tcPr>
                <w:tcW w:w="1154" w:type="pct"/>
                <w:vAlign w:val="center"/>
              </w:tcPr>
              <w:p>
                <w:pPr>
                  <w:widowControl w:val="0"/>
                  <w:jc w:val="right"/>
                  <w:rPr>
                    <w:szCs w:val="21"/>
                  </w:rPr>
                </w:pPr>
                <w:r>
                  <w:rPr>
                    <w:szCs w:val="21"/>
                  </w:rPr>
                  <w:t>234,608,073.45</w:t>
                </w:r>
              </w:p>
            </w:tc>
            <w:tc>
              <w:tcPr>
                <w:tcW w:w="461" w:type="pct"/>
                <w:vAlign w:val="center"/>
              </w:tcPr>
              <w:p>
                <w:pPr>
                  <w:widowControl w:val="0"/>
                  <w:jc w:val="center"/>
                  <w:rPr>
                    <w:szCs w:val="21"/>
                  </w:rPr>
                </w:pPr>
                <w:r>
                  <w:rPr>
                    <w:szCs w:val="21"/>
                  </w:rPr>
                  <w:t>60.05</w:t>
                </w:r>
              </w:p>
            </w:tc>
            <w:tc>
              <w:tcPr>
                <w:tcW w:w="1154" w:type="pct"/>
                <w:vAlign w:val="center"/>
              </w:tcPr>
              <w:p>
                <w:pPr>
                  <w:widowControl w:val="0"/>
                  <w:jc w:val="right"/>
                  <w:rPr>
                    <w:szCs w:val="21"/>
                  </w:rPr>
                </w:pPr>
                <w:r>
                  <w:rPr>
                    <w:szCs w:val="21"/>
                  </w:rPr>
                  <w:t>-1,130,814,076.33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71" w:type="pct"/>
              </w:tcPr>
              <w:p>
                <w:pPr>
                  <w:widowControl w:val="0"/>
                  <w:kinsoku w:val="0"/>
                  <w:overflowPunct w:val="0"/>
                  <w:autoSpaceDE w:val="0"/>
                  <w:autoSpaceDN w:val="0"/>
                  <w:adjustRightInd w:val="0"/>
                  <w:snapToGrid w:val="0"/>
                  <w:jc w:val="both"/>
                  <w:rPr>
                    <w:szCs w:val="21"/>
                  </w:rPr>
                </w:pPr>
              </w:p>
            </w:tc>
            <w:sdt>
              <w:sdtPr>
                <w:rPr>
                  <w:rFonts w:ascii="Times New Roman" w:hAnsi="Times New Roman"/>
                  <w:szCs w:val="21"/>
                </w:rPr>
                <w:tag w:val="_PLD_8b9fbdc9e2634c6292801d605b122b71"/>
                <w:id w:val="-450324814"/>
                <w:lock w:val="sdtLocked"/>
              </w:sdtPr>
              <w:sdtEndPr>
                <w:rPr>
                  <w:rFonts w:ascii="Times New Roman" w:hAnsi="Times New Roman"/>
                  <w:szCs w:val="21"/>
                </w:rPr>
              </w:sdtEndPr>
              <w:sdtContent>
                <w:tc>
                  <w:tcPr>
                    <w:tcW w:w="1159" w:type="pct"/>
                    <w:vAlign w:val="center"/>
                  </w:tcPr>
                  <w:p>
                    <w:pPr>
                      <w:widowControl w:val="0"/>
                      <w:kinsoku w:val="0"/>
                      <w:overflowPunct w:val="0"/>
                      <w:autoSpaceDE w:val="0"/>
                      <w:autoSpaceDN w:val="0"/>
                      <w:adjustRightInd w:val="0"/>
                      <w:snapToGrid w:val="0"/>
                      <w:jc w:val="center"/>
                      <w:rPr>
                        <w:szCs w:val="21"/>
                      </w:rPr>
                    </w:pPr>
                    <w:r>
                      <w:rPr>
                        <w:rFonts w:hint="eastAsia"/>
                        <w:szCs w:val="21"/>
                      </w:rPr>
                      <w:t>2021年</w:t>
                    </w:r>
                    <w:r>
                      <w:rPr>
                        <w:szCs w:val="21"/>
                      </w:rPr>
                      <w:t>末</w:t>
                    </w:r>
                  </w:p>
                </w:tc>
              </w:sdtContent>
            </w:sdt>
            <w:sdt>
              <w:sdtPr>
                <w:rPr>
                  <w:rFonts w:ascii="Times New Roman" w:hAnsi="Times New Roman"/>
                  <w:szCs w:val="21"/>
                </w:rPr>
                <w:tag w:val="_PLD_81e66f862753453685ceebbc3f216adb"/>
                <w:id w:val="-2008275451"/>
                <w:lock w:val="sdtLocked"/>
              </w:sdtPr>
              <w:sdtEndPr>
                <w:rPr>
                  <w:rFonts w:ascii="Times New Roman" w:hAnsi="Times New Roman"/>
                  <w:szCs w:val="21"/>
                </w:rPr>
              </w:sdtEndPr>
              <w:sdtContent>
                <w:tc>
                  <w:tcPr>
                    <w:tcW w:w="1154" w:type="pct"/>
                    <w:vAlign w:val="center"/>
                  </w:tcPr>
                  <w:p>
                    <w:pPr>
                      <w:widowControl w:val="0"/>
                      <w:kinsoku w:val="0"/>
                      <w:overflowPunct w:val="0"/>
                      <w:autoSpaceDE w:val="0"/>
                      <w:autoSpaceDN w:val="0"/>
                      <w:adjustRightInd w:val="0"/>
                      <w:snapToGrid w:val="0"/>
                      <w:jc w:val="center"/>
                      <w:rPr>
                        <w:szCs w:val="21"/>
                      </w:rPr>
                    </w:pPr>
                    <w:r>
                      <w:rPr>
                        <w:rFonts w:hint="eastAsia"/>
                        <w:szCs w:val="21"/>
                      </w:rPr>
                      <w:t>2020年</w:t>
                    </w:r>
                    <w:r>
                      <w:rPr>
                        <w:szCs w:val="21"/>
                      </w:rPr>
                      <w:t>末</w:t>
                    </w:r>
                  </w:p>
                </w:tc>
              </w:sdtContent>
            </w:sdt>
            <w:sdt>
              <w:sdtPr>
                <w:rPr>
                  <w:rFonts w:ascii="Times New Roman" w:hAnsi="Times New Roman"/>
                  <w:szCs w:val="21"/>
                </w:rPr>
                <w:tag w:val="_PLD_eccdaa2d1ee940be88fdba6d8a4ef55d"/>
                <w:id w:val="-673650869"/>
                <w:lock w:val="sdtLocked"/>
              </w:sdtPr>
              <w:sdtEndPr>
                <w:rPr>
                  <w:rFonts w:ascii="Times New Roman" w:hAnsi="Times New Roman"/>
                  <w:szCs w:val="21"/>
                </w:rPr>
              </w:sdtEndPr>
              <w:sdtContent>
                <w:tc>
                  <w:tcPr>
                    <w:tcW w:w="461" w:type="pct"/>
                    <w:vAlign w:val="center"/>
                  </w:tcPr>
                  <w:p>
                    <w:pPr>
                      <w:widowControl w:val="0"/>
                      <w:kinsoku w:val="0"/>
                      <w:overflowPunct w:val="0"/>
                      <w:autoSpaceDE w:val="0"/>
                      <w:autoSpaceDN w:val="0"/>
                      <w:adjustRightInd w:val="0"/>
                      <w:snapToGrid w:val="0"/>
                      <w:jc w:val="center"/>
                      <w:rPr>
                        <w:szCs w:val="21"/>
                      </w:rPr>
                    </w:pPr>
                    <w:r>
                      <w:rPr>
                        <w:szCs w:val="21"/>
                      </w:rPr>
                      <w:t>本期末比上年同期末增减（</w:t>
                    </w:r>
                    <w:r>
                      <w:rPr>
                        <w:rFonts w:hint="eastAsia"/>
                        <w:szCs w:val="21"/>
                      </w:rPr>
                      <w:t>%</w:t>
                    </w:r>
                    <w:r>
                      <w:rPr>
                        <w:szCs w:val="21"/>
                      </w:rPr>
                      <w:t>）</w:t>
                    </w:r>
                  </w:p>
                </w:tc>
              </w:sdtContent>
            </w:sdt>
            <w:sdt>
              <w:sdtPr>
                <w:rPr>
                  <w:rFonts w:ascii="Times New Roman" w:hAnsi="Times New Roman"/>
                  <w:szCs w:val="21"/>
                </w:rPr>
                <w:tag w:val="_PLD_3af4b93afaec4509befbcf4b19db9883"/>
                <w:id w:val="-2122215159"/>
                <w:lock w:val="sdtLocked"/>
              </w:sdtPr>
              <w:sdtEndPr>
                <w:rPr>
                  <w:rFonts w:ascii="Times New Roman" w:hAnsi="Times New Roman"/>
                  <w:szCs w:val="21"/>
                </w:rPr>
              </w:sdtEndPr>
              <w:sdtContent>
                <w:tc>
                  <w:tcPr>
                    <w:tcW w:w="1154" w:type="pct"/>
                    <w:vAlign w:val="center"/>
                  </w:tcPr>
                  <w:p>
                    <w:pPr>
                      <w:widowControl w:val="0"/>
                      <w:kinsoku w:val="0"/>
                      <w:overflowPunct w:val="0"/>
                      <w:autoSpaceDE w:val="0"/>
                      <w:autoSpaceDN w:val="0"/>
                      <w:adjustRightInd w:val="0"/>
                      <w:snapToGrid w:val="0"/>
                      <w:jc w:val="center"/>
                      <w:rPr>
                        <w:szCs w:val="21"/>
                      </w:rPr>
                    </w:pPr>
                    <w:r>
                      <w:rPr>
                        <w:rFonts w:hint="eastAsia"/>
                        <w:szCs w:val="21"/>
                      </w:rPr>
                      <w:t>2019年末</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257117f05a44030bdc03ae8e5b21a70"/>
                <w:id w:val="1927141292"/>
                <w:lock w:val="sdtLocked"/>
              </w:sdtPr>
              <w:sdtContent>
                <w:tc>
                  <w:tcPr>
                    <w:tcW w:w="1071" w:type="pct"/>
                  </w:tcPr>
                  <w:p>
                    <w:pPr>
                      <w:widowControl w:val="0"/>
                      <w:kinsoku w:val="0"/>
                      <w:overflowPunct w:val="0"/>
                      <w:autoSpaceDE w:val="0"/>
                      <w:autoSpaceDN w:val="0"/>
                      <w:adjustRightInd w:val="0"/>
                      <w:snapToGrid w:val="0"/>
                      <w:jc w:val="both"/>
                      <w:rPr>
                        <w:szCs w:val="21"/>
                      </w:rPr>
                    </w:pPr>
                    <w:r>
                      <w:rPr>
                        <w:rFonts w:hint="eastAsia"/>
                        <w:szCs w:val="21"/>
                      </w:rPr>
                      <w:t>归属于上市公司股东的净资产</w:t>
                    </w:r>
                  </w:p>
                </w:tc>
              </w:sdtContent>
            </w:sdt>
            <w:tc>
              <w:tcPr>
                <w:tcW w:w="1159" w:type="pct"/>
                <w:vAlign w:val="center"/>
              </w:tcPr>
              <w:p>
                <w:pPr>
                  <w:widowControl w:val="0"/>
                  <w:jc w:val="right"/>
                  <w:rPr>
                    <w:sz w:val="24"/>
                  </w:rPr>
                </w:pPr>
                <w:r>
                  <w:t>10,169,667,235.29</w:t>
                </w:r>
              </w:p>
            </w:tc>
            <w:tc>
              <w:tcPr>
                <w:tcW w:w="1154" w:type="pct"/>
                <w:vAlign w:val="center"/>
              </w:tcPr>
              <w:p>
                <w:pPr>
                  <w:widowControl w:val="0"/>
                  <w:jc w:val="right"/>
                </w:pPr>
                <w:r>
                  <w:t>10,075,401,049.68</w:t>
                </w:r>
              </w:p>
            </w:tc>
            <w:tc>
              <w:tcPr>
                <w:tcW w:w="461" w:type="pct"/>
                <w:vAlign w:val="center"/>
              </w:tcPr>
              <w:p>
                <w:pPr>
                  <w:widowControl w:val="0"/>
                  <w:jc w:val="center"/>
                  <w:rPr>
                    <w:sz w:val="24"/>
                  </w:rPr>
                </w:pPr>
                <w:r>
                  <w:t>0.</w:t>
                </w:r>
                <w:r>
                  <w:rPr>
                    <w:rFonts w:hint="eastAsia"/>
                  </w:rPr>
                  <w:t>94</w:t>
                </w:r>
              </w:p>
            </w:tc>
            <w:tc>
              <w:tcPr>
                <w:tcW w:w="1154" w:type="pct"/>
                <w:vAlign w:val="center"/>
              </w:tcPr>
              <w:p>
                <w:pPr>
                  <w:widowControl w:val="0"/>
                  <w:jc w:val="right"/>
                </w:pPr>
                <w:r>
                  <w:t>2,744,301,895.20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d1128ab6991472fb0ba6892584a4be8"/>
                <w:id w:val="1491976766"/>
                <w:lock w:val="sdtLocked"/>
              </w:sdtPr>
              <w:sdtContent>
                <w:tc>
                  <w:tcPr>
                    <w:tcW w:w="1071" w:type="pct"/>
                  </w:tcPr>
                  <w:p>
                    <w:pPr>
                      <w:widowControl w:val="0"/>
                      <w:kinsoku w:val="0"/>
                      <w:overflowPunct w:val="0"/>
                      <w:autoSpaceDE w:val="0"/>
                      <w:autoSpaceDN w:val="0"/>
                      <w:adjustRightInd w:val="0"/>
                      <w:snapToGrid w:val="0"/>
                      <w:jc w:val="both"/>
                      <w:rPr>
                        <w:szCs w:val="21"/>
                      </w:rPr>
                    </w:pPr>
                    <w:r>
                      <w:rPr>
                        <w:rFonts w:hint="eastAsia"/>
                        <w:szCs w:val="21"/>
                      </w:rPr>
                      <w:t>总资产</w:t>
                    </w:r>
                  </w:p>
                </w:tc>
              </w:sdtContent>
            </w:sdt>
            <w:tc>
              <w:tcPr>
                <w:tcW w:w="1159" w:type="pct"/>
                <w:vAlign w:val="center"/>
              </w:tcPr>
              <w:p>
                <w:pPr>
                  <w:widowControl w:val="0"/>
                  <w:jc w:val="right"/>
                  <w:rPr>
                    <w:sz w:val="24"/>
                  </w:rPr>
                </w:pPr>
                <w:r>
                  <w:t>17,632,139,211.56</w:t>
                </w:r>
              </w:p>
            </w:tc>
            <w:tc>
              <w:tcPr>
                <w:tcW w:w="1154" w:type="pct"/>
                <w:vAlign w:val="center"/>
              </w:tcPr>
              <w:p>
                <w:pPr>
                  <w:widowControl w:val="0"/>
                  <w:jc w:val="right"/>
                </w:pPr>
                <w:r>
                  <w:t>17,940,503,453.10</w:t>
                </w:r>
              </w:p>
            </w:tc>
            <w:tc>
              <w:tcPr>
                <w:tcW w:w="461" w:type="pct"/>
                <w:vAlign w:val="center"/>
              </w:tcPr>
              <w:p>
                <w:pPr>
                  <w:widowControl w:val="0"/>
                  <w:jc w:val="center"/>
                </w:pPr>
                <w:r>
                  <w:t>-1.</w:t>
                </w:r>
                <w:r>
                  <w:rPr>
                    <w:rFonts w:hint="eastAsia"/>
                  </w:rPr>
                  <w:t>72</w:t>
                </w:r>
              </w:p>
            </w:tc>
            <w:tc>
              <w:tcPr>
                <w:tcW w:w="1154" w:type="pct"/>
                <w:vAlign w:val="center"/>
              </w:tcPr>
              <w:p>
                <w:pPr>
                  <w:widowControl w:val="0"/>
                  <w:jc w:val="right"/>
                </w:pPr>
                <w:r>
                  <w:t>19,406,963,090.67</w:t>
                </w:r>
              </w:p>
            </w:tc>
          </w:tr>
        </w:tbl>
        <w:p/>
        <w:p/>
      </w:sdtContent>
    </w:sdt>
    <w:p>
      <w:pPr>
        <w:pStyle w:val="4"/>
        <w:numPr>
          <w:ilvl w:val="1"/>
          <w:numId w:val="5"/>
        </w:numPr>
        <w:rPr>
          <w:rFonts w:ascii="宋体" w:hAnsi="宋体"/>
          <w:szCs w:val="21"/>
        </w:rPr>
      </w:pPr>
      <w:r>
        <w:t>主要财务指标</w:t>
      </w:r>
    </w:p>
    <w:sdt>
      <w:sdtPr>
        <w:rPr>
          <w:szCs w:val="21"/>
        </w:rPr>
        <w:alias w:val="选项模块:主要财务指标(无追溯)"/>
        <w:tag w:val="_SEC_ca679c431b23410b8002c2ae2c543dab"/>
        <w:id w:val="945194723"/>
        <w:lock w:val="sdtLocked"/>
        <w:placeholder>
          <w:docPart w:val="GBC22222222222222222222222222222"/>
        </w:placeholder>
      </w:sdtPr>
      <w:sdtEndPr>
        <w:rPr>
          <w:szCs w:val="24"/>
        </w:rPr>
      </w:sdtEndPr>
      <w:sdtConten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78"/>
            <w:gridCol w:w="1198"/>
            <w:gridCol w:w="1309"/>
            <w:gridCol w:w="2619"/>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Cs w:val="21"/>
                </w:rPr>
                <w:tag w:val="_PLD_a5c59cd3e5544374a4bd7ceda5f62092"/>
                <w:id w:val="1710144270"/>
                <w:lock w:val="sdtLocked"/>
              </w:sdtPr>
              <w:sdtEndPr>
                <w:rPr>
                  <w:rFonts w:ascii="Times New Roman" w:hAnsi="Times New Roman"/>
                  <w:szCs w:val="24"/>
                </w:rPr>
              </w:sdtEndPr>
              <w:sdtContent>
                <w:tc>
                  <w:tcPr>
                    <w:tcW w:w="1765" w:type="pct"/>
                    <w:vAlign w:val="center"/>
                  </w:tcPr>
                  <w:p>
                    <w:pPr>
                      <w:widowControl w:val="0"/>
                      <w:kinsoku w:val="0"/>
                      <w:overflowPunct w:val="0"/>
                      <w:autoSpaceDE w:val="0"/>
                      <w:autoSpaceDN w:val="0"/>
                      <w:adjustRightInd w:val="0"/>
                      <w:snapToGrid w:val="0"/>
                      <w:jc w:val="center"/>
                      <w:rPr>
                        <w:szCs w:val="21"/>
                      </w:rPr>
                    </w:pPr>
                    <w:r>
                      <w:rPr>
                        <w:szCs w:val="21"/>
                      </w:rPr>
                      <w:t>主要财务指标</w:t>
                    </w:r>
                  </w:p>
                </w:tc>
              </w:sdtContent>
            </w:sdt>
            <w:sdt>
              <w:sdtPr>
                <w:tag w:val="_PLD_1a1e4f34f77949538a9c656b241499b6"/>
                <w:id w:val="1974782864"/>
                <w:lock w:val="sdtLocked"/>
              </w:sdtPr>
              <w:sdtContent>
                <w:tc>
                  <w:tcPr>
                    <w:tcW w:w="645" w:type="pct"/>
                    <w:vAlign w:val="center"/>
                  </w:tcPr>
                  <w:p>
                    <w:pPr>
                      <w:widowControl w:val="0"/>
                      <w:kinsoku w:val="0"/>
                      <w:overflowPunct w:val="0"/>
                      <w:autoSpaceDE w:val="0"/>
                      <w:autoSpaceDN w:val="0"/>
                      <w:adjustRightInd w:val="0"/>
                      <w:snapToGrid w:val="0"/>
                      <w:jc w:val="center"/>
                      <w:rPr>
                        <w:szCs w:val="21"/>
                      </w:rPr>
                    </w:pPr>
                    <w:r>
                      <w:rPr>
                        <w:rFonts w:hint="eastAsia"/>
                        <w:szCs w:val="21"/>
                      </w:rPr>
                      <w:t>2021年</w:t>
                    </w:r>
                  </w:p>
                </w:tc>
              </w:sdtContent>
            </w:sdt>
            <w:sdt>
              <w:sdtPr>
                <w:tag w:val="_PLD_9310148e9c2c4e968f8a8cf7147fc9a7"/>
                <w:id w:val="-1402437232"/>
                <w:lock w:val="sdtLocked"/>
              </w:sdtPr>
              <w:sdtContent>
                <w:tc>
                  <w:tcPr>
                    <w:tcW w:w="705" w:type="pct"/>
                    <w:vAlign w:val="center"/>
                  </w:tcPr>
                  <w:p>
                    <w:pPr>
                      <w:widowControl w:val="0"/>
                      <w:kinsoku w:val="0"/>
                      <w:overflowPunct w:val="0"/>
                      <w:autoSpaceDE w:val="0"/>
                      <w:autoSpaceDN w:val="0"/>
                      <w:adjustRightInd w:val="0"/>
                      <w:snapToGrid w:val="0"/>
                      <w:jc w:val="center"/>
                      <w:rPr>
                        <w:szCs w:val="21"/>
                      </w:rPr>
                    </w:pPr>
                    <w:r>
                      <w:rPr>
                        <w:rFonts w:hint="eastAsia"/>
                        <w:szCs w:val="21"/>
                      </w:rPr>
                      <w:t>2020年</w:t>
                    </w:r>
                  </w:p>
                </w:tc>
              </w:sdtContent>
            </w:sdt>
            <w:sdt>
              <w:sdtPr>
                <w:tag w:val="_PLD_5901f5518cb6434888ae838febb8af68"/>
                <w:id w:val="-575900400"/>
                <w:lock w:val="sdtLocked"/>
              </w:sdtPr>
              <w:sdtContent>
                <w:tc>
                  <w:tcPr>
                    <w:tcW w:w="1410" w:type="pct"/>
                    <w:vAlign w:val="center"/>
                  </w:tcPr>
                  <w:p>
                    <w:pPr>
                      <w:widowControl w:val="0"/>
                      <w:kinsoku w:val="0"/>
                      <w:overflowPunct w:val="0"/>
                      <w:autoSpaceDE w:val="0"/>
                      <w:autoSpaceDN w:val="0"/>
                      <w:adjustRightInd w:val="0"/>
                      <w:snapToGrid w:val="0"/>
                      <w:jc w:val="center"/>
                      <w:rPr>
                        <w:szCs w:val="21"/>
                      </w:rPr>
                    </w:pPr>
                    <w:r>
                      <w:rPr>
                        <w:szCs w:val="21"/>
                      </w:rPr>
                      <w:t>本期比上年同期增减(%)</w:t>
                    </w:r>
                  </w:p>
                </w:tc>
              </w:sdtContent>
            </w:sdt>
            <w:sdt>
              <w:sdtPr>
                <w:tag w:val="_PLD_437266ed462e4dd1873b86621495169c"/>
                <w:id w:val="977266038"/>
                <w:lock w:val="sdtLocked"/>
              </w:sdtPr>
              <w:sdtContent>
                <w:tc>
                  <w:tcPr>
                    <w:tcW w:w="475" w:type="pct"/>
                    <w:vAlign w:val="center"/>
                  </w:tcPr>
                  <w:p>
                    <w:pPr>
                      <w:widowControl w:val="0"/>
                      <w:kinsoku w:val="0"/>
                      <w:overflowPunct w:val="0"/>
                      <w:autoSpaceDE w:val="0"/>
                      <w:autoSpaceDN w:val="0"/>
                      <w:adjustRightInd w:val="0"/>
                      <w:snapToGrid w:val="0"/>
                      <w:jc w:val="center"/>
                      <w:rPr>
                        <w:szCs w:val="21"/>
                      </w:rPr>
                    </w:pPr>
                    <w:r>
                      <w:rPr>
                        <w:rFonts w:hint="eastAsia"/>
                        <w:szCs w:val="21"/>
                      </w:rPr>
                      <w:t>2019年</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2029c032d9941d88b63fd2cb7b877be"/>
                <w:id w:val="1479339518"/>
                <w:lock w:val="sdtLocked"/>
              </w:sdtPr>
              <w:sdtContent>
                <w:tc>
                  <w:tcPr>
                    <w:tcW w:w="1765" w:type="pct"/>
                  </w:tcPr>
                  <w:p>
                    <w:pPr>
                      <w:widowControl w:val="0"/>
                      <w:kinsoku w:val="0"/>
                      <w:overflowPunct w:val="0"/>
                      <w:autoSpaceDE w:val="0"/>
                      <w:autoSpaceDN w:val="0"/>
                      <w:adjustRightInd w:val="0"/>
                      <w:snapToGrid w:val="0"/>
                      <w:jc w:val="both"/>
                      <w:rPr>
                        <w:szCs w:val="21"/>
                      </w:rPr>
                    </w:pPr>
                    <w:r>
                      <w:rPr>
                        <w:szCs w:val="21"/>
                      </w:rPr>
                      <w:t>基本每股收益（元／股）</w:t>
                    </w:r>
                  </w:p>
                </w:tc>
              </w:sdtContent>
            </w:sdt>
            <w:tc>
              <w:tcPr>
                <w:tcW w:w="645" w:type="pct"/>
                <w:vAlign w:val="center"/>
              </w:tcPr>
              <w:p>
                <w:pPr>
                  <w:widowControl w:val="0"/>
                  <w:jc w:val="right"/>
                  <w:rPr>
                    <w:sz w:val="24"/>
                  </w:rPr>
                </w:pPr>
                <w:r>
                  <w:t>0.01</w:t>
                </w:r>
              </w:p>
            </w:tc>
            <w:tc>
              <w:tcPr>
                <w:tcW w:w="705" w:type="pct"/>
                <w:vAlign w:val="center"/>
              </w:tcPr>
              <w:p>
                <w:pPr>
                  <w:widowControl w:val="0"/>
                  <w:jc w:val="right"/>
                </w:pPr>
                <w:r>
                  <w:t>0.04</w:t>
                </w:r>
              </w:p>
            </w:tc>
            <w:tc>
              <w:tcPr>
                <w:tcW w:w="1410" w:type="pct"/>
                <w:vAlign w:val="center"/>
              </w:tcPr>
              <w:p>
                <w:pPr>
                  <w:widowControl w:val="0"/>
                  <w:jc w:val="right"/>
                </w:pPr>
                <w:r>
                  <w:t>-75.00</w:t>
                </w:r>
              </w:p>
            </w:tc>
            <w:tc>
              <w:tcPr>
                <w:tcW w:w="475" w:type="pct"/>
                <w:vAlign w:val="center"/>
              </w:tcPr>
              <w:p>
                <w:pPr>
                  <w:widowControl w:val="0"/>
                  <w:jc w:val="right"/>
                </w:pPr>
                <w: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6ab82e1b1a468183667d9f85129f9f"/>
                <w:id w:val="-1560781479"/>
                <w:lock w:val="sdtLocked"/>
              </w:sdtPr>
              <w:sdtContent>
                <w:tc>
                  <w:tcPr>
                    <w:tcW w:w="1765" w:type="pct"/>
                  </w:tcPr>
                  <w:p>
                    <w:pPr>
                      <w:widowControl w:val="0"/>
                      <w:kinsoku w:val="0"/>
                      <w:overflowPunct w:val="0"/>
                      <w:autoSpaceDE w:val="0"/>
                      <w:autoSpaceDN w:val="0"/>
                      <w:adjustRightInd w:val="0"/>
                      <w:snapToGrid w:val="0"/>
                      <w:jc w:val="both"/>
                      <w:rPr>
                        <w:szCs w:val="21"/>
                      </w:rPr>
                    </w:pPr>
                    <w:r>
                      <w:rPr>
                        <w:szCs w:val="21"/>
                      </w:rPr>
                      <w:t>稀释每股收益（元／股）</w:t>
                    </w:r>
                  </w:p>
                </w:tc>
              </w:sdtContent>
            </w:sdt>
            <w:tc>
              <w:tcPr>
                <w:tcW w:w="645" w:type="pct"/>
                <w:vAlign w:val="center"/>
              </w:tcPr>
              <w:p>
                <w:pPr>
                  <w:widowControl w:val="0"/>
                  <w:jc w:val="right"/>
                </w:pPr>
              </w:p>
            </w:tc>
            <w:tc>
              <w:tcPr>
                <w:tcW w:w="705" w:type="pct"/>
                <w:vAlign w:val="center"/>
              </w:tcPr>
              <w:p>
                <w:pPr>
                  <w:widowControl w:val="0"/>
                  <w:jc w:val="right"/>
                </w:pPr>
              </w:p>
            </w:tc>
            <w:tc>
              <w:tcPr>
                <w:tcW w:w="1410" w:type="pct"/>
                <w:vAlign w:val="center"/>
              </w:tcPr>
              <w:p>
                <w:pPr>
                  <w:widowControl w:val="0"/>
                  <w:jc w:val="right"/>
                </w:pPr>
              </w:p>
            </w:tc>
            <w:tc>
              <w:tcPr>
                <w:tcW w:w="475" w:type="pct"/>
                <w:vAlign w:val="center"/>
              </w:tcPr>
              <w:p>
                <w:pPr>
                  <w:widowControl w:val="0"/>
                  <w:ind w:right="105"/>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a69c7a48d54fb690056285f916f579"/>
                <w:id w:val="1929687035"/>
                <w:lock w:val="sdtLocked"/>
              </w:sdtPr>
              <w:sdtContent>
                <w:tc>
                  <w:tcPr>
                    <w:tcW w:w="1765" w:type="pct"/>
                  </w:tcPr>
                  <w:p>
                    <w:pPr>
                      <w:widowControl w:val="0"/>
                      <w:kinsoku w:val="0"/>
                      <w:overflowPunct w:val="0"/>
                      <w:autoSpaceDE w:val="0"/>
                      <w:autoSpaceDN w:val="0"/>
                      <w:adjustRightInd w:val="0"/>
                      <w:snapToGrid w:val="0"/>
                      <w:jc w:val="both"/>
                      <w:rPr>
                        <w:szCs w:val="21"/>
                      </w:rPr>
                    </w:pPr>
                    <w:r>
                      <w:rPr>
                        <w:szCs w:val="21"/>
                      </w:rPr>
                      <w:t>扣除非经常性损益后的基本每股收益（元／股）</w:t>
                    </w:r>
                  </w:p>
                </w:tc>
              </w:sdtContent>
            </w:sdt>
            <w:tc>
              <w:tcPr>
                <w:tcW w:w="645" w:type="pct"/>
                <w:vAlign w:val="center"/>
              </w:tcPr>
              <w:p>
                <w:pPr>
                  <w:widowControl w:val="0"/>
                  <w:jc w:val="right"/>
                </w:pPr>
                <w:r>
                  <w:rPr>
                    <w:rFonts w:hint="eastAsia"/>
                  </w:rPr>
                  <w:t>-0.01</w:t>
                </w:r>
              </w:p>
            </w:tc>
            <w:tc>
              <w:tcPr>
                <w:tcW w:w="705" w:type="pct"/>
                <w:vAlign w:val="center"/>
              </w:tcPr>
              <w:p>
                <w:pPr>
                  <w:widowControl w:val="0"/>
                  <w:jc w:val="right"/>
                </w:pPr>
                <w:r>
                  <w:t>-4.85</w:t>
                </w:r>
              </w:p>
            </w:tc>
            <w:tc>
              <w:tcPr>
                <w:tcW w:w="1410" w:type="pct"/>
                <w:vAlign w:val="center"/>
              </w:tcPr>
              <w:p>
                <w:pPr>
                  <w:widowControl w:val="0"/>
                  <w:jc w:val="right"/>
                </w:pPr>
                <w:r>
                  <w:rPr>
                    <w:rFonts w:hint="eastAsia"/>
                  </w:rPr>
                  <w:t>不适用</w:t>
                </w:r>
              </w:p>
            </w:tc>
            <w:tc>
              <w:tcPr>
                <w:tcW w:w="475" w:type="pct"/>
                <w:vAlign w:val="center"/>
              </w:tcPr>
              <w:p>
                <w:pPr>
                  <w:widowControl w:val="0"/>
                  <w:jc w:val="right"/>
                </w:pPr>
                <w:r>
                  <w:t>-3.36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3b5ea80f39c406c95219d8487076098"/>
                <w:id w:val="-1697765402"/>
                <w:lock w:val="sdtLocked"/>
              </w:sdtPr>
              <w:sdtContent>
                <w:tc>
                  <w:tcPr>
                    <w:tcW w:w="1765" w:type="pct"/>
                  </w:tcPr>
                  <w:p>
                    <w:pPr>
                      <w:widowControl w:val="0"/>
                      <w:kinsoku w:val="0"/>
                      <w:overflowPunct w:val="0"/>
                      <w:autoSpaceDE w:val="0"/>
                      <w:autoSpaceDN w:val="0"/>
                      <w:adjustRightInd w:val="0"/>
                      <w:snapToGrid w:val="0"/>
                      <w:jc w:val="both"/>
                      <w:rPr>
                        <w:szCs w:val="21"/>
                      </w:rPr>
                    </w:pPr>
                    <w:r>
                      <w:rPr>
                        <w:szCs w:val="21"/>
                      </w:rPr>
                      <w:t>加权平均净资产收益率（%）</w:t>
                    </w:r>
                  </w:p>
                </w:tc>
              </w:sdtContent>
            </w:sdt>
            <w:tc>
              <w:tcPr>
                <w:tcW w:w="645" w:type="pct"/>
                <w:vAlign w:val="center"/>
              </w:tcPr>
              <w:p>
                <w:pPr>
                  <w:widowControl w:val="0"/>
                  <w:jc w:val="right"/>
                </w:pPr>
                <w:r>
                  <w:t>0.55</w:t>
                </w:r>
              </w:p>
            </w:tc>
            <w:tc>
              <w:tcPr>
                <w:tcW w:w="705" w:type="pct"/>
                <w:vAlign w:val="center"/>
              </w:tcPr>
              <w:p>
                <w:pPr>
                  <w:widowControl w:val="0"/>
                  <w:jc w:val="right"/>
                </w:pPr>
                <w:r>
                  <w:t>1.88</w:t>
                </w:r>
              </w:p>
            </w:tc>
            <w:tc>
              <w:tcPr>
                <w:tcW w:w="1410" w:type="pct"/>
                <w:vAlign w:val="center"/>
              </w:tcPr>
              <w:p>
                <w:pPr>
                  <w:widowControl w:val="0"/>
                  <w:jc w:val="right"/>
                </w:pPr>
                <w:r>
                  <w:rPr>
                    <w:rFonts w:hint="eastAsia"/>
                  </w:rPr>
                  <w:t>减少</w:t>
                </w:r>
                <w:r>
                  <w:t>1.33个百分点</w:t>
                </w:r>
              </w:p>
            </w:tc>
            <w:tc>
              <w:tcPr>
                <w:tcW w:w="475" w:type="pct"/>
                <w:vAlign w:val="center"/>
              </w:tcPr>
              <w:p>
                <w:pPr>
                  <w:widowControl w:val="0"/>
                  <w:jc w:val="right"/>
                </w:pPr>
                <w:r>
                  <w:t>-91.61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253a26569144748535d650731774ce"/>
                <w:id w:val="-347489071"/>
                <w:lock w:val="sdtLocked"/>
              </w:sdtPr>
              <w:sdtContent>
                <w:tc>
                  <w:tcPr>
                    <w:tcW w:w="1765" w:type="pct"/>
                  </w:tcPr>
                  <w:p>
                    <w:pPr>
                      <w:widowControl w:val="0"/>
                      <w:kinsoku w:val="0"/>
                      <w:overflowPunct w:val="0"/>
                      <w:autoSpaceDE w:val="0"/>
                      <w:autoSpaceDN w:val="0"/>
                      <w:adjustRightInd w:val="0"/>
                      <w:snapToGrid w:val="0"/>
                      <w:jc w:val="both"/>
                      <w:rPr>
                        <w:szCs w:val="21"/>
                      </w:rPr>
                    </w:pPr>
                    <w:r>
                      <w:rPr>
                        <w:szCs w:val="21"/>
                      </w:rPr>
                      <w:t>扣除非经常性损益后的加权平均净资产收益率（%）</w:t>
                    </w:r>
                  </w:p>
                </w:tc>
              </w:sdtContent>
            </w:sdt>
            <w:tc>
              <w:tcPr>
                <w:tcW w:w="645" w:type="pct"/>
                <w:vAlign w:val="center"/>
              </w:tcPr>
              <w:p>
                <w:pPr>
                  <w:widowControl w:val="0"/>
                  <w:jc w:val="right"/>
                </w:pPr>
                <w:r>
                  <w:rPr>
                    <w:rFonts w:hint="eastAsia"/>
                  </w:rPr>
                  <w:t>-0.36</w:t>
                </w:r>
              </w:p>
            </w:tc>
            <w:tc>
              <w:tcPr>
                <w:tcW w:w="705" w:type="pct"/>
                <w:vAlign w:val="center"/>
              </w:tcPr>
              <w:p>
                <w:pPr>
                  <w:widowControl w:val="0"/>
                  <w:jc w:val="right"/>
                </w:pPr>
                <w:r>
                  <w:t>-205.08</w:t>
                </w:r>
              </w:p>
            </w:tc>
            <w:tc>
              <w:tcPr>
                <w:tcW w:w="1410" w:type="pct"/>
                <w:vAlign w:val="center"/>
              </w:tcPr>
              <w:p>
                <w:pPr>
                  <w:widowControl w:val="0"/>
                  <w:ind w:right="105"/>
                  <w:jc w:val="right"/>
                </w:pPr>
                <w:r>
                  <w:rPr>
                    <w:rFonts w:hint="eastAsia"/>
                  </w:rPr>
                  <w:t>不适用</w:t>
                </w:r>
              </w:p>
            </w:tc>
            <w:tc>
              <w:tcPr>
                <w:tcW w:w="475" w:type="pct"/>
                <w:vAlign w:val="center"/>
              </w:tcPr>
              <w:p>
                <w:pPr>
                  <w:widowControl w:val="0"/>
                  <w:jc w:val="right"/>
                </w:pPr>
                <w:r>
                  <w:t>-86.00</w:t>
                </w:r>
              </w:p>
            </w:tc>
          </w:tr>
        </w:tbl>
        <w:p/>
      </w:sdtContent>
    </w:sdt>
    <w:sdt>
      <w:sdtPr>
        <w:alias w:val="模块:公司主要会计数据和财务指标的说明"/>
        <w:tag w:val="_SEC_e0c1d174841549508433e1bc7cb4c9d5"/>
        <w:id w:val="-1594613116"/>
        <w:lock w:val="sdtLocked"/>
        <w:placeholder>
          <w:docPart w:val="GBC22222222222222222222222222222"/>
        </w:placeholder>
      </w:sdtPr>
      <w:sdtContent>
        <w:p>
          <w:pPr>
            <w:spacing w:line="360" w:lineRule="auto"/>
            <w:rPr>
              <w:szCs w:val="21"/>
            </w:rPr>
          </w:pPr>
          <w:r>
            <w:rPr>
              <w:rFonts w:hint="eastAsia"/>
              <w:szCs w:val="21"/>
            </w:rPr>
            <w:t>报告期末公司前三年主要会计数据和财务指标的说明</w:t>
          </w:r>
        </w:p>
        <w:sdt>
          <w:sdtPr>
            <w:rPr>
              <w:szCs w:val="21"/>
            </w:rPr>
            <w:alias w:val="是否适用：报告期末公司前三年主要会计数据和财务指标的说明[双击切换]"/>
            <w:tag w:val="_GBC_d855ab48af34454bb263a03266267a43"/>
            <w:id w:val="404119408"/>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报告期末公司前三年主要会计数据和财务指标的说明"/>
            <w:tag w:val="_GBC_3f6a388b622d4cda9ea66de381322aa3"/>
            <w:id w:val="29937428"/>
            <w:lock w:val="sdtLocked"/>
          </w:sdtPr>
          <w:sdtContent>
            <w:p>
              <w:pPr>
                <w:spacing w:line="360" w:lineRule="auto"/>
                <w:ind w:firstLine="420" w:firstLineChars="200"/>
              </w:pPr>
              <w:r>
                <w:rPr>
                  <w:rFonts w:hint="eastAsia"/>
                </w:rPr>
                <w:t>每股收益降低主要系上年度重整完成公司股本大幅增加，导致每股收益摊薄；</w:t>
              </w:r>
              <w:r>
                <w:rPr>
                  <w:szCs w:val="21"/>
                </w:rPr>
                <w:t>扣除非经常性损益后的基本每股收益</w:t>
              </w:r>
              <w:r>
                <w:rPr>
                  <w:rFonts w:hint="eastAsia"/>
                  <w:szCs w:val="21"/>
                </w:rPr>
                <w:t>较上年同期</w:t>
              </w:r>
              <w:r>
                <w:rPr>
                  <w:rFonts w:hint="eastAsia"/>
                </w:rPr>
                <w:t>增加主要系本年度</w:t>
              </w:r>
              <w:r>
                <w:rPr>
                  <w:szCs w:val="21"/>
                </w:rPr>
                <w:t>扣除非经常性损益</w:t>
              </w:r>
              <w:r>
                <w:rPr>
                  <w:rFonts w:hint="eastAsia"/>
                </w:rPr>
                <w:t>后净利润增加，本年业务结构调整及破产重整完成，有息负债、信用减值损失、资产减值损失及财务费用均大幅降低。</w:t>
              </w:r>
            </w:p>
          </w:sdtContent>
        </w:sdt>
      </w:sdtContent>
    </w:sdt>
    <w:p/>
    <w:p>
      <w:pPr>
        <w:pStyle w:val="3"/>
        <w:numPr>
          <w:ilvl w:val="1"/>
          <w:numId w:val="4"/>
        </w:numPr>
        <w:spacing w:before="0" w:after="0" w:line="360" w:lineRule="auto"/>
        <w:ind w:left="498" w:hanging="498" w:hangingChars="236"/>
      </w:pPr>
      <w:r>
        <w:rPr>
          <w:rFonts w:hint="eastAsia"/>
        </w:rPr>
        <w:t>境内外会计准则下会计数据差异</w:t>
      </w:r>
    </w:p>
    <w:sdt>
      <w:sdtPr>
        <w:rPr>
          <w:rFonts w:hint="eastAsia" w:ascii="宋体" w:hAnsi="宋体" w:cs="宋体"/>
          <w:b w:val="0"/>
          <w:bCs w:val="0"/>
          <w:kern w:val="0"/>
          <w:szCs w:val="21"/>
        </w:rPr>
        <w:alias w:val="模块:同时按照国际会计准则与按中国会计准则披露的差异"/>
        <w:tag w:val="_SEC_cd4f769de8434e6fa625c3e1e3edf9f8"/>
        <w:id w:val="-223610164"/>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6"/>
            </w:numPr>
            <w:spacing w:before="0" w:after="0" w:line="360" w:lineRule="auto"/>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双击切换]"/>
            <w:tag w:val="_GBC_bb9cf96a724c468d909aca01e1066e6b"/>
            <w:id w:val="-2144645704"/>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alias w:val="模块:同时按照境外会计准则与按中国会计准则披露的差异"/>
        <w:tag w:val="_SEC_443550478d2c4f8ca34d8b799ef01903"/>
        <w:id w:val="759724992"/>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6"/>
            </w:numPr>
            <w:spacing w:before="0" w:after="0" w:line="360" w:lineRule="auto"/>
            <w:ind w:left="368" w:hanging="367" w:hangingChars="175"/>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581063077"/>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alias w:val="模块:境内外会计准则差异的说明"/>
        <w:tag w:val="_SEC_b22be8396e6f44ec8ff113069c448aa0"/>
        <w:id w:val="8195437"/>
        <w:lock w:val="sdtLocked"/>
        <w:placeholder>
          <w:docPart w:val="GBC22222222222222222222222222222"/>
        </w:placeholder>
      </w:sdtPr>
      <w:sdtEndPr>
        <w:rPr>
          <w:rFonts w:ascii="宋体" w:hAnsi="宋体" w:cs="宋体"/>
          <w:b w:val="0"/>
          <w:bCs w:val="0"/>
          <w:kern w:val="0"/>
          <w:sz w:val="21"/>
          <w:szCs w:val="24"/>
        </w:rPr>
      </w:sdtEndPr>
      <w:sdtContent>
        <w:p>
          <w:pPr>
            <w:pStyle w:val="4"/>
            <w:numPr>
              <w:ilvl w:val="0"/>
              <w:numId w:val="6"/>
            </w:numPr>
            <w:spacing w:before="0" w:after="0" w:line="360" w:lineRule="auto"/>
            <w:ind w:hangingChars="175"/>
          </w:pPr>
          <w:r>
            <w:t>境内外会计准则差异的说明：</w:t>
          </w:r>
        </w:p>
        <w:sdt>
          <w:sdtPr>
            <w:alias w:val="是否适用：境内外会计准则差异的说明[双击切换]"/>
            <w:tag w:val="_GBC_fb9a5edc484f49ab948423fc0bade519"/>
            <w:id w:val="-109131827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1"/>
          <w:numId w:val="4"/>
        </w:numPr>
        <w:ind w:left="498" w:hanging="498" w:hangingChars="236"/>
      </w:pPr>
      <w:r>
        <w:rPr>
          <w:rFonts w:hint="eastAsia"/>
        </w:rPr>
        <w:t>2021年分季度主要财务数据</w:t>
      </w:r>
    </w:p>
    <w:sdt>
      <w:sdtPr>
        <w:rPr>
          <w:rFonts w:hint="eastAsia"/>
          <w:b/>
          <w:bCs/>
        </w:rPr>
        <w:alias w:val="模块:分季度主要财务数据"/>
        <w:tag w:val="_SEC_8cfd3688781f4629a476386b97fa2f75"/>
        <w:id w:val="-1717272939"/>
        <w:lock w:val="sdtLocked"/>
        <w:placeholder>
          <w:docPart w:val="GBC22222222222222222222222222222"/>
        </w:placeholder>
      </w:sdtPr>
      <w:sdtEndPr>
        <w:rPr>
          <w:rFonts w:hint="eastAsia"/>
          <w:b w:val="0"/>
          <w:bCs w:val="0"/>
        </w:rPr>
      </w:sdtEndPr>
      <w:sdtContent>
        <w:p>
          <w:pPr>
            <w:jc w:val="right"/>
            <w:rPr>
              <w:szCs w:val="21"/>
            </w:rPr>
          </w:pPr>
          <w:r>
            <w:rPr>
              <w:rFonts w:hint="eastAsia"/>
              <w:szCs w:val="21"/>
            </w:rPr>
            <w:t>单位：</w:t>
          </w:r>
          <w:sdt>
            <w:sdtPr>
              <w:rPr>
                <w:rFonts w:hint="eastAsia"/>
                <w:szCs w:val="21"/>
              </w:rPr>
              <w:alias w:val="单位：分季度主要财务数据"/>
              <w:tag w:val="_GBC_c7bf8a69799342519e2da375e77f8d89"/>
              <w:id w:val="13803602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4202298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8"/>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843"/>
            <w:gridCol w:w="1843"/>
            <w:gridCol w:w="1729"/>
            <w:gridCol w:w="1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vAlign w:val="center"/>
              </w:tcPr>
              <w:p>
                <w:pPr>
                  <w:widowControl w:val="0"/>
                  <w:jc w:val="center"/>
                </w:pPr>
              </w:p>
            </w:tc>
            <w:sdt>
              <w:sdtPr>
                <w:tag w:val="_PLD_2d7ae3b1c4bd43a98e284f10d0bdc51f"/>
                <w:id w:val="94452580"/>
                <w:lock w:val="sdtLocked"/>
              </w:sdtPr>
              <w:sdtContent>
                <w:tc>
                  <w:tcPr>
                    <w:tcW w:w="1843" w:type="dxa"/>
                    <w:vAlign w:val="center"/>
                  </w:tcPr>
                  <w:p>
                    <w:pPr>
                      <w:widowControl w:val="0"/>
                      <w:jc w:val="center"/>
                    </w:pPr>
                    <w:r>
                      <w:rPr>
                        <w:rFonts w:hint="eastAsia"/>
                      </w:rPr>
                      <w:t>第一季度</w:t>
                    </w:r>
                  </w:p>
                  <w:p>
                    <w:pPr>
                      <w:widowControl w:val="0"/>
                      <w:jc w:val="center"/>
                    </w:pPr>
                    <w:r>
                      <w:rPr>
                        <w:rFonts w:hint="eastAsia"/>
                      </w:rPr>
                      <w:t>（1-3月份）</w:t>
                    </w:r>
                  </w:p>
                </w:tc>
              </w:sdtContent>
            </w:sdt>
            <w:sdt>
              <w:sdtPr>
                <w:tag w:val="_PLD_07258d0e3e7e4393960c3400b24cda70"/>
                <w:id w:val="-881392534"/>
                <w:lock w:val="sdtLocked"/>
              </w:sdtPr>
              <w:sdtContent>
                <w:tc>
                  <w:tcPr>
                    <w:tcW w:w="1843" w:type="dxa"/>
                    <w:vAlign w:val="center"/>
                  </w:tcPr>
                  <w:p>
                    <w:pPr>
                      <w:widowControl w:val="0"/>
                      <w:jc w:val="center"/>
                    </w:pPr>
                    <w:r>
                      <w:rPr>
                        <w:rFonts w:hint="eastAsia"/>
                      </w:rPr>
                      <w:t>第二季度</w:t>
                    </w:r>
                  </w:p>
                  <w:p>
                    <w:pPr>
                      <w:widowControl w:val="0"/>
                      <w:jc w:val="center"/>
                    </w:pPr>
                    <w:r>
                      <w:rPr>
                        <w:rFonts w:hint="eastAsia"/>
                      </w:rPr>
                      <w:t>（4-6月份）</w:t>
                    </w:r>
                  </w:p>
                </w:tc>
              </w:sdtContent>
            </w:sdt>
            <w:sdt>
              <w:sdtPr>
                <w:tag w:val="_PLD_f34790307d174eceaa953001c5186096"/>
                <w:id w:val="-1384632807"/>
                <w:lock w:val="sdtLocked"/>
              </w:sdtPr>
              <w:sdtContent>
                <w:tc>
                  <w:tcPr>
                    <w:tcW w:w="1729" w:type="dxa"/>
                    <w:vAlign w:val="center"/>
                  </w:tcPr>
                  <w:p>
                    <w:pPr>
                      <w:widowControl w:val="0"/>
                      <w:jc w:val="center"/>
                    </w:pPr>
                    <w:r>
                      <w:rPr>
                        <w:rFonts w:hint="eastAsia"/>
                      </w:rPr>
                      <w:t>第三季度</w:t>
                    </w:r>
                  </w:p>
                  <w:p>
                    <w:pPr>
                      <w:widowControl w:val="0"/>
                      <w:jc w:val="center"/>
                    </w:pPr>
                    <w:r>
                      <w:rPr>
                        <w:rFonts w:hint="eastAsia"/>
                      </w:rPr>
                      <w:t>（7-9月份）</w:t>
                    </w:r>
                  </w:p>
                </w:tc>
              </w:sdtContent>
            </w:sdt>
            <w:sdt>
              <w:sdtPr>
                <w:tag w:val="_PLD_18cc80c8863d4859a79676f49ef83412"/>
                <w:id w:val="-901453842"/>
                <w:lock w:val="sdtLocked"/>
              </w:sdtPr>
              <w:sdtContent>
                <w:tc>
                  <w:tcPr>
                    <w:tcW w:w="1956" w:type="dxa"/>
                    <w:vAlign w:val="center"/>
                  </w:tcPr>
                  <w:p>
                    <w:pPr>
                      <w:widowControl w:val="0"/>
                      <w:jc w:val="center"/>
                    </w:pPr>
                    <w:r>
                      <w:rPr>
                        <w:rFonts w:hint="eastAsia"/>
                      </w:rPr>
                      <w:t>第四季度</w:t>
                    </w:r>
                  </w:p>
                  <w:p>
                    <w:pPr>
                      <w:widowControl w:val="0"/>
                      <w:jc w:val="center"/>
                    </w:pPr>
                    <w:r>
                      <w:rPr>
                        <w:rFonts w:hint="eastAsia"/>
                      </w:rPr>
                      <w:t>（10-12月份）</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9672bff3419446c83a97f99d65a2e0b"/>
                <w:id w:val="-184366093"/>
                <w:lock w:val="sdtLocked"/>
              </w:sdtPr>
              <w:sdtContent>
                <w:tc>
                  <w:tcPr>
                    <w:tcW w:w="1951" w:type="dxa"/>
                  </w:tcPr>
                  <w:p>
                    <w:pPr>
                      <w:widowControl w:val="0"/>
                      <w:jc w:val="both"/>
                    </w:pPr>
                    <w:r>
                      <w:rPr>
                        <w:rFonts w:hint="eastAsia"/>
                        <w:szCs w:val="21"/>
                      </w:rPr>
                      <w:t>营业收入</w:t>
                    </w:r>
                  </w:p>
                </w:tc>
              </w:sdtContent>
            </w:sdt>
            <w:tc>
              <w:tcPr>
                <w:tcW w:w="1843" w:type="dxa"/>
                <w:vAlign w:val="center"/>
              </w:tcPr>
              <w:p>
                <w:pPr>
                  <w:jc w:val="right"/>
                  <w:rPr>
                    <w:szCs w:val="21"/>
                  </w:rPr>
                </w:pPr>
                <w:r>
                  <w:rPr>
                    <w:szCs w:val="21"/>
                  </w:rPr>
                  <w:t>840,059,069.45</w:t>
                </w:r>
              </w:p>
            </w:tc>
            <w:tc>
              <w:tcPr>
                <w:tcW w:w="1843" w:type="dxa"/>
                <w:vAlign w:val="center"/>
              </w:tcPr>
              <w:p>
                <w:pPr>
                  <w:jc w:val="right"/>
                  <w:rPr>
                    <w:szCs w:val="21"/>
                  </w:rPr>
                </w:pPr>
                <w:r>
                  <w:rPr>
                    <w:szCs w:val="21"/>
                  </w:rPr>
                  <w:t>895,516,637.38</w:t>
                </w:r>
              </w:p>
            </w:tc>
            <w:tc>
              <w:tcPr>
                <w:tcW w:w="1729" w:type="dxa"/>
                <w:vAlign w:val="center"/>
              </w:tcPr>
              <w:p>
                <w:pPr>
                  <w:jc w:val="right"/>
                  <w:rPr>
                    <w:szCs w:val="21"/>
                  </w:rPr>
                </w:pPr>
                <w:r>
                  <w:rPr>
                    <w:szCs w:val="21"/>
                  </w:rPr>
                  <w:t>823,809,285.09</w:t>
                </w:r>
              </w:p>
            </w:tc>
            <w:tc>
              <w:tcPr>
                <w:tcW w:w="1956" w:type="dxa"/>
                <w:vAlign w:val="center"/>
              </w:tcPr>
              <w:p>
                <w:pPr>
                  <w:jc w:val="right"/>
                  <w:rPr>
                    <w:szCs w:val="21"/>
                  </w:rPr>
                </w:pPr>
                <w:r>
                  <w:rPr>
                    <w:szCs w:val="21"/>
                  </w:rPr>
                  <w:t>1,417,839,827.27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7fcc70769004239abd5440602d3b505"/>
                <w:id w:val="-1619294690"/>
                <w:lock w:val="sdtLocked"/>
              </w:sdtPr>
              <w:sdtContent>
                <w:tc>
                  <w:tcPr>
                    <w:tcW w:w="1951" w:type="dxa"/>
                  </w:tcPr>
                  <w:p>
                    <w:pPr>
                      <w:widowControl w:val="0"/>
                      <w:jc w:val="both"/>
                    </w:pPr>
                    <w:r>
                      <w:rPr>
                        <w:rFonts w:hint="eastAsia"/>
                        <w:szCs w:val="21"/>
                      </w:rPr>
                      <w:t>归属于上市公司股东的净利润</w:t>
                    </w:r>
                  </w:p>
                </w:tc>
              </w:sdtContent>
            </w:sdt>
            <w:tc>
              <w:tcPr>
                <w:tcW w:w="1843" w:type="dxa"/>
                <w:vAlign w:val="center"/>
              </w:tcPr>
              <w:p>
                <w:pPr>
                  <w:jc w:val="right"/>
                  <w:rPr>
                    <w:szCs w:val="21"/>
                  </w:rPr>
                </w:pPr>
                <w:r>
                  <w:rPr>
                    <w:szCs w:val="21"/>
                  </w:rPr>
                  <w:t>15,863,382.23</w:t>
                </w:r>
              </w:p>
            </w:tc>
            <w:tc>
              <w:tcPr>
                <w:tcW w:w="1843" w:type="dxa"/>
                <w:vAlign w:val="center"/>
              </w:tcPr>
              <w:p>
                <w:pPr>
                  <w:jc w:val="right"/>
                  <w:rPr>
                    <w:szCs w:val="21"/>
                  </w:rPr>
                </w:pPr>
                <w:r>
                  <w:rPr>
                    <w:szCs w:val="21"/>
                  </w:rPr>
                  <w:t>21,535,796.94</w:t>
                </w:r>
              </w:p>
            </w:tc>
            <w:tc>
              <w:tcPr>
                <w:tcW w:w="1729" w:type="dxa"/>
                <w:vAlign w:val="center"/>
              </w:tcPr>
              <w:p>
                <w:pPr>
                  <w:jc w:val="right"/>
                  <w:rPr>
                    <w:szCs w:val="21"/>
                  </w:rPr>
                </w:pPr>
                <w:r>
                  <w:rPr>
                    <w:szCs w:val="21"/>
                  </w:rPr>
                  <w:t>12,236,927.71</w:t>
                </w:r>
              </w:p>
            </w:tc>
            <w:tc>
              <w:tcPr>
                <w:tcW w:w="1956" w:type="dxa"/>
                <w:vAlign w:val="center"/>
              </w:tcPr>
              <w:p>
                <w:pPr>
                  <w:jc w:val="right"/>
                  <w:rPr>
                    <w:sz w:val="24"/>
                  </w:rPr>
                </w:pPr>
                <w:r>
                  <w:t>6,005,961.72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c4437a1c75a41d994bd913b3c6d8e6d"/>
                <w:id w:val="-2133395219"/>
                <w:lock w:val="sdtLocked"/>
              </w:sdtPr>
              <w:sdtContent>
                <w:tc>
                  <w:tcPr>
                    <w:tcW w:w="1951" w:type="dxa"/>
                  </w:tcPr>
                  <w:p>
                    <w:pPr>
                      <w:widowControl w:val="0"/>
                      <w:jc w:val="both"/>
                    </w:pPr>
                    <w:r>
                      <w:rPr>
                        <w:rFonts w:hint="eastAsia"/>
                        <w:szCs w:val="21"/>
                      </w:rPr>
                      <w:t>归属于上市公司股东的扣除非经常性损益后的净利润</w:t>
                    </w:r>
                  </w:p>
                </w:tc>
              </w:sdtContent>
            </w:sdt>
            <w:tc>
              <w:tcPr>
                <w:tcW w:w="1843" w:type="dxa"/>
                <w:vAlign w:val="center"/>
              </w:tcPr>
              <w:p>
                <w:pPr>
                  <w:jc w:val="right"/>
                  <w:rPr>
                    <w:szCs w:val="21"/>
                  </w:rPr>
                </w:pPr>
                <w:r>
                  <w:rPr>
                    <w:szCs w:val="21"/>
                  </w:rPr>
                  <w:t>14,808,870.24</w:t>
                </w:r>
              </w:p>
            </w:tc>
            <w:tc>
              <w:tcPr>
                <w:tcW w:w="1843" w:type="dxa"/>
                <w:vAlign w:val="center"/>
              </w:tcPr>
              <w:p>
                <w:pPr>
                  <w:jc w:val="right"/>
                  <w:rPr>
                    <w:szCs w:val="21"/>
                  </w:rPr>
                </w:pPr>
                <w:r>
                  <w:rPr>
                    <w:szCs w:val="21"/>
                  </w:rPr>
                  <w:t>10,029,080.50</w:t>
                </w:r>
              </w:p>
            </w:tc>
            <w:tc>
              <w:tcPr>
                <w:tcW w:w="1729" w:type="dxa"/>
                <w:vAlign w:val="center"/>
              </w:tcPr>
              <w:p>
                <w:pPr>
                  <w:jc w:val="right"/>
                  <w:rPr>
                    <w:szCs w:val="21"/>
                  </w:rPr>
                </w:pPr>
                <w:r>
                  <w:rPr>
                    <w:szCs w:val="21"/>
                  </w:rPr>
                  <w:t>47,496,407.93</w:t>
                </w:r>
              </w:p>
            </w:tc>
            <w:tc>
              <w:tcPr>
                <w:tcW w:w="1956" w:type="dxa"/>
                <w:vAlign w:val="center"/>
              </w:tcPr>
              <w:p>
                <w:pPr>
                  <w:jc w:val="right"/>
                  <w:rPr>
                    <w:sz w:val="24"/>
                  </w:rPr>
                </w:pPr>
                <w:r>
                  <w:t>-108,833,887.55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a66e199f32a4408bc762faa192c5ead"/>
                <w:id w:val="432009038"/>
                <w:lock w:val="sdtLocked"/>
              </w:sdtPr>
              <w:sdtContent>
                <w:tc>
                  <w:tcPr>
                    <w:tcW w:w="1951" w:type="dxa"/>
                  </w:tcPr>
                  <w:p>
                    <w:pPr>
                      <w:widowControl w:val="0"/>
                      <w:jc w:val="both"/>
                    </w:pPr>
                    <w:r>
                      <w:rPr>
                        <w:rFonts w:hint="eastAsia"/>
                        <w:szCs w:val="21"/>
                      </w:rPr>
                      <w:t>经营活动产生的现金流量净额</w:t>
                    </w:r>
                  </w:p>
                </w:tc>
              </w:sdtContent>
            </w:sdt>
            <w:tc>
              <w:tcPr>
                <w:tcW w:w="1843" w:type="dxa"/>
                <w:vAlign w:val="center"/>
              </w:tcPr>
              <w:p>
                <w:pPr>
                  <w:jc w:val="right"/>
                  <w:rPr>
                    <w:szCs w:val="21"/>
                  </w:rPr>
                </w:pPr>
                <w:r>
                  <w:rPr>
                    <w:szCs w:val="21"/>
                  </w:rPr>
                  <w:t>663,773,214.98</w:t>
                </w:r>
              </w:p>
            </w:tc>
            <w:tc>
              <w:tcPr>
                <w:tcW w:w="1843" w:type="dxa"/>
                <w:vAlign w:val="center"/>
              </w:tcPr>
              <w:p>
                <w:pPr>
                  <w:jc w:val="right"/>
                  <w:rPr>
                    <w:szCs w:val="21"/>
                  </w:rPr>
                </w:pPr>
                <w:r>
                  <w:rPr>
                    <w:szCs w:val="21"/>
                  </w:rPr>
                  <w:t>133,790,226.76</w:t>
                </w:r>
              </w:p>
            </w:tc>
            <w:tc>
              <w:tcPr>
                <w:tcW w:w="1729" w:type="dxa"/>
                <w:vAlign w:val="center"/>
              </w:tcPr>
              <w:p>
                <w:pPr>
                  <w:jc w:val="right"/>
                  <w:rPr>
                    <w:szCs w:val="21"/>
                  </w:rPr>
                </w:pPr>
                <w:r>
                  <w:rPr>
                    <w:szCs w:val="21"/>
                  </w:rPr>
                  <w:t>173,926,403.45</w:t>
                </w:r>
              </w:p>
            </w:tc>
            <w:tc>
              <w:tcPr>
                <w:tcW w:w="1956" w:type="dxa"/>
                <w:vAlign w:val="center"/>
              </w:tcPr>
              <w:p>
                <w:pPr>
                  <w:jc w:val="right"/>
                  <w:rPr>
                    <w:szCs w:val="21"/>
                  </w:rPr>
                </w:pPr>
                <w:r>
                  <w:rPr>
                    <w:szCs w:val="21"/>
                  </w:rPr>
                  <w:t>-595,989,278.34</w:t>
                </w:r>
              </w:p>
            </w:tc>
          </w:tr>
        </w:tbl>
        <w:p/>
        <w:p>
          <w:pPr>
            <w:spacing w:line="360" w:lineRule="auto"/>
            <w:rPr>
              <w:rFonts w:ascii="Calibri" w:hAnsi="Calibri" w:cs="Times New Roman"/>
              <w:bCs/>
              <w:kern w:val="2"/>
              <w:szCs w:val="32"/>
            </w:rPr>
          </w:pPr>
          <w:r>
            <w:rPr>
              <w:rFonts w:hint="eastAsia" w:ascii="Calibri" w:hAnsi="Calibri" w:cs="Times New Roman"/>
              <w:bCs/>
              <w:kern w:val="2"/>
              <w:szCs w:val="32"/>
            </w:rPr>
            <w:t>季度数据与已披露定期报告数据差异说明</w:t>
          </w:r>
        </w:p>
        <w:sdt>
          <w:sdtPr>
            <w:rPr>
              <w:szCs w:val="21"/>
            </w:rPr>
            <w:alias w:val="是否适用：季度数据与已披露定期报告数据差异说明[双击切换]"/>
            <w:tag w:val="_GBC_90abe51569fb4ccda7eaf6149fe8f3a9"/>
            <w:id w:val="-424884841"/>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4"/>
        </w:rPr>
        <w:alias w:val="模块:非经常性损益项目和金额"/>
        <w:tag w:val="_SEC_c9ec505011044df3b703919ed91a432c"/>
        <w:id w:val="-1579050655"/>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1"/>
              <w:numId w:val="4"/>
            </w:numPr>
            <w:spacing w:before="0" w:after="0" w:line="360" w:lineRule="auto"/>
            <w:ind w:left="496" w:hanging="495" w:hangingChars="236"/>
          </w:pPr>
          <w:r>
            <w:rPr>
              <w:rFonts w:hint="eastAsia"/>
            </w:rPr>
            <w:t>非经常性损益项目和金额</w:t>
          </w:r>
        </w:p>
        <w:sdt>
          <w:sdtPr>
            <w:rPr>
              <w:szCs w:val="21"/>
            </w:rPr>
            <w:alias w:val="是否适用：扣除非经常性损益项目和金额[双击切换]"/>
            <w:tag w:val="_GBC_64650d7f1d454b42ae227046b21a998c"/>
            <w:id w:val="1896925030"/>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4bca0a0f469f4d239b07e448ced324aa"/>
              <w:id w:val="-259416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800982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4"/>
            <w:gridCol w:w="1894"/>
            <w:gridCol w:w="2217"/>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751403d0cb44994b9ad2600a703fbf6"/>
                <w:id w:val="-1321114302"/>
                <w:lock w:val="sdtLocked"/>
              </w:sdtPr>
              <w:sdtContent>
                <w:tc>
                  <w:tcPr>
                    <w:tcW w:w="1708" w:type="pct"/>
                    <w:vAlign w:val="center"/>
                  </w:tcPr>
                  <w:p>
                    <w:pPr>
                      <w:pStyle w:val="55"/>
                      <w:ind w:firstLine="0" w:firstLineChars="0"/>
                      <w:jc w:val="center"/>
                      <w:rPr>
                        <w:rFonts w:ascii="宋体" w:hAnsi="宋体"/>
                        <w:szCs w:val="21"/>
                      </w:rPr>
                    </w:pPr>
                    <w:r>
                      <w:rPr>
                        <w:rFonts w:hint="eastAsia" w:ascii="宋体" w:hAnsi="宋体"/>
                        <w:szCs w:val="21"/>
                      </w:rPr>
                      <w:t>非经常性损益项目</w:t>
                    </w:r>
                  </w:p>
                </w:tc>
              </w:sdtContent>
            </w:sdt>
            <w:sdt>
              <w:sdtPr>
                <w:tag w:val="_PLD_c3a99d8df6764a7a9d1c26a6d1cd3b99"/>
                <w:id w:val="-36595804"/>
                <w:lock w:val="sdtLocked"/>
              </w:sdtPr>
              <w:sdtContent>
                <w:tc>
                  <w:tcPr>
                    <w:tcW w:w="1019" w:type="pct"/>
                    <w:vAlign w:val="center"/>
                  </w:tcPr>
                  <w:p>
                    <w:pPr>
                      <w:pStyle w:val="55"/>
                      <w:ind w:firstLine="0" w:firstLineChars="0"/>
                      <w:jc w:val="center"/>
                      <w:rPr>
                        <w:rFonts w:ascii="宋体" w:hAnsi="宋体"/>
                        <w:szCs w:val="21"/>
                      </w:rPr>
                    </w:pPr>
                    <w:r>
                      <w:rPr>
                        <w:rFonts w:hint="eastAsia" w:ascii="宋体" w:hAnsi="宋体"/>
                        <w:szCs w:val="21"/>
                      </w:rPr>
                      <w:t>2021年金额</w:t>
                    </w:r>
                  </w:p>
                </w:tc>
              </w:sdtContent>
            </w:sdt>
            <w:sdt>
              <w:sdtPr>
                <w:tag w:val="_PLD_7f6c15b2c5304b7f94e7c3ad607e51bc"/>
                <w:id w:val="1130060352"/>
                <w:lock w:val="sdtLocked"/>
              </w:sdtPr>
              <w:sdtContent>
                <w:tc>
                  <w:tcPr>
                    <w:tcW w:w="1193" w:type="pct"/>
                    <w:vAlign w:val="center"/>
                  </w:tcPr>
                  <w:p>
                    <w:pPr>
                      <w:pStyle w:val="55"/>
                      <w:ind w:firstLine="0" w:firstLineChars="0"/>
                      <w:jc w:val="center"/>
                      <w:rPr>
                        <w:rFonts w:ascii="宋体" w:hAnsi="宋体"/>
                        <w:szCs w:val="21"/>
                      </w:rPr>
                    </w:pPr>
                    <w:r>
                      <w:rPr>
                        <w:rFonts w:hint="eastAsia" w:ascii="宋体" w:hAnsi="宋体"/>
                        <w:szCs w:val="21"/>
                      </w:rPr>
                      <w:t>2020年金额</w:t>
                    </w:r>
                  </w:p>
                </w:tc>
              </w:sdtContent>
            </w:sdt>
            <w:sdt>
              <w:sdtPr>
                <w:tag w:val="_PLD_cc74238bb31a489cace6976e47d30974"/>
                <w:id w:val="-1536265114"/>
                <w:lock w:val="sdtLocked"/>
              </w:sdtPr>
              <w:sdtContent>
                <w:tc>
                  <w:tcPr>
                    <w:tcW w:w="1077" w:type="pct"/>
                    <w:vAlign w:val="center"/>
                  </w:tcPr>
                  <w:p>
                    <w:pPr>
                      <w:pStyle w:val="55"/>
                      <w:ind w:firstLine="0" w:firstLineChars="0"/>
                      <w:jc w:val="center"/>
                      <w:rPr>
                        <w:rFonts w:ascii="宋体" w:hAnsi="宋体"/>
                        <w:szCs w:val="21"/>
                      </w:rPr>
                    </w:pPr>
                    <w:r>
                      <w:rPr>
                        <w:rFonts w:hint="eastAsia" w:ascii="宋体" w:hAnsi="宋体"/>
                        <w:szCs w:val="21"/>
                      </w:rPr>
                      <w:t>2019年金额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44d8cfc8dc0403cae8741ce206231d7"/>
                <w:id w:val="-1240093135"/>
                <w:lock w:val="sdtLocked"/>
              </w:sdtPr>
              <w:sdtContent>
                <w:tc>
                  <w:tcPr>
                    <w:tcW w:w="1708" w:type="pct"/>
                  </w:tcPr>
                  <w:p>
                    <w:pPr>
                      <w:pStyle w:val="55"/>
                      <w:ind w:firstLine="0" w:firstLineChars="0"/>
                      <w:jc w:val="left"/>
                      <w:rPr>
                        <w:szCs w:val="21"/>
                      </w:rPr>
                    </w:pPr>
                    <w:r>
                      <w:rPr>
                        <w:szCs w:val="21"/>
                      </w:rPr>
                      <w:t>非流动资产处置损益</w:t>
                    </w:r>
                  </w:p>
                </w:tc>
              </w:sdtContent>
            </w:sdt>
            <w:sdt>
              <w:sdtPr>
                <w:rPr>
                  <w:rFonts w:ascii="Times New Roman" w:hAnsi="Times New Roman"/>
                  <w:szCs w:val="21"/>
                </w:rPr>
                <w:alias w:val="非流动性资产处置损益，包括已计提资产减值准备的冲销部分（非经常性损益项目）"/>
                <w:tag w:val="_GBC_debe6cce7ac944bbacffe3e7f5ed0bb6"/>
                <w:id w:val="-95711573"/>
                <w:lock w:val="sdtLocked"/>
                <w:text/>
              </w:sdtPr>
              <w:sdtEndPr>
                <w:rPr>
                  <w:rFonts w:ascii="Times New Roman" w:hAnsi="Times New Roman"/>
                  <w:szCs w:val="21"/>
                </w:rPr>
              </w:sdtEndPr>
              <w:sdtContent>
                <w:tc>
                  <w:tcPr>
                    <w:tcW w:w="1019" w:type="pct"/>
                    <w:vAlign w:val="center"/>
                  </w:tcPr>
                  <w:p>
                    <w:pPr>
                      <w:widowControl w:val="0"/>
                      <w:jc w:val="right"/>
                      <w:rPr>
                        <w:color w:val="FF0000"/>
                        <w:szCs w:val="21"/>
                      </w:rPr>
                    </w:pPr>
                    <w:r>
                      <w:rPr>
                        <w:szCs w:val="21"/>
                      </w:rPr>
                      <w:t>-13,250,464.11</w:t>
                    </w:r>
                  </w:p>
                </w:tc>
              </w:sdtContent>
            </w:sdt>
            <w:tc>
              <w:tcPr>
                <w:tcW w:w="1193" w:type="pct"/>
                <w:vAlign w:val="center"/>
              </w:tcPr>
              <w:p>
                <w:pPr>
                  <w:widowControl w:val="0"/>
                  <w:jc w:val="right"/>
                  <w:rPr>
                    <w:sz w:val="24"/>
                  </w:rPr>
                </w:pPr>
                <w:r>
                  <w:t>-1,162,171,388.40</w:t>
                </w:r>
              </w:p>
            </w:tc>
            <w:tc>
              <w:tcPr>
                <w:tcW w:w="1077" w:type="pct"/>
                <w:vAlign w:val="center"/>
              </w:tcPr>
              <w:p>
                <w:pPr>
                  <w:widowControl w:val="0"/>
                  <w:jc w:val="right"/>
                </w:pPr>
                <w:r>
                  <w:t>-315,948,264.93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b9ff5877fb8464c8dcdb475bb249051"/>
                <w:id w:val="1396473181"/>
                <w:lock w:val="sdtLocked"/>
              </w:sdtPr>
              <w:sdtContent>
                <w:tc>
                  <w:tcPr>
                    <w:tcW w:w="1708" w:type="pct"/>
                  </w:tcPr>
                  <w:p>
                    <w:pPr>
                      <w:pStyle w:val="55"/>
                      <w:ind w:firstLine="0" w:firstLineChars="0"/>
                      <w:jc w:val="left"/>
                      <w:rPr>
                        <w:szCs w:val="21"/>
                      </w:rPr>
                    </w:pPr>
                    <w:r>
                      <w:rPr>
                        <w:szCs w:val="21"/>
                      </w:rPr>
                      <w:t>越权审批，或无正式批准文件，或偶发性的税收返还、减免</w:t>
                    </w:r>
                  </w:p>
                </w:tc>
              </w:sdtContent>
            </w:sdt>
            <w:sdt>
              <w:sdtPr>
                <w:rPr>
                  <w:rFonts w:ascii="Times New Roman" w:hAnsi="Times New Roman"/>
                  <w:szCs w:val="21"/>
                </w:rPr>
                <w:alias w:val="越权审批，或无正式批准文件，或偶发性的税收返还、减免（非经常性损益项目）"/>
                <w:tag w:val="_GBC_d0d576666bd84531b422d02502f39b0d"/>
                <w:id w:val="-1503263436"/>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a31f0c17a06427898ec246148becf2e"/>
                <w:id w:val="-1894268375"/>
                <w:lock w:val="sdtLocked"/>
              </w:sdtPr>
              <w:sdtContent>
                <w:tc>
                  <w:tcPr>
                    <w:tcW w:w="1708" w:type="pct"/>
                  </w:tcPr>
                  <w:p>
                    <w:pPr>
                      <w:pStyle w:val="55"/>
                      <w:ind w:firstLine="0" w:firstLineChars="0"/>
                      <w:jc w:val="left"/>
                      <w:rPr>
                        <w:szCs w:val="21"/>
                      </w:rPr>
                    </w:pPr>
                    <w:r>
                      <w:rPr>
                        <w:szCs w:val="21"/>
                      </w:rPr>
                      <w:t>计入当期损益的政府补助，但与公司正常经营业务密切相关，符合国家政策规定、按照一定标准定额或定量持续享受的政府补助除外</w:t>
                    </w:r>
                  </w:p>
                </w:tc>
              </w:sdtContent>
            </w:sdt>
            <w:sdt>
              <w:sdtPr>
                <w:rPr>
                  <w:rFonts w:ascii="Times New Roman" w:hAnsi="Times New Roman"/>
                  <w:szCs w:val="21"/>
                </w:rPr>
                <w:alias w:val="计入当期损益的政府补助，但与公司正常经营业务密切相关，符合国家政策规定、按照一定标准定额或定量持续享受的政府补助除外（非经常性损"/>
                <w:tag w:val="_GBC_64d7a5b8c906488daff056242b76207a"/>
                <w:id w:val="-221369561"/>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8,800,548.36</w:t>
                    </w:r>
                  </w:p>
                </w:tc>
              </w:sdtContent>
            </w:sdt>
            <w:tc>
              <w:tcPr>
                <w:tcW w:w="1193" w:type="pct"/>
                <w:vAlign w:val="center"/>
              </w:tcPr>
              <w:p>
                <w:pPr>
                  <w:widowControl w:val="0"/>
                  <w:jc w:val="right"/>
                  <w:rPr>
                    <w:sz w:val="24"/>
                  </w:rPr>
                </w:pPr>
                <w:r>
                  <w:t>25,526,101.03</w:t>
                </w:r>
              </w:p>
            </w:tc>
            <w:tc>
              <w:tcPr>
                <w:tcW w:w="1077" w:type="pct"/>
                <w:vAlign w:val="center"/>
              </w:tcPr>
              <w:p>
                <w:pPr>
                  <w:widowControl w:val="0"/>
                  <w:jc w:val="right"/>
                </w:pPr>
                <w:r>
                  <w:t>34,632,003.10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e1213aa6f1346cd9a20033374a3ac7c"/>
                <w:id w:val="907342498"/>
                <w:lock w:val="sdtLocked"/>
              </w:sdtPr>
              <w:sdtContent>
                <w:tc>
                  <w:tcPr>
                    <w:tcW w:w="1708" w:type="pct"/>
                  </w:tcPr>
                  <w:p>
                    <w:pPr>
                      <w:pStyle w:val="55"/>
                      <w:ind w:firstLine="0" w:firstLineChars="0"/>
                      <w:jc w:val="left"/>
                      <w:rPr>
                        <w:szCs w:val="21"/>
                      </w:rPr>
                    </w:pPr>
                    <w:r>
                      <w:rPr>
                        <w:szCs w:val="21"/>
                      </w:rPr>
                      <w:t>计入当期损益的对非金融企业收取的资金占用费</w:t>
                    </w:r>
                  </w:p>
                </w:tc>
              </w:sdtContent>
            </w:sdt>
            <w:sdt>
              <w:sdtPr>
                <w:rPr>
                  <w:rFonts w:ascii="Times New Roman" w:hAnsi="Times New Roman"/>
                  <w:szCs w:val="21"/>
                </w:rPr>
                <w:alias w:val="计入当期损益的对非金融企业收取的资金占用费（非经常性损益项目）"/>
                <w:tag w:val="_GBC_a86a78a187a54930b4f503dffc488988"/>
                <w:id w:val="-1871063126"/>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246,763.72</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5f7e5d276f416480ab96df05a4b553"/>
                <w:id w:val="-90162729"/>
                <w:lock w:val="sdtLocked"/>
              </w:sdtPr>
              <w:sdtContent>
                <w:tc>
                  <w:tcPr>
                    <w:tcW w:w="1708" w:type="pct"/>
                  </w:tcPr>
                  <w:p>
                    <w:pPr>
                      <w:pStyle w:val="55"/>
                      <w:ind w:firstLine="0" w:firstLineChars="0"/>
                      <w:jc w:val="left"/>
                      <w:rPr>
                        <w:szCs w:val="21"/>
                      </w:rPr>
                    </w:pPr>
                    <w:r>
                      <w:rPr>
                        <w:szCs w:val="21"/>
                      </w:rPr>
                      <w:t>企业取得子公司、联营企业及合营企业的投资成本小于取得投资时应享有被投资单位可辨认净资产公允价值产生的收益</w:t>
                    </w:r>
                  </w:p>
                </w:tc>
              </w:sdtContent>
            </w:sdt>
            <w:sdt>
              <w:sdtPr>
                <w:rPr>
                  <w:rFonts w:ascii="Times New Roman" w:hAnsi="Times New Roman"/>
                  <w:szCs w:val="21"/>
                </w:rPr>
                <w:alias w:val="企业取得子公司、联营企业及合营企业的投资成本小于取得投资时应享有被投资单位可辨认净资产公允价值产生的收益（非经常性损益项目）"/>
                <w:tag w:val="_GBC_169232de34af47af8cf8a02a9197502c"/>
                <w:id w:val="775746279"/>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733a1125874352a2bcb4c645ff24b1"/>
                <w:id w:val="1954753083"/>
                <w:lock w:val="sdtLocked"/>
              </w:sdtPr>
              <w:sdtContent>
                <w:tc>
                  <w:tcPr>
                    <w:tcW w:w="1708" w:type="pct"/>
                  </w:tcPr>
                  <w:p>
                    <w:pPr>
                      <w:pStyle w:val="55"/>
                      <w:ind w:firstLine="0" w:firstLineChars="0"/>
                      <w:jc w:val="left"/>
                      <w:rPr>
                        <w:szCs w:val="21"/>
                      </w:rPr>
                    </w:pPr>
                    <w:r>
                      <w:rPr>
                        <w:szCs w:val="21"/>
                      </w:rPr>
                      <w:t>非货币性资产交换损益</w:t>
                    </w:r>
                  </w:p>
                </w:tc>
              </w:sdtContent>
            </w:sdt>
            <w:sdt>
              <w:sdtPr>
                <w:rPr>
                  <w:rFonts w:ascii="Times New Roman" w:hAnsi="Times New Roman"/>
                  <w:szCs w:val="21"/>
                </w:rPr>
                <w:alias w:val="非货币性资产交换损益（非经常性损益项目）"/>
                <w:tag w:val="_GBC_486acd8fb80f452e9704219348b9b157"/>
                <w:id w:val="1888686882"/>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d42ebc6c434009804c4f34f1eeea8d"/>
                <w:id w:val="1459683303"/>
                <w:lock w:val="sdtLocked"/>
              </w:sdtPr>
              <w:sdtContent>
                <w:tc>
                  <w:tcPr>
                    <w:tcW w:w="1708" w:type="pct"/>
                  </w:tcPr>
                  <w:p>
                    <w:pPr>
                      <w:pStyle w:val="55"/>
                      <w:ind w:firstLine="0" w:firstLineChars="0"/>
                      <w:jc w:val="left"/>
                      <w:rPr>
                        <w:szCs w:val="21"/>
                      </w:rPr>
                    </w:pPr>
                    <w:r>
                      <w:rPr>
                        <w:szCs w:val="21"/>
                      </w:rPr>
                      <w:t>委托他人投资或管理资产的损益</w:t>
                    </w:r>
                  </w:p>
                </w:tc>
              </w:sdtContent>
            </w:sdt>
            <w:sdt>
              <w:sdtPr>
                <w:rPr>
                  <w:rFonts w:ascii="Times New Roman" w:hAnsi="Times New Roman"/>
                  <w:szCs w:val="21"/>
                </w:rPr>
                <w:alias w:val="委托他人投资或管理资产的损益（非经常性损益项目）"/>
                <w:tag w:val="_GBC_03d926456c3f4d68989224017afdae20"/>
                <w:id w:val="-1406996900"/>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f317a7354f44cf385d177fb07ac6b6d"/>
                <w:id w:val="1725719622"/>
                <w:lock w:val="sdtLocked"/>
              </w:sdtPr>
              <w:sdtContent>
                <w:tc>
                  <w:tcPr>
                    <w:tcW w:w="1708" w:type="pct"/>
                  </w:tcPr>
                  <w:p>
                    <w:pPr>
                      <w:pStyle w:val="55"/>
                      <w:ind w:firstLine="0" w:firstLineChars="0"/>
                      <w:jc w:val="left"/>
                      <w:rPr>
                        <w:szCs w:val="21"/>
                      </w:rPr>
                    </w:pPr>
                    <w:r>
                      <w:rPr>
                        <w:szCs w:val="21"/>
                      </w:rPr>
                      <w:t>因不可抗力因素，如遭受自然灾害而计提的各项资产减值准备</w:t>
                    </w:r>
                  </w:p>
                </w:tc>
              </w:sdtContent>
            </w:sdt>
            <w:sdt>
              <w:sdtPr>
                <w:rPr>
                  <w:rFonts w:ascii="Times New Roman" w:hAnsi="Times New Roman"/>
                  <w:szCs w:val="21"/>
                </w:rPr>
                <w:alias w:val="因不可抗力因素，如遭受自然灾害而计提的各项资产减值准备（非经常性损益项目）"/>
                <w:tag w:val="_GBC_60f488230e88476f8e910bcd4afbb8de"/>
                <w:id w:val="937023566"/>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800bc168c54e55813a5cf2f30e4ea9"/>
                <w:id w:val="-2118431500"/>
                <w:lock w:val="sdtLocked"/>
              </w:sdtPr>
              <w:sdtContent>
                <w:tc>
                  <w:tcPr>
                    <w:tcW w:w="1708" w:type="pct"/>
                  </w:tcPr>
                  <w:p>
                    <w:pPr>
                      <w:pStyle w:val="55"/>
                      <w:ind w:firstLine="0" w:firstLineChars="0"/>
                      <w:jc w:val="left"/>
                      <w:rPr>
                        <w:szCs w:val="21"/>
                      </w:rPr>
                    </w:pPr>
                    <w:r>
                      <w:rPr>
                        <w:szCs w:val="21"/>
                      </w:rPr>
                      <w:t>债务重组损益</w:t>
                    </w:r>
                  </w:p>
                </w:tc>
              </w:sdtContent>
            </w:sdt>
            <w:sdt>
              <w:sdtPr>
                <w:rPr>
                  <w:rFonts w:ascii="Times New Roman" w:hAnsi="Times New Roman"/>
                  <w:szCs w:val="21"/>
                </w:rPr>
                <w:alias w:val="债务重组损益（非经常性损益项目）"/>
                <w:tag w:val="_GBC_d64bfd2d8c9645fb970654d2a5278e1a"/>
                <w:id w:val="1983267968"/>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35,402,775.19</w:t>
                    </w:r>
                  </w:p>
                </w:tc>
              </w:sdtContent>
            </w:sdt>
            <w:tc>
              <w:tcPr>
                <w:tcW w:w="1193" w:type="pct"/>
                <w:vAlign w:val="center"/>
              </w:tcPr>
              <w:p>
                <w:pPr>
                  <w:widowControl w:val="0"/>
                  <w:jc w:val="right"/>
                  <w:rPr>
                    <w:sz w:val="24"/>
                  </w:rPr>
                </w:pPr>
                <w:r>
                  <w:t>9,188,411,194.81</w:t>
                </w:r>
              </w:p>
            </w:tc>
            <w:tc>
              <w:tcPr>
                <w:tcW w:w="1077" w:type="pct"/>
                <w:vAlign w:val="center"/>
              </w:tcPr>
              <w:p>
                <w:pPr>
                  <w:widowControl w:val="0"/>
                  <w:jc w:val="right"/>
                </w:pPr>
                <w:r>
                  <w:t>3,318,719.05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d1d4caa569429ab96f7f70a6f1a991"/>
                <w:id w:val="-1574806719"/>
                <w:lock w:val="sdtLocked"/>
              </w:sdtPr>
              <w:sdtContent>
                <w:tc>
                  <w:tcPr>
                    <w:tcW w:w="1708" w:type="pct"/>
                  </w:tcPr>
                  <w:p>
                    <w:pPr>
                      <w:pStyle w:val="55"/>
                      <w:ind w:firstLine="0" w:firstLineChars="0"/>
                      <w:jc w:val="left"/>
                      <w:rPr>
                        <w:szCs w:val="21"/>
                      </w:rPr>
                    </w:pPr>
                    <w:r>
                      <w:rPr>
                        <w:szCs w:val="21"/>
                      </w:rPr>
                      <w:t>企业重组费用，如安置职工的支出、整合费用等</w:t>
                    </w:r>
                  </w:p>
                </w:tc>
              </w:sdtContent>
            </w:sdt>
            <w:sdt>
              <w:sdtPr>
                <w:rPr>
                  <w:rFonts w:ascii="Times New Roman" w:hAnsi="Times New Roman"/>
                  <w:szCs w:val="21"/>
                </w:rPr>
                <w:alias w:val="企业重组费用，如安置职工的支出、整合费用等（非经常性损益项目）"/>
                <w:tag w:val="_GBC_c8188a8f072146298be15aad2e72f2b1"/>
                <w:id w:val="497237350"/>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e0a009a4f44eb0bf80d179b10fe78f"/>
                <w:id w:val="-1418554933"/>
                <w:lock w:val="sdtLocked"/>
              </w:sdtPr>
              <w:sdtContent>
                <w:tc>
                  <w:tcPr>
                    <w:tcW w:w="1708" w:type="pct"/>
                  </w:tcPr>
                  <w:p>
                    <w:pPr>
                      <w:pStyle w:val="55"/>
                      <w:ind w:firstLine="0" w:firstLineChars="0"/>
                      <w:jc w:val="left"/>
                      <w:rPr>
                        <w:szCs w:val="21"/>
                      </w:rPr>
                    </w:pPr>
                    <w:r>
                      <w:rPr>
                        <w:szCs w:val="21"/>
                      </w:rPr>
                      <w:t>交易价格显失公允的交易产生的超过公允价值部分的损益</w:t>
                    </w:r>
                  </w:p>
                </w:tc>
              </w:sdtContent>
            </w:sdt>
            <w:sdt>
              <w:sdtPr>
                <w:rPr>
                  <w:rFonts w:ascii="Times New Roman" w:hAnsi="Times New Roman"/>
                  <w:szCs w:val="21"/>
                </w:rPr>
                <w:alias w:val="交易价格显失公允的交易产生的超过公允价值部分的损益（非经常性损益项目）"/>
                <w:tag w:val="_GBC_0d3f47734ca14bf5bcb7a1e74537307d"/>
                <w:id w:val="-1979601978"/>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3eacd156f348688a85a48cabff7807"/>
                <w:id w:val="-581142919"/>
                <w:lock w:val="sdtLocked"/>
              </w:sdtPr>
              <w:sdtContent>
                <w:tc>
                  <w:tcPr>
                    <w:tcW w:w="1708" w:type="pct"/>
                  </w:tcPr>
                  <w:p>
                    <w:pPr>
                      <w:pStyle w:val="55"/>
                      <w:ind w:firstLine="0" w:firstLineChars="0"/>
                      <w:jc w:val="left"/>
                      <w:rPr>
                        <w:szCs w:val="21"/>
                      </w:rPr>
                    </w:pPr>
                    <w:r>
                      <w:rPr>
                        <w:szCs w:val="21"/>
                      </w:rPr>
                      <w:t>同一控制下企业合并产生的子公司期初至合并日的当期净损益</w:t>
                    </w:r>
                  </w:p>
                </w:tc>
              </w:sdtContent>
            </w:sdt>
            <w:sdt>
              <w:sdtPr>
                <w:rPr>
                  <w:rFonts w:ascii="Times New Roman" w:hAnsi="Times New Roman"/>
                  <w:szCs w:val="21"/>
                </w:rPr>
                <w:alias w:val="同一控制下企业合并产生的子公司期初至合并日的当期净损益（非经常性损益项目）"/>
                <w:tag w:val="_GBC_f12a9ff39ba74938b375e450b22f2e96"/>
                <w:id w:val="1645242936"/>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c4b44a00e644abae94fd5aab6a0f53"/>
                <w:id w:val="1683247309"/>
                <w:lock w:val="sdtLocked"/>
              </w:sdtPr>
              <w:sdtContent>
                <w:tc>
                  <w:tcPr>
                    <w:tcW w:w="1708" w:type="pct"/>
                  </w:tcPr>
                  <w:p>
                    <w:pPr>
                      <w:pStyle w:val="55"/>
                      <w:ind w:firstLine="0" w:firstLineChars="0"/>
                      <w:jc w:val="left"/>
                      <w:rPr>
                        <w:szCs w:val="21"/>
                      </w:rPr>
                    </w:pPr>
                    <w:r>
                      <w:rPr>
                        <w:szCs w:val="21"/>
                      </w:rPr>
                      <w:t>与公司正常经营业务无关的或有事项产生的损益</w:t>
                    </w:r>
                  </w:p>
                </w:tc>
              </w:sdtContent>
            </w:sdt>
            <w:sdt>
              <w:sdtPr>
                <w:rPr>
                  <w:rFonts w:ascii="Times New Roman" w:hAnsi="Times New Roman"/>
                  <w:szCs w:val="21"/>
                </w:rPr>
                <w:alias w:val="与公司正常经营业务无关的或有事项产生的损益（非经常性损益项目）"/>
                <w:tag w:val="_GBC_4df813a9059a434380e9bbc3d5359064"/>
                <w:id w:val="442889191"/>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sdt>
                <w:sdtPr>
                  <w:rPr>
                    <w:rFonts w:hint="eastAsia" w:ascii="Times New Roman" w:hAnsi="Times New Roman"/>
                  </w:rPr>
                  <w:tag w:val="_PLD_c9f3090a6252489a8a56f231559548a9"/>
                  <w:id w:val="1766186359"/>
                  <w:lock w:val="sdtLocked"/>
                </w:sdtPr>
                <w:sdtEndPr>
                  <w:rPr>
                    <w:rFonts w:hint="eastAsia" w:ascii="Times New Roman" w:hAnsi="Times New Roman"/>
                  </w:rPr>
                </w:sdtEndPr>
                <w:sdtContent>
                  <w:p>
                    <w:pPr>
                      <w:pStyle w:val="55"/>
                      <w:ind w:firstLine="0" w:firstLineChars="0"/>
                      <w:jc w:val="left"/>
                    </w:pPr>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ascii="Times New Roman" w:hAnsi="Times New Roman"/>
                  <w:szCs w:val="21"/>
                </w:rPr>
                <w:alias w:val="除同公司正常经营业务相关的有效套期保值业务外，持有交易性金融资产、衍生金融资产、交易性金融负债、衍生金融负债产生的公允价值变动损"/>
                <w:tag w:val="_GBC_9e3b11554a02407788efb0fb69037b20"/>
                <w:id w:val="-1734160232"/>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61,717.10</w:t>
                    </w:r>
                  </w:p>
                </w:tc>
              </w:sdtContent>
            </w:sdt>
            <w:tc>
              <w:tcPr>
                <w:tcW w:w="1193" w:type="pct"/>
                <w:vAlign w:val="center"/>
              </w:tcPr>
              <w:p>
                <w:pPr>
                  <w:widowControl w:val="0"/>
                  <w:jc w:val="right"/>
                  <w:rPr>
                    <w:szCs w:val="21"/>
                  </w:rPr>
                </w:pPr>
                <w:r>
                  <w:rPr>
                    <w:szCs w:val="21"/>
                  </w:rPr>
                  <w:t>214,318.17</w:t>
                </w: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sdt>
                <w:sdtPr>
                  <w:rPr>
                    <w:rFonts w:hint="eastAsia" w:ascii="Times New Roman" w:hAnsi="Times New Roman"/>
                  </w:rPr>
                  <w:tag w:val="_PLD_a35bb95fbfe74ad19cddd8723c27647d"/>
                  <w:id w:val="1826554510"/>
                  <w:lock w:val="sdtLocked"/>
                </w:sdtPr>
                <w:sdtEndPr>
                  <w:rPr>
                    <w:rFonts w:hint="eastAsia" w:ascii="Times New Roman" w:hAnsi="Times New Roman"/>
                  </w:rPr>
                </w:sdtEndPr>
                <w:sdtContent>
                  <w:p>
                    <w:pPr>
                      <w:pStyle w:val="55"/>
                      <w:ind w:firstLine="0" w:firstLineChars="0"/>
                      <w:jc w:val="left"/>
                    </w:pPr>
                    <w:r>
                      <w:rPr>
                        <w:rFonts w:hint="eastAsia"/>
                      </w:rPr>
                      <w:t>单独进行减值测试的应收款项、合同资产减值准备转回</w:t>
                    </w:r>
                  </w:p>
                </w:sdtContent>
              </w:sdt>
            </w:tc>
            <w:sdt>
              <w:sdtPr>
                <w:rPr>
                  <w:rFonts w:ascii="Times New Roman" w:hAnsi="Times New Roman"/>
                  <w:szCs w:val="21"/>
                </w:rPr>
                <w:alias w:val="单独进行减值测试的应收款项、合同资产减值准备转回（非经常性损益项目） "/>
                <w:tag w:val="_GBC_c7ca5d643b6b479d8a1de3bc1688b77e"/>
                <w:id w:val="1460767064"/>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10,172,399.97</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beffc1ef58042eabb841a8c6ba3a2cd"/>
                <w:id w:val="1745840015"/>
                <w:lock w:val="sdtLocked"/>
              </w:sdtPr>
              <w:sdtContent>
                <w:tc>
                  <w:tcPr>
                    <w:tcW w:w="1708" w:type="pct"/>
                  </w:tcPr>
                  <w:p>
                    <w:pPr>
                      <w:pStyle w:val="55"/>
                      <w:ind w:firstLine="0" w:firstLineChars="0"/>
                      <w:jc w:val="left"/>
                      <w:rPr>
                        <w:szCs w:val="21"/>
                      </w:rPr>
                    </w:pPr>
                    <w:r>
                      <w:rPr>
                        <w:szCs w:val="21"/>
                      </w:rPr>
                      <w:t>对外委托贷款取得的损益</w:t>
                    </w:r>
                  </w:p>
                </w:tc>
              </w:sdtContent>
            </w:sdt>
            <w:sdt>
              <w:sdtPr>
                <w:rPr>
                  <w:rFonts w:ascii="Times New Roman" w:hAnsi="Times New Roman"/>
                  <w:szCs w:val="21"/>
                </w:rPr>
                <w:alias w:val="对外委托贷款取得的损益（非经常性损益项目）"/>
                <w:tag w:val="_GBC_611a46074c784e99a3e43b9dcb8b5375"/>
                <w:id w:val="615564011"/>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4996bc8c9546cc897e6503fc329d77"/>
                <w:id w:val="-1780405704"/>
                <w:lock w:val="sdtLocked"/>
              </w:sdtPr>
              <w:sdtContent>
                <w:tc>
                  <w:tcPr>
                    <w:tcW w:w="1708" w:type="pct"/>
                  </w:tcPr>
                  <w:p>
                    <w:pPr>
                      <w:pStyle w:val="55"/>
                      <w:ind w:firstLine="0" w:firstLineChars="0"/>
                      <w:jc w:val="left"/>
                      <w:rPr>
                        <w:szCs w:val="21"/>
                      </w:rPr>
                    </w:pPr>
                    <w:r>
                      <w:rPr>
                        <w:szCs w:val="21"/>
                      </w:rPr>
                      <w:t>采用公允价值模式进行后续计量的投资性房地产公允价值变动产生的损益</w:t>
                    </w:r>
                  </w:p>
                </w:tc>
              </w:sdtContent>
            </w:sdt>
            <w:sdt>
              <w:sdtPr>
                <w:rPr>
                  <w:rFonts w:ascii="Times New Roman" w:hAnsi="Times New Roman"/>
                  <w:szCs w:val="21"/>
                </w:rPr>
                <w:alias w:val="采用公允价值模式进行后续计量的投资性房地产公允价值变动产生的损益（非经常性损益项目）"/>
                <w:tag w:val="_GBC_befb60810002429593615e3a521f5276"/>
                <w:id w:val="-243263231"/>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50,677,613.50</w:t>
                    </w:r>
                  </w:p>
                </w:tc>
              </w:sdtContent>
            </w:sdt>
            <w:tc>
              <w:tcPr>
                <w:tcW w:w="1193" w:type="pct"/>
                <w:vAlign w:val="center"/>
              </w:tcPr>
              <w:p>
                <w:pPr>
                  <w:widowControl w:val="0"/>
                  <w:jc w:val="right"/>
                  <w:rPr>
                    <w:sz w:val="24"/>
                  </w:rPr>
                </w:pPr>
                <w:r>
                  <w:t>-2,524,257.60</w:t>
                </w:r>
              </w:p>
            </w:tc>
            <w:tc>
              <w:tcPr>
                <w:tcW w:w="1077" w:type="pct"/>
                <w:vAlign w:val="center"/>
              </w:tcPr>
              <w:p>
                <w:pPr>
                  <w:widowControl w:val="0"/>
                  <w:jc w:val="right"/>
                </w:pPr>
                <w:r>
                  <w:t>137,960.00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0eb423167a4447fa29c77c0868920cf"/>
                <w:id w:val="-1725823045"/>
                <w:lock w:val="sdtLocked"/>
              </w:sdtPr>
              <w:sdtContent>
                <w:tc>
                  <w:tcPr>
                    <w:tcW w:w="1708" w:type="pct"/>
                  </w:tcPr>
                  <w:p>
                    <w:pPr>
                      <w:pStyle w:val="55"/>
                      <w:ind w:firstLine="0" w:firstLineChars="0"/>
                      <w:jc w:val="left"/>
                      <w:rPr>
                        <w:szCs w:val="21"/>
                      </w:rPr>
                    </w:pPr>
                    <w:r>
                      <w:rPr>
                        <w:szCs w:val="21"/>
                      </w:rPr>
                      <w:t>根据税收、会计等法律、法规的要求对当期损益进行一次性调整对当期损益的影响</w:t>
                    </w:r>
                  </w:p>
                </w:tc>
              </w:sdtContent>
            </w:sdt>
            <w:sdt>
              <w:sdtPr>
                <w:rPr>
                  <w:rFonts w:ascii="Times New Roman" w:hAnsi="Times New Roman"/>
                  <w:szCs w:val="21"/>
                </w:rPr>
                <w:alias w:val="根据税收、会计等法律、法规的要求对当期损益进行一次性调整对当期损益的影响（非经常性损益项目）"/>
                <w:tag w:val="_GBC_ca4bb3049b574b3e8c6e1776b8440b3c"/>
                <w:id w:val="-583533382"/>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3cbcb5c4a554cb89b6fcecd900b57f6"/>
                <w:id w:val="2059511086"/>
                <w:lock w:val="sdtLocked"/>
              </w:sdtPr>
              <w:sdtContent>
                <w:tc>
                  <w:tcPr>
                    <w:tcW w:w="1708" w:type="pct"/>
                  </w:tcPr>
                  <w:p>
                    <w:pPr>
                      <w:pStyle w:val="55"/>
                      <w:ind w:firstLine="0" w:firstLineChars="0"/>
                      <w:jc w:val="left"/>
                      <w:rPr>
                        <w:szCs w:val="21"/>
                      </w:rPr>
                    </w:pPr>
                    <w:r>
                      <w:rPr>
                        <w:szCs w:val="21"/>
                      </w:rPr>
                      <w:t>受托经营取得的托管费收入</w:t>
                    </w:r>
                  </w:p>
                </w:tc>
              </w:sdtContent>
            </w:sdt>
            <w:sdt>
              <w:sdtPr>
                <w:rPr>
                  <w:rFonts w:ascii="Times New Roman" w:hAnsi="Times New Roman"/>
                  <w:szCs w:val="21"/>
                </w:rPr>
                <w:alias w:val="受托经营取得的托管费收入（非经常性损益项目）"/>
                <w:tag w:val="_GBC_64dec82270cd41ecb837bfb42a00fe5d"/>
                <w:id w:val="1219172003"/>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r>
                      <w:rPr>
                        <w:rFonts w:hint="eastAsia"/>
                        <w:szCs w:val="21"/>
                      </w:rPr>
                      <w:t>　</w:t>
                    </w: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be33fdedf14f828b768e63f66776a7"/>
                <w:id w:val="788936507"/>
                <w:lock w:val="sdtLocked"/>
              </w:sdtPr>
              <w:sdtContent>
                <w:tc>
                  <w:tcPr>
                    <w:tcW w:w="1708" w:type="pct"/>
                  </w:tcPr>
                  <w:p>
                    <w:pPr>
                      <w:pStyle w:val="55"/>
                      <w:ind w:firstLine="0" w:firstLineChars="0"/>
                      <w:jc w:val="left"/>
                      <w:rPr>
                        <w:szCs w:val="21"/>
                      </w:rPr>
                    </w:pPr>
                    <w:r>
                      <w:rPr>
                        <w:szCs w:val="21"/>
                      </w:rPr>
                      <w:t>除上述各项之外的其他营业外收入和支出</w:t>
                    </w:r>
                  </w:p>
                </w:tc>
              </w:sdtContent>
            </w:sdt>
            <w:sdt>
              <w:sdtPr>
                <w:rPr>
                  <w:rFonts w:ascii="Times New Roman" w:hAnsi="Times New Roman"/>
                  <w:szCs w:val="21"/>
                </w:rPr>
                <w:alias w:val="除上述各项之外的其他营业外收入和支出（非经常性损益项目）"/>
                <w:tag w:val="_GBC_a773965a05794857b243336e0cfaa234"/>
                <w:id w:val="470107726"/>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-3,177,440.11</w:t>
                    </w:r>
                  </w:p>
                </w:tc>
              </w:sdtContent>
            </w:sdt>
            <w:tc>
              <w:tcPr>
                <w:tcW w:w="1193" w:type="pct"/>
                <w:vAlign w:val="center"/>
              </w:tcPr>
              <w:p>
                <w:pPr>
                  <w:widowControl w:val="0"/>
                  <w:jc w:val="right"/>
                  <w:rPr>
                    <w:sz w:val="24"/>
                  </w:rPr>
                </w:pPr>
                <w:r>
                  <w:t>4,371,272.12</w:t>
                </w:r>
              </w:p>
            </w:tc>
            <w:tc>
              <w:tcPr>
                <w:tcW w:w="1077" w:type="pct"/>
                <w:vAlign w:val="center"/>
              </w:tcPr>
              <w:p>
                <w:pPr>
                  <w:widowControl w:val="0"/>
                  <w:jc w:val="right"/>
                </w:pPr>
                <w:r>
                  <w:t>-17,337,731.53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69ba37d792f40e6b04d4878cd0275d9"/>
                <w:id w:val="1168915514"/>
                <w:lock w:val="sdtLocked"/>
              </w:sdtPr>
              <w:sdtContent>
                <w:tc>
                  <w:tcPr>
                    <w:tcW w:w="1708" w:type="pct"/>
                  </w:tcPr>
                  <w:p>
                    <w:pPr>
                      <w:pStyle w:val="55"/>
                      <w:ind w:firstLine="0" w:firstLineChars="0"/>
                      <w:jc w:val="left"/>
                      <w:rPr>
                        <w:szCs w:val="21"/>
                      </w:rPr>
                    </w:pPr>
                    <w:r>
                      <w:rPr>
                        <w:szCs w:val="21"/>
                      </w:rPr>
                      <w:t>其他符合非经常性损益定义的损益项目</w:t>
                    </w:r>
                  </w:p>
                </w:tc>
              </w:sdtContent>
            </w:sdt>
            <w:sdt>
              <w:sdtPr>
                <w:rPr>
                  <w:rFonts w:ascii="Times New Roman" w:hAnsi="Times New Roman"/>
                  <w:szCs w:val="21"/>
                </w:rPr>
                <w:alias w:val="其他符合非经常性损益定义的损益项目（非经常性损益项目）"/>
                <w:tag w:val="_GBC_dc3014cc76184a2b8eb76e4aa565ffad"/>
                <w:id w:val="-905993173"/>
                <w:lock w:val="sdtLocked"/>
                <w:showingPlcHdr/>
                <w:text/>
              </w:sdtPr>
              <w:sdtEndPr>
                <w:rPr>
                  <w:rFonts w:ascii="Times New Roman" w:hAnsi="Times New Roman"/>
                  <w:szCs w:val="21"/>
                </w:rPr>
              </w:sdtEndPr>
              <w:sdtContent>
                <w:tc>
                  <w:tcPr>
                    <w:tcW w:w="1019" w:type="pct"/>
                    <w:vAlign w:val="center"/>
                  </w:tcPr>
                  <w:p>
                    <w:pPr>
                      <w:widowControl w:val="0"/>
                      <w:jc w:val="right"/>
                      <w:rPr>
                        <w:szCs w:val="21"/>
                      </w:rPr>
                    </w:pPr>
                  </w:p>
                </w:tc>
              </w:sdtContent>
            </w:sdt>
            <w:tc>
              <w:tcPr>
                <w:tcW w:w="1193" w:type="pct"/>
                <w:vAlign w:val="center"/>
              </w:tcPr>
              <w:p>
                <w:pPr>
                  <w:widowControl w:val="0"/>
                  <w:jc w:val="right"/>
                  <w:rPr>
                    <w:szCs w:val="21"/>
                  </w:rPr>
                </w:pPr>
              </w:p>
            </w:tc>
            <w:tc>
              <w:tcPr>
                <w:tcW w:w="1077" w:type="pct"/>
                <w:vAlign w:val="center"/>
              </w:tcPr>
              <w:p>
                <w:pPr>
                  <w:widowControl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pStyle w:val="55"/>
                  <w:ind w:firstLine="0" w:firstLineChars="0"/>
                  <w:jc w:val="left"/>
                </w:pPr>
                <w:r>
                  <w:rPr>
                    <w:rFonts w:hint="eastAsia"/>
                  </w:rPr>
                  <w:t>处置长期股权投资产生的损益</w:t>
                </w:r>
              </w:p>
            </w:tc>
            <w:tc>
              <w:tcPr>
                <w:tcW w:w="1019" w:type="pct"/>
                <w:vAlign w:val="center"/>
              </w:tcPr>
              <w:p>
                <w:pPr>
                  <w:widowControl w:val="0"/>
                  <w:jc w:val="right"/>
                  <w:rPr>
                    <w:sz w:val="24"/>
                  </w:rPr>
                </w:pPr>
                <w:r>
                  <w:t>7,753,401.48</w:t>
                </w:r>
              </w:p>
            </w:tc>
            <w:tc>
              <w:tcPr>
                <w:tcW w:w="1193" w:type="pct"/>
                <w:vAlign w:val="center"/>
              </w:tcPr>
              <w:p>
                <w:pPr>
                  <w:widowControl w:val="0"/>
                  <w:jc w:val="right"/>
                  <w:rPr>
                    <w:sz w:val="24"/>
                  </w:rPr>
                </w:pPr>
                <w:r>
                  <w:t>-55,072.08</w:t>
                </w:r>
              </w:p>
            </w:tc>
            <w:tc>
              <w:tcPr>
                <w:tcW w:w="1077" w:type="pct"/>
                <w:vAlign w:val="center"/>
              </w:tcPr>
              <w:p>
                <w:pPr>
                  <w:widowControl w:val="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pStyle w:val="55"/>
                  <w:ind w:firstLine="0" w:firstLineChars="0"/>
                  <w:jc w:val="left"/>
                </w:pPr>
                <w:r>
                  <w:t>赔偿支出</w:t>
                </w:r>
              </w:p>
            </w:tc>
            <w:tc>
              <w:tcPr>
                <w:tcW w:w="1019" w:type="pct"/>
                <w:vAlign w:val="center"/>
              </w:tcPr>
              <w:p>
                <w:pPr>
                  <w:widowControl w:val="0"/>
                  <w:jc w:val="right"/>
                  <w:rPr>
                    <w:szCs w:val="21"/>
                  </w:rPr>
                </w:pPr>
              </w:p>
            </w:tc>
            <w:tc>
              <w:tcPr>
                <w:tcW w:w="1193" w:type="pct"/>
                <w:vAlign w:val="center"/>
              </w:tcPr>
              <w:p>
                <w:pPr>
                  <w:widowControl w:val="0"/>
                  <w:jc w:val="right"/>
                  <w:rPr>
                    <w:sz w:val="24"/>
                  </w:rPr>
                </w:pPr>
                <w:r>
                  <w:t>-693,363,284.82</w:t>
                </w:r>
              </w:p>
            </w:tc>
            <w:tc>
              <w:tcPr>
                <w:tcW w:w="1077" w:type="pct"/>
                <w:vAlign w:val="center"/>
              </w:tcPr>
              <w:p>
                <w:pPr>
                  <w:widowControl w:val="0"/>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8" w:type="pct"/>
              </w:tcPr>
              <w:p>
                <w:pPr>
                  <w:pStyle w:val="55"/>
                  <w:ind w:firstLine="0" w:firstLineChars="0"/>
                  <w:jc w:val="left"/>
                </w:pPr>
                <w:r>
                  <w:t>违约赔偿支出及停工损失</w:t>
                </w:r>
              </w:p>
            </w:tc>
            <w:tc>
              <w:tcPr>
                <w:tcW w:w="1019" w:type="pct"/>
                <w:vAlign w:val="center"/>
              </w:tcPr>
              <w:p>
                <w:pPr>
                  <w:widowControl w:val="0"/>
                  <w:jc w:val="right"/>
                  <w:rPr>
                    <w:szCs w:val="21"/>
                  </w:rPr>
                </w:pPr>
              </w:p>
            </w:tc>
            <w:tc>
              <w:tcPr>
                <w:tcW w:w="1193" w:type="pct"/>
                <w:vAlign w:val="center"/>
              </w:tcPr>
              <w:p>
                <w:pPr>
                  <w:widowControl w:val="0"/>
                  <w:jc w:val="right"/>
                  <w:rPr>
                    <w:rFonts w:eastAsia="Times New Roman"/>
                  </w:rPr>
                </w:pPr>
              </w:p>
            </w:tc>
            <w:tc>
              <w:tcPr>
                <w:tcW w:w="1077" w:type="pct"/>
                <w:vAlign w:val="center"/>
              </w:tcPr>
              <w:p>
                <w:pPr>
                  <w:widowControl w:val="0"/>
                  <w:jc w:val="right"/>
                  <w:rPr>
                    <w:sz w:val="24"/>
                  </w:rPr>
                </w:pPr>
                <w:r>
                  <w:t>-92,016,069.08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36791cf59a8480abcd9c8ff79bd2231"/>
                <w:id w:val="1429236727"/>
                <w:lock w:val="sdtLocked"/>
              </w:sdtPr>
              <w:sdtContent>
                <w:tc>
                  <w:tcPr>
                    <w:tcW w:w="1708" w:type="pct"/>
                  </w:tcPr>
                  <w:p>
                    <w:pPr>
                      <w:pStyle w:val="55"/>
                      <w:ind w:firstLine="0" w:firstLineChars="0"/>
                      <w:jc w:val="left"/>
                      <w:rPr>
                        <w:szCs w:val="21"/>
                      </w:rPr>
                    </w:pPr>
                    <w:r>
                      <w:rPr>
                        <w:rFonts w:hint="eastAsia"/>
                      </w:rPr>
                      <w:t>减：</w:t>
                    </w:r>
                    <w:r>
                      <w:rPr>
                        <w:szCs w:val="21"/>
                      </w:rPr>
                      <w:t>所得税影响额</w:t>
                    </w:r>
                  </w:p>
                </w:tc>
              </w:sdtContent>
            </w:sdt>
            <w:sdt>
              <w:sdtPr>
                <w:rPr>
                  <w:rFonts w:ascii="Times New Roman" w:hAnsi="Times New Roman"/>
                  <w:szCs w:val="21"/>
                </w:rPr>
                <w:alias w:val="非经常性损益_对所得税的影响"/>
                <w:tag w:val="_GBC_e14f120878e34174ad3744d5e7db4eea"/>
                <w:id w:val="1016576165"/>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-1,878,790.68</w:t>
                    </w:r>
                  </w:p>
                </w:tc>
              </w:sdtContent>
            </w:sdt>
            <w:tc>
              <w:tcPr>
                <w:tcW w:w="1193" w:type="pct"/>
                <w:vAlign w:val="center"/>
              </w:tcPr>
              <w:p>
                <w:pPr>
                  <w:widowControl w:val="0"/>
                  <w:jc w:val="right"/>
                  <w:rPr>
                    <w:sz w:val="24"/>
                  </w:rPr>
                </w:pPr>
                <w:r>
                  <w:t>964,202,077.47</w:t>
                </w:r>
              </w:p>
            </w:tc>
            <w:tc>
              <w:tcPr>
                <w:tcW w:w="1077" w:type="pct"/>
                <w:vAlign w:val="center"/>
              </w:tcPr>
              <w:p>
                <w:pPr>
                  <w:widowControl w:val="0"/>
                  <w:jc w:val="right"/>
                </w:pPr>
                <w:r>
                  <w:rPr>
                    <w:rFonts w:hint="eastAsia"/>
                  </w:rPr>
                  <w:t>-</w:t>
                </w:r>
                <w:r>
                  <w:t>101,358,282.81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49f9eb956c4e448b13c00025046984"/>
                <w:id w:val="-574903864"/>
                <w:lock w:val="sdtLocked"/>
              </w:sdtPr>
              <w:sdtContent>
                <w:tc>
                  <w:tcPr>
                    <w:tcW w:w="1708" w:type="pct"/>
                  </w:tcPr>
                  <w:p>
                    <w:pPr>
                      <w:pStyle w:val="55"/>
                      <w:jc w:val="left"/>
                      <w:rPr>
                        <w:szCs w:val="21"/>
                      </w:rPr>
                    </w:pPr>
                    <w:r>
                      <w:rPr>
                        <w:szCs w:val="21"/>
                      </w:rPr>
                      <w:t>少数股东权益影响额</w:t>
                    </w:r>
                    <w:r>
                      <w:rPr>
                        <w:rFonts w:hint="eastAsia"/>
                        <w:szCs w:val="21"/>
                      </w:rPr>
                      <w:t>（税后）</w:t>
                    </w:r>
                  </w:p>
                </w:tc>
              </w:sdtContent>
            </w:sdt>
            <w:sdt>
              <w:sdtPr>
                <w:rPr>
                  <w:rFonts w:ascii="Times New Roman" w:hAnsi="Times New Roman"/>
                  <w:szCs w:val="21"/>
                </w:rPr>
                <w:alias w:val="少数股东权益影响额（非经常性损益项目）"/>
                <w:tag w:val="_GBC_8a33ddc327de4910a42517cecea4257d"/>
                <w:id w:val="-1108504834"/>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6,424,508.30</w:t>
                    </w:r>
                  </w:p>
                </w:tc>
              </w:sdtContent>
            </w:sdt>
            <w:tc>
              <w:tcPr>
                <w:tcW w:w="1193" w:type="pct"/>
                <w:vAlign w:val="center"/>
              </w:tcPr>
              <w:p>
                <w:pPr>
                  <w:widowControl w:val="0"/>
                  <w:jc w:val="right"/>
                </w:pPr>
                <w:r>
                  <w:t>4,069,385.62</w:t>
                </w:r>
              </w:p>
            </w:tc>
            <w:tc>
              <w:tcPr>
                <w:tcW w:w="1077" w:type="pct"/>
                <w:vAlign w:val="center"/>
              </w:tcPr>
              <w:p>
                <w:pPr>
                  <w:widowControl w:val="0"/>
                  <w:jc w:val="right"/>
                </w:pPr>
                <w:r>
                  <w:t>1,015,218.87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d9c8f04b3e40cfa4a4a82686706b76"/>
                <w:id w:val="1155574172"/>
                <w:lock w:val="sdtLocked"/>
              </w:sdtPr>
              <w:sdtContent>
                <w:tc>
                  <w:tcPr>
                    <w:tcW w:w="1708" w:type="pct"/>
                    <w:vAlign w:val="center"/>
                  </w:tcPr>
                  <w:p>
                    <w:pPr>
                      <w:pStyle w:val="55"/>
                      <w:ind w:firstLine="0" w:firstLineChars="0"/>
                      <w:jc w:val="center"/>
                      <w:rPr>
                        <w:szCs w:val="21"/>
                      </w:rPr>
                    </w:pPr>
                    <w:r>
                      <w:rPr>
                        <w:szCs w:val="21"/>
                      </w:rPr>
                      <w:t>合计</w:t>
                    </w:r>
                  </w:p>
                </w:tc>
              </w:sdtContent>
            </w:sdt>
            <w:sdt>
              <w:sdtPr>
                <w:rPr>
                  <w:rFonts w:ascii="Times New Roman" w:hAnsi="Times New Roman"/>
                  <w:szCs w:val="21"/>
                </w:rPr>
                <w:alias w:val="扣除的非经常性损益合计"/>
                <w:tag w:val="_GBC_27f939c97c8647838fab8288ea8c5220"/>
                <w:id w:val="568310566"/>
                <w:lock w:val="sdtLocked"/>
                <w:text/>
              </w:sdtPr>
              <w:sdtEndPr>
                <w:rPr>
                  <w:rFonts w:ascii="Times New Roman" w:hAnsi="Times New Roman"/>
                  <w:szCs w:val="21"/>
                </w:rPr>
              </w:sdtEndPr>
              <w:sdtContent>
                <w:tc>
                  <w:tcPr>
                    <w:tcW w:w="1019" w:type="pct"/>
                    <w:vAlign w:val="center"/>
                  </w:tcPr>
                  <w:p>
                    <w:pPr>
                      <w:widowControl w:val="0"/>
                      <w:jc w:val="right"/>
                      <w:rPr>
                        <w:szCs w:val="21"/>
                      </w:rPr>
                    </w:pPr>
                    <w:r>
                      <w:rPr>
                        <w:szCs w:val="21"/>
                      </w:rPr>
                      <w:t>92,141,597.48</w:t>
                    </w:r>
                  </w:p>
                </w:tc>
              </w:sdtContent>
            </w:sdt>
            <w:tc>
              <w:tcPr>
                <w:tcW w:w="1193" w:type="pct"/>
                <w:vAlign w:val="center"/>
              </w:tcPr>
              <w:p>
                <w:pPr>
                  <w:widowControl w:val="0"/>
                  <w:jc w:val="right"/>
                </w:pPr>
                <w:r>
                  <w:t>6,392,137,420.14</w:t>
                </w:r>
              </w:p>
            </w:tc>
            <w:tc>
              <w:tcPr>
                <w:tcW w:w="1077" w:type="pct"/>
                <w:vAlign w:val="center"/>
              </w:tcPr>
              <w:p>
                <w:pPr>
                  <w:widowControl w:val="0"/>
                  <w:jc w:val="right"/>
                </w:pPr>
                <w:r>
                  <w:t>-286,870,319.45</w:t>
                </w:r>
              </w:p>
            </w:tc>
          </w:tr>
        </w:tbl>
        <w:p/>
      </w:sdtContent>
    </w:sdt>
    <w:sdt>
      <w:sdtPr>
        <w:rPr>
          <w:rFonts w:hAnsi="宋体" w:cs="宋体"/>
          <w:kern w:val="0"/>
          <w:szCs w:val="21"/>
        </w:rPr>
        <w:alias w:val="模块:将《公开发行证券的公司信息披露解释性公告第1号——非经常性损..."/>
        <w:tag w:val="_SEC_0910543556014fc1abc2864ad29c9f55"/>
        <w:id w:val="-134416950"/>
        <w:lock w:val="sdtLocked"/>
        <w:placeholder>
          <w:docPart w:val="GBC22222222222222222222222222222"/>
        </w:placeholder>
      </w:sdtPr>
      <w:sdtEndPr>
        <w:rPr>
          <w:rFonts w:hAnsi="宋体" w:cs="宋体"/>
          <w:kern w:val="0"/>
          <w:szCs w:val="24"/>
        </w:rPr>
      </w:sdtEndPr>
      <w:sdtContent>
        <w:p>
          <w:pPr>
            <w:pStyle w:val="20"/>
            <w:adjustRightInd w:val="0"/>
            <w:snapToGrid w:val="0"/>
            <w:spacing w:line="360" w:lineRule="auto"/>
            <w:rPr>
              <w:rFonts w:hAnsi="宋体"/>
              <w:kern w:val="0"/>
              <w:szCs w:val="21"/>
            </w:rPr>
          </w:pPr>
          <w:bookmarkStart w:id="21" w:name="_Hlk41379873"/>
          <w:bookmarkStart w:id="22" w:name="_Hlk89096484"/>
          <w:r>
            <w:rPr>
              <w:rFonts w:hAnsi="宋体"/>
              <w:kern w:val="0"/>
              <w:szCs w:val="21"/>
            </w:rPr>
            <w:t>将《公开发行证券的公司信息披露解释性公告第1号——非经常性损益》中列举的非经常性损益项目界定为经常性损益项目的情况说明</w:t>
          </w:r>
        </w:p>
        <w:sdt>
          <w:sdtPr>
            <w:alias w:val="是否适用：将非经常性损益项目界定为经常性损益项目[双击切换]"/>
            <w:tag w:val="_GBC_a4930715ddcb47d484e7fbd516fb3ac1"/>
            <w:id w:val="1909803645"/>
            <w:lock w:val="sdtLocked"/>
            <w:placeholder>
              <w:docPart w:val="GBC22222222222222222222222222222"/>
            </w:placeholder>
          </w:sdtPr>
          <w:sdtContent>
            <w:p>
              <w:pPr>
                <w:spacing w:line="360" w:lineRule="auto"/>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1"/>
    <w:bookmarkEnd w:id="22"/>
    <w:sdt>
      <w:sdtPr>
        <w:rPr>
          <w:rFonts w:hint="eastAsia" w:ascii="宋体" w:hAnsi="宋体" w:cs="宋体"/>
          <w:b w:val="0"/>
          <w:bCs w:val="0"/>
          <w:kern w:val="0"/>
          <w:szCs w:val="24"/>
        </w:rPr>
        <w:alias w:val="模块:采用公允价值计量的项目"/>
        <w:tag w:val="_SEC_4b13c06b07154e45b14204b22dd943ad"/>
        <w:id w:val="-1980679434"/>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1"/>
              <w:numId w:val="4"/>
            </w:numPr>
            <w:ind w:left="496" w:hanging="495" w:hangingChars="236"/>
          </w:pPr>
          <w:r>
            <w:rPr>
              <w:rFonts w:hint="eastAsia"/>
            </w:rPr>
            <w:t>采用公允价值计量的项目</w:t>
          </w:r>
        </w:p>
        <w:sdt>
          <w:sdtPr>
            <w:alias w:val="是否适用：采用公允价值计量的项目[双击切换]"/>
            <w:tag w:val="_GBC_e89d76d7486246e0ac1d3db15e4df008"/>
            <w:id w:val="-128834988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rFonts w:asciiTheme="minorEastAsia" w:hAnsiTheme="minorEastAsia" w:eastAsiaTheme="minorEastAsia"/>
              <w:szCs w:val="21"/>
            </w:rPr>
          </w:pPr>
          <w:r>
            <w:rPr>
              <w:rFonts w:hint="eastAsia" w:asciiTheme="minorEastAsia" w:hAnsiTheme="minorEastAsia" w:eastAsiaTheme="minorEastAsia"/>
              <w:szCs w:val="21"/>
            </w:rPr>
            <w:t>单位：</w:t>
          </w:r>
          <w:sdt>
            <w:sdtPr>
              <w:rPr>
                <w:rFonts w:hint="eastAsia" w:asciiTheme="minorEastAsia" w:hAnsiTheme="minorEastAsia" w:eastAsiaTheme="minorEastAsia"/>
                <w:szCs w:val="21"/>
              </w:rPr>
              <w:alias w:val="单位：采用公允价值计量的项目"/>
              <w:tag w:val="_GBC_3db790decc6f48c79df9bb825ea34c80"/>
              <w:id w:val="-6664728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元</w:t>
              </w:r>
            </w:sdtContent>
          </w:sdt>
          <w:r>
            <w:rPr>
              <w:rFonts w:hint="eastAsia" w:asciiTheme="minorEastAsia" w:hAnsiTheme="minorEastAsia" w:eastAsiaTheme="minorEastAsia"/>
              <w:szCs w:val="21"/>
            </w:rPr>
            <w:t xml:space="preserve">  币种：</w:t>
          </w:r>
          <w:sdt>
            <w:sdtPr>
              <w:rPr>
                <w:rFonts w:hint="eastAsia" w:asciiTheme="minorEastAsia" w:hAnsiTheme="minorEastAsia" w:eastAsiaTheme="minorEastAsia"/>
                <w:szCs w:val="21"/>
              </w:rPr>
              <w:alias w:val="币种：采用公允价值计量的项目"/>
              <w:tag w:val="_GBC_6f16a5f9084343f1b7cf46e770d31080"/>
              <w:id w:val="21115449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Theme="minorEastAsia" w:hAnsiTheme="minorEastAsia" w:eastAsiaTheme="minorEastAsia"/>
                <w:szCs w:val="21"/>
              </w:rPr>
            </w:sdtEndPr>
            <w:sdtContent>
              <w:r>
                <w:rPr>
                  <w:rFonts w:hint="eastAsia" w:asciiTheme="minorEastAsia" w:hAnsiTheme="minorEastAsia" w:eastAsiaTheme="minorEastAsia"/>
                  <w:szCs w:val="21"/>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1896"/>
            <w:gridCol w:w="1896"/>
            <w:gridCol w:w="1692"/>
            <w:gridCol w:w="1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7afb41bb6f11412490d2cf97e6a8af4a"/>
                <w:id w:val="-2145029388"/>
                <w:lock w:val="sdtLocked"/>
              </w:sdtPr>
              <w:sdtContent>
                <w:tc>
                  <w:tcPr>
                    <w:tcW w:w="1733"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项目名称</w:t>
                    </w:r>
                  </w:p>
                </w:tc>
              </w:sdtContent>
            </w:sdt>
            <w:sdt>
              <w:sdtPr>
                <w:tag w:val="_PLD_da0df6228e264965b54ebbf01610457e"/>
                <w:id w:val="1479646306"/>
                <w:lock w:val="sdtLocked"/>
              </w:sdtPr>
              <w:sdtContent>
                <w:tc>
                  <w:tcPr>
                    <w:tcW w:w="1791"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期初余额</w:t>
                    </w:r>
                  </w:p>
                </w:tc>
              </w:sdtContent>
            </w:sdt>
            <w:sdt>
              <w:sdtPr>
                <w:tag w:val="_PLD_32f24a9a3da24799945b9be672e1778c"/>
                <w:id w:val="-1279324179"/>
                <w:lock w:val="sdtLocked"/>
              </w:sdtPr>
              <w:sdtContent>
                <w:tc>
                  <w:tcPr>
                    <w:tcW w:w="1896"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期末余额</w:t>
                    </w:r>
                  </w:p>
                </w:tc>
              </w:sdtContent>
            </w:sdt>
            <w:sdt>
              <w:sdtPr>
                <w:tag w:val="_PLD_e96c7ea54e9845adafdee1a3e4d1777a"/>
                <w:id w:val="1313223426"/>
                <w:lock w:val="sdtLocked"/>
              </w:sdtPr>
              <w:sdtContent>
                <w:tc>
                  <w:tcPr>
                    <w:tcW w:w="1692"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当期变动</w:t>
                    </w:r>
                  </w:p>
                </w:tc>
              </w:sdtContent>
            </w:sdt>
            <w:sdt>
              <w:sdtPr>
                <w:tag w:val="_PLD_1472a884c9f543dba7a82865e73f1536"/>
                <w:id w:val="716627941"/>
                <w:lock w:val="sdtLocked"/>
              </w:sdtPr>
              <w:sdtContent>
                <w:tc>
                  <w:tcPr>
                    <w:tcW w:w="1937"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对当期利润的影响金额</w:t>
                    </w:r>
                  </w:p>
                </w:tc>
              </w:sdtContent>
            </w:sdt>
          </w:tr>
          <w:sdt>
            <w:sdtPr>
              <w:rPr>
                <w:rFonts w:hint="eastAsia" w:asciiTheme="minorEastAsia" w:hAnsiTheme="minorEastAsia" w:eastAsiaTheme="minorEastAsia"/>
                <w:szCs w:val="21"/>
              </w:rPr>
              <w:alias w:val="采用公允价值计量的项目情况明细"/>
              <w:tag w:val="_TUP_99268db9eb064c0d97aa8abe10bf05f1"/>
              <w:id w:val="-1149816256"/>
              <w:lock w:val="sdtLocked"/>
            </w:sdtPr>
            <w:sdtEndPr>
              <w:rPr>
                <w:rFonts w:hint="eastAsia" w:asciiTheme="minorEastAsia" w:hAnsiTheme="minorEastAsia" w:eastAsiaTheme="minor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733" w:type="dxa"/>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以公允价值计量的投资性房地产</w:t>
                    </w:r>
                  </w:p>
                </w:tc>
                <w:tc>
                  <w:tcPr>
                    <w:tcW w:w="1791" w:type="dxa"/>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2,655,143,686.5</w:t>
                    </w:r>
                    <w:r>
                      <w:rPr>
                        <w:rFonts w:hint="eastAsia" w:asciiTheme="minorEastAsia" w:hAnsiTheme="minorEastAsia" w:eastAsiaTheme="minorEastAsia"/>
                        <w:szCs w:val="21"/>
                      </w:rPr>
                      <w:t>0</w:t>
                    </w:r>
                  </w:p>
                </w:tc>
                <w:tc>
                  <w:tcPr>
                    <w:tcW w:w="1896" w:type="dxa"/>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3,199,673,400.00</w:t>
                    </w:r>
                  </w:p>
                </w:tc>
                <w:tc>
                  <w:tcPr>
                    <w:tcW w:w="1692" w:type="dxa"/>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544,529,713.50</w:t>
                    </w:r>
                  </w:p>
                </w:tc>
                <w:tc>
                  <w:tcPr>
                    <w:tcW w:w="1937" w:type="dxa"/>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50,677,613.50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a4d05bd3d4b34885acfe6e5bc6d34fc1"/>
                <w:id w:val="100457393"/>
                <w:lock w:val="sdtLocked"/>
              </w:sdtPr>
              <w:sdtContent>
                <w:tc>
                  <w:tcPr>
                    <w:tcW w:w="1733" w:type="dxa"/>
                    <w:tcBorders>
                      <w:bottom w:val="single" w:color="auto" w:sz="4" w:space="0"/>
                    </w:tcBorders>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合计</w:t>
                    </w:r>
                  </w:p>
                </w:tc>
              </w:sdtContent>
            </w:sdt>
            <w:tc>
              <w:tcPr>
                <w:tcW w:w="1791" w:type="dxa"/>
                <w:vAlign w:val="center"/>
              </w:tcPr>
              <w:p>
                <w:pPr>
                  <w:widowControl w:val="0"/>
                  <w:jc w:val="right"/>
                  <w:rPr>
                    <w:sz w:val="24"/>
                  </w:rPr>
                </w:pPr>
                <w:r>
                  <w:t>2,655,143,686.5</w:t>
                </w:r>
                <w:r>
                  <w:rPr>
                    <w:rFonts w:hint="eastAsia"/>
                  </w:rPr>
                  <w:t>0</w:t>
                </w:r>
              </w:p>
            </w:tc>
            <w:tc>
              <w:tcPr>
                <w:tcW w:w="1896" w:type="dxa"/>
                <w:vAlign w:val="center"/>
              </w:tcPr>
              <w:p>
                <w:pPr>
                  <w:widowControl w:val="0"/>
                  <w:jc w:val="right"/>
                </w:pPr>
                <w:r>
                  <w:t>3,199,673,400.00</w:t>
                </w:r>
              </w:p>
            </w:tc>
            <w:tc>
              <w:tcPr>
                <w:tcW w:w="1692" w:type="dxa"/>
                <w:vAlign w:val="center"/>
              </w:tcPr>
              <w:p>
                <w:pPr>
                  <w:widowControl w:val="0"/>
                  <w:jc w:val="right"/>
                </w:pPr>
                <w:r>
                  <w:t>544,529,713.50</w:t>
                </w:r>
              </w:p>
            </w:tc>
            <w:tc>
              <w:tcPr>
                <w:tcW w:w="1937" w:type="dxa"/>
                <w:vAlign w:val="center"/>
              </w:tcPr>
              <w:p>
                <w:pPr>
                  <w:widowControl w:val="0"/>
                  <w:jc w:val="right"/>
                </w:pPr>
                <w:r>
                  <w:t>50,677,613.5</w:t>
                </w:r>
                <w:r>
                  <w:rPr>
                    <w:rFonts w:hint="eastAsia"/>
                  </w:rPr>
                  <w:t>0</w:t>
                </w:r>
              </w:p>
            </w:tc>
          </w:tr>
        </w:tbl>
        <w:p/>
      </w:sdtContent>
    </w:sdt>
    <w:sdt>
      <w:sdtPr>
        <w:rPr>
          <w:rFonts w:hint="eastAsia" w:ascii="宋体" w:hAnsi="宋体" w:cs="宋体"/>
          <w:b w:val="0"/>
          <w:bCs w:val="0"/>
          <w:kern w:val="0"/>
          <w:szCs w:val="24"/>
        </w:rPr>
        <w:alias w:val="模块:其他财务和业务数据"/>
        <w:tag w:val="_SEC_2b90c267769d4c769805494ec1d46591"/>
        <w:id w:val="-1651905165"/>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1"/>
              <w:numId w:val="4"/>
            </w:numPr>
            <w:ind w:left="496" w:hanging="495" w:hangingChars="236"/>
          </w:pPr>
          <w:r>
            <w:rPr>
              <w:rFonts w:hint="eastAsia"/>
            </w:rPr>
            <w:t>其他</w:t>
          </w:r>
        </w:p>
        <w:sdt>
          <w:sdtPr>
            <w:alias w:val="是否适用：公司简介和主要财务指标其他说明[双击切换]"/>
            <w:tag w:val="_GBC_ac20c9ad49eb470dba71a763f930572f"/>
            <w:id w:val="122548947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2"/>
        <w:numPr>
          <w:ilvl w:val="0"/>
          <w:numId w:val="2"/>
        </w:numPr>
        <w:ind w:left="498" w:hanging="498" w:hangingChars="177"/>
      </w:pPr>
      <w:bookmarkStart w:id="23" w:name="_Toc89790250"/>
      <w:r>
        <w:rPr>
          <w:rFonts w:hint="eastAsia"/>
        </w:rPr>
        <w:t>管理层讨论与分析</w:t>
      </w:r>
      <w:bookmarkEnd w:id="23"/>
    </w:p>
    <w:sdt>
      <w:sdtPr>
        <w:rPr>
          <w:rFonts w:hint="eastAsia" w:ascii="宋体" w:hAnsi="宋体" w:cs="宋体"/>
          <w:b w:val="0"/>
          <w:bCs w:val="0"/>
          <w:kern w:val="0"/>
          <w:szCs w:val="24"/>
        </w:rPr>
        <w:alias w:val="模块:管理层讨论与分析"/>
        <w:tag w:val="_SEC_465bd2646eb04eab8e1c01ba688faf29"/>
        <w:id w:val="-1464426518"/>
        <w:lock w:val="sdtLocked"/>
        <w:placeholder>
          <w:docPart w:val="GBC22222222222222222222222222222"/>
        </w:placeholder>
      </w:sdtPr>
      <w:sdtEndPr>
        <w:rPr>
          <w:rFonts w:hint="eastAsia" w:cs="宋体" w:asciiTheme="minorEastAsia" w:hAnsiTheme="minorEastAsia" w:eastAsiaTheme="minorEastAsia"/>
          <w:b w:val="0"/>
          <w:bCs w:val="0"/>
          <w:kern w:val="0"/>
          <w:szCs w:val="24"/>
        </w:rPr>
      </w:sdtEndPr>
      <w:sdtContent>
        <w:p>
          <w:pPr>
            <w:pStyle w:val="3"/>
            <w:numPr>
              <w:ilvl w:val="0"/>
              <w:numId w:val="7"/>
            </w:numPr>
            <w:ind w:left="368" w:hanging="367" w:hangingChars="175"/>
          </w:pPr>
          <w:r>
            <w:rPr>
              <w:rFonts w:hint="eastAsia"/>
            </w:rPr>
            <w:t>经营情况</w:t>
          </w:r>
          <w:r>
            <w:t>讨论与分析</w:t>
          </w:r>
        </w:p>
        <w:sdt>
          <w:sdtPr>
            <w:rPr>
              <w:rFonts w:hint="eastAsia" w:asciiTheme="minorEastAsia" w:hAnsiTheme="minorEastAsia" w:eastAsiaTheme="minorEastAsia"/>
              <w:szCs w:val="21"/>
            </w:rPr>
            <w:alias w:val="管理层讨论与分析"/>
            <w:tag w:val="_GBC_75862f3cb18e486fb20eb44dbcc462a9"/>
            <w:id w:val="-1271700847"/>
            <w:lock w:val="sdtLocked"/>
            <w:placeholder>
              <w:docPart w:val="GBC22222222222222222222222222222"/>
            </w:placeholder>
          </w:sdtPr>
          <w:sdtEndPr>
            <w:rPr>
              <w:rFonts w:hint="eastAsia" w:asciiTheme="minorEastAsia" w:hAnsiTheme="minorEastAsia" w:eastAsiaTheme="minorEastAsia"/>
              <w:szCs w:val="24"/>
            </w:rPr>
          </w:sdtEndPr>
          <w:sdtContent>
            <w:p>
              <w:pPr>
                <w:spacing w:line="360" w:lineRule="auto"/>
                <w:ind w:firstLine="420" w:firstLineChars="200"/>
                <w:rPr>
                  <w:rFonts w:asciiTheme="minorEastAsia" w:hAnsiTheme="minorEastAsia" w:eastAsiaTheme="minorEastAsia"/>
                  <w:szCs w:val="21"/>
                </w:rPr>
              </w:pPr>
              <w:r>
                <w:rPr>
                  <w:rFonts w:asciiTheme="minorEastAsia" w:hAnsiTheme="minorEastAsia" w:eastAsiaTheme="minorEastAsia"/>
                  <w:szCs w:val="21"/>
                </w:rPr>
                <w:t>2021年是公司重整后的第一年，也是公司转变经营思路、明确发展战略的开局之年。公司紧紧围绕新能源汽车“智能换电”和摩托车“智能化、电动化”的发展方向，积极调整产品结构，加快市场拓展，推动精细化管理，落实降本增效。报告期内，公司从产业布局、业务体系建设、提升管理运营效率等方面进行梳理和优化，实现公司整体经营平稳发展。主要完成以下几个方面的工作：</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（一）通过产业赋能，恢复整车生产能力</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报告期内，通过产业投资人的产业赋能，完成新能源汽车生产线四大工艺的恢复和改造升级，导入质量控制体系和产品开发流程，升级生产制造环节的</w:t>
              </w:r>
              <w:r>
                <w:rPr>
                  <w:rFonts w:asciiTheme="minorEastAsia" w:hAnsiTheme="minorEastAsia" w:eastAsiaTheme="minorEastAsia"/>
                  <w:szCs w:val="21"/>
                </w:rPr>
                <w:t>MES信息化系统，获得</w:t>
              </w:r>
              <w:r>
                <w:rPr>
                  <w:rFonts w:hint="eastAsia" w:asciiTheme="minorEastAsia" w:hAnsiTheme="minorEastAsia" w:eastAsiaTheme="minorEastAsia"/>
                  <w:szCs w:val="21"/>
                </w:rPr>
                <w:t>8</w:t>
              </w:r>
              <w:r>
                <w:rPr>
                  <w:rFonts w:asciiTheme="minorEastAsia" w:hAnsiTheme="minorEastAsia" w:eastAsiaTheme="minorEastAsia"/>
                  <w:szCs w:val="21"/>
                </w:rPr>
                <w:t>0V</w:t>
              </w:r>
              <w:r>
                <w:rPr>
                  <w:rFonts w:hint="eastAsia" w:asciiTheme="minorEastAsia" w:hAnsiTheme="minorEastAsia" w:eastAsiaTheme="minorEastAsia"/>
                  <w:szCs w:val="21"/>
                </w:rPr>
                <w:t>、6</w:t>
              </w:r>
              <w:r>
                <w:rPr>
                  <w:rFonts w:asciiTheme="minorEastAsia" w:hAnsiTheme="minorEastAsia" w:eastAsiaTheme="minorEastAsia"/>
                  <w:szCs w:val="21"/>
                </w:rPr>
                <w:t>0S两款车型的4个产品公告目录及3C证书，完成环保信息公开、CQC（中国质量认证中心）组织的年度工厂监督审核，生产</w:t>
              </w:r>
              <w:r>
                <w:rPr>
                  <w:rFonts w:hint="eastAsia" w:asciiTheme="minorEastAsia" w:hAnsiTheme="minorEastAsia" w:eastAsiaTheme="minorEastAsia"/>
                  <w:szCs w:val="21"/>
                </w:rPr>
                <w:t>逐步</w:t>
              </w:r>
              <w:r>
                <w:rPr>
                  <w:rFonts w:asciiTheme="minorEastAsia" w:hAnsiTheme="minorEastAsia" w:eastAsiaTheme="minorEastAsia"/>
                  <w:szCs w:val="21"/>
                </w:rPr>
                <w:t>步入正轨。</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（二）明确产品定位，精准打造市场布局</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公司新能源汽车产业致力于打造新一代换电出行新势能，以“开创新能源时代换电新格局”为愿景，对品牌、用户定位、产品策略、前瞻技术等进行整体规划。报告期内，新能源汽车业务通过新用户运营，以</w:t>
              </w:r>
              <w:r>
                <w:rPr>
                  <w:rFonts w:asciiTheme="minorEastAsia" w:hAnsiTheme="minorEastAsia" w:eastAsiaTheme="minorEastAsia"/>
                  <w:szCs w:val="21"/>
                </w:rPr>
                <w:t>B端出租车及公共出行车辆的市场推广为主，将新零售场景外延，打造新型业态结构。摩托车业务围绕“智能化、电动化”战略，成立了专业研究所，电动化方面启动整车轻量化研究、制定五年产品规划，智能化方面完成“力帆摩托”APP手机互联整合、启动智能中控系统研发工作。同时，对现有及在研产品进行结构优化和调整，全年实现6款新车（含1款电动车）上市</w:t>
              </w:r>
              <w:r>
                <w:rPr>
                  <w:rFonts w:hint="eastAsia" w:asciiTheme="minorEastAsia" w:hAnsiTheme="minorEastAsia" w:eastAsiaTheme="minorEastAsia"/>
                  <w:szCs w:val="21"/>
                </w:rPr>
                <w:t>。</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（三）通过优化体系建设，提升经营管理能力</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报告期内，公司精简组织结构，推动精细化管理，不断完善公司内部制度，全面优化业务流程，增强各板块协同能力。深入推进质量对标达标工作，安全生产管理工作，内控体系全覆盖工作等，全面提升管理水平。践行“合规文化”，启动元动力工程，开展降本增效工作，提升生产效率。</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（四）加速新能源汽车产业转型升级，推动换电产业协同发展</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与吉利汽车以“优势互补、相互支持、长期合作、共同发展”为原则设立合资公司，重点布局整车（包括但不限于换电车型）的研发、销售和运营等领域，通过精细化管理与产业赋能，对公司汽车研发体系、供应链管理、技术平台、销售渠道及体系化的全制造管理方案进行整合、完善和升级，实现共赢发展。双方将协调出行公司及换电服务公司匹配车型，合力构建换电网络生态，推动城市换电标准化的发展，为公司新能源汽车产业的转型升级和高质量发展探索全新路径。</w:t>
              </w:r>
            </w:p>
          </w:sdtContent>
        </w:sdt>
      </w:sdtContent>
    </w:sdt>
    <w:sdt>
      <w:sdtPr>
        <w:rPr>
          <w:rFonts w:ascii="宋体" w:hAnsi="宋体" w:cs="宋体"/>
          <w:b w:val="0"/>
          <w:bCs w:val="0"/>
          <w:kern w:val="0"/>
          <w:szCs w:val="24"/>
        </w:rPr>
        <w:alias w:val="模块:报告期内公司所处行业情况"/>
        <w:tag w:val="_SEC_9c97aafe2aaf4296a625865b403a487b"/>
        <w:id w:val="-1454547189"/>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ind w:left="368" w:hanging="367" w:hangingChars="175"/>
          </w:pPr>
          <w:r>
            <w:t>报告期内公司所处行业情况</w:t>
          </w:r>
        </w:p>
        <w:sdt>
          <w:sdtPr>
            <w:rPr>
              <w:rFonts w:hint="eastAsia"/>
            </w:rPr>
            <w:alias w:val="报告期内公司所处行业情况 "/>
            <w:tag w:val="_GBC_62343dd2540e4e58bef438888246bd32"/>
            <w:id w:val="766512749"/>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ind w:firstLine="420" w:firstLineChars="200"/>
                <w:rPr>
                  <w:rFonts w:asciiTheme="minorEastAsia" w:hAnsiTheme="minorEastAsia" w:eastAsiaTheme="minorEastAsia"/>
                  <w:b/>
                  <w:szCs w:val="21"/>
                </w:rPr>
              </w:pPr>
              <w:r>
                <w:rPr>
                  <w:rFonts w:hint="eastAsia" w:asciiTheme="minorEastAsia" w:hAnsiTheme="minorEastAsia" w:eastAsiaTheme="minorEastAsia"/>
                  <w:b/>
                  <w:szCs w:val="21"/>
                </w:rPr>
                <w:t>（一）汽车行业</w:t>
              </w:r>
            </w:p>
            <w:p>
              <w:pPr>
                <w:spacing w:line="360" w:lineRule="auto"/>
                <w:ind w:firstLine="422" w:firstLineChars="200"/>
                <w:rPr>
                  <w:rFonts w:asciiTheme="minorEastAsia" w:hAnsiTheme="minorEastAsia" w:eastAsiaTheme="minorEastAsia"/>
                  <w:szCs w:val="21"/>
                </w:rPr>
              </w:pPr>
              <w:r>
                <w:rPr>
                  <w:rFonts w:hint="eastAsia" w:asciiTheme="minorEastAsia" w:hAnsiTheme="minorEastAsia" w:eastAsiaTheme="minorEastAsia"/>
                  <w:b/>
                  <w:szCs w:val="21"/>
                </w:rPr>
                <w:t>1、</w:t>
              </w:r>
              <w:r>
                <w:rPr>
                  <w:rFonts w:hint="eastAsia" w:asciiTheme="minorEastAsia" w:hAnsiTheme="minorEastAsia" w:eastAsiaTheme="minorEastAsia"/>
                  <w:b/>
                  <w:bCs/>
                  <w:szCs w:val="21"/>
                </w:rPr>
                <w:t>新能源汽车行业分析</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2021年，“双碳”成为政府工作报告的重要任务，国家层面为此不断深化“碳达峰、碳中和”的顶层设计，并公布《2030年前碳达峰行动方案》，</w:t>
              </w:r>
              <w:r>
                <w:rPr>
                  <w:rFonts w:hint="eastAsia" w:asciiTheme="minorEastAsia" w:hAnsiTheme="minorEastAsia" w:eastAsiaTheme="minorEastAsia"/>
                  <w:color w:val="000000" w:themeColor="text1"/>
                  <w:szCs w:val="21"/>
                </w:rPr>
                <w:t>随着国家政策大力支持和各大车企在新能源领域的技术创新，新能源汽车市场逐渐由政策驱动向市场和用户驱动转变。根据汽车工业协会统计数据，2021年国内汽车产销量分别为2,608.2万辆和2,627.5万辆，同比增长3.4%和3.8%。其中，新能源汽车全年产销量分别为354.5万辆和352.1万辆，同比均增长约1.6倍，全年累计市场渗透率达到13.4%，12月单月渗透率高达19.1%。</w:t>
              </w:r>
              <w:r>
                <w:rPr>
                  <w:rFonts w:hint="eastAsia" w:asciiTheme="minorEastAsia" w:hAnsiTheme="minorEastAsia" w:eastAsiaTheme="minorEastAsia"/>
                  <w:bCs/>
                  <w:color w:val="000000" w:themeColor="text1"/>
                  <w:szCs w:val="21"/>
                </w:rPr>
                <w:t>我国新能源汽车产业发展已进入规模化快速发展的新阶段，虽然还面临一些困难挑战，但仍将保持高速增长的态势。</w:t>
              </w:r>
            </w:p>
            <w:p>
              <w:pPr>
                <w:spacing w:line="360" w:lineRule="auto"/>
                <w:ind w:firstLine="422" w:firstLineChars="200"/>
                <w:rPr>
                  <w:rFonts w:asciiTheme="minorEastAsia" w:hAnsiTheme="minorEastAsia" w:eastAsiaTheme="minorEastAsia"/>
                  <w:b/>
                  <w:szCs w:val="21"/>
                </w:rPr>
              </w:pPr>
              <w:r>
                <w:rPr>
                  <w:rFonts w:hint="eastAsia" w:asciiTheme="minorEastAsia" w:hAnsiTheme="minorEastAsia" w:eastAsiaTheme="minorEastAsia"/>
                  <w:b/>
                  <w:szCs w:val="21"/>
                </w:rPr>
                <w:t>2、换电行业分析</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2020年及2021年两年《政府工作报告》均提及“增加充电桩、换电站等设施”，支持充电桩、换电站等新能源汽车配套基础设施的政策纷纷出台，换电模式未来将与充电模式共同发展。2021年10月，工信部启动新能源汽车换电模式应用试点工作，最终确定8个综合类、3个特色类城市，</w:t>
              </w:r>
              <w:r>
                <w:rPr>
                  <w:rFonts w:hint="eastAsia" w:asciiTheme="minorEastAsia" w:hAnsiTheme="minorEastAsia" w:eastAsiaTheme="minorEastAsia"/>
                  <w:bCs/>
                  <w:szCs w:val="21"/>
                </w:rPr>
                <w:t>试点城市作为换电在全国范围推广的第一阶段，将加快落地换电产业形成可复制化</w:t>
              </w:r>
              <w:r>
                <w:rPr>
                  <w:rFonts w:hint="eastAsia" w:asciiTheme="minorEastAsia" w:hAnsiTheme="minorEastAsia" w:eastAsiaTheme="minorEastAsia"/>
                  <w:szCs w:val="21"/>
                </w:rPr>
                <w:t>。2021年11月施行的《电动汽车换电安全要求》为换电模式的首个基础通用类国家标准，对换电汽车设计、换电接口连接、电池包功能及相关监测要求作出了相应规定，从机械强度、电气安全以及环境适应性三个角度保障了换电汽车的使用安全，为换电模式的发展提供了标准支撑，引导了行业合理规范的发展。</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随着公司重整计划的推进，依托产业投资人在新能源换电领域先进换电技术的积累，公司换电车型在安全稳定性、换电速度、网联化等方面具有明显优势，为公司新能源及换电产业后续发展提供坚实保障。</w:t>
              </w:r>
            </w:p>
            <w:p>
              <w:pPr>
                <w:spacing w:line="360" w:lineRule="auto"/>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（二）摩托车行业</w:t>
              </w:r>
            </w:p>
            <w:p>
              <w:pPr>
                <w:spacing w:line="36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szCs w:val="21"/>
                </w:rPr>
                <w:t>2021年全球摩托车销量超6,000万辆，</w:t>
              </w:r>
              <w:r>
                <w:rPr>
                  <w:rFonts w:hint="eastAsia" w:asciiTheme="minorEastAsia" w:hAnsiTheme="minorEastAsia" w:eastAsiaTheme="minorEastAsia"/>
                  <w:bCs/>
                  <w:szCs w:val="21"/>
                </w:rPr>
                <w:t>随着消费升级、政策导向和行业竞争加剧，摩托车产品差异化日趋明显。非洲、东南亚、南亚、南美地区因公共交通系统不完善，通勤代步摩托产品作为民众出行的交通工具具有庞大的市场空间；欧美国家已完成摩托车产品从代步到大排量休闲娱乐的转型。</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bCs/>
                  <w:szCs w:val="21"/>
                </w:rPr>
                <w:t>2</w:t>
              </w:r>
              <w:r>
                <w:rPr>
                  <w:rFonts w:asciiTheme="minorEastAsia" w:hAnsiTheme="minorEastAsia" w:eastAsiaTheme="minorEastAsia"/>
                  <w:bCs/>
                  <w:szCs w:val="21"/>
                </w:rPr>
                <w:t>021</w:t>
              </w:r>
              <w:r>
                <w:rPr>
                  <w:rFonts w:hint="eastAsia" w:asciiTheme="minorEastAsia" w:hAnsiTheme="minorEastAsia" w:eastAsiaTheme="minorEastAsia"/>
                  <w:bCs/>
                  <w:szCs w:val="21"/>
                </w:rPr>
                <w:t>年国内摩托车产业和产品转型升级，摩托车市场保持了快速发展，</w:t>
              </w:r>
              <w:r>
                <w:rPr>
                  <w:rFonts w:hint="eastAsia" w:asciiTheme="minorEastAsia" w:hAnsiTheme="minorEastAsia" w:eastAsiaTheme="minorEastAsia"/>
                  <w:szCs w:val="21"/>
                </w:rPr>
                <w:t>根据摩托车商会统计数据，全年国内摩托车产量达2,019.52万辆，同比增长12.98%，主要呈现在全国摩托车出口增长，2021年出口增幅达26.57%，规模达897.46万辆。随着国民收入的增加及生活水平的提高，中、大排量休闲娱乐产品替代运输工具的趋势愈加凸显，大排量休闲娱乐市场渗透率加大，国内全年250cc及以上排量产量达到33.34万辆、同比增长66.03%，市场空间较大。</w:t>
              </w:r>
              <w:r>
                <w:rPr>
                  <w:rFonts w:hint="eastAsia" w:asciiTheme="minorEastAsia" w:hAnsiTheme="minorEastAsia" w:eastAsiaTheme="minorEastAsia"/>
                  <w:bCs/>
                  <w:szCs w:val="21"/>
                </w:rPr>
                <w:t>在全球碳中和背景下，电动摩托车也成为摩企下一发展阶段的主赛道，并向中高端运动娱乐领域渗透。</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公司较早从事摩托车及摩托车发动机业务，有着深厚的技术沉淀。2021年公司燃油摩托车销量及出口量位居行业前列。</w:t>
              </w:r>
            </w:p>
          </w:sdtContent>
        </w:sdt>
      </w:sdtContent>
    </w:sdt>
    <w:sdt>
      <w:sdtPr>
        <w:rPr>
          <w:rFonts w:ascii="宋体" w:hAnsi="宋体" w:cs="宋体"/>
          <w:b w:val="0"/>
          <w:bCs w:val="0"/>
          <w:kern w:val="0"/>
          <w:szCs w:val="24"/>
        </w:rPr>
        <w:alias w:val="模块:报告期内公司从事的业务情况"/>
        <w:tag w:val="_SEC_1493ba27835e4c2bb84b6f78dd948a7b"/>
        <w:id w:val="1612240271"/>
        <w:lock w:val="sdtLocked"/>
        <w:placeholder>
          <w:docPart w:val="GBC22222222222222222222222222222"/>
        </w:placeholder>
      </w:sdtPr>
      <w:sdtEndPr>
        <w:rPr>
          <w:rFonts w:hint="eastAsia" w:ascii="Calibri" w:hAnsi="Calibri" w:cs="Times New Roman"/>
          <w:b w:val="0"/>
          <w:bCs w:val="0"/>
          <w:kern w:val="2"/>
          <w:szCs w:val="22"/>
        </w:rPr>
      </w:sdtEndPr>
      <w:sdtContent>
        <w:p>
          <w:pPr>
            <w:pStyle w:val="3"/>
            <w:numPr>
              <w:ilvl w:val="0"/>
              <w:numId w:val="7"/>
            </w:numPr>
            <w:ind w:left="368" w:hanging="367" w:hangingChars="175"/>
          </w:pPr>
          <w:r>
            <w:t>报告期内公司从事的业务情况</w:t>
          </w:r>
        </w:p>
        <w:sdt>
          <w:sdtPr>
            <w:rPr>
              <w:rFonts w:ascii="宋体" w:hAnsi="宋体" w:cs="宋体"/>
              <w:kern w:val="0"/>
              <w:szCs w:val="24"/>
            </w:rPr>
            <w:alias w:val="报告期内公司从事的业务情况 "/>
            <w:tag w:val="_GBC_5c2ed6623d994f569eb07915af842807"/>
            <w:id w:val="-2003965661"/>
            <w:lock w:val="sdtLocked"/>
            <w:placeholder>
              <w:docPart w:val="GBC22222222222222222222222222222"/>
            </w:placeholder>
          </w:sdtPr>
          <w:sdtEndPr>
            <w:rPr>
              <w:rFonts w:ascii="Calibri" w:hAnsi="Calibri" w:cs="Times New Roman"/>
              <w:kern w:val="2"/>
              <w:szCs w:val="22"/>
            </w:rPr>
          </w:sdtEndPr>
          <w:sdtContent>
            <w:p>
              <w:pPr>
                <w:pStyle w:val="55"/>
                <w:numPr>
                  <w:ilvl w:val="255"/>
                  <w:numId w:val="0"/>
                </w:numPr>
                <w:spacing w:line="360" w:lineRule="auto"/>
                <w:ind w:firstLine="420" w:firstLineChars="200"/>
                <w:rPr>
                  <w:rFonts w:ascii="宋体" w:hAnsi="宋体" w:cs="宋体"/>
                  <w:kern w:val="0"/>
                  <w:szCs w:val="21"/>
                </w:rPr>
              </w:pPr>
              <w:r>
                <w:rPr>
                  <w:rFonts w:hint="eastAsia" w:ascii="宋体" w:hAnsi="宋体" w:cs="宋体"/>
                  <w:kern w:val="0"/>
                  <w:szCs w:val="24"/>
                </w:rPr>
                <w:t>报告期内，</w:t>
              </w:r>
              <w:r>
                <w:rPr>
                  <w:rFonts w:hint="eastAsia" w:ascii="宋体" w:hAnsi="宋体" w:cs="宋体"/>
                  <w:kern w:val="0"/>
                  <w:szCs w:val="21"/>
                </w:rPr>
                <w:t>公司主要从事乘用车（含新能源汽车）、摩托车、发动机、通用汽油机的研发、生产及销售（含出口）。</w:t>
              </w:r>
            </w:p>
            <w:p>
              <w:pPr>
                <w:pStyle w:val="55"/>
                <w:numPr>
                  <w:ilvl w:val="255"/>
                  <w:numId w:val="0"/>
                </w:numPr>
                <w:spacing w:line="360" w:lineRule="auto"/>
                <w:ind w:firstLine="420" w:firstLineChars="200"/>
                <w:rPr>
                  <w:rFonts w:ascii="宋体" w:hAnsi="宋体" w:cs="宋体"/>
                  <w:kern w:val="0"/>
                  <w:szCs w:val="21"/>
                </w:rPr>
              </w:pPr>
              <w:r>
                <w:rPr>
                  <w:rFonts w:hint="eastAsia" w:ascii="宋体" w:hAnsi="宋体" w:cs="宋体"/>
                  <w:kern w:val="0"/>
                  <w:szCs w:val="21"/>
                </w:rPr>
                <w:t>（一）</w:t>
              </w:r>
              <w:r>
                <w:rPr>
                  <w:rFonts w:ascii="宋体" w:hAnsi="宋体" w:cs="宋体"/>
                  <w:kern w:val="0"/>
                  <w:szCs w:val="21"/>
                </w:rPr>
                <w:t>汽车业务</w:t>
              </w:r>
            </w:p>
            <w:p>
              <w:pPr>
                <w:pStyle w:val="55"/>
                <w:numPr>
                  <w:ilvl w:val="255"/>
                  <w:numId w:val="0"/>
                </w:numPr>
                <w:spacing w:line="360" w:lineRule="auto"/>
                <w:ind w:firstLine="420" w:firstLineChars="200"/>
                <w:rPr>
                  <w:rFonts w:ascii="宋体" w:hAnsi="宋体" w:cs="宋体"/>
                  <w:kern w:val="0"/>
                  <w:szCs w:val="21"/>
                </w:rPr>
              </w:pPr>
              <w:r>
                <w:rPr>
                  <w:rFonts w:hint="eastAsia" w:ascii="宋体" w:hAnsi="宋体" w:cs="宋体"/>
                  <w:kern w:val="0"/>
                  <w:szCs w:val="21"/>
                </w:rPr>
                <w:t>公司汽车业务主要为新能源汽车的生产及销售，经营模式主要通过自有</w:t>
              </w:r>
              <w:r>
                <w:rPr>
                  <w:rFonts w:ascii="宋体" w:hAnsi="宋体" w:cs="宋体"/>
                  <w:kern w:val="0"/>
                  <w:szCs w:val="21"/>
                </w:rPr>
                <w:t>/授权品牌产品进行销售，采用经销商模式，聚焦出行服务市场。</w:t>
              </w:r>
            </w:p>
            <w:p>
              <w:pPr>
                <w:pStyle w:val="55"/>
                <w:numPr>
                  <w:ilvl w:val="255"/>
                  <w:numId w:val="0"/>
                </w:numPr>
                <w:spacing w:line="360" w:lineRule="auto"/>
                <w:ind w:firstLine="420" w:firstLineChars="200"/>
                <w:rPr>
                  <w:rFonts w:ascii="宋体" w:hAnsi="宋体" w:cs="宋体"/>
                  <w:kern w:val="0"/>
                  <w:szCs w:val="21"/>
                </w:rPr>
              </w:pPr>
              <w:r>
                <w:rPr>
                  <w:rFonts w:ascii="宋体" w:hAnsi="宋体" w:cs="宋体"/>
                  <w:kern w:val="0"/>
                  <w:szCs w:val="21"/>
                </w:rPr>
                <w:t>2021年汽车业务以产线升级改造为首要目标，通过对生产基地进行合理化布局及工艺优化，提高物流周转、成品车仓储、发运、人工等效率，第四季度单季度实现产销三千余台。同时，重新组建营销体系，制定营销策略，坚持“合适就好”及“多网点少投资”原则，打造“小巧灵快”的多元化渠道生态模式及覆盖用户全生命周期的流量生态。</w:t>
              </w:r>
            </w:p>
            <w:p>
              <w:pPr>
                <w:pStyle w:val="55"/>
                <w:numPr>
                  <w:ilvl w:val="255"/>
                  <w:numId w:val="0"/>
                </w:numPr>
                <w:spacing w:line="360" w:lineRule="auto"/>
                <w:ind w:firstLine="420" w:firstLineChars="200"/>
                <w:rPr>
                  <w:rFonts w:ascii="宋体" w:hAnsi="宋体" w:cs="宋体"/>
                  <w:kern w:val="0"/>
                  <w:szCs w:val="21"/>
                </w:rPr>
              </w:pPr>
              <w:r>
                <w:rPr>
                  <w:rFonts w:hint="eastAsia" w:ascii="宋体" w:hAnsi="宋体" w:cs="宋体"/>
                  <w:kern w:val="0"/>
                  <w:szCs w:val="21"/>
                </w:rPr>
                <w:t>（二）摩托车业务</w:t>
              </w:r>
            </w:p>
            <w:p>
              <w:pPr>
                <w:pStyle w:val="55"/>
                <w:numPr>
                  <w:ilvl w:val="255"/>
                  <w:numId w:val="0"/>
                </w:numPr>
                <w:spacing w:line="360" w:lineRule="auto"/>
                <w:ind w:firstLine="420" w:firstLineChars="200"/>
                <w:rPr>
                  <w:rFonts w:ascii="宋体" w:hAnsi="宋体" w:cs="宋体"/>
                  <w:kern w:val="0"/>
                  <w:szCs w:val="21"/>
                </w:rPr>
              </w:pPr>
              <w:r>
                <w:rPr>
                  <w:rFonts w:hint="eastAsia" w:ascii="宋体" w:hAnsi="宋体" w:cs="宋体"/>
                  <w:kern w:val="0"/>
                  <w:szCs w:val="21"/>
                </w:rPr>
                <w:t>公司摩托车业务主要包括两轮燃油摩托车、两轮电动摩托车、摩托车发动机的销售，经营模式主要通过国内和海外渠道，以自有品牌产品为主进行销售，国内销售主要采用经销商模式，海外销售采用经销商</w:t>
              </w:r>
              <w:r>
                <w:rPr>
                  <w:rFonts w:ascii="宋体" w:hAnsi="宋体" w:cs="宋体"/>
                  <w:kern w:val="0"/>
                  <w:szCs w:val="21"/>
                </w:rPr>
                <w:t>+直销公司模式。</w:t>
              </w:r>
            </w:p>
            <w:p>
              <w:pPr>
                <w:pStyle w:val="55"/>
                <w:numPr>
                  <w:ilvl w:val="255"/>
                  <w:numId w:val="0"/>
                </w:numPr>
                <w:spacing w:line="360" w:lineRule="auto"/>
                <w:ind w:firstLine="420" w:firstLineChars="200"/>
                <w:rPr>
                  <w:rFonts w:ascii="宋体" w:hAnsi="宋体" w:cs="宋体"/>
                  <w:kern w:val="0"/>
                  <w:szCs w:val="24"/>
                </w:rPr>
              </w:pPr>
              <w:r>
                <w:rPr>
                  <w:rFonts w:ascii="宋体" w:hAnsi="宋体" w:cs="宋体"/>
                  <w:kern w:val="0"/>
                  <w:szCs w:val="21"/>
                </w:rPr>
                <w:t>2021年摩托车业务在克服运费不断增加、汇率极不稳定及成本逐年增高的困难下，大力推行精细化管理，加大“智能化、电动化”战略布局，建立用户数据库，打造线上+线下一体化新数字营销模式，加强用户粘性，围绕保质保量、高效满足市场产品需求的目标，通过工艺标准化和持续改善，对产品进行了提价格、调结构、减状态，摩托车出口实现了较大幅度增长。</w:t>
              </w:r>
            </w:p>
          </w:sdtContent>
        </w:sdt>
      </w:sdtContent>
    </w:sdt>
    <w:sdt>
      <w:sdtPr>
        <w:rPr>
          <w:rFonts w:hint="eastAsia" w:ascii="宋体" w:hAnsi="宋体" w:cs="宋体"/>
          <w:b w:val="0"/>
          <w:bCs w:val="0"/>
          <w:kern w:val="0"/>
          <w:szCs w:val="24"/>
        </w:rPr>
        <w:alias w:val="模块:报告期内公司主要资产发生重大变化情况的说明"/>
        <w:tag w:val="_SEC_d733579ca1be4b6280b2cf34d2da3454"/>
        <w:id w:val="1451512686"/>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spacing w:before="0" w:after="0" w:line="360" w:lineRule="auto"/>
            <w:ind w:left="368" w:hanging="367" w:hangingChars="175"/>
          </w:pPr>
          <w:r>
            <w:rPr>
              <w:rFonts w:hint="eastAsia"/>
            </w:rPr>
            <w:t>报告期内核心竞争力分析</w:t>
          </w:r>
        </w:p>
        <w:sdt>
          <w:sdtPr>
            <w:alias w:val="是否适用：报告期内核心竞争力分析[双击切换]"/>
            <w:tag w:val="_GBC_a03591f0f7444c9b8f5c55d6f75c3136"/>
            <w:id w:val="954987358"/>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报告期内核心竞争力分析"/>
            <w:tag w:val="_GBC_956a57b53cd74344a32f2309bcc5f344"/>
            <w:id w:val="-765150124"/>
            <w:lock w:val="sdtLocked"/>
            <w:placeholder>
              <w:docPart w:val="GBC22222222222222222222222222222"/>
            </w:placeholder>
          </w:sdtPr>
          <w:sdtEndPr>
            <w:rPr>
              <w:rFonts w:hint="eastAsia"/>
            </w:rPr>
          </w:sdtEndPr>
          <w:sdtContent>
            <w:p>
              <w:pPr>
                <w:spacing w:line="360" w:lineRule="auto"/>
                <w:ind w:firstLine="420" w:firstLineChars="200"/>
                <w:rPr>
                  <w:szCs w:val="21"/>
                </w:rPr>
              </w:pPr>
              <w:r>
                <w:rPr>
                  <w:rFonts w:hint="eastAsia"/>
                  <w:szCs w:val="21"/>
                </w:rPr>
                <w:t>（一）汽车业务</w:t>
              </w:r>
            </w:p>
            <w:p>
              <w:pPr>
                <w:spacing w:line="360" w:lineRule="auto"/>
                <w:ind w:firstLine="420" w:firstLineChars="200"/>
                <w:rPr>
                  <w:szCs w:val="21"/>
                </w:rPr>
              </w:pPr>
              <w:r>
                <w:rPr>
                  <w:rFonts w:hint="eastAsia"/>
                  <w:szCs w:val="21"/>
                </w:rPr>
                <w:t>2021年，公司借助产业投资人在造车全环节的体系化优势和专业能力，通过精细管理与产业赋能，对公司汽车的研发及供应链体系、销售渠道等进行整合、完善和升级。依托产业投资人深厚的技术，包含集高度拓展性、节能性、通用性、安全性于一体的GBRC架构（吉利换电平台架构体系，Global Battery Rapid Change）和多平台共用动力电池快换设备，</w:t>
              </w:r>
              <w:r>
                <w:rPr>
                  <w:rFonts w:hint="eastAsia"/>
                  <w:color w:val="000000" w:themeColor="text1"/>
                  <w:szCs w:val="21"/>
                </w:rPr>
                <w:t>以及多元化销售渠道和供应链体系的应用经验，以低成本、低风险、短周期的方式构建并形成自</w:t>
              </w:r>
              <w:r>
                <w:rPr>
                  <w:rFonts w:hint="eastAsia"/>
                  <w:szCs w:val="21"/>
                </w:rPr>
                <w:t>有的研、采、产、销、服全价值链体系，从而使得公司逐步拥有独立造血能力，快速成为换电生态产业中的重要环节。 未来，公司将加强资源整合能力和完善自有产品研发能力，形成可持续竞争优势，致力于促进换电新能源整车业务的发展。</w:t>
              </w:r>
            </w:p>
            <w:p>
              <w:pPr>
                <w:spacing w:line="360" w:lineRule="auto"/>
                <w:ind w:firstLine="420" w:firstLineChars="200"/>
                <w:rPr>
                  <w:szCs w:val="21"/>
                </w:rPr>
              </w:pPr>
              <w:r>
                <w:rPr>
                  <w:rFonts w:hint="eastAsia"/>
                  <w:szCs w:val="21"/>
                </w:rPr>
                <w:t>（二）摩托车业务</w:t>
              </w:r>
            </w:p>
            <w:p>
              <w:pPr>
                <w:spacing w:line="360" w:lineRule="auto"/>
                <w:ind w:firstLine="420" w:firstLineChars="200"/>
                <w:rPr>
                  <w:szCs w:val="21"/>
                </w:rPr>
              </w:pPr>
              <w:r>
                <w:rPr>
                  <w:rFonts w:hint="eastAsia"/>
                  <w:szCs w:val="21"/>
                </w:rPr>
                <w:t>公司深耕摩托车产业近30年，拥有国家级的技术中心、工业设计中心、检测中心，具备踏板车、街车、跑车、骑士车、电动车等全系列车型自主设计能力，也是国内极少数拥有自主电喷技术的摩企，且具备规模化生产能力。公司拥有水冷+多气门+气道优化+自主电喷的技术组合能力，使得在中小排量上实现高性能、低排放的双重增益，在V缸细分领域持续保持独特的竞争力和市场地位。公司产品已进入到亚洲、非洲、南美、欧洲和北美等近百个国家，国内布局上千个零售网点，并建立了以用户为中心的全流程闭环在线服务运营机制，具备持续销售及服务能力。公司致力于打造成为国际一流机车生活服务商，构筑“摩旅”、“摩范”、“摩赛”三个机车生活形态。</w:t>
              </w:r>
            </w:p>
          </w:sdtContent>
        </w:sdt>
      </w:sdtContent>
    </w:sdt>
    <w:sdt>
      <w:sdtPr>
        <w:rPr>
          <w:rFonts w:hint="eastAsia" w:ascii="宋体" w:hAnsi="宋体" w:cs="宋体"/>
          <w:b w:val="0"/>
          <w:bCs w:val="0"/>
          <w:kern w:val="0"/>
          <w:szCs w:val="24"/>
        </w:rPr>
        <w:alias w:val="模块:报告期内主要经营情况"/>
        <w:tag w:val="_SEC_5be0fbeb3cd14e7ea98377b294efcb92"/>
        <w:id w:val="178238360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ind w:left="368" w:hanging="367" w:hangingChars="175"/>
          </w:pPr>
          <w:r>
            <w:rPr>
              <w:rFonts w:hint="eastAsia"/>
            </w:rPr>
            <w:t>报告期内主要经营情况</w:t>
          </w:r>
        </w:p>
        <w:sdt>
          <w:sdtPr>
            <w:rPr>
              <w:rFonts w:hint="eastAsia"/>
            </w:rPr>
            <w:alias w:val="报告期内主要经营情况"/>
            <w:tag w:val="_GBC_655a1c6ffd2a454085e53e5538e3b2ef"/>
            <w:id w:val="184865598"/>
            <w:lock w:val="sdtLocked"/>
            <w:placeholder>
              <w:docPart w:val="GBC22222222222222222222222222222"/>
            </w:placeholder>
          </w:sdtPr>
          <w:sdtEndPr>
            <w:rPr>
              <w:rFonts w:hint="eastAsia"/>
            </w:rPr>
          </w:sdtEndPr>
          <w:sdtContent>
            <w:p>
              <w:pPr>
                <w:spacing w:line="360" w:lineRule="auto"/>
                <w:ind w:firstLine="420" w:firstLineChars="200"/>
                <w:rPr>
                  <w:szCs w:val="21"/>
                </w:rPr>
              </w:pPr>
              <w:r>
                <w:rPr>
                  <w:rFonts w:hint="eastAsia"/>
                  <w:szCs w:val="21"/>
                </w:rPr>
                <w:t>2021年，公司实现营业收入397,722.48万元，比上年同期增长9.35%；实现净利润7,812.93万元，比上年同期增长42.88%；实现归属于上市公司股东的净利润5,564.21万元，较上年同期下降4.24%。其中摩通业务实现业务收入</w:t>
              </w:r>
              <w:r>
                <w:rPr>
                  <w:szCs w:val="21"/>
                </w:rPr>
                <w:t>312</w:t>
              </w:r>
              <w:r>
                <w:rPr>
                  <w:rFonts w:hint="eastAsia"/>
                  <w:szCs w:val="21"/>
                </w:rPr>
                <w:t>,</w:t>
              </w:r>
              <w:r>
                <w:rPr>
                  <w:szCs w:val="21"/>
                </w:rPr>
                <w:t>664.92</w:t>
              </w:r>
              <w:r>
                <w:rPr>
                  <w:rFonts w:hint="eastAsia"/>
                  <w:szCs w:val="21"/>
                </w:rPr>
                <w:t>万元，汽车业务因受生产线改造进程、重建销售渠道进度等因素影响，实现业务收入</w:t>
              </w:r>
              <w:r>
                <w:rPr>
                  <w:szCs w:val="21"/>
                </w:rPr>
                <w:t>53</w:t>
              </w:r>
              <w:r>
                <w:rPr>
                  <w:rFonts w:hint="eastAsia"/>
                  <w:szCs w:val="21"/>
                </w:rPr>
                <w:t>,</w:t>
              </w:r>
              <w:r>
                <w:rPr>
                  <w:szCs w:val="21"/>
                </w:rPr>
                <w:t>444.61</w:t>
              </w:r>
              <w:r>
                <w:rPr>
                  <w:rFonts w:hint="eastAsia"/>
                  <w:szCs w:val="21"/>
                </w:rPr>
                <w:t>万元，公司整体经营实现稳定发展。</w:t>
              </w:r>
            </w:p>
          </w:sdtContent>
        </w:sdt>
      </w:sdtContent>
    </w:sdt>
    <w:p>
      <w:pPr>
        <w:pStyle w:val="4"/>
        <w:numPr>
          <w:ilvl w:val="0"/>
          <w:numId w:val="8"/>
        </w:numPr>
        <w:ind w:left="369" w:hanging="369" w:hangingChars="175"/>
        <w:rPr>
          <w:szCs w:val="21"/>
        </w:rPr>
      </w:pPr>
      <w:bookmarkStart w:id="24" w:name="_Toc342559738"/>
      <w:bookmarkStart w:id="25" w:name="_Toc342565895"/>
      <w:r>
        <w:rPr>
          <w:rFonts w:hint="eastAsia"/>
          <w:szCs w:val="21"/>
        </w:rPr>
        <w:t>主营业务分析</w:t>
      </w:r>
      <w:bookmarkEnd w:id="24"/>
      <w:bookmarkEnd w:id="25"/>
    </w:p>
    <w:p>
      <w:pPr>
        <w:pStyle w:val="5"/>
        <w:numPr>
          <w:ilvl w:val="0"/>
          <w:numId w:val="9"/>
        </w:numPr>
      </w:pPr>
      <w:r>
        <w:t>利润表及现金流量表相关科目变动分析表</w:t>
      </w:r>
    </w:p>
    <w:sdt>
      <w:sdtPr>
        <w:rPr>
          <w:rFonts w:hint="eastAsia" w:ascii="宋体" w:hAnsi="宋体"/>
        </w:rPr>
        <w:alias w:val="模块:财务报表相关科目变动分析表"/>
        <w:tag w:val="_SEC_91e850b02ecf462096f16fee26b10620"/>
        <w:id w:val="389923411"/>
        <w:lock w:val="sdtLocked"/>
        <w:placeholder>
          <w:docPart w:val="GBC22222222222222222222222222222"/>
        </w:placeholder>
      </w:sdtPr>
      <w:sdtEndPr>
        <w:rPr>
          <w:rFonts w:hint="eastAsia" w:ascii="宋体" w:hAnsi="宋体"/>
        </w:rPr>
      </w:sdtEndPr>
      <w:sdtContent>
        <w:p>
          <w:pPr>
            <w:pStyle w:val="55"/>
            <w:ind w:left="360" w:firstLine="0" w:firstLineChars="0"/>
            <w:jc w:val="right"/>
            <w:rPr>
              <w:rFonts w:ascii="宋体" w:hAnsi="宋体"/>
            </w:rPr>
          </w:pPr>
          <w:bookmarkStart w:id="26" w:name="_Hlk89098131"/>
          <w:bookmarkStart w:id="27" w:name="_Hlk10208083"/>
          <w:r>
            <w:rPr>
              <w:rFonts w:hint="eastAsia" w:ascii="宋体" w:hAnsi="宋体"/>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13339580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ascii="宋体" w:hAnsi="宋体"/>
                <w:szCs w:val="21"/>
              </w:rPr>
            </w:sdtEndPr>
            <w:sdtContent>
              <w:r>
                <w:rPr>
                  <w:rFonts w:ascii="宋体" w:hAnsi="宋体"/>
                  <w:szCs w:val="21"/>
                </w:rPr>
                <w:t>元</w:t>
              </w:r>
            </w:sdtContent>
          </w:sdt>
          <w:r>
            <w:rPr>
              <w:rFonts w:hint="eastAsia" w:ascii="宋体" w:hAnsi="宋体"/>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15885723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ascii="宋体" w:hAnsi="宋体"/>
                <w:szCs w:val="21"/>
              </w:rPr>
            </w:sdtEndPr>
            <w:sdtContent>
              <w:r>
                <w:rPr>
                  <w:rFonts w:hint="eastAsia" w:ascii="宋体" w:hAnsi="宋体"/>
                  <w:szCs w:val="21"/>
                </w:rPr>
                <w:t>人民币</w:t>
              </w:r>
            </w:sdtContent>
          </w:sdt>
        </w:p>
        <w:tbl>
          <w:tblPr>
            <w:tblStyle w:val="37"/>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1"/>
            <w:gridCol w:w="2176"/>
            <w:gridCol w:w="2053"/>
            <w:gridCol w:w="1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Cs w:val="21"/>
                </w:rPr>
                <w:tag w:val="_PLD_e184eafc8be3478d9fc8a544274385f7"/>
                <w:id w:val="188647664"/>
                <w:lock w:val="sdtLocked"/>
              </w:sdtPr>
              <w:sdtEndPr>
                <w:rPr>
                  <w:rFonts w:asciiTheme="minorEastAsia" w:hAnsiTheme="minorEastAsia" w:eastAsiaTheme="minorEastAsia"/>
                  <w:szCs w:val="21"/>
                </w:rPr>
              </w:sdtEndPr>
              <w:sdtContent>
                <w:tc>
                  <w:tcPr>
                    <w:tcW w:w="1704" w:type="pct"/>
                  </w:tcPr>
                  <w:p>
                    <w:pPr>
                      <w:pStyle w:val="55"/>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科目</w:t>
                    </w:r>
                  </w:p>
                </w:tc>
              </w:sdtContent>
            </w:sdt>
            <w:sdt>
              <w:sdtPr>
                <w:rPr>
                  <w:rFonts w:asciiTheme="minorEastAsia" w:hAnsiTheme="minorEastAsia" w:eastAsiaTheme="minorEastAsia"/>
                  <w:szCs w:val="21"/>
                </w:rPr>
                <w:tag w:val="_PLD_c49cd176da60479fbcfeedd35cc9f509"/>
                <w:id w:val="-1021005547"/>
                <w:lock w:val="sdtLocked"/>
              </w:sdtPr>
              <w:sdtEndPr>
                <w:rPr>
                  <w:rFonts w:asciiTheme="minorEastAsia" w:hAnsiTheme="minorEastAsia" w:eastAsiaTheme="minorEastAsia"/>
                  <w:szCs w:val="21"/>
                </w:rPr>
              </w:sdtEndPr>
              <w:sdtContent>
                <w:tc>
                  <w:tcPr>
                    <w:tcW w:w="1173" w:type="pct"/>
                    <w:vAlign w:val="center"/>
                  </w:tcPr>
                  <w:p>
                    <w:pPr>
                      <w:pStyle w:val="55"/>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本期数</w:t>
                    </w:r>
                  </w:p>
                </w:tc>
              </w:sdtContent>
            </w:sdt>
            <w:sdt>
              <w:sdtPr>
                <w:rPr>
                  <w:rFonts w:asciiTheme="minorEastAsia" w:hAnsiTheme="minorEastAsia" w:eastAsiaTheme="minorEastAsia"/>
                  <w:szCs w:val="21"/>
                </w:rPr>
                <w:tag w:val="_PLD_0b6df7534554463db9f304bbe9b6a71e"/>
                <w:id w:val="-715966504"/>
                <w:lock w:val="sdtLocked"/>
              </w:sdtPr>
              <w:sdtEndPr>
                <w:rPr>
                  <w:rFonts w:asciiTheme="minorEastAsia" w:hAnsiTheme="minorEastAsia" w:eastAsiaTheme="minorEastAsia"/>
                  <w:szCs w:val="21"/>
                </w:rPr>
              </w:sdtEndPr>
              <w:sdtContent>
                <w:tc>
                  <w:tcPr>
                    <w:tcW w:w="1107" w:type="pct"/>
                    <w:vAlign w:val="center"/>
                  </w:tcPr>
                  <w:p>
                    <w:pPr>
                      <w:pStyle w:val="55"/>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上年同期数</w:t>
                    </w:r>
                  </w:p>
                </w:tc>
              </w:sdtContent>
            </w:sdt>
            <w:sdt>
              <w:sdtPr>
                <w:rPr>
                  <w:rFonts w:asciiTheme="minorEastAsia" w:hAnsiTheme="minorEastAsia" w:eastAsiaTheme="minorEastAsia"/>
                  <w:szCs w:val="21"/>
                </w:rPr>
                <w:tag w:val="_PLD_a903eeff1728490ba821c9389249303c"/>
                <w:id w:val="-1193144045"/>
                <w:lock w:val="sdtLocked"/>
              </w:sdtPr>
              <w:sdtEndPr>
                <w:rPr>
                  <w:rFonts w:asciiTheme="minorEastAsia" w:hAnsiTheme="minorEastAsia" w:eastAsiaTheme="minorEastAsia"/>
                  <w:szCs w:val="21"/>
                </w:rPr>
              </w:sdtEndPr>
              <w:sdtContent>
                <w:tc>
                  <w:tcPr>
                    <w:tcW w:w="1016" w:type="pct"/>
                    <w:vAlign w:val="center"/>
                  </w:tcPr>
                  <w:p>
                    <w:pPr>
                      <w:pStyle w:val="55"/>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变动比例（%）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营业收入</w:t>
                </w:r>
              </w:p>
            </w:tc>
            <w:tc>
              <w:tcPr>
                <w:tcW w:w="1173"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3,977,224,819.19</w:t>
                </w:r>
              </w:p>
            </w:tc>
            <w:tc>
              <w:tcPr>
                <w:tcW w:w="110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3,637,106,063.44</w:t>
                </w:r>
              </w:p>
            </w:tc>
            <w:tc>
              <w:tcPr>
                <w:tcW w:w="1016"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9.35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营业成本</w:t>
                </w:r>
              </w:p>
            </w:tc>
            <w:tc>
              <w:tcPr>
                <w:tcW w:w="1173"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3,337,962,708.06</w:t>
                </w:r>
              </w:p>
            </w:tc>
            <w:tc>
              <w:tcPr>
                <w:tcW w:w="110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3,279,368,587.58</w:t>
                </w:r>
              </w:p>
            </w:tc>
            <w:tc>
              <w:tcPr>
                <w:tcW w:w="1016"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销售费用</w:t>
                </w:r>
              </w:p>
            </w:tc>
            <w:tc>
              <w:tcPr>
                <w:tcW w:w="1173"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148,555,614.23</w:t>
                </w:r>
              </w:p>
            </w:tc>
            <w:tc>
              <w:tcPr>
                <w:tcW w:w="110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405,138,197.87</w:t>
                </w:r>
              </w:p>
            </w:tc>
            <w:tc>
              <w:tcPr>
                <w:tcW w:w="1016"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-63.33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管理费用</w:t>
                </w:r>
              </w:p>
            </w:tc>
            <w:tc>
              <w:tcPr>
                <w:tcW w:w="1173"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417,297,253.11</w:t>
                </w:r>
              </w:p>
            </w:tc>
            <w:tc>
              <w:tcPr>
                <w:tcW w:w="110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701,936,838.91</w:t>
                </w:r>
              </w:p>
            </w:tc>
            <w:tc>
              <w:tcPr>
                <w:tcW w:w="1016"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-40.55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财务费用</w:t>
                </w:r>
              </w:p>
            </w:tc>
            <w:tc>
              <w:tcPr>
                <w:tcW w:w="1173" w:type="pct"/>
                <w:vAlign w:val="center"/>
              </w:tcPr>
              <w:p>
                <w:pPr>
                  <w:widowControl w:val="0"/>
                  <w:jc w:val="right"/>
                  <w:rPr>
                    <w:sz w:val="24"/>
                  </w:rPr>
                </w:pPr>
                <w:r>
                  <w:t>140,799,480.26</w:t>
                </w:r>
              </w:p>
            </w:tc>
            <w:tc>
              <w:tcPr>
                <w:tcW w:w="1107" w:type="pct"/>
                <w:vAlign w:val="center"/>
              </w:tcPr>
              <w:p>
                <w:pPr>
                  <w:widowControl w:val="0"/>
                  <w:jc w:val="right"/>
                  <w:rPr>
                    <w:sz w:val="24"/>
                  </w:rPr>
                </w:pPr>
                <w:r>
                  <w:t>1,888,314,885.63</w:t>
                </w:r>
              </w:p>
            </w:tc>
            <w:tc>
              <w:tcPr>
                <w:tcW w:w="1016" w:type="pct"/>
                <w:vAlign w:val="center"/>
              </w:tcPr>
              <w:p>
                <w:pPr>
                  <w:widowControl w:val="0"/>
                  <w:jc w:val="right"/>
                  <w:rPr>
                    <w:sz w:val="24"/>
                  </w:rPr>
                </w:pPr>
                <w:r>
                  <w:t>-92.54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hint="eastAsia" w:asciiTheme="minorEastAsia" w:hAnsiTheme="minorEastAsia" w:eastAsiaTheme="minorEastAsia"/>
                    <w:szCs w:val="21"/>
                  </w:rPr>
                  <w:t>研发费用</w:t>
                </w:r>
              </w:p>
            </w:tc>
            <w:tc>
              <w:tcPr>
                <w:tcW w:w="1173"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120,169,880.40</w:t>
                </w:r>
              </w:p>
            </w:tc>
            <w:tc>
              <w:tcPr>
                <w:tcW w:w="110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253,032,072.92</w:t>
                </w:r>
              </w:p>
            </w:tc>
            <w:tc>
              <w:tcPr>
                <w:tcW w:w="1016"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-52.51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经营活动产生的现金流量净额</w:t>
                </w:r>
              </w:p>
            </w:tc>
            <w:tc>
              <w:tcPr>
                <w:tcW w:w="1173"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375,500,566.85</w:t>
                </w:r>
              </w:p>
            </w:tc>
            <w:tc>
              <w:tcPr>
                <w:tcW w:w="110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234,608,073.45</w:t>
                </w:r>
              </w:p>
            </w:tc>
            <w:tc>
              <w:tcPr>
                <w:tcW w:w="1016" w:type="pct"/>
                <w:vAlign w:val="center"/>
              </w:tcPr>
              <w:p>
                <w:pPr>
                  <w:widowControl w:val="0"/>
                  <w:jc w:val="right"/>
                  <w:rPr>
                    <w:rFonts w:asciiTheme="minorEastAsia" w:hAnsiTheme="minorEastAsia" w:eastAsiaTheme="minorEastAsia"/>
                    <w:szCs w:val="21"/>
                  </w:rPr>
                </w:pPr>
                <w:r>
                  <w:rPr>
                    <w:rFonts w:hint="eastAsia" w:asciiTheme="minorEastAsia" w:hAnsiTheme="minorEastAsia" w:eastAsiaTheme="minorEastAsia"/>
                    <w:szCs w:val="21"/>
                  </w:rPr>
                  <w:t>60.05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投资活动产生的现金流量净额</w:t>
                </w:r>
              </w:p>
            </w:tc>
            <w:tc>
              <w:tcPr>
                <w:tcW w:w="1173" w:type="pct"/>
                <w:vAlign w:val="center"/>
              </w:tcPr>
              <w:p>
                <w:pPr>
                  <w:widowControl w:val="0"/>
                  <w:jc w:val="right"/>
                  <w:rPr>
                    <w:sz w:val="24"/>
                  </w:rPr>
                </w:pPr>
                <w:r>
                  <w:t>-371,992,664.43</w:t>
                </w:r>
              </w:p>
            </w:tc>
            <w:tc>
              <w:tcPr>
                <w:tcW w:w="1107" w:type="pct"/>
                <w:vAlign w:val="center"/>
              </w:tcPr>
              <w:p>
                <w:pPr>
                  <w:widowControl w:val="0"/>
                  <w:jc w:val="right"/>
                  <w:rPr>
                    <w:sz w:val="24"/>
                  </w:rPr>
                </w:pPr>
                <w:r>
                  <w:t>25,900,296.87</w:t>
                </w:r>
              </w:p>
            </w:tc>
            <w:tc>
              <w:tcPr>
                <w:tcW w:w="1016" w:type="pct"/>
                <w:vAlign w:val="center"/>
              </w:tcPr>
              <w:p>
                <w:pPr>
                  <w:widowControl w:val="0"/>
                  <w:jc w:val="right"/>
                  <w:rPr>
                    <w:rFonts w:asciiTheme="minorEastAsia" w:hAnsiTheme="minorEastAsia" w:eastAsiaTheme="minorEastAsia"/>
                    <w:szCs w:val="21"/>
                  </w:rPr>
                </w:pPr>
                <w:r>
                  <w:rPr>
                    <w:rFonts w:hint="eastAsia" w:asciiTheme="minorEastAsia" w:hAnsiTheme="minorEastAsia" w:eastAsiaTheme="minor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筹资活动产生的现金流量净额</w:t>
                </w:r>
              </w:p>
            </w:tc>
            <w:tc>
              <w:tcPr>
                <w:tcW w:w="1173" w:type="pct"/>
                <w:vAlign w:val="center"/>
              </w:tcPr>
              <w:p>
                <w:pPr>
                  <w:widowControl w:val="0"/>
                  <w:jc w:val="right"/>
                  <w:rPr>
                    <w:sz w:val="24"/>
                  </w:rPr>
                </w:pPr>
                <w:r>
                  <w:t>-256,537,849.46</w:t>
                </w:r>
              </w:p>
            </w:tc>
            <w:tc>
              <w:tcPr>
                <w:tcW w:w="1107" w:type="pct"/>
                <w:vAlign w:val="center"/>
              </w:tcPr>
              <w:p>
                <w:pPr>
                  <w:widowControl w:val="0"/>
                  <w:jc w:val="right"/>
                  <w:rPr>
                    <w:sz w:val="24"/>
                  </w:rPr>
                </w:pPr>
                <w:r>
                  <w:t>1,780,354,183.74</w:t>
                </w:r>
              </w:p>
            </w:tc>
            <w:tc>
              <w:tcPr>
                <w:tcW w:w="1016" w:type="pct"/>
                <w:vAlign w:val="center"/>
              </w:tcPr>
              <w:p>
                <w:pPr>
                  <w:widowControl w:val="0"/>
                  <w:jc w:val="right"/>
                  <w:rPr>
                    <w:rFonts w:asciiTheme="minorEastAsia" w:hAnsiTheme="minorEastAsia" w:eastAsiaTheme="minorEastAsia"/>
                    <w:szCs w:val="21"/>
                  </w:rPr>
                </w:pPr>
                <w:r>
                  <w:rPr>
                    <w:rFonts w:hint="eastAsia" w:asciiTheme="minorEastAsia" w:hAnsiTheme="minorEastAsia" w:eastAsiaTheme="minor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投资收益</w:t>
                </w:r>
              </w:p>
            </w:tc>
            <w:tc>
              <w:tcPr>
                <w:tcW w:w="1173" w:type="pct"/>
                <w:vAlign w:val="center"/>
              </w:tcPr>
              <w:p>
                <w:pPr>
                  <w:widowControl w:val="0"/>
                  <w:jc w:val="right"/>
                  <w:rPr>
                    <w:sz w:val="24"/>
                  </w:rPr>
                </w:pPr>
                <w:r>
                  <w:t>296,391,647.10</w:t>
                </w:r>
              </w:p>
            </w:tc>
            <w:tc>
              <w:tcPr>
                <w:tcW w:w="1107" w:type="pct"/>
                <w:vAlign w:val="center"/>
              </w:tcPr>
              <w:p>
                <w:pPr>
                  <w:widowControl w:val="0"/>
                  <w:jc w:val="right"/>
                  <w:rPr>
                    <w:sz w:val="24"/>
                  </w:rPr>
                </w:pPr>
                <w:r>
                  <w:t>9,226,058,334.28</w:t>
                </w:r>
              </w:p>
            </w:tc>
            <w:tc>
              <w:tcPr>
                <w:tcW w:w="1016" w:type="pct"/>
                <w:vAlign w:val="center"/>
              </w:tcPr>
              <w:p>
                <w:pPr>
                  <w:widowControl w:val="0"/>
                  <w:jc w:val="right"/>
                  <w:rPr>
                    <w:sz w:val="24"/>
                  </w:rPr>
                </w:pPr>
                <w:r>
                  <w:t>-96.79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公允价值变动收益</w:t>
                </w:r>
              </w:p>
            </w:tc>
            <w:tc>
              <w:tcPr>
                <w:tcW w:w="1173"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50,677,613.50</w:t>
                </w:r>
              </w:p>
            </w:tc>
            <w:tc>
              <w:tcPr>
                <w:tcW w:w="1107"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-2,524,257.60</w:t>
                </w:r>
              </w:p>
            </w:tc>
            <w:tc>
              <w:tcPr>
                <w:tcW w:w="1016" w:type="pct"/>
              </w:tcPr>
              <w:p>
                <w:pPr>
                  <w:pStyle w:val="5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信用减值损失</w:t>
                </w:r>
              </w:p>
            </w:tc>
            <w:tc>
              <w:tcPr>
                <w:tcW w:w="1173"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22,967,772.97</w:t>
                </w:r>
              </w:p>
            </w:tc>
            <w:tc>
              <w:tcPr>
                <w:tcW w:w="1107"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-781,943,265.51</w:t>
                </w:r>
              </w:p>
            </w:tc>
            <w:tc>
              <w:tcPr>
                <w:tcW w:w="1016" w:type="pct"/>
              </w:tcPr>
              <w:p>
                <w:pPr>
                  <w:pStyle w:val="5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资产减值损失</w:t>
                </w:r>
              </w:p>
            </w:tc>
            <w:tc>
              <w:tcPr>
                <w:tcW w:w="1173"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-22,788,264.43</w:t>
                </w:r>
              </w:p>
            </w:tc>
            <w:tc>
              <w:tcPr>
                <w:tcW w:w="1107"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-3,607,568,533.80</w:t>
                </w:r>
              </w:p>
            </w:tc>
            <w:tc>
              <w:tcPr>
                <w:tcW w:w="1016" w:type="pct"/>
              </w:tcPr>
              <w:p>
                <w:pPr>
                  <w:pStyle w:val="5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资产处置收益</w:t>
                </w:r>
              </w:p>
            </w:tc>
            <w:tc>
              <w:tcPr>
                <w:tcW w:w="1173"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-11,039,601.02</w:t>
                </w:r>
              </w:p>
            </w:tc>
            <w:tc>
              <w:tcPr>
                <w:tcW w:w="1107"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-1,135,815,957.70</w:t>
                </w:r>
              </w:p>
            </w:tc>
            <w:tc>
              <w:tcPr>
                <w:tcW w:w="1016" w:type="pct"/>
              </w:tcPr>
              <w:p>
                <w:pPr>
                  <w:pStyle w:val="55"/>
                  <w:ind w:firstLine="0" w:firstLineChars="0"/>
                  <w:jc w:val="right"/>
                  <w:rPr>
                    <w:rFonts w:asciiTheme="minorEastAsia" w:hAnsiTheme="minorEastAsia" w:eastAsiaTheme="minorEastAsia"/>
                    <w:szCs w:val="21"/>
                  </w:rPr>
                </w:pPr>
                <w:r>
                  <w:rPr>
                    <w:rFonts w:hint="eastAsia" w:asciiTheme="minorEastAsia" w:hAnsiTheme="minorEastAsia" w:eastAsiaTheme="minorEastAsia"/>
                    <w:szCs w:val="21"/>
                  </w:rPr>
                  <w:t>不适用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pct"/>
              </w:tcPr>
              <w:p>
                <w:pPr>
                  <w:pStyle w:val="55"/>
                  <w:ind w:firstLine="0" w:firstLineChars="0"/>
                  <w:jc w:val="center"/>
                  <w:rPr>
                    <w:rFonts w:asciiTheme="minorEastAsia" w:hAnsiTheme="minorEastAsia" w:eastAsiaTheme="minorEastAsia"/>
                    <w:szCs w:val="21"/>
                  </w:rPr>
                </w:pPr>
                <w:r>
                  <w:rPr>
                    <w:rFonts w:asciiTheme="minorEastAsia" w:hAnsiTheme="minorEastAsia" w:eastAsiaTheme="minorEastAsia"/>
                    <w:szCs w:val="21"/>
                  </w:rPr>
                  <w:t>营业外支出</w:t>
                </w:r>
              </w:p>
            </w:tc>
            <w:tc>
              <w:tcPr>
                <w:tcW w:w="1173"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10,863,966.22</w:t>
                </w:r>
              </w:p>
            </w:tc>
            <w:tc>
              <w:tcPr>
                <w:tcW w:w="1107"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735,235,753.95</w:t>
                </w:r>
              </w:p>
            </w:tc>
            <w:tc>
              <w:tcPr>
                <w:tcW w:w="1016" w:type="pct"/>
              </w:tcPr>
              <w:p>
                <w:pPr>
                  <w:pStyle w:val="55"/>
                  <w:ind w:firstLine="0" w:firstLineChars="0"/>
                  <w:jc w:val="right"/>
                  <w:rPr>
                    <w:rFonts w:asciiTheme="minorEastAsia" w:hAnsiTheme="minorEastAsia" w:eastAsiaTheme="minorEastAsia"/>
                    <w:szCs w:val="21"/>
                  </w:rPr>
                </w:pPr>
                <w:r>
                  <w:rPr>
                    <w:rFonts w:asciiTheme="minorEastAsia" w:hAnsiTheme="minorEastAsia" w:eastAsiaTheme="minorEastAsia"/>
                    <w:szCs w:val="21"/>
                  </w:rPr>
                  <w:t>-98.52</w:t>
                </w:r>
              </w:p>
            </w:tc>
          </w:tr>
        </w:tbl>
        <w:p/>
        <w:p>
          <w:pPr>
            <w:pStyle w:val="55"/>
            <w:spacing w:line="360" w:lineRule="auto"/>
            <w:ind w:left="2310" w:hanging="2310" w:hangingChars="1100"/>
            <w:jc w:val="left"/>
            <w:rPr>
              <w:rFonts w:ascii="宋体" w:hAnsi="宋体"/>
            </w:rPr>
          </w:pPr>
          <w:r>
            <w:rPr>
              <w:rFonts w:hint="eastAsia" w:ascii="宋体" w:hAnsi="宋体"/>
            </w:rPr>
            <w:t>营业收入变动原因说明：</w:t>
          </w:r>
          <w:sdt>
            <w:sdtPr>
              <w:rPr>
                <w:rFonts w:ascii="宋体" w:hAnsi="宋体"/>
                <w:szCs w:val="21"/>
              </w:rPr>
              <w:alias w:val="营业收入变动原因说明"/>
              <w:tag w:val="_GBC_02f544181db247728469e929886776a1"/>
              <w:id w:val="1611860277"/>
              <w:lock w:val="sdtLocked"/>
              <w:placeholder>
                <w:docPart w:val="GBC22222222222222222222222222222"/>
              </w:placeholder>
            </w:sdtPr>
            <w:sdtEndPr>
              <w:rPr>
                <w:rFonts w:ascii="宋体" w:hAnsi="宋体"/>
                <w:szCs w:val="21"/>
              </w:rPr>
            </w:sdtEndPr>
            <w:sdtContent>
              <w:r>
                <w:rPr>
                  <w:rFonts w:hint="eastAsia" w:ascii="宋体" w:hAnsi="宋体"/>
                  <w:szCs w:val="21"/>
                </w:rPr>
                <w:t>本期较上年同期增长主要系公司经过重整，各板块业务销量均增长，收入增加。</w:t>
              </w:r>
            </w:sdtContent>
          </w:sdt>
        </w:p>
        <w:p>
          <w:pPr>
            <w:pStyle w:val="55"/>
            <w:spacing w:line="360" w:lineRule="auto"/>
            <w:ind w:firstLine="0" w:firstLineChars="0"/>
            <w:jc w:val="left"/>
            <w:rPr>
              <w:rFonts w:ascii="宋体" w:hAnsi="宋体"/>
            </w:rPr>
          </w:pPr>
          <w:r>
            <w:rPr>
              <w:rFonts w:hint="eastAsia" w:ascii="宋体" w:hAnsi="宋体"/>
            </w:rPr>
            <w:t>营业成本变动原因说明：</w:t>
          </w:r>
          <w:sdt>
            <w:sdtPr>
              <w:rPr>
                <w:rFonts w:hint="eastAsia" w:ascii="宋体" w:hAnsi="宋体"/>
              </w:rPr>
              <w:alias w:val="营业成本变动原因说明"/>
              <w:tag w:val="_GBC_cc56ae4655044c7092acfc9c59da077d"/>
              <w:id w:val="1950509553"/>
              <w:lock w:val="sdtLocked"/>
              <w:placeholder>
                <w:docPart w:val="GBC22222222222222222222222222222"/>
              </w:placeholder>
            </w:sdtPr>
            <w:sdtEndPr>
              <w:rPr>
                <w:rFonts w:hint="eastAsia" w:ascii="宋体" w:hAnsi="宋体"/>
              </w:rPr>
            </w:sdtEndPr>
            <w:sdtContent>
              <w:r>
                <w:rPr>
                  <w:rFonts w:hint="eastAsia" w:ascii="宋体" w:hAnsi="宋体"/>
                </w:rPr>
                <w:t>本期较上年同期增长主要系收入增长，对应的成本略微增长。</w:t>
              </w:r>
            </w:sdtContent>
          </w:sdt>
        </w:p>
        <w:p>
          <w:pPr>
            <w:pStyle w:val="55"/>
            <w:spacing w:line="360" w:lineRule="auto"/>
            <w:ind w:firstLine="0" w:firstLineChars="0"/>
            <w:jc w:val="left"/>
            <w:rPr>
              <w:rFonts w:ascii="宋体" w:hAnsi="宋体"/>
            </w:rPr>
          </w:pPr>
          <w:r>
            <w:rPr>
              <w:rFonts w:hint="eastAsia" w:ascii="宋体" w:hAnsi="宋体"/>
            </w:rPr>
            <w:t>销售费用变动原因说明：</w:t>
          </w:r>
          <w:sdt>
            <w:sdtPr>
              <w:rPr>
                <w:rFonts w:hint="eastAsia" w:ascii="宋体" w:hAnsi="宋体"/>
              </w:rPr>
              <w:alias w:val="销售费用变动原因说明"/>
              <w:tag w:val="_GBC_c5a5f680c2ee494fb0392b5c43f82ada"/>
              <w:id w:val="-1586218689"/>
              <w:lock w:val="sdtLocked"/>
              <w:placeholder>
                <w:docPart w:val="GBC22222222222222222222222222222"/>
              </w:placeholder>
            </w:sdtPr>
            <w:sdtEndPr>
              <w:rPr>
                <w:rFonts w:hint="eastAsia" w:ascii="宋体" w:hAnsi="宋体"/>
              </w:rPr>
            </w:sdtEndPr>
            <w:sdtContent>
              <w:r>
                <w:rPr>
                  <w:rFonts w:hint="eastAsia" w:ascii="宋体" w:hAnsi="宋体"/>
                </w:rPr>
                <w:t>本期较上年同期减少主要系公司业务流程优化，销售成本减少。</w:t>
              </w:r>
            </w:sdtContent>
          </w:sdt>
        </w:p>
        <w:p>
          <w:pPr>
            <w:pStyle w:val="55"/>
            <w:spacing w:line="360" w:lineRule="auto"/>
            <w:ind w:left="2310" w:hanging="2310" w:hangingChars="1100"/>
            <w:jc w:val="left"/>
            <w:rPr>
              <w:rFonts w:ascii="宋体" w:hAnsi="宋体"/>
            </w:rPr>
          </w:pPr>
          <w:r>
            <w:rPr>
              <w:rFonts w:hint="eastAsia" w:ascii="宋体" w:hAnsi="宋体"/>
            </w:rPr>
            <w:t>管理费用变动原因说明：</w:t>
          </w:r>
          <w:sdt>
            <w:sdtPr>
              <w:rPr>
                <w:rFonts w:hint="eastAsia" w:ascii="宋体" w:hAnsi="宋体"/>
              </w:rPr>
              <w:alias w:val="管理费用变动原因说明"/>
              <w:tag w:val="_GBC_706b1fc7f80c45629d6554f783797e4f"/>
              <w:id w:val="530777555"/>
              <w:lock w:val="sdtLocked"/>
              <w:placeholder>
                <w:docPart w:val="GBC22222222222222222222222222222"/>
              </w:placeholder>
            </w:sdtPr>
            <w:sdtEndPr>
              <w:rPr>
                <w:rFonts w:hint="eastAsia" w:ascii="宋体" w:hAnsi="宋体"/>
              </w:rPr>
            </w:sdtEndPr>
            <w:sdtContent>
              <w:r>
                <w:rPr>
                  <w:rFonts w:hint="eastAsia" w:ascii="宋体" w:hAnsi="宋体"/>
                </w:rPr>
                <w:t>本期较上年同期减少主要系公司组织结构及管理模式优化，管理成本降低。</w:t>
              </w:r>
            </w:sdtContent>
          </w:sdt>
        </w:p>
        <w:p>
          <w:pPr>
            <w:pStyle w:val="55"/>
            <w:spacing w:line="360" w:lineRule="auto"/>
            <w:ind w:left="2310" w:hanging="2310" w:hangingChars="1100"/>
            <w:jc w:val="left"/>
            <w:rPr>
              <w:rFonts w:ascii="宋体" w:hAnsi="宋体"/>
            </w:rPr>
          </w:pPr>
          <w:r>
            <w:rPr>
              <w:rFonts w:hint="eastAsia" w:ascii="宋体" w:hAnsi="宋体"/>
            </w:rPr>
            <w:t>财务费用变动原因说明：</w:t>
          </w:r>
          <w:sdt>
            <w:sdtPr>
              <w:rPr>
                <w:rFonts w:hint="eastAsia" w:ascii="宋体" w:hAnsi="宋体"/>
              </w:rPr>
              <w:alias w:val="财务费用变动原因说明"/>
              <w:tag w:val="_GBC_ae0e447440184dbb94565c35b97d07a6"/>
              <w:id w:val="-954412096"/>
              <w:lock w:val="sdtLocked"/>
              <w:placeholder>
                <w:docPart w:val="GBC22222222222222222222222222222"/>
              </w:placeholder>
            </w:sdtPr>
            <w:sdtEndPr>
              <w:rPr>
                <w:rFonts w:hint="eastAsia" w:ascii="宋体" w:hAnsi="宋体"/>
              </w:rPr>
            </w:sdtEndPr>
            <w:sdtContent>
              <w:r>
                <w:rPr>
                  <w:rFonts w:hint="eastAsia" w:ascii="宋体" w:hAnsi="宋体"/>
                </w:rPr>
                <w:t>本期较上年同期减少主要系本年度因公司破产重整完成，有息负债大幅减少。</w:t>
              </w:r>
            </w:sdtContent>
          </w:sdt>
        </w:p>
        <w:p>
          <w:pPr>
            <w:pStyle w:val="55"/>
            <w:spacing w:line="360" w:lineRule="auto"/>
            <w:ind w:firstLine="0" w:firstLineChars="0"/>
            <w:jc w:val="left"/>
            <w:rPr>
              <w:rFonts w:ascii="宋体" w:hAnsi="宋体"/>
            </w:rPr>
          </w:pPr>
          <w:r>
            <w:rPr>
              <w:rFonts w:hint="eastAsia" w:ascii="宋体" w:hAnsi="宋体"/>
            </w:rPr>
            <w:t>研发费用变动原因说明</w:t>
          </w:r>
          <w:r>
            <w:rPr>
              <w:rFonts w:ascii="宋体" w:hAnsi="宋体"/>
            </w:rPr>
            <w:t>：</w:t>
          </w:r>
          <w:sdt>
            <w:sdtPr>
              <w:rPr>
                <w:rFonts w:ascii="宋体" w:hAnsi="宋体"/>
              </w:rPr>
              <w:alias w:val="研发费用变动原因说明"/>
              <w:tag w:val="_GBC_310391efac0f4742813d80035c784df4"/>
              <w:id w:val="-442690662"/>
              <w:lock w:val="sdtLocked"/>
              <w:placeholder>
                <w:docPart w:val="GBC22222222222222222222222222222"/>
              </w:placeholder>
            </w:sdtPr>
            <w:sdtEndPr>
              <w:rPr>
                <w:rFonts w:ascii="宋体" w:hAnsi="宋体"/>
              </w:rPr>
            </w:sdtEndPr>
            <w:sdtContent>
              <w:r>
                <w:rPr>
                  <w:rFonts w:hint="eastAsia" w:ascii="宋体" w:hAnsi="宋体"/>
                </w:rPr>
                <w:t>本期较上年同期减少主要系费用化研发投入较上年同期减少。</w:t>
              </w:r>
            </w:sdtContent>
          </w:sdt>
        </w:p>
        <w:p>
          <w:pPr>
            <w:pStyle w:val="55"/>
            <w:spacing w:line="360" w:lineRule="auto"/>
            <w:ind w:left="4200" w:hanging="4200" w:hangingChars="2000"/>
            <w:jc w:val="left"/>
            <w:rPr>
              <w:rFonts w:ascii="宋体" w:hAnsi="宋体"/>
            </w:rPr>
          </w:pPr>
          <w:r>
            <w:rPr>
              <w:rFonts w:ascii="宋体" w:hAnsi="宋体"/>
              <w:szCs w:val="21"/>
            </w:rPr>
            <w:t>经营活动产生的现金流量净额</w:t>
          </w:r>
          <w:r>
            <w:rPr>
              <w:rFonts w:hint="eastAsia" w:ascii="宋体" w:hAnsi="宋体"/>
              <w:szCs w:val="21"/>
            </w:rPr>
            <w:t>变动原因说明：</w:t>
          </w:r>
          <w:sdt>
            <w:sdtPr>
              <w:rPr>
                <w:rFonts w:hint="eastAsia" w:ascii="宋体" w:hAnsi="宋体"/>
                <w:szCs w:val="21"/>
              </w:rPr>
              <w:alias w:val="经营活动产生的现金流量净额变动原因说明"/>
              <w:tag w:val="_GBC_5968661d4f024738ae5c039168b68a45"/>
              <w:id w:val="1179543448"/>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本期较上年同期增加主要系本期费用下降，支付其他经营活动的现金减少。</w:t>
              </w:r>
            </w:sdtContent>
          </w:sdt>
        </w:p>
        <w:p>
          <w:pPr>
            <w:pStyle w:val="55"/>
            <w:spacing w:line="360" w:lineRule="auto"/>
            <w:ind w:left="4185" w:hanging="4185" w:hangingChars="1993"/>
            <w:jc w:val="left"/>
            <w:rPr>
              <w:rFonts w:ascii="宋体" w:hAnsi="宋体"/>
            </w:rPr>
          </w:pPr>
          <w:r>
            <w:rPr>
              <w:rFonts w:ascii="宋体" w:hAnsi="宋体"/>
              <w:szCs w:val="21"/>
            </w:rPr>
            <w:t>投资活动产生的现金流量净额</w:t>
          </w:r>
          <w:r>
            <w:rPr>
              <w:rFonts w:hint="eastAsia" w:ascii="宋体" w:hAnsi="宋体"/>
              <w:szCs w:val="21"/>
            </w:rPr>
            <w:t>变动原因说明：</w:t>
          </w:r>
          <w:sdt>
            <w:sdtPr>
              <w:rPr>
                <w:rFonts w:hint="eastAsia" w:ascii="宋体" w:hAnsi="宋体"/>
                <w:szCs w:val="21"/>
              </w:rPr>
              <w:alias w:val="投资活动产生的现金流量净额变动原因说明"/>
              <w:tag w:val="_GBC_08880b3f89054510a8ebc03403516e54"/>
              <w:id w:val="2070231823"/>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本期较上年同期减少主要系本期提高资金收益率，将部分活期存款转为定期存款。</w:t>
              </w:r>
            </w:sdtContent>
          </w:sdt>
        </w:p>
        <w:p>
          <w:pPr>
            <w:pStyle w:val="55"/>
            <w:spacing w:line="360" w:lineRule="auto"/>
            <w:ind w:left="4200" w:hanging="4200" w:hangingChars="2000"/>
            <w:jc w:val="left"/>
            <w:rPr>
              <w:rFonts w:ascii="宋体" w:hAnsi="宋体"/>
            </w:rPr>
          </w:pPr>
          <w:r>
            <w:rPr>
              <w:rFonts w:ascii="宋体" w:hAnsi="宋体"/>
              <w:szCs w:val="21"/>
            </w:rPr>
            <w:t>筹资活动产生的现金流量净额</w:t>
          </w:r>
          <w:r>
            <w:rPr>
              <w:rFonts w:hint="eastAsia" w:ascii="宋体" w:hAnsi="宋体"/>
              <w:szCs w:val="21"/>
            </w:rPr>
            <w:t>变动原因说明：</w:t>
          </w:r>
          <w:sdt>
            <w:sdtPr>
              <w:rPr>
                <w:rFonts w:hint="eastAsia" w:ascii="宋体" w:hAnsi="宋体"/>
                <w:szCs w:val="21"/>
              </w:rPr>
              <w:alias w:val="筹资活动产生的现金流量净额变动原因说明"/>
              <w:tag w:val="_GBC_69e60bcce703432885fa32dfc7a0a266"/>
              <w:id w:val="-213353714"/>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本期较上年同期减少主要系上期收到股东投资款。</w:t>
              </w:r>
            </w:sdtContent>
          </w:sdt>
        </w:p>
        <w:sdt>
          <w:sdtPr>
            <w:rPr>
              <w:rFonts w:hint="eastAsia" w:ascii="宋体" w:hAnsi="宋体"/>
              <w:szCs w:val="21"/>
            </w:rPr>
            <w:alias w:val="利润表及现金流量表相关科目变动分析"/>
            <w:tag w:val="_TUP_5989ae500ae74401876a819076b8f108"/>
            <w:id w:val="-1295515537"/>
            <w:lock w:val="sdtLocked"/>
            <w:placeholder>
              <w:docPart w:val="GBC22222222222222222222222222222"/>
            </w:placeholder>
          </w:sdtPr>
          <w:sdtEndPr>
            <w:rPr>
              <w:rFonts w:hint="eastAsia" w:ascii="宋体" w:hAnsi="宋体"/>
              <w:szCs w:val="21"/>
            </w:rPr>
          </w:sdtEndPr>
          <w:sdtContent>
            <w:p>
              <w:pPr>
                <w:pStyle w:val="55"/>
                <w:spacing w:line="360" w:lineRule="auto"/>
                <w:ind w:firstLine="0" w:firstLineChars="0"/>
                <w:jc w:val="left"/>
                <w:rPr>
                  <w:rFonts w:ascii="宋体" w:hAnsi="宋体" w:cs="宋体"/>
                  <w:kern w:val="0"/>
                  <w:szCs w:val="24"/>
                </w:rPr>
              </w:pPr>
              <w:sdt>
                <w:sdtPr>
                  <w:rPr>
                    <w:rFonts w:hint="eastAsia" w:ascii="宋体" w:hAnsi="宋体"/>
                    <w:szCs w:val="21"/>
                  </w:rPr>
                  <w:alias w:val="利润表及现金流量表相关科目变动分析-科目名称"/>
                  <w:tag w:val="_GBC_6a3b5b3ab1e744efb8a1a528ee1c5244"/>
                  <w:id w:val="720633785"/>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投资收益</w:t>
                  </w:r>
                </w:sdtContent>
              </w:sdt>
              <w:r>
                <w:rPr>
                  <w:rFonts w:hint="eastAsia" w:ascii="宋体" w:hAnsi="宋体"/>
                  <w:szCs w:val="21"/>
                </w:rPr>
                <w:t>变动原因说明：</w:t>
              </w:r>
              <w:sdt>
                <w:sdtPr>
                  <w:rPr>
                    <w:rFonts w:hint="eastAsia" w:ascii="宋体" w:hAnsi="宋体"/>
                    <w:szCs w:val="21"/>
                  </w:rPr>
                  <w:alias w:val="利润表及现金流量表相关科目变动分析-变动原因说明"/>
                  <w:tag w:val="_GBC_65e672f3a2fd46a7b2e0f2ced7a1bdb6"/>
                  <w:id w:val="-730150834"/>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本期较</w:t>
                  </w:r>
                  <w:r>
                    <w:rPr>
                      <w:rFonts w:ascii="宋体" w:hAnsi="宋体"/>
                      <w:szCs w:val="21"/>
                    </w:rPr>
                    <w:t>上年同期</w:t>
                  </w:r>
                  <w:r>
                    <w:rPr>
                      <w:rFonts w:hint="eastAsia" w:ascii="宋体" w:hAnsi="宋体"/>
                    </w:rPr>
                    <w:t>减少</w:t>
                  </w:r>
                  <w:r>
                    <w:rPr>
                      <w:rFonts w:ascii="宋体" w:hAnsi="宋体"/>
                      <w:szCs w:val="21"/>
                    </w:rPr>
                    <w:t>主要系</w:t>
                  </w:r>
                  <w:r>
                    <w:rPr>
                      <w:rFonts w:hint="eastAsia" w:ascii="宋体" w:hAnsi="宋体"/>
                      <w:szCs w:val="21"/>
                    </w:rPr>
                    <w:t>上年</w:t>
                  </w:r>
                  <w:r>
                    <w:rPr>
                      <w:rFonts w:ascii="宋体" w:hAnsi="宋体"/>
                      <w:szCs w:val="21"/>
                    </w:rPr>
                    <w:t>公司重整，确认重整收益</w:t>
                  </w:r>
                  <w:r>
                    <w:rPr>
                      <w:rFonts w:hint="eastAsia" w:ascii="宋体" w:hAnsi="宋体"/>
                      <w:szCs w:val="21"/>
                    </w:rPr>
                    <w:t>。</w:t>
                  </w:r>
                </w:sdtContent>
              </w:sdt>
            </w:p>
          </w:sdtContent>
        </w:sdt>
        <w:sdt>
          <w:sdtPr>
            <w:rPr>
              <w:rFonts w:hint="eastAsia" w:ascii="宋体" w:hAnsi="宋体"/>
              <w:szCs w:val="21"/>
            </w:rPr>
            <w:alias w:val="利润表及现金流量表相关科目变动分析"/>
            <w:tag w:val="_TUP_5989ae500ae74401876a819076b8f108"/>
            <w:id w:val="2121717553"/>
            <w:lock w:val="sdtLocked"/>
            <w:placeholder>
              <w:docPart w:val="GBC22222222222222222222222222222"/>
            </w:placeholder>
          </w:sdtPr>
          <w:sdtEndPr>
            <w:rPr>
              <w:rFonts w:hint="eastAsia" w:ascii="宋体" w:hAnsi="宋体"/>
              <w:szCs w:val="21"/>
            </w:rPr>
          </w:sdtEndPr>
          <w:sdtContent>
            <w:p>
              <w:pPr>
                <w:pStyle w:val="55"/>
                <w:spacing w:line="360" w:lineRule="auto"/>
                <w:ind w:firstLine="0" w:firstLineChars="0"/>
                <w:jc w:val="left"/>
                <w:rPr>
                  <w:rFonts w:ascii="宋体" w:hAnsi="宋体"/>
                  <w:szCs w:val="21"/>
                </w:rPr>
              </w:pPr>
              <w:sdt>
                <w:sdtPr>
                  <w:rPr>
                    <w:rFonts w:hint="eastAsia" w:ascii="宋体" w:hAnsi="宋体"/>
                    <w:szCs w:val="21"/>
                  </w:rPr>
                  <w:alias w:val="利润表及现金流量表相关科目变动分析-科目名称"/>
                  <w:tag w:val="_GBC_6a3b5b3ab1e744efb8a1a528ee1c5244"/>
                  <w:id w:val="-322740292"/>
                  <w:lock w:val="sdtLocked"/>
                  <w:placeholder>
                    <w:docPart w:val="GBC22222222222222222222222222222"/>
                  </w:placeholder>
                </w:sdtPr>
                <w:sdtEndPr>
                  <w:rPr>
                    <w:rFonts w:hint="eastAsia" w:ascii="宋体" w:hAnsi="宋体"/>
                    <w:szCs w:val="21"/>
                  </w:rPr>
                </w:sdtEndPr>
                <w:sdtContent>
                  <w:r>
                    <w:rPr>
                      <w:rFonts w:hint="eastAsia" w:ascii="宋体" w:hAnsi="宋体"/>
                      <w:szCs w:val="21"/>
                    </w:rPr>
                    <w:t>公允价值</w:t>
                  </w:r>
                  <w:r>
                    <w:rPr>
                      <w:rFonts w:ascii="宋体" w:hAnsi="宋体"/>
                      <w:szCs w:val="21"/>
                    </w:rPr>
                    <w:t>变动损益</w:t>
                  </w:r>
                </w:sdtContent>
              </w:sdt>
              <w:r>
                <w:rPr>
                  <w:rFonts w:hint="eastAsia" w:ascii="宋体" w:hAnsi="宋体"/>
                  <w:szCs w:val="21"/>
                </w:rPr>
                <w:t>变动原因说明：</w:t>
              </w:r>
              <w:sdt>
                <w:sdtPr>
                  <w:rPr>
                    <w:rFonts w:hint="eastAsia" w:ascii="宋体" w:hAnsi="宋体"/>
                    <w:szCs w:val="21"/>
                  </w:rPr>
                  <w:alias w:val="利润表及现金流量表相关科目变动分析-变动原因说明"/>
                  <w:tag w:val="_GBC_65e672f3a2fd46a7b2e0f2ced7a1bdb6"/>
                  <w:id w:val="-80154378"/>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本期较</w:t>
                  </w:r>
                  <w:r>
                    <w:rPr>
                      <w:rFonts w:ascii="宋体" w:hAnsi="宋体"/>
                      <w:szCs w:val="21"/>
                    </w:rPr>
                    <w:t>上年同期增加主要系</w:t>
                  </w:r>
                  <w:r>
                    <w:rPr>
                      <w:rFonts w:hint="eastAsia" w:ascii="宋体" w:hAnsi="宋体"/>
                      <w:szCs w:val="21"/>
                    </w:rPr>
                    <w:t>投资性房地产增值所致。</w:t>
                  </w:r>
                </w:sdtContent>
              </w:sdt>
            </w:p>
          </w:sdtContent>
        </w:sdt>
        <w:sdt>
          <w:sdtPr>
            <w:rPr>
              <w:rFonts w:hint="eastAsia"/>
            </w:rPr>
            <w:alias w:val="利润表及现金流量表相关科目变动分析"/>
            <w:tag w:val="_TUP_5989ae500ae74401876a819076b8f108"/>
            <w:id w:val="181714153"/>
            <w:lock w:val="sdtLocked"/>
          </w:sdtPr>
          <w:sdtEndPr>
            <w:rPr>
              <w:rFonts w:hint="eastAsia"/>
            </w:rPr>
          </w:sdtEndPr>
          <w:sdtContent>
            <w:p>
              <w:pPr>
                <w:spacing w:line="360" w:lineRule="auto"/>
                <w:ind w:left="2730" w:hanging="2730" w:hangingChars="1300"/>
                <w:rPr>
                  <w:szCs w:val="21"/>
                </w:rPr>
              </w:pPr>
              <w:sdt>
                <w:sdtPr>
                  <w:rPr>
                    <w:rFonts w:hint="eastAsia"/>
                  </w:rPr>
                  <w:alias w:val="利润表及现金流量表相关科目变动分析-科目名称"/>
                  <w:tag w:val="_GBC_6a3b5b3ab1e744efb8a1a528ee1c5244"/>
                  <w:id w:val="-653374186"/>
                  <w:lock w:val="sdtLocked"/>
                </w:sdtPr>
                <w:sdtEndPr>
                  <w:rPr>
                    <w:rFonts w:hint="eastAsia"/>
                  </w:rPr>
                </w:sdtEndPr>
                <w:sdtContent>
                  <w:r>
                    <w:rPr>
                      <w:rFonts w:hint="eastAsia"/>
                    </w:rPr>
                    <w:t>信用</w:t>
                  </w:r>
                  <w:r>
                    <w:t>减值损失</w:t>
                  </w:r>
                </w:sdtContent>
              </w:sdt>
              <w:r>
                <w:rPr>
                  <w:rFonts w:hint="eastAsia"/>
                  <w:szCs w:val="21"/>
                </w:rPr>
                <w:t>变动原因说明：</w:t>
              </w:r>
              <w:sdt>
                <w:sdtPr>
                  <w:rPr>
                    <w:rFonts w:hint="eastAsia"/>
                  </w:rPr>
                  <w:alias w:val="利润表及现金流量表相关科目变动分析-变动原因说明"/>
                  <w:tag w:val="_GBC_65e672f3a2fd46a7b2e0f2ced7a1bdb6"/>
                  <w:id w:val="-1397974984"/>
                  <w:lock w:val="sdtLocked"/>
                </w:sdtPr>
                <w:sdtEndPr>
                  <w:rPr>
                    <w:rFonts w:hint="eastAsia"/>
                  </w:rPr>
                </w:sdtEndPr>
                <w:sdtContent>
                  <w:r>
                    <w:rPr>
                      <w:rFonts w:hint="eastAsia"/>
                    </w:rPr>
                    <w:t>本期</w:t>
                  </w:r>
                  <w:r>
                    <w:t>较上年同期减</w:t>
                  </w:r>
                  <w:r>
                    <w:rPr>
                      <w:rFonts w:hint="eastAsia"/>
                    </w:rPr>
                    <w:t>少</w:t>
                  </w:r>
                  <w:r>
                    <w:t>主要系</w:t>
                  </w:r>
                  <w:r>
                    <w:rPr>
                      <w:rFonts w:hint="eastAsia"/>
                    </w:rPr>
                    <w:t>上年度公司重整，对应收款项进行评估计提了大额减值损失，本年度提高了对应收款项的管理水平，制定科学的信用政策，加强了对客户的信用管理，未发生明显新增的减值迹象。</w:t>
                  </w:r>
                </w:sdtContent>
              </w:sdt>
            </w:p>
          </w:sdtContent>
        </w:sdt>
        <w:sdt>
          <w:sdtPr>
            <w:rPr>
              <w:rFonts w:hint="eastAsia"/>
            </w:rPr>
            <w:alias w:val="利润表及现金流量表相关科目变动分析"/>
            <w:tag w:val="_TUP_5989ae500ae74401876a819076b8f108"/>
            <w:id w:val="1029681267"/>
            <w:lock w:val="sdtLocked"/>
          </w:sdtPr>
          <w:sdtEndPr>
            <w:rPr>
              <w:rFonts w:hint="eastAsia"/>
            </w:rPr>
          </w:sdtEndPr>
          <w:sdtContent>
            <w:p>
              <w:pPr>
                <w:spacing w:line="360" w:lineRule="auto"/>
                <w:ind w:left="2730" w:hanging="2730" w:hangingChars="1300"/>
                <w:rPr>
                  <w:szCs w:val="21"/>
                </w:rPr>
              </w:pPr>
              <w:sdt>
                <w:sdtPr>
                  <w:rPr>
                    <w:rFonts w:hint="eastAsia"/>
                  </w:rPr>
                  <w:alias w:val="利润表及现金流量表相关科目变动分析-科目名称"/>
                  <w:tag w:val="_GBC_6a3b5b3ab1e744efb8a1a528ee1c5244"/>
                  <w:id w:val="-1647502894"/>
                  <w:lock w:val="sdtLocked"/>
                </w:sdtPr>
                <w:sdtEndPr>
                  <w:rPr>
                    <w:rFonts w:hint="eastAsia"/>
                  </w:rPr>
                </w:sdtEndPr>
                <w:sdtContent>
                  <w:r>
                    <w:rPr>
                      <w:rFonts w:hint="eastAsia"/>
                      <w:szCs w:val="21"/>
                    </w:rPr>
                    <w:t>资产</w:t>
                  </w:r>
                  <w:r>
                    <w:rPr>
                      <w:szCs w:val="21"/>
                    </w:rPr>
                    <w:t>减值损失</w:t>
                  </w:r>
                </w:sdtContent>
              </w:sdt>
              <w:r>
                <w:rPr>
                  <w:rFonts w:hint="eastAsia"/>
                  <w:szCs w:val="21"/>
                </w:rPr>
                <w:t>变动原因说明：</w:t>
              </w:r>
              <w:sdt>
                <w:sdtPr>
                  <w:rPr>
                    <w:rFonts w:hint="eastAsia"/>
                  </w:rPr>
                  <w:alias w:val="利润表及现金流量表相关科目变动分析-变动原因说明"/>
                  <w:tag w:val="_GBC_65e672f3a2fd46a7b2e0f2ced7a1bdb6"/>
                  <w:id w:val="-607736436"/>
                  <w:lock w:val="sdtLocked"/>
                </w:sdtPr>
                <w:sdtEndPr>
                  <w:rPr>
                    <w:rFonts w:hint="eastAsia"/>
                  </w:rPr>
                </w:sdtEndPr>
                <w:sdtContent>
                  <w:r>
                    <w:rPr>
                      <w:rFonts w:hint="eastAsia"/>
                    </w:rPr>
                    <w:t>本期较</w:t>
                  </w:r>
                  <w:r>
                    <w:t>上年同期减少主要系</w:t>
                  </w:r>
                  <w:r>
                    <w:rPr>
                      <w:rFonts w:hint="eastAsia"/>
                    </w:rPr>
                    <w:t>上年度公司破产重整，计提大额资产减值，本年度未发生明显新增的减值迹象。</w:t>
                  </w:r>
                </w:sdtContent>
              </w:sdt>
            </w:p>
          </w:sdtContent>
        </w:sdt>
        <w:sdt>
          <w:sdtPr>
            <w:rPr>
              <w:rFonts w:hint="eastAsia"/>
            </w:rPr>
            <w:alias w:val="利润表及现金流量表相关科目变动分析"/>
            <w:tag w:val="_TUP_5989ae500ae74401876a819076b8f108"/>
            <w:id w:val="1848058550"/>
            <w:lock w:val="sdtLocked"/>
          </w:sdtPr>
          <w:sdtEndPr>
            <w:rPr>
              <w:rFonts w:hint="eastAsia"/>
            </w:rPr>
          </w:sdtEndPr>
          <w:sdtContent>
            <w:p>
              <w:pPr>
                <w:spacing w:line="360" w:lineRule="auto"/>
                <w:ind w:left="2730" w:hanging="2730" w:hangingChars="1300"/>
                <w:rPr>
                  <w:szCs w:val="21"/>
                </w:rPr>
              </w:pPr>
              <w:sdt>
                <w:sdtPr>
                  <w:rPr>
                    <w:rFonts w:hint="eastAsia"/>
                  </w:rPr>
                  <w:alias w:val="利润表及现金流量表相关科目变动分析-科目名称"/>
                  <w:tag w:val="_GBC_6a3b5b3ab1e744efb8a1a528ee1c5244"/>
                  <w:id w:val="-1710789167"/>
                  <w:lock w:val="sdtLocked"/>
                </w:sdtPr>
                <w:sdtEndPr>
                  <w:rPr>
                    <w:rFonts w:hint="eastAsia"/>
                  </w:rPr>
                </w:sdtEndPr>
                <w:sdtContent>
                  <w:r>
                    <w:rPr>
                      <w:rFonts w:hint="eastAsia"/>
                      <w:szCs w:val="21"/>
                    </w:rPr>
                    <w:t>资产处置</w:t>
                  </w:r>
                  <w:r>
                    <w:rPr>
                      <w:szCs w:val="21"/>
                    </w:rPr>
                    <w:t>收益</w:t>
                  </w:r>
                </w:sdtContent>
              </w:sdt>
              <w:r>
                <w:rPr>
                  <w:rFonts w:hint="eastAsia"/>
                  <w:szCs w:val="21"/>
                </w:rPr>
                <w:t>变动原因说明：</w:t>
              </w:r>
              <w:sdt>
                <w:sdtPr>
                  <w:rPr>
                    <w:rFonts w:hint="eastAsia"/>
                  </w:rPr>
                  <w:alias w:val="利润表及现金流量表相关科目变动分析-变动原因说明"/>
                  <w:tag w:val="_GBC_65e672f3a2fd46a7b2e0f2ced7a1bdb6"/>
                  <w:id w:val="1002552225"/>
                  <w:lock w:val="sdtLocked"/>
                </w:sdtPr>
                <w:sdtEndPr>
                  <w:rPr>
                    <w:rFonts w:hint="eastAsia"/>
                  </w:rPr>
                </w:sdtEndPr>
                <w:sdtContent>
                  <w:r>
                    <w:rPr>
                      <w:rFonts w:hint="eastAsia"/>
                    </w:rPr>
                    <w:t>本期较</w:t>
                  </w:r>
                  <w:r>
                    <w:t>上年同期</w:t>
                  </w:r>
                  <w:r>
                    <w:rPr>
                      <w:rFonts w:hint="eastAsia"/>
                    </w:rPr>
                    <w:t>减少亏损</w:t>
                  </w:r>
                  <w:r>
                    <w:t>主要系</w:t>
                  </w:r>
                  <w:r>
                    <w:rPr>
                      <w:rFonts w:hint="eastAsia"/>
                    </w:rPr>
                    <w:t>上年度依据经营规划处置了大量汽车板块不再生产车型相关设备，本年度继续处置部分上年度已计提减值准备的资产。</w:t>
                  </w:r>
                </w:sdtContent>
              </w:sdt>
            </w:p>
          </w:sdtContent>
        </w:sdt>
        <w:sdt>
          <w:sdtPr>
            <w:rPr>
              <w:rFonts w:hint="eastAsia" w:ascii="宋体" w:hAnsi="宋体"/>
              <w:szCs w:val="21"/>
            </w:rPr>
            <w:alias w:val="利润表及现金流量表相关科目变动分析"/>
            <w:tag w:val="_TUP_5989ae500ae74401876a819076b8f108"/>
            <w:id w:val="-1103101520"/>
            <w:lock w:val="sdtLocked"/>
            <w:placeholder>
              <w:docPart w:val="GBC22222222222222222222222222222"/>
            </w:placeholder>
          </w:sdtPr>
          <w:sdtEndPr>
            <w:rPr>
              <w:rFonts w:hint="eastAsia" w:ascii="宋体" w:hAnsi="宋体"/>
              <w:szCs w:val="21"/>
            </w:rPr>
          </w:sdtEndPr>
          <w:sdtContent>
            <w:p>
              <w:pPr>
                <w:pStyle w:val="55"/>
                <w:spacing w:line="360" w:lineRule="auto"/>
                <w:ind w:firstLine="0" w:firstLineChars="0"/>
                <w:jc w:val="left"/>
                <w:rPr>
                  <w:rFonts w:ascii="宋体" w:hAnsi="宋体" w:cs="宋体"/>
                  <w:kern w:val="0"/>
                  <w:szCs w:val="24"/>
                </w:rPr>
              </w:pPr>
              <w:sdt>
                <w:sdtPr>
                  <w:rPr>
                    <w:rFonts w:hint="eastAsia" w:ascii="宋体" w:hAnsi="宋体"/>
                    <w:szCs w:val="21"/>
                  </w:rPr>
                  <w:alias w:val="利润表及现金流量表相关科目变动分析-科目名称"/>
                  <w:tag w:val="_GBC_6a3b5b3ab1e744efb8a1a528ee1c5244"/>
                  <w:id w:val="-301471858"/>
                  <w:lock w:val="sdtLocked"/>
                  <w:placeholder>
                    <w:docPart w:val="GBC22222222222222222222222222222"/>
                  </w:placeholder>
                </w:sdtPr>
                <w:sdtEndPr>
                  <w:rPr>
                    <w:rFonts w:hint="eastAsia" w:ascii="宋体" w:hAnsi="宋体"/>
                    <w:szCs w:val="21"/>
                  </w:rPr>
                </w:sdtEndPr>
                <w:sdtContent>
                  <w:r>
                    <w:rPr>
                      <w:rFonts w:hint="eastAsia" w:ascii="宋体" w:hAnsi="宋体"/>
                      <w:szCs w:val="21"/>
                    </w:rPr>
                    <w:t>营业外</w:t>
                  </w:r>
                  <w:r>
                    <w:rPr>
                      <w:rFonts w:ascii="宋体" w:hAnsi="宋体"/>
                      <w:szCs w:val="21"/>
                    </w:rPr>
                    <w:t>支出</w:t>
                  </w:r>
                </w:sdtContent>
              </w:sdt>
              <w:r>
                <w:rPr>
                  <w:rFonts w:hint="eastAsia" w:ascii="宋体" w:hAnsi="宋体"/>
                  <w:szCs w:val="21"/>
                </w:rPr>
                <w:t>变动原因说明：</w:t>
              </w:r>
              <w:sdt>
                <w:sdtPr>
                  <w:rPr>
                    <w:rFonts w:hint="eastAsia" w:ascii="宋体" w:hAnsi="宋体"/>
                    <w:szCs w:val="21"/>
                  </w:rPr>
                  <w:alias w:val="利润表及现金流量表相关科目变动分析-变动原因说明"/>
                  <w:tag w:val="_GBC_65e672f3a2fd46a7b2e0f2ced7a1bdb6"/>
                  <w:id w:val="-1783260109"/>
                  <w:lock w:val="sdtLocked"/>
                  <w:placeholder>
                    <w:docPart w:val="GBC22222222222222222222222222222"/>
                  </w:placeholder>
                </w:sdtPr>
                <w:sdtEndPr>
                  <w:rPr>
                    <w:rFonts w:hint="eastAsia" w:ascii="宋体" w:hAnsi="宋体"/>
                    <w:szCs w:val="21"/>
                  </w:rPr>
                </w:sdtEndPr>
                <w:sdtContent>
                  <w:r>
                    <w:rPr>
                      <w:rFonts w:hint="eastAsia" w:ascii="宋体" w:hAnsi="宋体"/>
                      <w:szCs w:val="21"/>
                    </w:rPr>
                    <w:t>本期较</w:t>
                  </w:r>
                  <w:r>
                    <w:rPr>
                      <w:rFonts w:ascii="宋体" w:hAnsi="宋体" w:cs="宋体"/>
                      <w:kern w:val="0"/>
                      <w:szCs w:val="24"/>
                    </w:rPr>
                    <w:t>上年同期</w:t>
                  </w:r>
                  <w:r>
                    <w:rPr>
                      <w:rFonts w:hint="eastAsia" w:ascii="宋体" w:hAnsi="宋体" w:cs="宋体"/>
                      <w:kern w:val="0"/>
                      <w:szCs w:val="24"/>
                    </w:rPr>
                    <w:t>减少</w:t>
                  </w:r>
                  <w:r>
                    <w:rPr>
                      <w:rFonts w:ascii="宋体" w:hAnsi="宋体" w:cs="宋体"/>
                      <w:kern w:val="0"/>
                      <w:szCs w:val="24"/>
                    </w:rPr>
                    <w:t>主要系</w:t>
                  </w:r>
                  <w:r>
                    <w:rPr>
                      <w:rFonts w:hint="eastAsia" w:ascii="宋体" w:hAnsi="宋体" w:cs="宋体"/>
                      <w:kern w:val="0"/>
                      <w:szCs w:val="24"/>
                    </w:rPr>
                    <w:t>上年度发生汽车质量索赔</w:t>
                  </w:r>
                  <w:r>
                    <w:rPr>
                      <w:rFonts w:ascii="宋体" w:hAnsi="宋体" w:cs="宋体"/>
                      <w:kern w:val="0"/>
                      <w:szCs w:val="24"/>
                    </w:rPr>
                    <w:t>。</w:t>
                  </w:r>
                </w:sdtContent>
              </w:sdt>
            </w:p>
          </w:sdtContent>
        </w:sdt>
      </w:sdtContent>
    </w:sdt>
    <w:bookmarkEnd w:id="26"/>
    <w:bookmarkEnd w:id="27"/>
    <w:p/>
    <w:sdt>
      <w:sdtPr>
        <w:alias w:val="模块:公司利润构成或利润来源发生重大变动的详细说明"/>
        <w:tag w:val="_SEC_593b4c4eb33a4edb9c451b51de8804e0"/>
        <w:id w:val="-534201962"/>
        <w:lock w:val="sdtLocked"/>
        <w:placeholder>
          <w:docPart w:val="GBC22222222222222222222222222222"/>
        </w:placeholder>
      </w:sdtPr>
      <w:sdtEndPr>
        <w:rPr>
          <w:rFonts w:hint="eastAsia"/>
        </w:rPr>
      </w:sdtEndPr>
      <w:sdtContent>
        <w:p>
          <w:pPr>
            <w:spacing w:line="360" w:lineRule="auto"/>
          </w:pPr>
          <w:bookmarkStart w:id="28" w:name="_Hlk8909882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1563984853"/>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8"/>
    <w:sdt>
      <w:sdtPr>
        <w:rPr>
          <w:rFonts w:hint="eastAsia" w:ascii="宋体" w:hAnsi="宋体" w:eastAsia="宋体" w:cs="宋体"/>
          <w:b w:val="0"/>
          <w:bCs w:val="0"/>
          <w:kern w:val="0"/>
          <w:szCs w:val="24"/>
        </w:rPr>
        <w:alias w:val="模块:收入和成本分析"/>
        <w:tag w:val="_SEC_eabe373ea4a44068936322286f1ec6fe"/>
        <w:id w:val="-1313784714"/>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9"/>
            </w:numPr>
          </w:pPr>
          <w:r>
            <w:rPr>
              <w:rFonts w:hint="eastAsia"/>
            </w:rPr>
            <w:t>收入和成本分析</w:t>
          </w:r>
        </w:p>
        <w:sdt>
          <w:sdtPr>
            <w:alias w:val="是否适用：收入和成本分析[双击切换]"/>
            <w:tag w:val="_GBC_c1a771ff956341da84dd26322335800f"/>
            <w:id w:val="605156112"/>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收入和成本分析情况说明"/>
            <w:tag w:val="_GBC_131edb1aaeab4cb388abf65651cf901e"/>
            <w:id w:val="211930867"/>
            <w:lock w:val="sdtLocked"/>
            <w:placeholder>
              <w:docPart w:val="GBC22222222222222222222222222222"/>
            </w:placeholder>
          </w:sdtPr>
          <w:sdtEndPr>
            <w:rPr>
              <w:rFonts w:hint="eastAsia"/>
            </w:rPr>
          </w:sdtEndPr>
          <w:sdtContent>
            <w:p>
              <w:pPr>
                <w:tabs>
                  <w:tab w:val="left" w:pos="851"/>
                </w:tabs>
                <w:spacing w:line="360" w:lineRule="auto"/>
              </w:pPr>
              <w:r>
                <w:rPr>
                  <w:rFonts w:hint="eastAsia"/>
                </w:rPr>
                <w:t>请见下表</w:t>
              </w:r>
            </w:p>
          </w:sdtContent>
        </w:sdt>
      </w:sdtContent>
    </w:sdt>
    <w:sdt>
      <w:sdtPr>
        <w:rPr>
          <w:rFonts w:hint="eastAsia" w:ascii="宋体" w:hAnsi="宋体" w:cs="宋体"/>
          <w:b w:val="0"/>
          <w:bCs w:val="0"/>
          <w:kern w:val="0"/>
          <w:szCs w:val="24"/>
        </w:rPr>
        <w:alias w:val="模块:主营业务分行业、分产品、分地区情况"/>
        <w:tag w:val="_SEC_aa7718c852e84d458e04e912c587a7da"/>
        <w:id w:val="396481795"/>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0"/>
            </w:numPr>
            <w:tabs>
              <w:tab w:val="left" w:pos="567"/>
            </w:tabs>
            <w:ind w:left="0" w:firstLine="0"/>
          </w:pPr>
          <w:bookmarkStart w:id="29" w:name="_Toc340829716"/>
          <w:bookmarkStart w:id="30" w:name="_Toc342559756"/>
          <w:bookmarkStart w:id="31" w:name="_Toc342565904"/>
          <w:bookmarkStart w:id="32" w:name="_Hlk89876312"/>
          <w:r>
            <w:t>主营业务</w:t>
          </w:r>
          <w:r>
            <w:rPr>
              <w:rFonts w:hint="eastAsia"/>
            </w:rPr>
            <w:t>分</w:t>
          </w:r>
          <w:r>
            <w:t>行业</w:t>
          </w:r>
          <w:r>
            <w:rPr>
              <w:rFonts w:hint="eastAsia"/>
            </w:rPr>
            <w:t>、分</w:t>
          </w:r>
          <w:r>
            <w:t>产品</w:t>
          </w:r>
          <w:r>
            <w:rPr>
              <w:rFonts w:hint="eastAsia"/>
            </w:rPr>
            <w:t>、分地区、分销售模式情况</w:t>
          </w:r>
          <w:bookmarkEnd w:id="29"/>
          <w:bookmarkEnd w:id="30"/>
          <w:bookmarkEnd w:id="31"/>
        </w:p>
        <w:p>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5758202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17919683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1"/>
            <w:gridCol w:w="1946"/>
            <w:gridCol w:w="1946"/>
            <w:gridCol w:w="1079"/>
            <w:gridCol w:w="1079"/>
            <w:gridCol w:w="1079"/>
            <w:gridCol w:w="10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sdt>
              <w:sdtPr>
                <w:tag w:val="_PLD_b5033a4d190942bd99650d59a8d741f9"/>
                <w:id w:val="10074044"/>
                <w:lock w:val="sdtLocked"/>
              </w:sdtPr>
              <w:sdtContent>
                <w:tc>
                  <w:tcPr>
                    <w:tcW w:w="5000" w:type="pct"/>
                    <w:gridSpan w:val="7"/>
                    <w:vAlign w:val="center"/>
                  </w:tcPr>
                  <w:p>
                    <w:pPr>
                      <w:widowControl w:val="0"/>
                      <w:jc w:val="center"/>
                      <w:rPr>
                        <w:szCs w:val="21"/>
                      </w:rPr>
                    </w:pPr>
                    <w:r>
                      <w:rPr>
                        <w:rFonts w:hint="eastAsia"/>
                        <w:szCs w:val="21"/>
                      </w:rPr>
                      <w:t>主营业务分行业情况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b888f46a9d64f09b94dccfab854ad45"/>
                <w:id w:val="10074045"/>
                <w:lock w:val="sdtLocked"/>
              </w:sdtPr>
              <w:sdtContent>
                <w:tc>
                  <w:tcPr>
                    <w:tcW w:w="582" w:type="pct"/>
                    <w:vAlign w:val="center"/>
                  </w:tcPr>
                  <w:p>
                    <w:pPr>
                      <w:widowControl w:val="0"/>
                      <w:jc w:val="center"/>
                      <w:rPr>
                        <w:szCs w:val="21"/>
                      </w:rPr>
                    </w:pPr>
                    <w:r>
                      <w:rPr>
                        <w:szCs w:val="21"/>
                      </w:rPr>
                      <w:t>分行业</w:t>
                    </w:r>
                  </w:p>
                </w:tc>
              </w:sdtContent>
            </w:sdt>
            <w:sdt>
              <w:sdtPr>
                <w:tag w:val="_PLD_7fe8bd490c23482eac6c726b40c3125c"/>
                <w:id w:val="10074046"/>
                <w:lock w:val="sdtLocked"/>
              </w:sdtPr>
              <w:sdtContent>
                <w:tc>
                  <w:tcPr>
                    <w:tcW w:w="1048" w:type="pct"/>
                    <w:vAlign w:val="center"/>
                  </w:tcPr>
                  <w:p>
                    <w:pPr>
                      <w:widowControl w:val="0"/>
                      <w:jc w:val="center"/>
                      <w:rPr>
                        <w:szCs w:val="21"/>
                      </w:rPr>
                    </w:pPr>
                    <w:r>
                      <w:rPr>
                        <w:szCs w:val="21"/>
                      </w:rPr>
                      <w:t>营业收入</w:t>
                    </w:r>
                  </w:p>
                </w:tc>
              </w:sdtContent>
            </w:sdt>
            <w:sdt>
              <w:sdtPr>
                <w:tag w:val="_PLD_43ea5bcd646542838f56af8b6a2863cb"/>
                <w:id w:val="10074047"/>
                <w:lock w:val="sdtLocked"/>
              </w:sdtPr>
              <w:sdtContent>
                <w:tc>
                  <w:tcPr>
                    <w:tcW w:w="1048" w:type="pct"/>
                    <w:vAlign w:val="center"/>
                  </w:tcPr>
                  <w:p>
                    <w:pPr>
                      <w:widowControl w:val="0"/>
                      <w:jc w:val="center"/>
                      <w:rPr>
                        <w:szCs w:val="21"/>
                      </w:rPr>
                    </w:pPr>
                    <w:r>
                      <w:rPr>
                        <w:szCs w:val="21"/>
                      </w:rPr>
                      <w:t>营业成本</w:t>
                    </w:r>
                  </w:p>
                </w:tc>
              </w:sdtContent>
            </w:sdt>
            <w:sdt>
              <w:sdtPr>
                <w:tag w:val="_PLD_2beea8e29ca14ce68ca930225f6b78ba"/>
                <w:id w:val="10074048"/>
                <w:lock w:val="sdtLocked"/>
              </w:sdtPr>
              <w:sdtContent>
                <w:tc>
                  <w:tcPr>
                    <w:tcW w:w="581" w:type="pct"/>
                    <w:vAlign w:val="center"/>
                  </w:tcPr>
                  <w:p>
                    <w:pPr>
                      <w:widowControl w:val="0"/>
                      <w:jc w:val="center"/>
                      <w:rPr>
                        <w:szCs w:val="21"/>
                      </w:rPr>
                    </w:pPr>
                    <w:r>
                      <w:rPr>
                        <w:rFonts w:hint="eastAsia"/>
                        <w:szCs w:val="21"/>
                      </w:rPr>
                      <w:t>毛利率</w:t>
                    </w:r>
                    <w:r>
                      <w:rPr>
                        <w:szCs w:val="21"/>
                      </w:rPr>
                      <w:t>（</w:t>
                    </w:r>
                    <w:r>
                      <w:rPr>
                        <w:rFonts w:hint="eastAsia"/>
                        <w:szCs w:val="21"/>
                      </w:rPr>
                      <w:t>%</w:t>
                    </w:r>
                    <w:r>
                      <w:rPr>
                        <w:szCs w:val="21"/>
                      </w:rPr>
                      <w:t>）</w:t>
                    </w:r>
                  </w:p>
                </w:tc>
              </w:sdtContent>
            </w:sdt>
            <w:sdt>
              <w:sdtPr>
                <w:tag w:val="_PLD_f9dadced328346f0b76bc97b709dc071"/>
                <w:id w:val="10074049"/>
                <w:lock w:val="sdtLocked"/>
              </w:sdtPr>
              <w:sdtContent>
                <w:tc>
                  <w:tcPr>
                    <w:tcW w:w="581" w:type="pct"/>
                    <w:vAlign w:val="center"/>
                  </w:tcPr>
                  <w:p>
                    <w:pPr>
                      <w:widowControl w:val="0"/>
                      <w:jc w:val="center"/>
                      <w:rPr>
                        <w:szCs w:val="21"/>
                      </w:rPr>
                    </w:pPr>
                    <w:r>
                      <w:rPr>
                        <w:szCs w:val="21"/>
                      </w:rPr>
                      <w:t>营业收入比上年增减（</w:t>
                    </w:r>
                    <w:r>
                      <w:rPr>
                        <w:rFonts w:hint="eastAsia"/>
                        <w:szCs w:val="21"/>
                      </w:rPr>
                      <w:t>%</w:t>
                    </w:r>
                    <w:r>
                      <w:rPr>
                        <w:szCs w:val="21"/>
                      </w:rPr>
                      <w:t>）</w:t>
                    </w:r>
                  </w:p>
                </w:tc>
              </w:sdtContent>
            </w:sdt>
            <w:sdt>
              <w:sdtPr>
                <w:tag w:val="_PLD_c02171812b4a4964854b289e6b6282d1"/>
                <w:id w:val="10074050"/>
                <w:lock w:val="sdtLocked"/>
              </w:sdtPr>
              <w:sdtContent>
                <w:tc>
                  <w:tcPr>
                    <w:tcW w:w="581" w:type="pct"/>
                    <w:vAlign w:val="center"/>
                  </w:tcPr>
                  <w:p>
                    <w:pPr>
                      <w:widowControl w:val="0"/>
                      <w:jc w:val="center"/>
                      <w:rPr>
                        <w:szCs w:val="21"/>
                      </w:rPr>
                    </w:pPr>
                    <w:r>
                      <w:rPr>
                        <w:szCs w:val="21"/>
                      </w:rPr>
                      <w:t>营业成本比上年增减（</w:t>
                    </w:r>
                    <w:r>
                      <w:rPr>
                        <w:rFonts w:hint="eastAsia"/>
                        <w:szCs w:val="21"/>
                      </w:rPr>
                      <w:t>%</w:t>
                    </w:r>
                    <w:r>
                      <w:rPr>
                        <w:szCs w:val="21"/>
                      </w:rPr>
                      <w:t>）</w:t>
                    </w:r>
                  </w:p>
                </w:tc>
              </w:sdtContent>
            </w:sdt>
            <w:sdt>
              <w:sdtPr>
                <w:tag w:val="_PLD_6ec6853f40254c1e8badc94bd41729ab"/>
                <w:id w:val="10074051"/>
                <w:lock w:val="sdtLocked"/>
              </w:sdtPr>
              <w:sdtContent>
                <w:tc>
                  <w:tcPr>
                    <w:tcW w:w="579" w:type="pct"/>
                    <w:vAlign w:val="center"/>
                  </w:tcPr>
                  <w:p>
                    <w:pPr>
                      <w:widowControl w:val="0"/>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hAnsi="宋体" w:cs="宋体" w:eastAsiaTheme="minorEastAsia"/>
                <w:kern w:val="0"/>
                <w:szCs w:val="21"/>
              </w:rPr>
              <w:alias w:val="董事会报告出具的分行业主营业务"/>
              <w:tag w:val="_TUP_fab3da88965048348763b19310ce503d"/>
              <w:id w:val="10074052"/>
              <w:lock w:val="sdtLocked"/>
            </w:sdtPr>
            <w:sdtEndPr>
              <w:rPr>
                <w:rFonts w:ascii="宋体" w:hAnsi="宋体" w:cs="宋体" w:eastAsiaTheme="minorEastAsia"/>
                <w:color w:val="008000"/>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 </w:t>
                    </w:r>
                    <w:r>
                      <w:rPr>
                        <w:rFonts w:hint="eastAsia"/>
                      </w:rPr>
                      <w:t>制造业</w:t>
                    </w:r>
                  </w:p>
                </w:tc>
                <w:tc>
                  <w:tcPr>
                    <w:tcW w:w="1048" w:type="pct"/>
                    <w:vAlign w:val="center"/>
                  </w:tcPr>
                  <w:p>
                    <w:pPr>
                      <w:widowControl w:val="0"/>
                      <w:jc w:val="right"/>
                      <w:rPr>
                        <w:szCs w:val="21"/>
                      </w:rPr>
                    </w:pPr>
                    <w:r>
                      <w:t>3,661,095,344.78</w:t>
                    </w:r>
                  </w:p>
                </w:tc>
                <w:tc>
                  <w:tcPr>
                    <w:tcW w:w="1048" w:type="pct"/>
                    <w:vAlign w:val="center"/>
                  </w:tcPr>
                  <w:p>
                    <w:pPr>
                      <w:widowControl w:val="0"/>
                      <w:jc w:val="right"/>
                      <w:rPr>
                        <w:szCs w:val="21"/>
                      </w:rPr>
                    </w:pPr>
                    <w:r>
                      <w:t>3,229,476,346.80</w:t>
                    </w:r>
                  </w:p>
                </w:tc>
                <w:tc>
                  <w:tcPr>
                    <w:tcW w:w="581" w:type="pct"/>
                    <w:vAlign w:val="center"/>
                  </w:tcPr>
                  <w:p>
                    <w:pPr>
                      <w:widowControl w:val="0"/>
                      <w:jc w:val="right"/>
                      <w:rPr>
                        <w:szCs w:val="21"/>
                      </w:rPr>
                    </w:pPr>
                    <w:r>
                      <w:t>11.79</w:t>
                    </w:r>
                  </w:p>
                </w:tc>
                <w:tc>
                  <w:tcPr>
                    <w:tcW w:w="581" w:type="pct"/>
                    <w:vAlign w:val="center"/>
                  </w:tcPr>
                  <w:p>
                    <w:pPr>
                      <w:widowControl w:val="0"/>
                      <w:jc w:val="right"/>
                      <w:rPr>
                        <w:szCs w:val="21"/>
                      </w:rPr>
                    </w:pPr>
                    <w:r>
                      <w:t>9.71</w:t>
                    </w:r>
                  </w:p>
                </w:tc>
                <w:tc>
                  <w:tcPr>
                    <w:tcW w:w="581" w:type="pct"/>
                    <w:vAlign w:val="center"/>
                  </w:tcPr>
                  <w:p>
                    <w:pPr>
                      <w:widowControl w:val="0"/>
                      <w:jc w:val="right"/>
                      <w:rPr>
                        <w:szCs w:val="21"/>
                      </w:rPr>
                    </w:pPr>
                    <w:r>
                      <w:t>4.90</w:t>
                    </w:r>
                  </w:p>
                </w:tc>
                <w:tc>
                  <w:tcPr>
                    <w:tcW w:w="579" w:type="pct"/>
                  </w:tcPr>
                  <w:p>
                    <w:pPr>
                      <w:widowControl w:val="0"/>
                      <w:jc w:val="right"/>
                      <w:rPr>
                        <w:szCs w:val="21"/>
                      </w:rPr>
                    </w:pPr>
                    <w:r>
                      <w:rPr>
                        <w:rFonts w:hint="eastAsia"/>
                      </w:rPr>
                      <w:t>增加4.05个百分点</w:t>
                    </w:r>
                  </w:p>
                </w:tc>
              </w:tr>
            </w:sdtContent>
          </w:sdt>
          <w:sdt>
            <w:sdtPr>
              <w:rPr>
                <w:rFonts w:ascii="宋体" w:hAnsi="宋体" w:cs="宋体" w:eastAsiaTheme="minorEastAsia"/>
                <w:kern w:val="0"/>
                <w:szCs w:val="21"/>
              </w:rPr>
              <w:alias w:val="董事会报告出具的分行业主营业务"/>
              <w:tag w:val="_TUP_fab3da88965048348763b19310ce503d"/>
              <w:id w:val="10074053"/>
              <w:lock w:val="sdtLocked"/>
            </w:sdtPr>
            <w:sdtEndPr>
              <w:rPr>
                <w:rFonts w:ascii="宋体" w:hAnsi="宋体" w:eastAsia="宋体" w:cs="宋体"/>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eastAsiaTheme="minorEastAsia"/>
                        <w:szCs w:val="21"/>
                      </w:rPr>
                    </w:pPr>
                    <w:r>
                      <w:t> </w:t>
                    </w:r>
                    <w:r>
                      <w:rPr>
                        <w:rFonts w:hint="eastAsia"/>
                      </w:rPr>
                      <w:t>其他</w:t>
                    </w:r>
                  </w:p>
                </w:tc>
                <w:tc>
                  <w:tcPr>
                    <w:tcW w:w="1048" w:type="pct"/>
                    <w:vAlign w:val="center"/>
                  </w:tcPr>
                  <w:p>
                    <w:pPr>
                      <w:widowControl w:val="0"/>
                      <w:jc w:val="right"/>
                    </w:pPr>
                    <w:r>
                      <w:t>286,103,969.59</w:t>
                    </w:r>
                  </w:p>
                </w:tc>
                <w:tc>
                  <w:tcPr>
                    <w:tcW w:w="1048" w:type="pct"/>
                    <w:vAlign w:val="center"/>
                  </w:tcPr>
                  <w:p>
                    <w:pPr>
                      <w:widowControl w:val="0"/>
                      <w:jc w:val="right"/>
                    </w:pPr>
                    <w:r>
                      <w:t>96,154,542.35</w:t>
                    </w:r>
                  </w:p>
                </w:tc>
                <w:tc>
                  <w:tcPr>
                    <w:tcW w:w="581" w:type="pct"/>
                    <w:vAlign w:val="center"/>
                  </w:tcPr>
                  <w:p>
                    <w:pPr>
                      <w:widowControl w:val="0"/>
                      <w:jc w:val="right"/>
                    </w:pPr>
                    <w:r>
                      <w:t>66.39</w:t>
                    </w:r>
                  </w:p>
                </w:tc>
                <w:tc>
                  <w:tcPr>
                    <w:tcW w:w="581" w:type="pct"/>
                    <w:vAlign w:val="center"/>
                  </w:tcPr>
                  <w:p>
                    <w:pPr>
                      <w:widowControl w:val="0"/>
                      <w:jc w:val="right"/>
                    </w:pPr>
                    <w:r>
                      <w:t>12.16</w:t>
                    </w:r>
                  </w:p>
                </w:tc>
                <w:tc>
                  <w:tcPr>
                    <w:tcW w:w="581" w:type="pct"/>
                    <w:vAlign w:val="center"/>
                  </w:tcPr>
                  <w:p>
                    <w:pPr>
                      <w:widowControl w:val="0"/>
                      <w:jc w:val="right"/>
                    </w:pPr>
                    <w:r>
                      <w:t>-40.94</w:t>
                    </w:r>
                  </w:p>
                </w:tc>
                <w:tc>
                  <w:tcPr>
                    <w:tcW w:w="579" w:type="pct"/>
                  </w:tcPr>
                  <w:p>
                    <w:pPr>
                      <w:widowControl w:val="0"/>
                      <w:jc w:val="right"/>
                    </w:pPr>
                    <w:r>
                      <w:rPr>
                        <w:rFonts w:hint="eastAsia"/>
                      </w:rPr>
                      <w:t>增加30.22个百分点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sdt>
              <w:sdtPr>
                <w:tag w:val="_PLD_49258193d94b4f5fa47e482cd615784f"/>
                <w:id w:val="10074054"/>
                <w:lock w:val="sdtLocked"/>
              </w:sdtPr>
              <w:sdtContent>
                <w:tc>
                  <w:tcPr>
                    <w:tcW w:w="5000" w:type="pct"/>
                    <w:gridSpan w:val="7"/>
                    <w:vAlign w:val="center"/>
                  </w:tcPr>
                  <w:p>
                    <w:pPr>
                      <w:widowControl w:val="0"/>
                      <w:jc w:val="center"/>
                      <w:rPr>
                        <w:szCs w:val="21"/>
                      </w:rPr>
                    </w:pPr>
                    <w:r>
                      <w:rPr>
                        <w:rFonts w:hint="eastAsia"/>
                        <w:szCs w:val="21"/>
                      </w:rPr>
                      <w:t>主营业务分产品情况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d72749a5d4248359cb1b92e381ef722"/>
                <w:id w:val="10074055"/>
                <w:lock w:val="sdtLocked"/>
              </w:sdtPr>
              <w:sdtContent>
                <w:tc>
                  <w:tcPr>
                    <w:tcW w:w="582" w:type="pct"/>
                    <w:vAlign w:val="center"/>
                  </w:tcPr>
                  <w:p>
                    <w:pPr>
                      <w:pStyle w:val="55"/>
                      <w:ind w:firstLine="0" w:firstLineChars="0"/>
                      <w:jc w:val="center"/>
                      <w:rPr>
                        <w:szCs w:val="21"/>
                      </w:rPr>
                    </w:pPr>
                    <w:r>
                      <w:rPr>
                        <w:rFonts w:hint="eastAsia"/>
                        <w:szCs w:val="21"/>
                      </w:rPr>
                      <w:t>分产品</w:t>
                    </w:r>
                  </w:p>
                </w:tc>
              </w:sdtContent>
            </w:sdt>
            <w:sdt>
              <w:sdtPr>
                <w:tag w:val="_PLD_5e318ae25ee540258ffd6821c201e0af"/>
                <w:id w:val="10074056"/>
                <w:lock w:val="sdtLocked"/>
              </w:sdtPr>
              <w:sdtContent>
                <w:tc>
                  <w:tcPr>
                    <w:tcW w:w="1048" w:type="pct"/>
                    <w:vAlign w:val="center"/>
                  </w:tcPr>
                  <w:p>
                    <w:pPr>
                      <w:widowControl w:val="0"/>
                      <w:jc w:val="center"/>
                      <w:rPr>
                        <w:szCs w:val="21"/>
                      </w:rPr>
                    </w:pPr>
                    <w:r>
                      <w:rPr>
                        <w:rFonts w:hint="eastAsia"/>
                        <w:szCs w:val="21"/>
                      </w:rPr>
                      <w:t>营业收入</w:t>
                    </w:r>
                  </w:p>
                </w:tc>
              </w:sdtContent>
            </w:sdt>
            <w:sdt>
              <w:sdtPr>
                <w:tag w:val="_PLD_d7023b8e0b18494eaae569b7bcd4781f"/>
                <w:id w:val="10074057"/>
                <w:lock w:val="sdtLocked"/>
              </w:sdtPr>
              <w:sdtContent>
                <w:tc>
                  <w:tcPr>
                    <w:tcW w:w="1048" w:type="pct"/>
                    <w:vAlign w:val="center"/>
                  </w:tcPr>
                  <w:p>
                    <w:pPr>
                      <w:widowControl w:val="0"/>
                      <w:jc w:val="center"/>
                      <w:rPr>
                        <w:szCs w:val="21"/>
                      </w:rPr>
                    </w:pPr>
                    <w:r>
                      <w:rPr>
                        <w:rFonts w:hint="eastAsia"/>
                        <w:szCs w:val="21"/>
                      </w:rPr>
                      <w:t>营业成本</w:t>
                    </w:r>
                  </w:p>
                </w:tc>
              </w:sdtContent>
            </w:sdt>
            <w:sdt>
              <w:sdtPr>
                <w:tag w:val="_PLD_c7e7c31f672744488b53ec34a4e0abde"/>
                <w:id w:val="10074058"/>
                <w:lock w:val="sdtLocked"/>
              </w:sdtPr>
              <w:sdtContent>
                <w:tc>
                  <w:tcPr>
                    <w:tcW w:w="581" w:type="pct"/>
                    <w:vAlign w:val="center"/>
                  </w:tcPr>
                  <w:p>
                    <w:pPr>
                      <w:widowControl w:val="0"/>
                      <w:jc w:val="center"/>
                      <w:rPr>
                        <w:szCs w:val="21"/>
                      </w:rPr>
                    </w:pPr>
                    <w:r>
                      <w:rPr>
                        <w:rFonts w:hint="eastAsia"/>
                        <w:szCs w:val="21"/>
                      </w:rPr>
                      <w:t>毛利率（%）</w:t>
                    </w:r>
                  </w:p>
                </w:tc>
              </w:sdtContent>
            </w:sdt>
            <w:sdt>
              <w:sdtPr>
                <w:tag w:val="_PLD_0ca65e94b76d4933977b3fe13864caf2"/>
                <w:id w:val="10074059"/>
                <w:lock w:val="sdtLocked"/>
              </w:sdtPr>
              <w:sdtContent>
                <w:tc>
                  <w:tcPr>
                    <w:tcW w:w="581" w:type="pct"/>
                    <w:vAlign w:val="center"/>
                  </w:tcPr>
                  <w:p>
                    <w:pPr>
                      <w:widowControl w:val="0"/>
                      <w:jc w:val="center"/>
                      <w:rPr>
                        <w:szCs w:val="21"/>
                      </w:rPr>
                    </w:pPr>
                    <w:r>
                      <w:rPr>
                        <w:rFonts w:hint="eastAsia"/>
                        <w:szCs w:val="21"/>
                      </w:rPr>
                      <w:t>营业收入比上年增减（%）</w:t>
                    </w:r>
                  </w:p>
                </w:tc>
              </w:sdtContent>
            </w:sdt>
            <w:sdt>
              <w:sdtPr>
                <w:tag w:val="_PLD_0fcddf8af1ce40e3bbe0b8e78c8c2496"/>
                <w:id w:val="10074060"/>
                <w:lock w:val="sdtLocked"/>
              </w:sdtPr>
              <w:sdtContent>
                <w:tc>
                  <w:tcPr>
                    <w:tcW w:w="581" w:type="pct"/>
                    <w:vAlign w:val="center"/>
                  </w:tcPr>
                  <w:p>
                    <w:pPr>
                      <w:widowControl w:val="0"/>
                      <w:jc w:val="center"/>
                      <w:rPr>
                        <w:szCs w:val="21"/>
                      </w:rPr>
                    </w:pPr>
                    <w:r>
                      <w:rPr>
                        <w:rFonts w:hint="eastAsia"/>
                        <w:szCs w:val="21"/>
                      </w:rPr>
                      <w:t>营业成本比上年增减（%）</w:t>
                    </w:r>
                  </w:p>
                </w:tc>
              </w:sdtContent>
            </w:sdt>
            <w:sdt>
              <w:sdtPr>
                <w:tag w:val="_PLD_fd695ef26ff948df8cd16c66ef5ffea9"/>
                <w:id w:val="10074061"/>
                <w:lock w:val="sdtLocked"/>
              </w:sdtPr>
              <w:sdtContent>
                <w:tc>
                  <w:tcPr>
                    <w:tcW w:w="579" w:type="pct"/>
                    <w:vAlign w:val="center"/>
                  </w:tcPr>
                  <w:p>
                    <w:pPr>
                      <w:widowControl w:val="0"/>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ascii="宋体" w:hAnsi="宋体" w:cs="宋体" w:eastAsiaTheme="minorEastAsia"/>
                <w:kern w:val="0"/>
                <w:szCs w:val="21"/>
              </w:rPr>
              <w:alias w:val="董事会报告出具的分产品主营业务"/>
              <w:tag w:val="_TUP_f3827583cc4c4df6a57620f0c5061461"/>
              <w:id w:val="10074062"/>
              <w:lock w:val="sdtLocked"/>
            </w:sdtPr>
            <w:sdtEndPr>
              <w:rPr>
                <w:rFonts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乘用车及配件</w:t>
                    </w:r>
                  </w:p>
                </w:tc>
                <w:tc>
                  <w:tcPr>
                    <w:tcW w:w="1048" w:type="pct"/>
                    <w:vAlign w:val="center"/>
                  </w:tcPr>
                  <w:p>
                    <w:pPr>
                      <w:widowControl w:val="0"/>
                      <w:jc w:val="right"/>
                      <w:rPr>
                        <w:szCs w:val="21"/>
                      </w:rPr>
                    </w:pPr>
                    <w:r>
                      <w:t>534,446,129.26</w:t>
                    </w:r>
                  </w:p>
                </w:tc>
                <w:tc>
                  <w:tcPr>
                    <w:tcW w:w="1048" w:type="pct"/>
                    <w:vAlign w:val="center"/>
                  </w:tcPr>
                  <w:p>
                    <w:pPr>
                      <w:widowControl w:val="0"/>
                      <w:jc w:val="right"/>
                      <w:rPr>
                        <w:szCs w:val="21"/>
                      </w:rPr>
                    </w:pPr>
                    <w:r>
                      <w:t>450,093,690.92</w:t>
                    </w:r>
                  </w:p>
                </w:tc>
                <w:tc>
                  <w:tcPr>
                    <w:tcW w:w="581" w:type="pct"/>
                    <w:vAlign w:val="center"/>
                  </w:tcPr>
                  <w:p>
                    <w:pPr>
                      <w:widowControl w:val="0"/>
                      <w:jc w:val="right"/>
                      <w:rPr>
                        <w:szCs w:val="21"/>
                      </w:rPr>
                    </w:pPr>
                    <w:r>
                      <w:t>15.78</w:t>
                    </w:r>
                  </w:p>
                </w:tc>
                <w:tc>
                  <w:tcPr>
                    <w:tcW w:w="581" w:type="pct"/>
                    <w:vAlign w:val="center"/>
                  </w:tcPr>
                  <w:p>
                    <w:pPr>
                      <w:widowControl w:val="0"/>
                      <w:jc w:val="right"/>
                      <w:rPr>
                        <w:szCs w:val="21"/>
                      </w:rPr>
                    </w:pPr>
                    <w:r>
                      <w:t>29.53</w:t>
                    </w:r>
                  </w:p>
                </w:tc>
                <w:tc>
                  <w:tcPr>
                    <w:tcW w:w="581" w:type="pct"/>
                    <w:vAlign w:val="center"/>
                  </w:tcPr>
                  <w:p>
                    <w:pPr>
                      <w:widowControl w:val="0"/>
                      <w:jc w:val="right"/>
                      <w:rPr>
                        <w:szCs w:val="21"/>
                      </w:rPr>
                    </w:pPr>
                    <w:r>
                      <w:t>8.59</w:t>
                    </w:r>
                  </w:p>
                </w:tc>
                <w:tc>
                  <w:tcPr>
                    <w:tcW w:w="579" w:type="pct"/>
                  </w:tcPr>
                  <w:p>
                    <w:pPr>
                      <w:widowControl w:val="0"/>
                      <w:jc w:val="right"/>
                      <w:rPr>
                        <w:szCs w:val="21"/>
                      </w:rPr>
                    </w:pPr>
                    <w:r>
                      <w:t>增加16.24个百分点</w:t>
                    </w:r>
                  </w:p>
                </w:tc>
              </w:tr>
            </w:sdtContent>
          </w:sdt>
          <w:sdt>
            <w:sdtPr>
              <w:rPr>
                <w:rFonts w:ascii="宋体" w:hAnsi="宋体" w:cs="宋体" w:eastAsiaTheme="minorEastAsia"/>
                <w:kern w:val="0"/>
                <w:szCs w:val="21"/>
              </w:rPr>
              <w:alias w:val="董事会报告出具的分产品主营业务"/>
              <w:tag w:val="_TUP_f3827583cc4c4df6a57620f0c5061461"/>
              <w:id w:val="10074063"/>
              <w:lock w:val="sdtLocked"/>
            </w:sdtPr>
            <w:sdtEndPr>
              <w:rPr>
                <w:rFonts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摩托车及配件</w:t>
                    </w:r>
                  </w:p>
                </w:tc>
                <w:tc>
                  <w:tcPr>
                    <w:tcW w:w="1048" w:type="pct"/>
                    <w:vAlign w:val="center"/>
                  </w:tcPr>
                  <w:p>
                    <w:pPr>
                      <w:widowControl w:val="0"/>
                      <w:jc w:val="right"/>
                      <w:rPr>
                        <w:szCs w:val="21"/>
                      </w:rPr>
                    </w:pPr>
                    <w:r>
                      <w:t>2,729,601,905.89</w:t>
                    </w:r>
                  </w:p>
                </w:tc>
                <w:tc>
                  <w:tcPr>
                    <w:tcW w:w="1048" w:type="pct"/>
                    <w:vAlign w:val="center"/>
                  </w:tcPr>
                  <w:p>
                    <w:pPr>
                      <w:widowControl w:val="0"/>
                      <w:jc w:val="right"/>
                      <w:rPr>
                        <w:szCs w:val="21"/>
                      </w:rPr>
                    </w:pPr>
                    <w:r>
                      <w:t>2,415,223,212.88</w:t>
                    </w:r>
                  </w:p>
                </w:tc>
                <w:tc>
                  <w:tcPr>
                    <w:tcW w:w="581" w:type="pct"/>
                    <w:vAlign w:val="center"/>
                  </w:tcPr>
                  <w:p>
                    <w:pPr>
                      <w:widowControl w:val="0"/>
                      <w:jc w:val="right"/>
                      <w:rPr>
                        <w:szCs w:val="21"/>
                      </w:rPr>
                    </w:pPr>
                    <w:r>
                      <w:t>11.52</w:t>
                    </w:r>
                  </w:p>
                </w:tc>
                <w:tc>
                  <w:tcPr>
                    <w:tcW w:w="581" w:type="pct"/>
                    <w:vAlign w:val="center"/>
                  </w:tcPr>
                  <w:p>
                    <w:pPr>
                      <w:widowControl w:val="0"/>
                      <w:jc w:val="right"/>
                      <w:rPr>
                        <w:szCs w:val="21"/>
                      </w:rPr>
                    </w:pPr>
                    <w:r>
                      <w:t>6.49</w:t>
                    </w:r>
                  </w:p>
                </w:tc>
                <w:tc>
                  <w:tcPr>
                    <w:tcW w:w="581" w:type="pct"/>
                    <w:vAlign w:val="center"/>
                  </w:tcPr>
                  <w:p>
                    <w:pPr>
                      <w:widowControl w:val="0"/>
                      <w:jc w:val="right"/>
                      <w:rPr>
                        <w:szCs w:val="21"/>
                      </w:rPr>
                    </w:pPr>
                    <w:r>
                      <w:t>2.92</w:t>
                    </w:r>
                  </w:p>
                </w:tc>
                <w:tc>
                  <w:tcPr>
                    <w:tcW w:w="579" w:type="pct"/>
                  </w:tcPr>
                  <w:p>
                    <w:pPr>
                      <w:widowControl w:val="0"/>
                      <w:jc w:val="right"/>
                      <w:rPr>
                        <w:szCs w:val="21"/>
                      </w:rPr>
                    </w:pPr>
                    <w:r>
                      <w:t>增加3.07个百分点</w:t>
                    </w:r>
                  </w:p>
                </w:tc>
              </w:tr>
            </w:sdtContent>
          </w:sdt>
          <w:sdt>
            <w:sdtPr>
              <w:rPr>
                <w:rFonts w:ascii="宋体" w:hAnsi="宋体" w:cs="宋体" w:eastAsiaTheme="minorEastAsia"/>
                <w:kern w:val="0"/>
                <w:szCs w:val="21"/>
              </w:rPr>
              <w:alias w:val="董事会报告出具的分产品主营业务"/>
              <w:tag w:val="_TUP_f3827583cc4c4df6a57620f0c5061461"/>
              <w:id w:val="10074064"/>
              <w:lock w:val="sdtLocked"/>
            </w:sdtPr>
            <w:sdtEndPr>
              <w:rPr>
                <w:rFonts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eastAsiaTheme="minorEastAsia"/>
                        <w:szCs w:val="21"/>
                      </w:rPr>
                    </w:pPr>
                    <w:r>
                      <w:t>内燃机及配件</w:t>
                    </w:r>
                  </w:p>
                </w:tc>
                <w:tc>
                  <w:tcPr>
                    <w:tcW w:w="1048" w:type="pct"/>
                    <w:vAlign w:val="center"/>
                  </w:tcPr>
                  <w:p>
                    <w:pPr>
                      <w:widowControl w:val="0"/>
                      <w:jc w:val="right"/>
                      <w:rPr>
                        <w:szCs w:val="21"/>
                      </w:rPr>
                    </w:pPr>
                    <w:r>
                      <w:t>397,047,309.63</w:t>
                    </w:r>
                  </w:p>
                </w:tc>
                <w:tc>
                  <w:tcPr>
                    <w:tcW w:w="1048" w:type="pct"/>
                    <w:vAlign w:val="center"/>
                  </w:tcPr>
                  <w:p>
                    <w:pPr>
                      <w:widowControl w:val="0"/>
                      <w:jc w:val="right"/>
                      <w:rPr>
                        <w:szCs w:val="21"/>
                      </w:rPr>
                    </w:pPr>
                    <w:r>
                      <w:t>364,159,443.00</w:t>
                    </w:r>
                  </w:p>
                </w:tc>
                <w:tc>
                  <w:tcPr>
                    <w:tcW w:w="581" w:type="pct"/>
                    <w:vAlign w:val="center"/>
                  </w:tcPr>
                  <w:p>
                    <w:pPr>
                      <w:widowControl w:val="0"/>
                      <w:jc w:val="right"/>
                      <w:rPr>
                        <w:szCs w:val="21"/>
                      </w:rPr>
                    </w:pPr>
                    <w:r>
                      <w:t>8.28</w:t>
                    </w:r>
                  </w:p>
                </w:tc>
                <w:tc>
                  <w:tcPr>
                    <w:tcW w:w="581" w:type="pct"/>
                    <w:vAlign w:val="center"/>
                  </w:tcPr>
                  <w:p>
                    <w:pPr>
                      <w:widowControl w:val="0"/>
                      <w:jc w:val="right"/>
                      <w:rPr>
                        <w:szCs w:val="21"/>
                      </w:rPr>
                    </w:pPr>
                    <w:r>
                      <w:t>9.98</w:t>
                    </w:r>
                  </w:p>
                </w:tc>
                <w:tc>
                  <w:tcPr>
                    <w:tcW w:w="581" w:type="pct"/>
                    <w:vAlign w:val="center"/>
                  </w:tcPr>
                  <w:p>
                    <w:pPr>
                      <w:widowControl w:val="0"/>
                      <w:jc w:val="right"/>
                      <w:rPr>
                        <w:szCs w:val="21"/>
                      </w:rPr>
                    </w:pPr>
                    <w:r>
                      <w:t>14.68</w:t>
                    </w:r>
                  </w:p>
                </w:tc>
                <w:tc>
                  <w:tcPr>
                    <w:tcW w:w="579" w:type="pct"/>
                  </w:tcPr>
                  <w:p>
                    <w:pPr>
                      <w:widowControl w:val="0"/>
                      <w:jc w:val="right"/>
                      <w:rPr>
                        <w:rFonts w:eastAsiaTheme="minorEastAsia"/>
                        <w:kern w:val="2"/>
                        <w:szCs w:val="21"/>
                      </w:rPr>
                    </w:pPr>
                    <w:r>
                      <w:rPr>
                        <w:rFonts w:hint="eastAsia"/>
                      </w:rPr>
                      <w:t>减少3.76个百分点</w:t>
                    </w:r>
                  </w:p>
                </w:tc>
              </w:tr>
            </w:sdtContent>
          </w:sdt>
          <w:sdt>
            <w:sdtPr>
              <w:rPr>
                <w:rFonts w:ascii="宋体" w:hAnsi="宋体" w:cs="宋体" w:eastAsiaTheme="minorEastAsia"/>
                <w:kern w:val="0"/>
                <w:szCs w:val="21"/>
              </w:rPr>
              <w:alias w:val="董事会报告出具的分产品主营业务"/>
              <w:tag w:val="_TUP_f3827583cc4c4df6a57620f0c5061461"/>
              <w:id w:val="10074065"/>
              <w:lock w:val="sdtLocked"/>
            </w:sdtPr>
            <w:sdtEndPr>
              <w:rPr>
                <w:rFonts w:ascii="宋体" w:hAnsi="宋体" w:eastAsia="宋体" w:cs="宋体"/>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eastAsiaTheme="minorEastAsia"/>
                        <w:szCs w:val="21"/>
                      </w:rPr>
                    </w:pPr>
                    <w:r>
                      <w:t>其他</w:t>
                    </w:r>
                  </w:p>
                </w:tc>
                <w:tc>
                  <w:tcPr>
                    <w:tcW w:w="1048" w:type="pct"/>
                    <w:vAlign w:val="center"/>
                  </w:tcPr>
                  <w:p>
                    <w:pPr>
                      <w:widowControl w:val="0"/>
                      <w:jc w:val="right"/>
                    </w:pPr>
                    <w:r>
                      <w:t>286,103,969.59</w:t>
                    </w:r>
                  </w:p>
                </w:tc>
                <w:tc>
                  <w:tcPr>
                    <w:tcW w:w="1048" w:type="pct"/>
                    <w:vAlign w:val="center"/>
                  </w:tcPr>
                  <w:p>
                    <w:pPr>
                      <w:widowControl w:val="0"/>
                      <w:jc w:val="right"/>
                    </w:pPr>
                    <w:r>
                      <w:t>96,154,542.35</w:t>
                    </w:r>
                  </w:p>
                </w:tc>
                <w:tc>
                  <w:tcPr>
                    <w:tcW w:w="581" w:type="pct"/>
                    <w:vAlign w:val="center"/>
                  </w:tcPr>
                  <w:p>
                    <w:pPr>
                      <w:widowControl w:val="0"/>
                      <w:jc w:val="right"/>
                    </w:pPr>
                    <w:r>
                      <w:t>66.39</w:t>
                    </w:r>
                  </w:p>
                </w:tc>
                <w:tc>
                  <w:tcPr>
                    <w:tcW w:w="581" w:type="pct"/>
                    <w:vAlign w:val="center"/>
                  </w:tcPr>
                  <w:p>
                    <w:pPr>
                      <w:widowControl w:val="0"/>
                      <w:jc w:val="right"/>
                    </w:pPr>
                    <w:r>
                      <w:t>12.16</w:t>
                    </w:r>
                  </w:p>
                </w:tc>
                <w:tc>
                  <w:tcPr>
                    <w:tcW w:w="581" w:type="pct"/>
                    <w:vAlign w:val="center"/>
                  </w:tcPr>
                  <w:p>
                    <w:pPr>
                      <w:widowControl w:val="0"/>
                      <w:jc w:val="right"/>
                    </w:pPr>
                    <w:r>
                      <w:t>-40.94</w:t>
                    </w:r>
                  </w:p>
                </w:tc>
                <w:tc>
                  <w:tcPr>
                    <w:tcW w:w="579" w:type="pct"/>
                  </w:tcPr>
                  <w:p>
                    <w:pPr>
                      <w:widowControl w:val="0"/>
                      <w:jc w:val="right"/>
                    </w:pPr>
                    <w:r>
                      <w:rPr>
                        <w:rFonts w:hint="eastAsia"/>
                      </w:rPr>
                      <w:t>增加30.22个百分点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sdt>
              <w:sdtPr>
                <w:tag w:val="_PLD_fe4b98c3f70c495d9eb9797ce0f7b5f6"/>
                <w:id w:val="10074066"/>
                <w:lock w:val="sdtLocked"/>
              </w:sdtPr>
              <w:sdtContent>
                <w:tc>
                  <w:tcPr>
                    <w:tcW w:w="5000" w:type="pct"/>
                    <w:gridSpan w:val="7"/>
                    <w:vAlign w:val="center"/>
                  </w:tcPr>
                  <w:p>
                    <w:pPr>
                      <w:widowControl w:val="0"/>
                      <w:jc w:val="center"/>
                      <w:rPr>
                        <w:szCs w:val="21"/>
                      </w:rPr>
                    </w:pPr>
                    <w:r>
                      <w:rPr>
                        <w:rFonts w:hint="eastAsia"/>
                        <w:szCs w:val="21"/>
                      </w:rPr>
                      <w:t>主营业务分地区情况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d8ea3d867f4a97a5a66d059c2a507e"/>
                <w:id w:val="10074067"/>
                <w:lock w:val="sdtLocked"/>
              </w:sdtPr>
              <w:sdtContent>
                <w:tc>
                  <w:tcPr>
                    <w:tcW w:w="582" w:type="pct"/>
                    <w:vAlign w:val="center"/>
                  </w:tcPr>
                  <w:p>
                    <w:pPr>
                      <w:widowControl w:val="0"/>
                      <w:jc w:val="center"/>
                      <w:rPr>
                        <w:szCs w:val="21"/>
                      </w:rPr>
                    </w:pPr>
                    <w:r>
                      <w:rPr>
                        <w:rFonts w:hint="eastAsia"/>
                        <w:szCs w:val="21"/>
                      </w:rPr>
                      <w:t>分地区</w:t>
                    </w:r>
                  </w:p>
                </w:tc>
              </w:sdtContent>
            </w:sdt>
            <w:sdt>
              <w:sdtPr>
                <w:tag w:val="_PLD_d960c947c6424e2a87acbd6f4d534b0a"/>
                <w:id w:val="10074068"/>
                <w:lock w:val="sdtLocked"/>
              </w:sdtPr>
              <w:sdtContent>
                <w:tc>
                  <w:tcPr>
                    <w:tcW w:w="1048" w:type="pct"/>
                    <w:vAlign w:val="center"/>
                  </w:tcPr>
                  <w:p>
                    <w:pPr>
                      <w:widowControl w:val="0"/>
                      <w:jc w:val="center"/>
                      <w:rPr>
                        <w:szCs w:val="21"/>
                      </w:rPr>
                    </w:pPr>
                    <w:r>
                      <w:rPr>
                        <w:rFonts w:hint="eastAsia"/>
                        <w:szCs w:val="21"/>
                      </w:rPr>
                      <w:t>营业收入</w:t>
                    </w:r>
                  </w:p>
                </w:tc>
              </w:sdtContent>
            </w:sdt>
            <w:sdt>
              <w:sdtPr>
                <w:tag w:val="_PLD_0cab657ed1664cda8d161069df0d4ffe"/>
                <w:id w:val="10074069"/>
                <w:lock w:val="sdtLocked"/>
              </w:sdtPr>
              <w:sdtContent>
                <w:tc>
                  <w:tcPr>
                    <w:tcW w:w="1048" w:type="pct"/>
                    <w:vAlign w:val="center"/>
                  </w:tcPr>
                  <w:p>
                    <w:pPr>
                      <w:widowControl w:val="0"/>
                      <w:jc w:val="center"/>
                      <w:rPr>
                        <w:szCs w:val="21"/>
                      </w:rPr>
                    </w:pPr>
                    <w:r>
                      <w:rPr>
                        <w:rFonts w:hint="eastAsia"/>
                        <w:szCs w:val="21"/>
                      </w:rPr>
                      <w:t>营业成本</w:t>
                    </w:r>
                  </w:p>
                </w:tc>
              </w:sdtContent>
            </w:sdt>
            <w:sdt>
              <w:sdtPr>
                <w:tag w:val="_PLD_de52f565c0c94f5f8930a8d275890566"/>
                <w:id w:val="10074070"/>
                <w:lock w:val="sdtLocked"/>
              </w:sdtPr>
              <w:sdtContent>
                <w:tc>
                  <w:tcPr>
                    <w:tcW w:w="581" w:type="pct"/>
                    <w:vAlign w:val="center"/>
                  </w:tcPr>
                  <w:p>
                    <w:pPr>
                      <w:widowControl w:val="0"/>
                      <w:jc w:val="center"/>
                      <w:rPr>
                        <w:szCs w:val="21"/>
                      </w:rPr>
                    </w:pPr>
                    <w:r>
                      <w:rPr>
                        <w:rFonts w:hint="eastAsia"/>
                        <w:szCs w:val="21"/>
                      </w:rPr>
                      <w:t>毛利率（%）</w:t>
                    </w:r>
                  </w:p>
                </w:tc>
              </w:sdtContent>
            </w:sdt>
            <w:sdt>
              <w:sdtPr>
                <w:tag w:val="_PLD_66acbff90fbb46ac8fc6c5840a2a1352"/>
                <w:id w:val="10074071"/>
                <w:lock w:val="sdtLocked"/>
              </w:sdtPr>
              <w:sdtContent>
                <w:tc>
                  <w:tcPr>
                    <w:tcW w:w="581" w:type="pct"/>
                    <w:vAlign w:val="center"/>
                  </w:tcPr>
                  <w:p>
                    <w:pPr>
                      <w:widowControl w:val="0"/>
                      <w:jc w:val="center"/>
                      <w:rPr>
                        <w:szCs w:val="21"/>
                      </w:rPr>
                    </w:pPr>
                    <w:r>
                      <w:rPr>
                        <w:rFonts w:hint="eastAsia"/>
                        <w:szCs w:val="21"/>
                      </w:rPr>
                      <w:t>营业收入比上年增减（%）</w:t>
                    </w:r>
                  </w:p>
                </w:tc>
              </w:sdtContent>
            </w:sdt>
            <w:sdt>
              <w:sdtPr>
                <w:tag w:val="_PLD_24222e0fb06f4b87bb8e6a25bfc923a9"/>
                <w:id w:val="10074072"/>
                <w:lock w:val="sdtLocked"/>
              </w:sdtPr>
              <w:sdtContent>
                <w:tc>
                  <w:tcPr>
                    <w:tcW w:w="581" w:type="pct"/>
                    <w:vAlign w:val="center"/>
                  </w:tcPr>
                  <w:p>
                    <w:pPr>
                      <w:widowControl w:val="0"/>
                      <w:jc w:val="center"/>
                      <w:rPr>
                        <w:szCs w:val="21"/>
                      </w:rPr>
                    </w:pPr>
                    <w:r>
                      <w:rPr>
                        <w:rFonts w:hint="eastAsia"/>
                        <w:szCs w:val="21"/>
                      </w:rPr>
                      <w:t>营业成本比上年增减（%）</w:t>
                    </w:r>
                  </w:p>
                </w:tc>
              </w:sdtContent>
            </w:sdt>
            <w:sdt>
              <w:sdtPr>
                <w:tag w:val="_PLD_055160da443c4e4a8c520dbbde5baec3"/>
                <w:id w:val="10074073"/>
                <w:lock w:val="sdtLocked"/>
              </w:sdtPr>
              <w:sdtContent>
                <w:tc>
                  <w:tcPr>
                    <w:tcW w:w="579" w:type="pct"/>
                    <w:vAlign w:val="center"/>
                  </w:tcPr>
                  <w:p>
                    <w:pPr>
                      <w:widowControl w:val="0"/>
                      <w:jc w:val="center"/>
                      <w:rPr>
                        <w:szCs w:val="21"/>
                      </w:rPr>
                    </w:pPr>
                    <w:r>
                      <w:rPr>
                        <w:rFonts w:hint="eastAsia"/>
                        <w:szCs w:val="21"/>
                      </w:rPr>
                      <w:t>毛利率</w:t>
                    </w:r>
                    <w:r>
                      <w:rPr>
                        <w:szCs w:val="21"/>
                      </w:rPr>
                      <w:t>比上年增减（</w:t>
                    </w:r>
                    <w:r>
                      <w:rPr>
                        <w:rFonts w:hint="eastAsia"/>
                        <w:szCs w:val="21"/>
                      </w:rPr>
                      <w:t>%</w:t>
                    </w:r>
                    <w:r>
                      <w:rPr>
                        <w:szCs w:val="21"/>
                      </w:rPr>
                      <w:t>）</w:t>
                    </w:r>
                  </w:p>
                </w:tc>
              </w:sdtContent>
            </w:sdt>
          </w:tr>
          <w:sdt>
            <w:sdtPr>
              <w:rPr>
                <w:rFonts w:hint="eastAsia" w:ascii="宋体" w:hAnsi="宋体" w:cs="宋体" w:eastAsiaTheme="minorEastAsia"/>
                <w:kern w:val="0"/>
                <w:szCs w:val="21"/>
              </w:rPr>
              <w:alias w:val="董事会报告出具的分地区主营业务"/>
              <w:tag w:val="_TUP_0f1c163f212246d99030500182c6a741"/>
              <w:id w:val="10074074"/>
              <w:lock w:val="sdtLocked"/>
            </w:sdtPr>
            <w:sdtEndPr>
              <w:rPr>
                <w:rFonts w:hint="eastAsia"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内销</w:t>
                    </w:r>
                  </w:p>
                </w:tc>
                <w:tc>
                  <w:tcPr>
                    <w:tcW w:w="1048" w:type="pct"/>
                    <w:vAlign w:val="center"/>
                  </w:tcPr>
                  <w:p>
                    <w:pPr>
                      <w:widowControl w:val="0"/>
                      <w:jc w:val="right"/>
                      <w:rPr>
                        <w:szCs w:val="21"/>
                      </w:rPr>
                    </w:pPr>
                    <w:r>
                      <w:t>1,819,486,922.20</w:t>
                    </w:r>
                  </w:p>
                </w:tc>
                <w:tc>
                  <w:tcPr>
                    <w:tcW w:w="1048" w:type="pct"/>
                    <w:vAlign w:val="center"/>
                  </w:tcPr>
                  <w:p>
                    <w:pPr>
                      <w:widowControl w:val="0"/>
                      <w:jc w:val="right"/>
                      <w:rPr>
                        <w:szCs w:val="21"/>
                      </w:rPr>
                    </w:pPr>
                    <w:r>
                      <w:t>1,428,321,689.81</w:t>
                    </w:r>
                  </w:p>
                </w:tc>
                <w:tc>
                  <w:tcPr>
                    <w:tcW w:w="581" w:type="pct"/>
                    <w:vAlign w:val="center"/>
                  </w:tcPr>
                  <w:p>
                    <w:pPr>
                      <w:widowControl w:val="0"/>
                      <w:jc w:val="right"/>
                      <w:rPr>
                        <w:szCs w:val="21"/>
                      </w:rPr>
                    </w:pPr>
                    <w:r>
                      <w:t>21.5</w:t>
                    </w:r>
                  </w:p>
                </w:tc>
                <w:tc>
                  <w:tcPr>
                    <w:tcW w:w="581" w:type="pct"/>
                    <w:vAlign w:val="center"/>
                  </w:tcPr>
                  <w:p>
                    <w:pPr>
                      <w:widowControl w:val="0"/>
                      <w:jc w:val="right"/>
                      <w:rPr>
                        <w:szCs w:val="21"/>
                      </w:rPr>
                    </w:pPr>
                    <w:r>
                      <w:t>19.57</w:t>
                    </w:r>
                  </w:p>
                </w:tc>
                <w:tc>
                  <w:tcPr>
                    <w:tcW w:w="581" w:type="pct"/>
                    <w:vAlign w:val="center"/>
                  </w:tcPr>
                  <w:p>
                    <w:pPr>
                      <w:widowControl w:val="0"/>
                      <w:jc w:val="right"/>
                      <w:rPr>
                        <w:szCs w:val="21"/>
                      </w:rPr>
                    </w:pPr>
                    <w:r>
                      <w:t>0.78</w:t>
                    </w:r>
                  </w:p>
                </w:tc>
                <w:tc>
                  <w:tcPr>
                    <w:tcW w:w="579" w:type="pct"/>
                  </w:tcPr>
                  <w:p>
                    <w:pPr>
                      <w:widowControl w:val="0"/>
                      <w:jc w:val="right"/>
                      <w:rPr>
                        <w:szCs w:val="21"/>
                      </w:rPr>
                    </w:pPr>
                    <w:r>
                      <w:t>增加14.64个百分点</w:t>
                    </w:r>
                  </w:p>
                </w:tc>
              </w:tr>
            </w:sdtContent>
          </w:sdt>
          <w:sdt>
            <w:sdtPr>
              <w:rPr>
                <w:rFonts w:hint="eastAsia" w:ascii="宋体" w:hAnsi="宋体" w:cs="宋体" w:eastAsiaTheme="minorEastAsia"/>
                <w:kern w:val="0"/>
                <w:szCs w:val="21"/>
              </w:rPr>
              <w:alias w:val="董事会报告出具的分地区主营业务"/>
              <w:tag w:val="_TUP_0f1c163f212246d99030500182c6a741"/>
              <w:id w:val="10074075"/>
              <w:lock w:val="sdtLocked"/>
            </w:sdtPr>
            <w:sdtEndPr>
              <w:rPr>
                <w:rFonts w:hint="eastAsia"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进出口</w:t>
                    </w:r>
                  </w:p>
                </w:tc>
                <w:tc>
                  <w:tcPr>
                    <w:tcW w:w="1048" w:type="pct"/>
                    <w:vAlign w:val="center"/>
                  </w:tcPr>
                  <w:p>
                    <w:pPr>
                      <w:widowControl w:val="0"/>
                      <w:jc w:val="right"/>
                      <w:rPr>
                        <w:szCs w:val="21"/>
                      </w:rPr>
                    </w:pPr>
                    <w:r>
                      <w:t>2,127,712,392.17</w:t>
                    </w:r>
                  </w:p>
                </w:tc>
                <w:tc>
                  <w:tcPr>
                    <w:tcW w:w="1048" w:type="pct"/>
                    <w:vAlign w:val="center"/>
                  </w:tcPr>
                  <w:p>
                    <w:pPr>
                      <w:widowControl w:val="0"/>
                      <w:jc w:val="right"/>
                      <w:rPr>
                        <w:szCs w:val="21"/>
                      </w:rPr>
                    </w:pPr>
                    <w:r>
                      <w:t>1,897,309,199.34</w:t>
                    </w:r>
                  </w:p>
                </w:tc>
                <w:tc>
                  <w:tcPr>
                    <w:tcW w:w="581" w:type="pct"/>
                    <w:vAlign w:val="center"/>
                  </w:tcPr>
                  <w:p>
                    <w:pPr>
                      <w:widowControl w:val="0"/>
                      <w:jc w:val="right"/>
                      <w:rPr>
                        <w:szCs w:val="21"/>
                      </w:rPr>
                    </w:pPr>
                    <w:r>
                      <w:t>10.83</w:t>
                    </w:r>
                  </w:p>
                </w:tc>
                <w:tc>
                  <w:tcPr>
                    <w:tcW w:w="581" w:type="pct"/>
                    <w:vAlign w:val="center"/>
                  </w:tcPr>
                  <w:p>
                    <w:pPr>
                      <w:widowControl w:val="0"/>
                      <w:jc w:val="right"/>
                      <w:rPr>
                        <w:szCs w:val="21"/>
                      </w:rPr>
                    </w:pPr>
                    <w:r>
                      <w:t>2.77</w:t>
                    </w:r>
                  </w:p>
                </w:tc>
                <w:tc>
                  <w:tcPr>
                    <w:tcW w:w="581" w:type="pct"/>
                    <w:vAlign w:val="center"/>
                  </w:tcPr>
                  <w:p>
                    <w:pPr>
                      <w:widowControl w:val="0"/>
                      <w:jc w:val="right"/>
                      <w:rPr>
                        <w:szCs w:val="21"/>
                      </w:rPr>
                    </w:pPr>
                    <w:r>
                      <w:t>4</w:t>
                    </w:r>
                    <w:r>
                      <w:rPr>
                        <w:rFonts w:hint="eastAsia"/>
                      </w:rPr>
                      <w:t>.00</w:t>
                    </w:r>
                  </w:p>
                </w:tc>
                <w:tc>
                  <w:tcPr>
                    <w:tcW w:w="579" w:type="pct"/>
                  </w:tcPr>
                  <w:p>
                    <w:pPr>
                      <w:widowControl w:val="0"/>
                      <w:jc w:val="right"/>
                      <w:rPr>
                        <w:szCs w:val="21"/>
                      </w:rPr>
                    </w:pPr>
                    <w:r>
                      <w:t>减少1.05个百分点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5000" w:type="pct"/>
                <w:gridSpan w:val="7"/>
                <w:vAlign w:val="center"/>
              </w:tcPr>
              <w:p>
                <w:pPr>
                  <w:widowControl w:val="0"/>
                  <w:jc w:val="center"/>
                  <w:rPr>
                    <w:szCs w:val="21"/>
                  </w:rPr>
                </w:pPr>
                <w:sdt>
                  <w:sdtPr>
                    <w:rPr>
                      <w:rFonts w:hint="eastAsia"/>
                      <w:szCs w:val="21"/>
                      <w:shd w:val="solid" w:color="FFFFFF" w:fill="auto"/>
                    </w:rPr>
                    <w:tag w:val="_PLD_4be57b876a364ef5aee49673f139ef4a"/>
                    <w:id w:val="10074076"/>
                    <w:lock w:val="sdtLocked"/>
                  </w:sdtPr>
                  <w:sdtEndPr>
                    <w:rPr>
                      <w:rFonts w:hint="eastAsia"/>
                      <w:szCs w:val="21"/>
                      <w:shd w:val="solid" w:color="FFFFFF" w:fill="auto"/>
                    </w:rPr>
                  </w:sdtEndPr>
                  <w:sdtContent>
                    <w:r>
                      <w:rPr>
                        <w:rFonts w:hint="eastAsia"/>
                        <w:szCs w:val="21"/>
                        <w:shd w:val="solid" w:color="FFFFFF" w:fill="auto"/>
                      </w:rPr>
                      <w:t>主营业务分销售模式情况</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宋体" w:hAnsi="宋体" w:cs="宋体"/>
                  <w:szCs w:val="21"/>
                </w:rPr>
                <w:tag w:val="_PLD_fe8c7b7bf3a444db814cf5c56b1b72e0"/>
                <w:id w:val="10074077"/>
                <w:lock w:val="sdtLocked"/>
              </w:sdtPr>
              <w:sdtEndPr>
                <w:rPr>
                  <w:rFonts w:hint="eastAsia" w:ascii="宋体" w:hAnsi="宋体" w:cs="宋体"/>
                  <w:szCs w:val="21"/>
                </w:rPr>
              </w:sdtEndPr>
              <w:sdtContent>
                <w:tc>
                  <w:tcPr>
                    <w:tcW w:w="582" w:type="pct"/>
                    <w:vAlign w:val="center"/>
                  </w:tcPr>
                  <w:p>
                    <w:pPr>
                      <w:pStyle w:val="55"/>
                      <w:ind w:firstLine="0" w:firstLineChars="0"/>
                      <w:jc w:val="center"/>
                      <w:rPr>
                        <w:rFonts w:ascii="宋体" w:hAnsi="宋体" w:cs="宋体"/>
                        <w:szCs w:val="21"/>
                      </w:rPr>
                    </w:pPr>
                    <w:r>
                      <w:rPr>
                        <w:rFonts w:hint="eastAsia" w:ascii="宋体" w:hAnsi="宋体" w:cs="宋体"/>
                        <w:szCs w:val="21"/>
                      </w:rPr>
                      <w:t>销售</w:t>
                    </w:r>
                  </w:p>
                  <w:p>
                    <w:pPr>
                      <w:pStyle w:val="55"/>
                      <w:ind w:firstLine="0" w:firstLineChars="0"/>
                      <w:jc w:val="center"/>
                      <w:rPr>
                        <w:rFonts w:ascii="宋体" w:hAnsi="宋体" w:cs="宋体"/>
                        <w:szCs w:val="21"/>
                      </w:rPr>
                    </w:pPr>
                    <w:r>
                      <w:rPr>
                        <w:rFonts w:hint="eastAsia" w:ascii="宋体" w:hAnsi="宋体" w:cs="宋体"/>
                        <w:szCs w:val="21"/>
                      </w:rPr>
                      <w:t>模式</w:t>
                    </w:r>
                  </w:p>
                </w:tc>
              </w:sdtContent>
            </w:sdt>
            <w:sdt>
              <w:sdtPr>
                <w:rPr>
                  <w:rFonts w:hint="eastAsia" w:ascii="Times New Roman" w:hAnsi="Times New Roman"/>
                  <w:szCs w:val="21"/>
                </w:rPr>
                <w:tag w:val="_PLD_a8a3a2b010534c9d820c7f9b6fd92caf"/>
                <w:id w:val="10074078"/>
                <w:lock w:val="sdtLocked"/>
              </w:sdtPr>
              <w:sdtEndPr>
                <w:rPr>
                  <w:rFonts w:hint="eastAsia" w:ascii="Times New Roman" w:hAnsi="Times New Roman"/>
                  <w:szCs w:val="21"/>
                </w:rPr>
              </w:sdtEndPr>
              <w:sdtContent>
                <w:tc>
                  <w:tcPr>
                    <w:tcW w:w="1048" w:type="pct"/>
                    <w:vAlign w:val="center"/>
                  </w:tcPr>
                  <w:p>
                    <w:pPr>
                      <w:widowControl w:val="0"/>
                      <w:jc w:val="center"/>
                      <w:rPr>
                        <w:szCs w:val="21"/>
                      </w:rPr>
                    </w:pPr>
                    <w:r>
                      <w:rPr>
                        <w:rFonts w:hint="eastAsia"/>
                        <w:szCs w:val="21"/>
                      </w:rPr>
                      <w:t>营业收入</w:t>
                    </w:r>
                  </w:p>
                </w:tc>
              </w:sdtContent>
            </w:sdt>
            <w:sdt>
              <w:sdtPr>
                <w:rPr>
                  <w:rFonts w:hint="eastAsia" w:ascii="Times New Roman" w:hAnsi="Times New Roman"/>
                  <w:szCs w:val="21"/>
                </w:rPr>
                <w:tag w:val="_PLD_cc237396dacd4c16b49a8294763c220b"/>
                <w:id w:val="10074079"/>
                <w:lock w:val="sdtLocked"/>
              </w:sdtPr>
              <w:sdtEndPr>
                <w:rPr>
                  <w:rFonts w:hint="eastAsia" w:ascii="Times New Roman" w:hAnsi="Times New Roman"/>
                  <w:szCs w:val="21"/>
                </w:rPr>
              </w:sdtEndPr>
              <w:sdtContent>
                <w:tc>
                  <w:tcPr>
                    <w:tcW w:w="1048" w:type="pct"/>
                    <w:vAlign w:val="center"/>
                  </w:tcPr>
                  <w:p>
                    <w:pPr>
                      <w:widowControl w:val="0"/>
                      <w:jc w:val="center"/>
                      <w:rPr>
                        <w:szCs w:val="21"/>
                      </w:rPr>
                    </w:pPr>
                    <w:r>
                      <w:rPr>
                        <w:rFonts w:hint="eastAsia"/>
                        <w:szCs w:val="21"/>
                      </w:rPr>
                      <w:t>营业成本</w:t>
                    </w:r>
                  </w:p>
                </w:tc>
              </w:sdtContent>
            </w:sdt>
            <w:sdt>
              <w:sdtPr>
                <w:rPr>
                  <w:rFonts w:hint="eastAsia" w:ascii="Times New Roman" w:hAnsi="Times New Roman"/>
                  <w:szCs w:val="21"/>
                </w:rPr>
                <w:tag w:val="_PLD_941b22ab04a244cdbd8aa22ae424dacb"/>
                <w:id w:val="10074080"/>
                <w:lock w:val="sdtLocked"/>
              </w:sdtPr>
              <w:sdtEndPr>
                <w:rPr>
                  <w:rFonts w:hint="default" w:ascii="Times New Roman" w:hAnsi="Times New Roman"/>
                  <w:szCs w:val="21"/>
                </w:rPr>
              </w:sdtEndPr>
              <w:sdtContent>
                <w:tc>
                  <w:tcPr>
                    <w:tcW w:w="581" w:type="pct"/>
                    <w:vAlign w:val="center"/>
                  </w:tcPr>
                  <w:p>
                    <w:pPr>
                      <w:widowControl w:val="0"/>
                      <w:jc w:val="center"/>
                      <w:rPr>
                        <w:szCs w:val="21"/>
                      </w:rPr>
                    </w:pPr>
                    <w:r>
                      <w:rPr>
                        <w:rFonts w:hint="eastAsia"/>
                        <w:szCs w:val="21"/>
                      </w:rPr>
                      <w:t>毛利率（</w:t>
                    </w:r>
                    <w:r>
                      <w:rPr>
                        <w:szCs w:val="21"/>
                      </w:rPr>
                      <w:t>%）</w:t>
                    </w:r>
                  </w:p>
                </w:tc>
              </w:sdtContent>
            </w:sdt>
            <w:sdt>
              <w:sdtPr>
                <w:rPr>
                  <w:rFonts w:hint="eastAsia" w:ascii="Times New Roman" w:hAnsi="Times New Roman"/>
                  <w:szCs w:val="21"/>
                </w:rPr>
                <w:tag w:val="_PLD_e219c48b013d406696797c069f5c1054"/>
                <w:id w:val="10074081"/>
                <w:lock w:val="sdtLocked"/>
              </w:sdtPr>
              <w:sdtEndPr>
                <w:rPr>
                  <w:rFonts w:hint="default" w:ascii="Times New Roman" w:hAnsi="Times New Roman"/>
                  <w:szCs w:val="21"/>
                </w:rPr>
              </w:sdtEndPr>
              <w:sdtContent>
                <w:tc>
                  <w:tcPr>
                    <w:tcW w:w="581" w:type="pct"/>
                    <w:vAlign w:val="center"/>
                  </w:tcPr>
                  <w:p>
                    <w:pPr>
                      <w:widowControl w:val="0"/>
                      <w:jc w:val="center"/>
                      <w:rPr>
                        <w:szCs w:val="21"/>
                      </w:rPr>
                    </w:pPr>
                    <w:r>
                      <w:rPr>
                        <w:rFonts w:hint="eastAsia"/>
                        <w:szCs w:val="21"/>
                      </w:rPr>
                      <w:t>营业收入比上年增减（</w:t>
                    </w:r>
                    <w:r>
                      <w:rPr>
                        <w:szCs w:val="21"/>
                      </w:rPr>
                      <w:t>%）</w:t>
                    </w:r>
                  </w:p>
                </w:tc>
              </w:sdtContent>
            </w:sdt>
            <w:sdt>
              <w:sdtPr>
                <w:rPr>
                  <w:rFonts w:hint="eastAsia" w:ascii="Times New Roman" w:hAnsi="Times New Roman"/>
                  <w:szCs w:val="21"/>
                </w:rPr>
                <w:tag w:val="_PLD_ea6dd0b86c3c4f81ac1d0aab660982a0"/>
                <w:id w:val="10074082"/>
                <w:lock w:val="sdtLocked"/>
              </w:sdtPr>
              <w:sdtEndPr>
                <w:rPr>
                  <w:rFonts w:hint="default" w:ascii="Times New Roman" w:hAnsi="Times New Roman"/>
                  <w:szCs w:val="21"/>
                </w:rPr>
              </w:sdtEndPr>
              <w:sdtContent>
                <w:tc>
                  <w:tcPr>
                    <w:tcW w:w="581" w:type="pct"/>
                    <w:vAlign w:val="center"/>
                  </w:tcPr>
                  <w:p>
                    <w:pPr>
                      <w:widowControl w:val="0"/>
                      <w:jc w:val="center"/>
                      <w:rPr>
                        <w:szCs w:val="21"/>
                      </w:rPr>
                    </w:pPr>
                    <w:r>
                      <w:rPr>
                        <w:rFonts w:hint="eastAsia"/>
                        <w:szCs w:val="21"/>
                      </w:rPr>
                      <w:t>营业成本比上年增减（</w:t>
                    </w:r>
                    <w:r>
                      <w:rPr>
                        <w:szCs w:val="21"/>
                      </w:rPr>
                      <w:t>%）</w:t>
                    </w:r>
                  </w:p>
                </w:tc>
              </w:sdtContent>
            </w:sdt>
            <w:sdt>
              <w:sdtPr>
                <w:rPr>
                  <w:rFonts w:hint="eastAsia" w:ascii="Times New Roman" w:hAnsi="Times New Roman"/>
                  <w:szCs w:val="21"/>
                </w:rPr>
                <w:tag w:val="_PLD_b228d83849d948259a50feeb3c8039e4"/>
                <w:id w:val="10074083"/>
                <w:lock w:val="sdtLocked"/>
              </w:sdtPr>
              <w:sdtEndPr>
                <w:rPr>
                  <w:rFonts w:hint="default" w:ascii="Times New Roman" w:hAnsi="Times New Roman"/>
                  <w:szCs w:val="21"/>
                </w:rPr>
              </w:sdtEndPr>
              <w:sdtContent>
                <w:tc>
                  <w:tcPr>
                    <w:tcW w:w="579" w:type="pct"/>
                    <w:vAlign w:val="center"/>
                  </w:tcPr>
                  <w:p>
                    <w:pPr>
                      <w:widowControl w:val="0"/>
                      <w:jc w:val="center"/>
                      <w:rPr>
                        <w:szCs w:val="21"/>
                      </w:rPr>
                    </w:pPr>
                    <w:r>
                      <w:rPr>
                        <w:rFonts w:hint="eastAsia"/>
                        <w:szCs w:val="21"/>
                      </w:rPr>
                      <w:t>毛利率比上年增减（</w:t>
                    </w:r>
                    <w:r>
                      <w:rPr>
                        <w:szCs w:val="21"/>
                      </w:rPr>
                      <w:t>%）</w:t>
                    </w:r>
                  </w:p>
                </w:tc>
              </w:sdtContent>
            </w:sdt>
          </w:tr>
          <w:sdt>
            <w:sdtPr>
              <w:rPr>
                <w:rFonts w:hint="eastAsia" w:ascii="宋体" w:hAnsi="宋体" w:cs="宋体" w:eastAsiaTheme="minorEastAsia"/>
                <w:kern w:val="0"/>
                <w:szCs w:val="21"/>
              </w:rPr>
              <w:alias w:val="主营业务按销售模式情况明细"/>
              <w:tag w:val="_TUP_b18af0e5ce6b494485a511064f55de99"/>
              <w:id w:val="10074084"/>
              <w:lock w:val="sdtLocked"/>
            </w:sdtPr>
            <w:sdtEndPr>
              <w:rPr>
                <w:rFonts w:hint="eastAsia"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直销</w:t>
                    </w:r>
                  </w:p>
                </w:tc>
                <w:tc>
                  <w:tcPr>
                    <w:tcW w:w="1048" w:type="pct"/>
                    <w:vAlign w:val="center"/>
                  </w:tcPr>
                  <w:p>
                    <w:pPr>
                      <w:widowControl w:val="0"/>
                      <w:jc w:val="right"/>
                      <w:rPr>
                        <w:szCs w:val="21"/>
                      </w:rPr>
                    </w:pPr>
                    <w:r>
                      <w:t>791,995,347.55</w:t>
                    </w:r>
                  </w:p>
                </w:tc>
                <w:tc>
                  <w:tcPr>
                    <w:tcW w:w="1048" w:type="pct"/>
                    <w:vAlign w:val="center"/>
                  </w:tcPr>
                  <w:p>
                    <w:pPr>
                      <w:widowControl w:val="0"/>
                      <w:jc w:val="right"/>
                      <w:rPr>
                        <w:szCs w:val="21"/>
                      </w:rPr>
                    </w:pPr>
                    <w:r>
                      <w:t>524,130,385.20</w:t>
                    </w:r>
                  </w:p>
                </w:tc>
                <w:tc>
                  <w:tcPr>
                    <w:tcW w:w="581" w:type="pct"/>
                    <w:vAlign w:val="center"/>
                  </w:tcPr>
                  <w:p>
                    <w:pPr>
                      <w:widowControl w:val="0"/>
                      <w:jc w:val="right"/>
                      <w:rPr>
                        <w:szCs w:val="21"/>
                      </w:rPr>
                    </w:pPr>
                    <w:r>
                      <w:t>33.82</w:t>
                    </w:r>
                  </w:p>
                </w:tc>
                <w:tc>
                  <w:tcPr>
                    <w:tcW w:w="581" w:type="pct"/>
                    <w:vAlign w:val="center"/>
                  </w:tcPr>
                  <w:p>
                    <w:pPr>
                      <w:widowControl w:val="0"/>
                      <w:jc w:val="right"/>
                      <w:rPr>
                        <w:szCs w:val="21"/>
                      </w:rPr>
                    </w:pPr>
                    <w:r>
                      <w:t>-15.07</w:t>
                    </w:r>
                  </w:p>
                </w:tc>
                <w:tc>
                  <w:tcPr>
                    <w:tcW w:w="581" w:type="pct"/>
                    <w:vAlign w:val="center"/>
                  </w:tcPr>
                  <w:p>
                    <w:pPr>
                      <w:widowControl w:val="0"/>
                      <w:jc w:val="right"/>
                      <w:rPr>
                        <w:szCs w:val="21"/>
                      </w:rPr>
                    </w:pPr>
                    <w:r>
                      <w:t>-28.32</w:t>
                    </w:r>
                  </w:p>
                </w:tc>
                <w:tc>
                  <w:tcPr>
                    <w:tcW w:w="579" w:type="pct"/>
                  </w:tcPr>
                  <w:p>
                    <w:pPr>
                      <w:widowControl w:val="0"/>
                      <w:jc w:val="right"/>
                      <w:rPr>
                        <w:szCs w:val="21"/>
                      </w:rPr>
                    </w:pPr>
                    <w:r>
                      <w:t>增加12.23个百分点</w:t>
                    </w:r>
                  </w:p>
                </w:tc>
              </w:tr>
            </w:sdtContent>
          </w:sdt>
          <w:sdt>
            <w:sdtPr>
              <w:rPr>
                <w:rFonts w:hint="eastAsia" w:ascii="宋体" w:hAnsi="宋体" w:cs="宋体" w:eastAsiaTheme="minorEastAsia"/>
                <w:kern w:val="0"/>
                <w:szCs w:val="21"/>
              </w:rPr>
              <w:alias w:val="主营业务按销售模式情况明细"/>
              <w:tag w:val="_TUP_b18af0e5ce6b494485a511064f55de99"/>
              <w:id w:val="10074085"/>
              <w:lock w:val="sdtLocked"/>
            </w:sdtPr>
            <w:sdtEndPr>
              <w:rPr>
                <w:rFonts w:hint="eastAsia" w:ascii="宋体" w:hAnsi="宋体" w:cs="宋体"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2" w:type="pct"/>
                    <w:vAlign w:val="center"/>
                  </w:tcPr>
                  <w:p>
                    <w:pPr>
                      <w:pStyle w:val="55"/>
                      <w:ind w:firstLine="0" w:firstLineChars="0"/>
                      <w:jc w:val="center"/>
                      <w:rPr>
                        <w:rFonts w:ascii="宋体" w:hAnsi="宋体" w:cs="宋体"/>
                        <w:szCs w:val="21"/>
                      </w:rPr>
                    </w:pPr>
                    <w:r>
                      <w:t>经销</w:t>
                    </w:r>
                  </w:p>
                </w:tc>
                <w:tc>
                  <w:tcPr>
                    <w:tcW w:w="1048" w:type="pct"/>
                    <w:vAlign w:val="center"/>
                  </w:tcPr>
                  <w:p>
                    <w:pPr>
                      <w:widowControl w:val="0"/>
                      <w:jc w:val="right"/>
                      <w:rPr>
                        <w:szCs w:val="21"/>
                      </w:rPr>
                    </w:pPr>
                    <w:r>
                      <w:t>3,155,203,966.82</w:t>
                    </w:r>
                  </w:p>
                </w:tc>
                <w:tc>
                  <w:tcPr>
                    <w:tcW w:w="1048" w:type="pct"/>
                    <w:vAlign w:val="center"/>
                  </w:tcPr>
                  <w:p>
                    <w:pPr>
                      <w:widowControl w:val="0"/>
                      <w:jc w:val="right"/>
                      <w:rPr>
                        <w:szCs w:val="21"/>
                      </w:rPr>
                    </w:pPr>
                    <w:r>
                      <w:t>2,801,500,503.9</w:t>
                    </w:r>
                    <w:r>
                      <w:rPr>
                        <w:rFonts w:hint="eastAsia"/>
                      </w:rPr>
                      <w:t>5</w:t>
                    </w:r>
                  </w:p>
                </w:tc>
                <w:tc>
                  <w:tcPr>
                    <w:tcW w:w="581" w:type="pct"/>
                    <w:vAlign w:val="center"/>
                  </w:tcPr>
                  <w:p>
                    <w:pPr>
                      <w:widowControl w:val="0"/>
                      <w:jc w:val="right"/>
                      <w:rPr>
                        <w:szCs w:val="21"/>
                      </w:rPr>
                    </w:pPr>
                    <w:r>
                      <w:t>11.21</w:t>
                    </w:r>
                  </w:p>
                </w:tc>
                <w:tc>
                  <w:tcPr>
                    <w:tcW w:w="581" w:type="pct"/>
                    <w:vAlign w:val="center"/>
                  </w:tcPr>
                  <w:p>
                    <w:pPr>
                      <w:widowControl w:val="0"/>
                      <w:jc w:val="right"/>
                      <w:rPr>
                        <w:szCs w:val="21"/>
                      </w:rPr>
                    </w:pPr>
                    <w:r>
                      <w:t>18.64</w:t>
                    </w:r>
                  </w:p>
                </w:tc>
                <w:tc>
                  <w:tcPr>
                    <w:tcW w:w="581" w:type="pct"/>
                    <w:vAlign w:val="center"/>
                  </w:tcPr>
                  <w:p>
                    <w:pPr>
                      <w:widowControl w:val="0"/>
                      <w:jc w:val="right"/>
                      <w:rPr>
                        <w:szCs w:val="21"/>
                      </w:rPr>
                    </w:pPr>
                    <w:r>
                      <w:t>11.6</w:t>
                    </w:r>
                  </w:p>
                </w:tc>
                <w:tc>
                  <w:tcPr>
                    <w:tcW w:w="579" w:type="pct"/>
                  </w:tcPr>
                  <w:p>
                    <w:pPr>
                      <w:widowControl w:val="0"/>
                      <w:jc w:val="right"/>
                      <w:rPr>
                        <w:szCs w:val="21"/>
                      </w:rPr>
                    </w:pPr>
                    <w:r>
                      <w:t>增加5.60个百分点</w:t>
                    </w:r>
                  </w:p>
                </w:tc>
              </w:tr>
            </w:sdtContent>
          </w:sdt>
        </w:tbl>
        <w:p/>
        <w:p>
          <w:pPr>
            <w:spacing w:line="360" w:lineRule="auto"/>
            <w:rPr>
              <w:szCs w:val="21"/>
            </w:rPr>
          </w:pPr>
          <w:r>
            <w:rPr>
              <w:szCs w:val="21"/>
            </w:rPr>
            <w:t>主营业务分行业</w:t>
          </w:r>
          <w:r>
            <w:rPr>
              <w:rFonts w:hint="eastAsia"/>
              <w:szCs w:val="21"/>
            </w:rPr>
            <w:t>、</w:t>
          </w:r>
          <w:r>
            <w:rPr>
              <w:szCs w:val="21"/>
            </w:rPr>
            <w:t>分产品、分地区</w:t>
          </w:r>
          <w:r>
            <w:rPr>
              <w:rFonts w:hint="eastAsia"/>
              <w:szCs w:val="21"/>
            </w:rPr>
            <w:t>、分销售模式</w:t>
          </w:r>
          <w:r>
            <w:rPr>
              <w:szCs w:val="21"/>
            </w:rPr>
            <w:t>情况的说明</w:t>
          </w:r>
        </w:p>
        <w:sdt>
          <w:sdtPr>
            <w:rPr>
              <w:rFonts w:hint="eastAsia"/>
              <w:szCs w:val="21"/>
            </w:rPr>
            <w:alias w:val="主营业务分行业和分产品情况的说明"/>
            <w:tag w:val="_GBC_81b87428f4384bf2959419c3aea2dad2"/>
            <w:id w:val="-2053219893"/>
            <w:lock w:val="sdtLocked"/>
            <w:placeholder>
              <w:docPart w:val="GBC22222222222222222222222222222"/>
            </w:placeholder>
          </w:sdtPr>
          <w:sdtEndPr>
            <w:rPr>
              <w:rFonts w:hint="eastAsia"/>
              <w:szCs w:val="21"/>
            </w:rPr>
          </w:sdtEndPr>
          <w:sdtContent>
            <w:p>
              <w:pPr>
                <w:spacing w:line="360" w:lineRule="auto"/>
                <w:rPr>
                  <w:szCs w:val="21"/>
                </w:rPr>
              </w:pPr>
              <w:r>
                <w:rPr>
                  <w:rFonts w:hint="eastAsia"/>
                  <w:szCs w:val="21"/>
                </w:rPr>
                <w:t>无</w:t>
              </w:r>
            </w:p>
          </w:sdtContent>
        </w:sdt>
      </w:sdtContent>
    </w:sdt>
    <w:bookmarkEnd w:id="32"/>
    <w:p/>
    <w:sdt>
      <w:sdtPr>
        <w:rPr>
          <w:rFonts w:hint="eastAsia" w:ascii="宋体" w:hAnsi="宋体" w:cs="宋体"/>
          <w:b w:val="0"/>
          <w:bCs w:val="0"/>
          <w:kern w:val="0"/>
          <w:szCs w:val="24"/>
        </w:rPr>
        <w:alias w:val="模块:产销量情况分析表"/>
        <w:tag w:val="_SEC_b85e1cad33344c94a1ecc713f9b7acbc"/>
        <w:id w:val="-319891191"/>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0"/>
            </w:numPr>
            <w:tabs>
              <w:tab w:val="left" w:pos="567"/>
            </w:tabs>
            <w:ind w:left="0" w:firstLine="0"/>
            <w:rPr>
              <w:szCs w:val="21"/>
            </w:rPr>
          </w:pPr>
          <w:r>
            <w:rPr>
              <w:rFonts w:hint="eastAsia"/>
            </w:rPr>
            <w:t>产销量情况</w:t>
          </w:r>
          <w:r>
            <w:rPr>
              <w:szCs w:val="21"/>
            </w:rPr>
            <w:t>分析表</w:t>
          </w:r>
        </w:p>
        <w:sdt>
          <w:sdtPr>
            <w:alias w:val="是否适用：产销量情况分析表[双击切换]"/>
            <w:tag w:val="_GBC_6ff51c492b3040799712ea51f78bdcc0"/>
            <w:id w:val="118733545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6"/>
            <w:gridCol w:w="1021"/>
            <w:gridCol w:w="1452"/>
            <w:gridCol w:w="1332"/>
            <w:gridCol w:w="882"/>
            <w:gridCol w:w="1083"/>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Cs w:val="21"/>
                </w:rPr>
                <w:tag w:val="_PLD_259e79e9293847dfb1bd7816b6ad48e6"/>
                <w:id w:val="964462885"/>
                <w:lock w:val="sdtLocked"/>
              </w:sdtPr>
              <w:sdtEndPr>
                <w:rPr>
                  <w:rFonts w:asciiTheme="minorEastAsia" w:hAnsiTheme="minorEastAsia" w:eastAsiaTheme="minorEastAsia"/>
                  <w:szCs w:val="21"/>
                </w:rPr>
              </w:sdtEndPr>
              <w:sdtContent>
                <w:tc>
                  <w:tcPr>
                    <w:tcW w:w="843"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主要产品</w:t>
                    </w:r>
                  </w:p>
                </w:tc>
              </w:sdtContent>
            </w:sdt>
            <w:tc>
              <w:tcPr>
                <w:tcW w:w="550" w:type="pct"/>
                <w:vAlign w:val="center"/>
              </w:tcPr>
              <w:sdt>
                <w:sdtPr>
                  <w:rPr>
                    <w:rFonts w:hint="eastAsia" w:asciiTheme="minorEastAsia" w:hAnsiTheme="minorEastAsia" w:eastAsiaTheme="minorEastAsia"/>
                    <w:szCs w:val="21"/>
                  </w:rPr>
                  <w:tag w:val="_PLD_6d13c84fd3694535a3f1b6bcdd58d107"/>
                  <w:id w:val="-1243407037"/>
                  <w:lock w:val="sdtLocked"/>
                </w:sdtPr>
                <w:sdtEndPr>
                  <w:rPr>
                    <w:rFonts w:hint="eastAsia" w:asciiTheme="minorEastAsia" w:hAnsiTheme="minorEastAsia" w:eastAsiaTheme="minorEastAsia"/>
                    <w:szCs w:val="21"/>
                  </w:rPr>
                </w:sdtEndPr>
                <w:sdtContent>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单位</w:t>
                    </w:r>
                  </w:p>
                </w:sdtContent>
              </w:sdt>
            </w:tc>
            <w:sdt>
              <w:sdtPr>
                <w:rPr>
                  <w:rFonts w:asciiTheme="minorEastAsia" w:hAnsiTheme="minorEastAsia" w:eastAsiaTheme="minorEastAsia"/>
                  <w:szCs w:val="21"/>
                </w:rPr>
                <w:tag w:val="_PLD_3645c9ae184248f6bd2dda9de0540406"/>
                <w:id w:val="-499279944"/>
                <w:lock w:val="sdtLocked"/>
              </w:sdtPr>
              <w:sdtEndPr>
                <w:rPr>
                  <w:rFonts w:asciiTheme="minorEastAsia" w:hAnsiTheme="minorEastAsia" w:eastAsiaTheme="minorEastAsia"/>
                  <w:szCs w:val="21"/>
                </w:rPr>
              </w:sdtEndPr>
              <w:sdtContent>
                <w:tc>
                  <w:tcPr>
                    <w:tcW w:w="782"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生产量</w:t>
                    </w:r>
                  </w:p>
                </w:tc>
              </w:sdtContent>
            </w:sdt>
            <w:sdt>
              <w:sdtPr>
                <w:rPr>
                  <w:rFonts w:asciiTheme="minorEastAsia" w:hAnsiTheme="minorEastAsia" w:eastAsiaTheme="minorEastAsia"/>
                  <w:szCs w:val="21"/>
                </w:rPr>
                <w:tag w:val="_PLD_b4bd7da564c3452cb40ff15542829b7a"/>
                <w:id w:val="-571278129"/>
                <w:lock w:val="sdtLocked"/>
              </w:sdtPr>
              <w:sdtEndPr>
                <w:rPr>
                  <w:rFonts w:asciiTheme="minorEastAsia" w:hAnsiTheme="minorEastAsia" w:eastAsiaTheme="minorEastAsia"/>
                  <w:szCs w:val="21"/>
                </w:rPr>
              </w:sdtEndPr>
              <w:sdtContent>
                <w:tc>
                  <w:tcPr>
                    <w:tcW w:w="717"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销售量</w:t>
                    </w:r>
                  </w:p>
                </w:tc>
              </w:sdtContent>
            </w:sdt>
            <w:sdt>
              <w:sdtPr>
                <w:rPr>
                  <w:rFonts w:asciiTheme="minorEastAsia" w:hAnsiTheme="minorEastAsia" w:eastAsiaTheme="minorEastAsia"/>
                  <w:szCs w:val="21"/>
                </w:rPr>
                <w:tag w:val="_PLD_4f74a09ae16245a3a6e2c536c1266361"/>
                <w:id w:val="-277416930"/>
                <w:lock w:val="sdtLocked"/>
              </w:sdtPr>
              <w:sdtEndPr>
                <w:rPr>
                  <w:rFonts w:asciiTheme="minorEastAsia" w:hAnsiTheme="minorEastAsia" w:eastAsiaTheme="minorEastAsia"/>
                  <w:szCs w:val="21"/>
                </w:rPr>
              </w:sdtEndPr>
              <w:sdtContent>
                <w:tc>
                  <w:tcPr>
                    <w:tcW w:w="475"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库存量</w:t>
                    </w:r>
                  </w:p>
                </w:tc>
              </w:sdtContent>
            </w:sdt>
            <w:sdt>
              <w:sdtPr>
                <w:rPr>
                  <w:rFonts w:asciiTheme="minorEastAsia" w:hAnsiTheme="minorEastAsia" w:eastAsiaTheme="minorEastAsia"/>
                  <w:szCs w:val="21"/>
                </w:rPr>
                <w:tag w:val="_PLD_21bd7a4d992742feb4b83db592f976fd"/>
                <w:id w:val="-2118133375"/>
                <w:lock w:val="sdtLocked"/>
              </w:sdtPr>
              <w:sdtEndPr>
                <w:rPr>
                  <w:rFonts w:asciiTheme="minorEastAsia" w:hAnsiTheme="minorEastAsia" w:eastAsiaTheme="minorEastAsia"/>
                  <w:szCs w:val="21"/>
                </w:rPr>
              </w:sdtEndPr>
              <w:sdtContent>
                <w:tc>
                  <w:tcPr>
                    <w:tcW w:w="583"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生产量比上年增减（%）</w:t>
                    </w:r>
                  </w:p>
                </w:tc>
              </w:sdtContent>
            </w:sdt>
            <w:sdt>
              <w:sdtPr>
                <w:rPr>
                  <w:rFonts w:asciiTheme="minorEastAsia" w:hAnsiTheme="minorEastAsia" w:eastAsiaTheme="minorEastAsia"/>
                  <w:szCs w:val="21"/>
                </w:rPr>
                <w:tag w:val="_PLD_37e055a5474a4aac989b4e3a88756935"/>
                <w:id w:val="-1968124517"/>
                <w:lock w:val="sdtLocked"/>
              </w:sdtPr>
              <w:sdtEndPr>
                <w:rPr>
                  <w:rFonts w:asciiTheme="minorEastAsia" w:hAnsiTheme="minorEastAsia" w:eastAsiaTheme="minorEastAsia"/>
                  <w:szCs w:val="21"/>
                </w:rPr>
              </w:sdtEndPr>
              <w:sdtContent>
                <w:tc>
                  <w:tcPr>
                    <w:tcW w:w="525"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销售量比上年增减（%）</w:t>
                    </w:r>
                  </w:p>
                </w:tc>
              </w:sdtContent>
            </w:sdt>
            <w:sdt>
              <w:sdtPr>
                <w:rPr>
                  <w:rFonts w:asciiTheme="minorEastAsia" w:hAnsiTheme="minorEastAsia" w:eastAsiaTheme="minorEastAsia"/>
                  <w:szCs w:val="21"/>
                </w:rPr>
                <w:tag w:val="_PLD_d03cdf85475e4722ae39e10ea525eee5"/>
                <w:id w:val="775913430"/>
                <w:lock w:val="sdtLocked"/>
              </w:sdtPr>
              <w:sdtEndPr>
                <w:rPr>
                  <w:rFonts w:asciiTheme="minorEastAsia" w:hAnsiTheme="minorEastAsia" w:eastAsiaTheme="minorEastAsia"/>
                  <w:szCs w:val="21"/>
                </w:rPr>
              </w:sdtEndPr>
              <w:sdtContent>
                <w:tc>
                  <w:tcPr>
                    <w:tcW w:w="525" w:type="pc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库存量比上年增减（%）</w:t>
                    </w:r>
                  </w:p>
                </w:tc>
              </w:sdtContent>
            </w:sdt>
          </w:tr>
          <w:sdt>
            <w:sdtPr>
              <w:rPr>
                <w:rFonts w:hint="eastAsia" w:asciiTheme="minorEastAsia" w:hAnsiTheme="minorEastAsia" w:eastAsiaTheme="minorEastAsia" w:cstheme="minorBidi"/>
                <w:kern w:val="2"/>
                <w:szCs w:val="21"/>
              </w:rPr>
              <w:alias w:val="产销量情况分析表明细"/>
              <w:tag w:val="_TUP_33c1439070494dd3b672cd58c90e07fd"/>
              <w:id w:val="-1589615567"/>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3"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燃油汽车</w:t>
                    </w:r>
                  </w:p>
                </w:tc>
                <w:tc>
                  <w:tcPr>
                    <w:tcW w:w="550"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辆</w:t>
                    </w:r>
                  </w:p>
                </w:tc>
                <w:tc>
                  <w:tcPr>
                    <w:tcW w:w="782" w:type="pct"/>
                  </w:tcPr>
                  <w:p>
                    <w:pPr>
                      <w:widowControl w:val="0"/>
                      <w:jc w:val="center"/>
                      <w:rPr>
                        <w:rFonts w:asciiTheme="minorEastAsia" w:hAnsiTheme="minorEastAsia" w:eastAsiaTheme="minorEastAsia"/>
                        <w:szCs w:val="21"/>
                      </w:rPr>
                    </w:pPr>
                  </w:p>
                </w:tc>
                <w:tc>
                  <w:tcPr>
                    <w:tcW w:w="71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646</w:t>
                    </w:r>
                  </w:p>
                </w:tc>
                <w:tc>
                  <w:tcPr>
                    <w:tcW w:w="47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345</w:t>
                    </w:r>
                  </w:p>
                </w:tc>
                <w:tc>
                  <w:tcPr>
                    <w:tcW w:w="583"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-67.14</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-71.39</w:t>
                    </w:r>
                  </w:p>
                </w:tc>
              </w:tr>
            </w:sdtContent>
          </w:sdt>
          <w:sdt>
            <w:sdtPr>
              <w:rPr>
                <w:rFonts w:hint="eastAsia" w:asciiTheme="minorEastAsia" w:hAnsiTheme="minorEastAsia" w:eastAsiaTheme="minorEastAsia" w:cstheme="minorBidi"/>
                <w:kern w:val="2"/>
                <w:szCs w:val="21"/>
              </w:rPr>
              <w:alias w:val="产销量情况分析表明细"/>
              <w:tag w:val="_TUP_33c1439070494dd3b672cd58c90e07fd"/>
              <w:id w:val="235370142"/>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3"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新能源汽车</w:t>
                    </w:r>
                  </w:p>
                </w:tc>
                <w:tc>
                  <w:tcPr>
                    <w:tcW w:w="550"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辆</w:t>
                    </w:r>
                  </w:p>
                </w:tc>
                <w:tc>
                  <w:tcPr>
                    <w:tcW w:w="7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3,950</w:t>
                    </w:r>
                  </w:p>
                </w:tc>
                <w:tc>
                  <w:tcPr>
                    <w:tcW w:w="71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3,810</w:t>
                    </w:r>
                  </w:p>
                </w:tc>
                <w:tc>
                  <w:tcPr>
                    <w:tcW w:w="47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715</w:t>
                    </w:r>
                  </w:p>
                </w:tc>
                <w:tc>
                  <w:tcPr>
                    <w:tcW w:w="583"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289.93</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255.41</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126.27</w:t>
                    </w:r>
                  </w:p>
                </w:tc>
              </w:tr>
            </w:sdtContent>
          </w:sdt>
          <w:sdt>
            <w:sdtPr>
              <w:rPr>
                <w:rFonts w:hint="eastAsia" w:asciiTheme="minorEastAsia" w:hAnsiTheme="minorEastAsia" w:eastAsiaTheme="minorEastAsia" w:cstheme="minorBidi"/>
                <w:kern w:val="2"/>
                <w:szCs w:val="21"/>
              </w:rPr>
              <w:alias w:val="产销量情况分析表明细"/>
              <w:tag w:val="_TUP_33c1439070494dd3b672cd58c90e07fd"/>
              <w:id w:val="-1190056323"/>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3"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摩托车</w:t>
                    </w:r>
                  </w:p>
                </w:tc>
                <w:tc>
                  <w:tcPr>
                    <w:tcW w:w="550"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辆</w:t>
                    </w:r>
                  </w:p>
                </w:tc>
                <w:tc>
                  <w:tcPr>
                    <w:tcW w:w="7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532,173</w:t>
                    </w:r>
                  </w:p>
                </w:tc>
                <w:tc>
                  <w:tcPr>
                    <w:tcW w:w="71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522,035</w:t>
                    </w:r>
                  </w:p>
                </w:tc>
                <w:tc>
                  <w:tcPr>
                    <w:tcW w:w="47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26,767</w:t>
                    </w:r>
                  </w:p>
                </w:tc>
                <w:tc>
                  <w:tcPr>
                    <w:tcW w:w="583"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2.14</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-1.68</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57.94</w:t>
                    </w:r>
                  </w:p>
                </w:tc>
              </w:tr>
            </w:sdtContent>
          </w:sdt>
          <w:sdt>
            <w:sdtPr>
              <w:rPr>
                <w:rFonts w:hint="eastAsia" w:asciiTheme="minorEastAsia" w:hAnsiTheme="minorEastAsia" w:eastAsiaTheme="minorEastAsia" w:cstheme="minorBidi"/>
                <w:kern w:val="2"/>
                <w:szCs w:val="21"/>
              </w:rPr>
              <w:alias w:val="产销量情况分析表明细"/>
              <w:tag w:val="_TUP_33c1439070494dd3b672cd58c90e07fd"/>
              <w:id w:val="-1749184456"/>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3"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摩托车发动机</w:t>
                    </w:r>
                  </w:p>
                </w:tc>
                <w:tc>
                  <w:tcPr>
                    <w:tcW w:w="550"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台</w:t>
                    </w:r>
                  </w:p>
                </w:tc>
                <w:tc>
                  <w:tcPr>
                    <w:tcW w:w="7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1,173,792</w:t>
                    </w:r>
                  </w:p>
                </w:tc>
                <w:tc>
                  <w:tcPr>
                    <w:tcW w:w="71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631,419</w:t>
                    </w:r>
                  </w:p>
                </w:tc>
                <w:tc>
                  <w:tcPr>
                    <w:tcW w:w="47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63,994</w:t>
                    </w:r>
                  </w:p>
                </w:tc>
                <w:tc>
                  <w:tcPr>
                    <w:tcW w:w="583"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-8.83</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-26.12</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-37.43</w:t>
                    </w:r>
                  </w:p>
                </w:tc>
              </w:tr>
            </w:sdtContent>
          </w:sdt>
          <w:sdt>
            <w:sdtPr>
              <w:rPr>
                <w:rFonts w:hint="eastAsia" w:asciiTheme="minorEastAsia" w:hAnsiTheme="minorEastAsia" w:eastAsiaTheme="minorEastAsia" w:cstheme="minorBidi"/>
                <w:kern w:val="2"/>
                <w:szCs w:val="21"/>
              </w:rPr>
              <w:alias w:val="产销量情况分析表明细"/>
              <w:tag w:val="_TUP_33c1439070494dd3b672cd58c90e07fd"/>
              <w:id w:val="-1757050843"/>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843"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cstheme="minorBidi"/>
                        <w:kern w:val="2"/>
                        <w:szCs w:val="21"/>
                      </w:rPr>
                      <w:t>通用汽油机</w:t>
                    </w:r>
                  </w:p>
                </w:tc>
                <w:tc>
                  <w:tcPr>
                    <w:tcW w:w="550"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台</w:t>
                    </w:r>
                  </w:p>
                </w:tc>
                <w:tc>
                  <w:tcPr>
                    <w:tcW w:w="7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551,767</w:t>
                    </w:r>
                  </w:p>
                </w:tc>
                <w:tc>
                  <w:tcPr>
                    <w:tcW w:w="71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520,169</w:t>
                    </w:r>
                  </w:p>
                </w:tc>
                <w:tc>
                  <w:tcPr>
                    <w:tcW w:w="47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47,675</w:t>
                    </w:r>
                  </w:p>
                </w:tc>
                <w:tc>
                  <w:tcPr>
                    <w:tcW w:w="583"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11.51</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8.60</w:t>
                    </w:r>
                  </w:p>
                </w:tc>
                <w:tc>
                  <w:tcPr>
                    <w:tcW w:w="525"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33.63</w:t>
                    </w:r>
                  </w:p>
                </w:tc>
              </w:tr>
            </w:sdtContent>
          </w:sdt>
        </w:tbl>
        <w:p/>
        <w:p>
          <w:pPr>
            <w:spacing w:line="360" w:lineRule="auto"/>
            <w:rPr>
              <w:szCs w:val="21"/>
            </w:rPr>
          </w:pPr>
          <w:r>
            <w:rPr>
              <w:rFonts w:hint="eastAsia"/>
              <w:szCs w:val="21"/>
            </w:rPr>
            <w:t>产销量情况说明</w:t>
          </w:r>
        </w:p>
        <w:sdt>
          <w:sdtPr>
            <w:rPr>
              <w:rFonts w:hint="eastAsia"/>
              <w:szCs w:val="21"/>
            </w:rPr>
            <w:alias w:val="产销量情况说明"/>
            <w:tag w:val="_GBC_1aea839efa9940859168bf3f05061254"/>
            <w:id w:val="-384962331"/>
            <w:lock w:val="sdtLocked"/>
            <w:placeholder>
              <w:docPart w:val="GBC22222222222222222222222222222"/>
            </w:placeholder>
          </w:sdtPr>
          <w:sdtEndPr>
            <w:rPr>
              <w:rFonts w:hint="eastAsia"/>
              <w:szCs w:val="21"/>
            </w:rPr>
          </w:sdtEndPr>
          <w:sdtContent>
            <w:p>
              <w:pPr>
                <w:spacing w:line="360" w:lineRule="auto"/>
                <w:rPr>
                  <w:szCs w:val="21"/>
                </w:rPr>
              </w:pPr>
              <w:r>
                <w:rPr>
                  <w:rFonts w:hint="eastAsia"/>
                  <w:szCs w:val="21"/>
                </w:rPr>
                <w:t>摩托车发动机产量包括摩托车生产领用部分。</w:t>
              </w:r>
            </w:p>
          </w:sdtContent>
        </w:sdt>
      </w:sdtContent>
    </w:sdt>
    <w:p/>
    <w:p>
      <w:pPr>
        <w:pStyle w:val="6"/>
        <w:numPr>
          <w:ilvl w:val="0"/>
          <w:numId w:val="10"/>
        </w:numPr>
        <w:tabs>
          <w:tab w:val="left" w:pos="567"/>
        </w:tabs>
        <w:spacing w:before="0" w:after="0" w:line="360" w:lineRule="auto"/>
        <w:ind w:left="0" w:firstLine="0"/>
      </w:pPr>
      <w:bookmarkStart w:id="33" w:name="_Hlk89876471"/>
      <w:r>
        <w:rPr>
          <w:rFonts w:hint="eastAsia"/>
        </w:rPr>
        <w:t>重大采购合同、重大销售合同的履行情况</w:t>
      </w:r>
    </w:p>
    <w:sdt>
      <w:sdtPr>
        <w:rPr>
          <w:rFonts w:hint="eastAsia"/>
        </w:rPr>
        <w:alias w:val="是否适用：重大采购合同、重大销售合同的履行情况 [双击切换]"/>
        <w:tag w:val="_GBC_7db64bb10282470b9d1599cd986236d4"/>
        <w:id w:val="-2055071381"/>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w:instrText>
          </w:r>
          <w:r>
            <w:fldChar w:fldCharType="end"/>
          </w:r>
          <w:r>
            <w:fldChar w:fldCharType="begin"/>
          </w:r>
          <w:r>
            <w:instrText xml:space="preserve"> MACROBUTTON  SnrToggleCheckbox √不适用 </w:instrText>
          </w:r>
          <w:r>
            <w:fldChar w:fldCharType="end"/>
          </w:r>
        </w:p>
      </w:sdtContent>
    </w:sdt>
    <w:p/>
    <w:bookmarkEnd w:id="33"/>
    <w:sdt>
      <w:sdtPr>
        <w:rPr>
          <w:rFonts w:ascii="宋体" w:hAnsi="宋体" w:cs="宋体"/>
          <w:b w:val="0"/>
          <w:bCs w:val="0"/>
          <w:kern w:val="0"/>
          <w:szCs w:val="21"/>
        </w:rPr>
        <w:alias w:val="模块:成本分析表"/>
        <w:tag w:val="_SEC_de51976cba8242c1b32c1f5dc956546c"/>
        <w:id w:val="-28731869"/>
        <w:lock w:val="sdtLocked"/>
        <w:placeholder>
          <w:docPart w:val="GBC22222222222222222222222222222"/>
        </w:placeholder>
      </w:sdtPr>
      <w:sdtEndPr>
        <w:rPr>
          <w:rFonts w:ascii="宋体" w:hAnsi="宋体" w:cs="宋体"/>
          <w:b w:val="0"/>
          <w:bCs w:val="0"/>
          <w:kern w:val="0"/>
          <w:szCs w:val="21"/>
        </w:rPr>
      </w:sdtEndPr>
      <w:sdtContent>
        <w:p>
          <w:pPr>
            <w:pStyle w:val="6"/>
            <w:numPr>
              <w:ilvl w:val="0"/>
              <w:numId w:val="10"/>
            </w:numPr>
            <w:tabs>
              <w:tab w:val="left" w:pos="567"/>
            </w:tabs>
            <w:ind w:left="0" w:firstLine="0"/>
            <w:rPr>
              <w:szCs w:val="21"/>
            </w:rPr>
          </w:pPr>
          <w:r>
            <w:rPr>
              <w:szCs w:val="21"/>
            </w:rPr>
            <w:t>成本分析表</w:t>
          </w:r>
        </w:p>
        <w:p>
          <w:pPr>
            <w:pStyle w:val="55"/>
            <w:ind w:firstLine="0" w:firstLineChars="0"/>
            <w:jc w:val="right"/>
            <w:rPr>
              <w:szCs w:val="21"/>
            </w:rPr>
          </w:pPr>
          <w:r>
            <w:rPr>
              <w:rFonts w:hint="eastAsia"/>
              <w:szCs w:val="21"/>
            </w:rPr>
            <w:t>单位：</w:t>
          </w:r>
          <w:sdt>
            <w:sdtPr>
              <w:rPr>
                <w:rFonts w:hint="eastAsia"/>
                <w:szCs w:val="21"/>
              </w:rPr>
              <w:alias w:val="单位：成本分析表"/>
              <w:tag w:val="_GBC_b04622a3125b4989a822b6e63bf483c3"/>
              <w:id w:val="11775375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7"/>
            <w:tblW w:w="5516"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1196"/>
            <w:gridCol w:w="1948"/>
            <w:gridCol w:w="1192"/>
            <w:gridCol w:w="1948"/>
            <w:gridCol w:w="1193"/>
            <w:gridCol w:w="1142"/>
            <w:gridCol w:w="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sdt>
              <w:sdtPr>
                <w:rPr>
                  <w:rFonts w:asciiTheme="minorEastAsia" w:hAnsiTheme="minorEastAsia" w:eastAsiaTheme="minorEastAsia"/>
                  <w:szCs w:val="21"/>
                </w:rPr>
                <w:tag w:val="_PLD_23eca1a24a6a46819aede5056d21b4e0"/>
                <w:id w:val="34630671"/>
                <w:lock w:val="sdtLocked"/>
              </w:sdtPr>
              <w:sdtEndPr>
                <w:rPr>
                  <w:rFonts w:asciiTheme="minorEastAsia" w:hAnsiTheme="minorEastAsia" w:eastAsiaTheme="minorEastAsia"/>
                  <w:szCs w:val="21"/>
                </w:rPr>
              </w:sdtEndPr>
              <w:sdtContent>
                <w:tc>
                  <w:tcPr>
                    <w:tcW w:w="5000" w:type="pct"/>
                    <w:gridSpan w:val="8"/>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分行业情况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Theme="minorEastAsia" w:hAnsiTheme="minorEastAsia" w:eastAsiaTheme="minorEastAsia"/>
                  <w:szCs w:val="21"/>
                </w:rPr>
                <w:tag w:val="_PLD_6ed773a4437a4fe9b33abca9c4813940"/>
                <w:id w:val="34630672"/>
                <w:lock w:val="sdtLocked"/>
              </w:sdtPr>
              <w:sdtEndPr>
                <w:rPr>
                  <w:rFonts w:asciiTheme="minorEastAsia" w:hAnsiTheme="minorEastAsia" w:eastAsiaTheme="minorEastAsia"/>
                  <w:szCs w:val="21"/>
                </w:rPr>
              </w:sdtEndPr>
              <w:sdtContent>
                <w:tc>
                  <w:tcPr>
                    <w:tcW w:w="480"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分行业</w:t>
                    </w:r>
                  </w:p>
                </w:tc>
              </w:sdtContent>
            </w:sdt>
            <w:sdt>
              <w:sdtPr>
                <w:rPr>
                  <w:rFonts w:asciiTheme="minorEastAsia" w:hAnsiTheme="minorEastAsia" w:eastAsiaTheme="minorEastAsia"/>
                  <w:szCs w:val="21"/>
                </w:rPr>
                <w:tag w:val="_PLD_11eb33bcb20d4489a1b9fff2216d0a84"/>
                <w:id w:val="34630673"/>
                <w:lock w:val="sdtLocked"/>
              </w:sdtPr>
              <w:sdtEndPr>
                <w:rPr>
                  <w:rFonts w:asciiTheme="minorEastAsia" w:hAnsiTheme="minorEastAsia" w:eastAsiaTheme="minorEastAsia"/>
                  <w:szCs w:val="21"/>
                </w:rPr>
              </w:sdtEndPr>
              <w:sdtContent>
                <w:tc>
                  <w:tcPr>
                    <w:tcW w:w="584"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成本构成项目</w:t>
                    </w:r>
                  </w:p>
                </w:tc>
              </w:sdtContent>
            </w:sdt>
            <w:sdt>
              <w:sdtPr>
                <w:rPr>
                  <w:rFonts w:asciiTheme="minorEastAsia" w:hAnsiTheme="minorEastAsia" w:eastAsiaTheme="minorEastAsia"/>
                  <w:szCs w:val="21"/>
                </w:rPr>
                <w:tag w:val="_PLD_25c03477e66a432199f6493c38aaca71"/>
                <w:id w:val="34630674"/>
                <w:lock w:val="sdtLocked"/>
              </w:sdtPr>
              <w:sdtEndPr>
                <w:rPr>
                  <w:rFonts w:asciiTheme="minorEastAsia" w:hAnsiTheme="minorEastAsia" w:eastAsiaTheme="minorEastAsia"/>
                  <w:szCs w:val="21"/>
                </w:rPr>
              </w:sdtEndPr>
              <w:sdtContent>
                <w:tc>
                  <w:tcPr>
                    <w:tcW w:w="951"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本期金额</w:t>
                    </w:r>
                  </w:p>
                </w:tc>
              </w:sdtContent>
            </w:sdt>
            <w:sdt>
              <w:sdtPr>
                <w:rPr>
                  <w:rFonts w:asciiTheme="minorEastAsia" w:hAnsiTheme="minorEastAsia" w:eastAsiaTheme="minorEastAsia"/>
                  <w:szCs w:val="21"/>
                </w:rPr>
                <w:tag w:val="_PLD_29b86b13ed1449cfb64b8547d9ed08a7"/>
                <w:id w:val="34630675"/>
                <w:lock w:val="sdtLocked"/>
              </w:sdtPr>
              <w:sdtEndPr>
                <w:rPr>
                  <w:rFonts w:asciiTheme="minorEastAsia" w:hAnsiTheme="minorEastAsia" w:eastAsiaTheme="minorEastAsia"/>
                  <w:szCs w:val="21"/>
                </w:rPr>
              </w:sdtEndPr>
              <w:sdtContent>
                <w:tc>
                  <w:tcPr>
                    <w:tcW w:w="582"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本期占总成本比例(</w:t>
                    </w:r>
                    <w:r>
                      <w:rPr>
                        <w:rFonts w:hint="eastAsia" w:asciiTheme="minorEastAsia" w:hAnsiTheme="minorEastAsia" w:eastAsiaTheme="minorEastAsia"/>
                        <w:szCs w:val="21"/>
                      </w:rPr>
                      <w:t>%</w:t>
                    </w:r>
                    <w:r>
                      <w:rPr>
                        <w:rFonts w:asciiTheme="minorEastAsia" w:hAnsiTheme="minorEastAsia" w:eastAsiaTheme="minorEastAsia"/>
                        <w:szCs w:val="21"/>
                      </w:rPr>
                      <w:t>)</w:t>
                    </w:r>
                  </w:p>
                </w:tc>
              </w:sdtContent>
            </w:sdt>
            <w:sdt>
              <w:sdtPr>
                <w:rPr>
                  <w:rFonts w:asciiTheme="minorEastAsia" w:hAnsiTheme="minorEastAsia" w:eastAsiaTheme="minorEastAsia"/>
                  <w:szCs w:val="21"/>
                </w:rPr>
                <w:tag w:val="_PLD_5ff02c2ae2d941d5bb2ed5b1e6bfa8e6"/>
                <w:id w:val="34630676"/>
                <w:lock w:val="sdtLocked"/>
              </w:sdtPr>
              <w:sdtEndPr>
                <w:rPr>
                  <w:rFonts w:asciiTheme="minorEastAsia" w:hAnsiTheme="minorEastAsia" w:eastAsiaTheme="minorEastAsia"/>
                  <w:szCs w:val="21"/>
                </w:rPr>
              </w:sdtEndPr>
              <w:sdtContent>
                <w:tc>
                  <w:tcPr>
                    <w:tcW w:w="951"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上年同期金额</w:t>
                    </w:r>
                  </w:p>
                </w:tc>
              </w:sdtContent>
            </w:sdt>
            <w:sdt>
              <w:sdtPr>
                <w:rPr>
                  <w:rFonts w:asciiTheme="minorEastAsia" w:hAnsiTheme="minorEastAsia" w:eastAsiaTheme="minorEastAsia"/>
                  <w:szCs w:val="21"/>
                </w:rPr>
                <w:tag w:val="_PLD_517f7979a01748fba12b11d5561fdcdd"/>
                <w:id w:val="34630677"/>
                <w:lock w:val="sdtLocked"/>
              </w:sdtPr>
              <w:sdtEndPr>
                <w:rPr>
                  <w:rFonts w:asciiTheme="minorEastAsia" w:hAnsiTheme="minorEastAsia" w:eastAsiaTheme="minorEastAsia"/>
                  <w:szCs w:val="21"/>
                </w:rPr>
              </w:sdtEndPr>
              <w:sdtContent>
                <w:tc>
                  <w:tcPr>
                    <w:tcW w:w="582"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上年同期占总成本比例(</w:t>
                    </w:r>
                    <w:r>
                      <w:rPr>
                        <w:rFonts w:hint="eastAsia" w:asciiTheme="minorEastAsia" w:hAnsiTheme="minorEastAsia" w:eastAsiaTheme="minorEastAsia"/>
                        <w:szCs w:val="21"/>
                      </w:rPr>
                      <w:t>%</w:t>
                    </w:r>
                    <w:r>
                      <w:rPr>
                        <w:rFonts w:asciiTheme="minorEastAsia" w:hAnsiTheme="minorEastAsia" w:eastAsiaTheme="minorEastAsia"/>
                        <w:szCs w:val="21"/>
                      </w:rPr>
                      <w:t>)</w:t>
                    </w:r>
                  </w:p>
                </w:tc>
              </w:sdtContent>
            </w:sdt>
            <w:sdt>
              <w:sdtPr>
                <w:rPr>
                  <w:rFonts w:asciiTheme="minorEastAsia" w:hAnsiTheme="minorEastAsia" w:eastAsiaTheme="minorEastAsia"/>
                  <w:szCs w:val="21"/>
                </w:rPr>
                <w:tag w:val="_PLD_51133d067ddc4eeda00133d4c26d206f"/>
                <w:id w:val="34630678"/>
                <w:lock w:val="sdtLocked"/>
              </w:sdtPr>
              <w:sdtEndPr>
                <w:rPr>
                  <w:rFonts w:asciiTheme="minorEastAsia" w:hAnsiTheme="minorEastAsia" w:eastAsiaTheme="minorEastAsia"/>
                  <w:szCs w:val="21"/>
                </w:rPr>
              </w:sdtEndPr>
              <w:sdtContent>
                <w:tc>
                  <w:tcPr>
                    <w:tcW w:w="557"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本期金额较上年同期变动比例(</w:t>
                    </w:r>
                    <w:r>
                      <w:rPr>
                        <w:rFonts w:hint="eastAsia" w:asciiTheme="minorEastAsia" w:hAnsiTheme="minorEastAsia" w:eastAsiaTheme="minorEastAsia"/>
                        <w:szCs w:val="21"/>
                      </w:rPr>
                      <w:t>%</w:t>
                    </w:r>
                    <w:r>
                      <w:rPr>
                        <w:rFonts w:asciiTheme="minorEastAsia" w:hAnsiTheme="minorEastAsia" w:eastAsiaTheme="minorEastAsia"/>
                        <w:szCs w:val="21"/>
                      </w:rPr>
                      <w:t>)</w:t>
                    </w:r>
                  </w:p>
                </w:tc>
              </w:sdtContent>
            </w:sdt>
            <w:sdt>
              <w:sdtPr>
                <w:rPr>
                  <w:rFonts w:asciiTheme="minorEastAsia" w:hAnsiTheme="minorEastAsia" w:eastAsiaTheme="minorEastAsia"/>
                  <w:szCs w:val="21"/>
                </w:rPr>
                <w:tag w:val="_PLD_88c2b4dabd62472381be05c0702377e2"/>
                <w:id w:val="34630679"/>
                <w:lock w:val="sdtLocked"/>
              </w:sdtPr>
              <w:sdtEndPr>
                <w:rPr>
                  <w:rFonts w:asciiTheme="minorEastAsia" w:hAnsiTheme="minorEastAsia" w:eastAsiaTheme="minorEastAsia"/>
                  <w:szCs w:val="21"/>
                </w:rPr>
              </w:sdtEndPr>
              <w:sdtContent>
                <w:tc>
                  <w:tcPr>
                    <w:tcW w:w="313"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情况</w:t>
                    </w:r>
                  </w:p>
                  <w:p>
                    <w:pPr>
                      <w:widowControl w:val="0"/>
                      <w:jc w:val="center"/>
                      <w:rPr>
                        <w:rFonts w:asciiTheme="minorEastAsia" w:hAnsiTheme="minorEastAsia" w:eastAsiaTheme="minorEastAsia"/>
                        <w:szCs w:val="21"/>
                      </w:rPr>
                    </w:pPr>
                    <w:r>
                      <w:rPr>
                        <w:rFonts w:asciiTheme="minorEastAsia" w:hAnsiTheme="minorEastAsia" w:eastAsiaTheme="minorEastAsia"/>
                        <w:szCs w:val="21"/>
                      </w:rPr>
                      <w:t>说明</w:t>
                    </w:r>
                  </w:p>
                </w:tc>
              </w:sdtContent>
            </w:sdt>
          </w:tr>
          <w:sdt>
            <w:sdtPr>
              <w:rPr>
                <w:rFonts w:asciiTheme="minorEastAsia" w:hAnsiTheme="minorEastAsia" w:eastAsiaTheme="minorEastAsia" w:cstheme="minorBidi"/>
                <w:kern w:val="2"/>
                <w:szCs w:val="21"/>
              </w:rPr>
              <w:alias w:val="分行业成本分析"/>
              <w:tag w:val="_TUP_fb9e3026efbd4a2c91fdedd10a926f41"/>
              <w:id w:val="34630680"/>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restar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制造业</w:t>
                    </w: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直接材料</w:t>
                    </w:r>
                  </w:p>
                </w:tc>
                <w:tc>
                  <w:tcPr>
                    <w:tcW w:w="951" w:type="pct"/>
                    <w:vAlign w:val="center"/>
                  </w:tcPr>
                  <w:p>
                    <w:pPr>
                      <w:widowControl w:val="0"/>
                      <w:jc w:val="right"/>
                      <w:rPr>
                        <w:sz w:val="24"/>
                      </w:rPr>
                    </w:pPr>
                    <w:r>
                      <w:t>3,058,245,641.09</w:t>
                    </w:r>
                  </w:p>
                </w:tc>
                <w:tc>
                  <w:tcPr>
                    <w:tcW w:w="582" w:type="pct"/>
                    <w:vAlign w:val="center"/>
                  </w:tcPr>
                  <w:p>
                    <w:pPr>
                      <w:widowControl w:val="0"/>
                      <w:jc w:val="right"/>
                      <w:rPr>
                        <w:sz w:val="24"/>
                      </w:rPr>
                    </w:pPr>
                    <w:r>
                      <w:t>94.70</w:t>
                    </w:r>
                  </w:p>
                </w:tc>
                <w:tc>
                  <w:tcPr>
                    <w:tcW w:w="951" w:type="pct"/>
                    <w:vAlign w:val="center"/>
                  </w:tcPr>
                  <w:p>
                    <w:pPr>
                      <w:widowControl w:val="0"/>
                      <w:jc w:val="right"/>
                      <w:rPr>
                        <w:sz w:val="24"/>
                      </w:rPr>
                    </w:pPr>
                    <w:r>
                      <w:t>2,913,770,870.78</w:t>
                    </w:r>
                  </w:p>
                </w:tc>
                <w:tc>
                  <w:tcPr>
                    <w:tcW w:w="582" w:type="pct"/>
                    <w:vAlign w:val="center"/>
                  </w:tcPr>
                  <w:p>
                    <w:pPr>
                      <w:widowControl w:val="0"/>
                      <w:jc w:val="right"/>
                      <w:rPr>
                        <w:sz w:val="24"/>
                      </w:rPr>
                    </w:pPr>
                    <w:r>
                      <w:t>94.64</w:t>
                    </w:r>
                  </w:p>
                </w:tc>
                <w:tc>
                  <w:tcPr>
                    <w:tcW w:w="557" w:type="pct"/>
                    <w:vAlign w:val="center"/>
                  </w:tcPr>
                  <w:p>
                    <w:pPr>
                      <w:widowControl w:val="0"/>
                      <w:jc w:val="right"/>
                      <w:rPr>
                        <w:sz w:val="24"/>
                      </w:rPr>
                    </w:pPr>
                    <w:r>
                      <w:t>4.96</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szCs w:val="21"/>
              </w:rPr>
              <w:alias w:val="分行业成本分析"/>
              <w:tag w:val="_TUP_fb9e3026efbd4a2c91fdedd10a926f41"/>
              <w:id w:val="34630681"/>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szCs w:val="21"/>
                      </w:rPr>
                    </w:pP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直接人工</w:t>
                    </w:r>
                  </w:p>
                </w:tc>
                <w:tc>
                  <w:tcPr>
                    <w:tcW w:w="951" w:type="pct"/>
                    <w:vAlign w:val="center"/>
                  </w:tcPr>
                  <w:p>
                    <w:pPr>
                      <w:widowControl w:val="0"/>
                      <w:jc w:val="right"/>
                      <w:rPr>
                        <w:sz w:val="24"/>
                      </w:rPr>
                    </w:pPr>
                    <w:r>
                      <w:t>82,086,206.91</w:t>
                    </w:r>
                  </w:p>
                </w:tc>
                <w:tc>
                  <w:tcPr>
                    <w:tcW w:w="582" w:type="pct"/>
                    <w:vAlign w:val="center"/>
                  </w:tcPr>
                  <w:p>
                    <w:pPr>
                      <w:widowControl w:val="0"/>
                      <w:jc w:val="right"/>
                      <w:rPr>
                        <w:sz w:val="24"/>
                      </w:rPr>
                    </w:pPr>
                    <w:r>
                      <w:t>2.54</w:t>
                    </w:r>
                  </w:p>
                </w:tc>
                <w:tc>
                  <w:tcPr>
                    <w:tcW w:w="951" w:type="pct"/>
                    <w:vAlign w:val="center"/>
                  </w:tcPr>
                  <w:p>
                    <w:pPr>
                      <w:widowControl w:val="0"/>
                      <w:jc w:val="right"/>
                      <w:rPr>
                        <w:sz w:val="24"/>
                      </w:rPr>
                    </w:pPr>
                    <w:r>
                      <w:t>77,407,923.08</w:t>
                    </w:r>
                  </w:p>
                </w:tc>
                <w:tc>
                  <w:tcPr>
                    <w:tcW w:w="582" w:type="pct"/>
                    <w:vAlign w:val="center"/>
                  </w:tcPr>
                  <w:p>
                    <w:pPr>
                      <w:widowControl w:val="0"/>
                      <w:jc w:val="right"/>
                      <w:rPr>
                        <w:sz w:val="24"/>
                      </w:rPr>
                    </w:pPr>
                    <w:r>
                      <w:t>2.51</w:t>
                    </w:r>
                  </w:p>
                </w:tc>
                <w:tc>
                  <w:tcPr>
                    <w:tcW w:w="557" w:type="pct"/>
                    <w:vAlign w:val="center"/>
                  </w:tcPr>
                  <w:p>
                    <w:pPr>
                      <w:widowControl w:val="0"/>
                      <w:jc w:val="right"/>
                      <w:rPr>
                        <w:sz w:val="24"/>
                      </w:rPr>
                    </w:pPr>
                    <w:r>
                      <w:t>6.04</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szCs w:val="21"/>
              </w:rPr>
              <w:alias w:val="分行业成本分析"/>
              <w:tag w:val="_TUP_fb9e3026efbd4a2c91fdedd10a926f41"/>
              <w:id w:val="34630682"/>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szCs w:val="21"/>
                      </w:rPr>
                    </w:pP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制造费用</w:t>
                    </w:r>
                  </w:p>
                </w:tc>
                <w:tc>
                  <w:tcPr>
                    <w:tcW w:w="951" w:type="pct"/>
                    <w:vAlign w:val="center"/>
                  </w:tcPr>
                  <w:p>
                    <w:pPr>
                      <w:widowControl w:val="0"/>
                      <w:jc w:val="right"/>
                      <w:rPr>
                        <w:sz w:val="24"/>
                      </w:rPr>
                    </w:pPr>
                    <w:r>
                      <w:t>89,144,498.80</w:t>
                    </w:r>
                  </w:p>
                </w:tc>
                <w:tc>
                  <w:tcPr>
                    <w:tcW w:w="582" w:type="pct"/>
                    <w:vAlign w:val="center"/>
                  </w:tcPr>
                  <w:p>
                    <w:pPr>
                      <w:widowControl w:val="0"/>
                      <w:jc w:val="right"/>
                      <w:rPr>
                        <w:sz w:val="24"/>
                      </w:rPr>
                    </w:pPr>
                    <w:r>
                      <w:t>2.76</w:t>
                    </w:r>
                  </w:p>
                </w:tc>
                <w:tc>
                  <w:tcPr>
                    <w:tcW w:w="951" w:type="pct"/>
                    <w:vAlign w:val="center"/>
                  </w:tcPr>
                  <w:p>
                    <w:pPr>
                      <w:widowControl w:val="0"/>
                      <w:jc w:val="right"/>
                      <w:rPr>
                        <w:sz w:val="24"/>
                      </w:rPr>
                    </w:pPr>
                    <w:r>
                      <w:t>87,584,729.22</w:t>
                    </w:r>
                  </w:p>
                </w:tc>
                <w:tc>
                  <w:tcPr>
                    <w:tcW w:w="582" w:type="pct"/>
                    <w:vAlign w:val="center"/>
                  </w:tcPr>
                  <w:p>
                    <w:pPr>
                      <w:widowControl w:val="0"/>
                      <w:jc w:val="right"/>
                      <w:rPr>
                        <w:sz w:val="24"/>
                      </w:rPr>
                    </w:pPr>
                    <w:r>
                      <w:t>2.85</w:t>
                    </w:r>
                  </w:p>
                </w:tc>
                <w:tc>
                  <w:tcPr>
                    <w:tcW w:w="557" w:type="pct"/>
                    <w:vAlign w:val="center"/>
                  </w:tcPr>
                  <w:p>
                    <w:pPr>
                      <w:widowControl w:val="0"/>
                      <w:jc w:val="right"/>
                      <w:rPr>
                        <w:sz w:val="24"/>
                      </w:rPr>
                    </w:pPr>
                    <w:r>
                      <w:t>1.78</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szCs w:val="21"/>
              </w:rPr>
              <w:alias w:val="分行业成本分析"/>
              <w:tag w:val="_TUP_fb9e3026efbd4a2c91fdedd10a926f41"/>
              <w:id w:val="34630683"/>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szCs w:val="21"/>
                      </w:rPr>
                    </w:pP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小计</w:t>
                    </w:r>
                  </w:p>
                </w:tc>
                <w:tc>
                  <w:tcPr>
                    <w:tcW w:w="951" w:type="pct"/>
                    <w:vAlign w:val="center"/>
                  </w:tcPr>
                  <w:p>
                    <w:pPr>
                      <w:widowControl w:val="0"/>
                      <w:jc w:val="right"/>
                      <w:rPr>
                        <w:sz w:val="24"/>
                      </w:rPr>
                    </w:pPr>
                    <w:r>
                      <w:t>3,229,476,346.80</w:t>
                    </w:r>
                  </w:p>
                </w:tc>
                <w:tc>
                  <w:tcPr>
                    <w:tcW w:w="582" w:type="pct"/>
                    <w:vAlign w:val="center"/>
                  </w:tcPr>
                  <w:p>
                    <w:pPr>
                      <w:widowControl w:val="0"/>
                      <w:jc w:val="right"/>
                      <w:rPr>
                        <w:sz w:val="24"/>
                      </w:rPr>
                    </w:pPr>
                    <w:r>
                      <w:t>100.00</w:t>
                    </w:r>
                  </w:p>
                </w:tc>
                <w:tc>
                  <w:tcPr>
                    <w:tcW w:w="951" w:type="pct"/>
                    <w:vAlign w:val="center"/>
                  </w:tcPr>
                  <w:p>
                    <w:pPr>
                      <w:widowControl w:val="0"/>
                      <w:jc w:val="right"/>
                      <w:rPr>
                        <w:sz w:val="24"/>
                      </w:rPr>
                    </w:pPr>
                    <w:r>
                      <w:t>3,078,763,523.08</w:t>
                    </w:r>
                  </w:p>
                </w:tc>
                <w:tc>
                  <w:tcPr>
                    <w:tcW w:w="582" w:type="pct"/>
                    <w:vAlign w:val="center"/>
                  </w:tcPr>
                  <w:p>
                    <w:pPr>
                      <w:widowControl w:val="0"/>
                      <w:jc w:val="right"/>
                      <w:rPr>
                        <w:sz w:val="24"/>
                      </w:rPr>
                    </w:pPr>
                    <w:r>
                      <w:t>100.00</w:t>
                    </w:r>
                  </w:p>
                </w:tc>
                <w:tc>
                  <w:tcPr>
                    <w:tcW w:w="557" w:type="pct"/>
                    <w:vAlign w:val="center"/>
                  </w:tcPr>
                  <w:p>
                    <w:pPr>
                      <w:widowControl w:val="0"/>
                      <w:jc w:val="right"/>
                      <w:rPr>
                        <w:sz w:val="24"/>
                      </w:rPr>
                    </w:pPr>
                    <w:r>
                      <w:t>4.90</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cstheme="minorBidi"/>
                <w:kern w:val="2"/>
                <w:szCs w:val="21"/>
              </w:rPr>
              <w:alias w:val="分行业成本分析"/>
              <w:tag w:val="_TUP_fb9e3026efbd4a2c91fdedd10a926f41"/>
              <w:id w:val="34630688"/>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restart"/>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584" w:type="pct"/>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综合成本</w:t>
                    </w:r>
                  </w:p>
                </w:tc>
                <w:tc>
                  <w:tcPr>
                    <w:tcW w:w="951"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96,154,542.35</w:t>
                    </w:r>
                  </w:p>
                </w:tc>
                <w:tc>
                  <w:tcPr>
                    <w:tcW w:w="582"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w:t>
                    </w:r>
                    <w:r>
                      <w:rPr>
                        <w:rFonts w:hint="eastAsia" w:asciiTheme="minorEastAsia" w:hAnsiTheme="minorEastAsia" w:eastAsiaTheme="minorEastAsia"/>
                        <w:szCs w:val="21"/>
                      </w:rPr>
                      <w:t>0</w:t>
                    </w:r>
                  </w:p>
                </w:tc>
                <w:tc>
                  <w:tcPr>
                    <w:tcW w:w="951"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162,817,257.55</w:t>
                    </w:r>
                  </w:p>
                </w:tc>
                <w:tc>
                  <w:tcPr>
                    <w:tcW w:w="582"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-40.94</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szCs w:val="21"/>
              </w:rPr>
              <w:alias w:val="分行业成本分析"/>
              <w:tag w:val="_TUP_fb9e3026efbd4a2c91fdedd10a926f41"/>
              <w:id w:val="34630689"/>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tcPr>
                  <w:p>
                    <w:pPr>
                      <w:widowControl w:val="0"/>
                      <w:jc w:val="both"/>
                      <w:rPr>
                        <w:rFonts w:asciiTheme="minorEastAsia" w:hAnsiTheme="minorEastAsia" w:eastAsiaTheme="minorEastAsia"/>
                        <w:szCs w:val="21"/>
                      </w:rPr>
                    </w:pP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小计</w:t>
                    </w:r>
                  </w:p>
                </w:tc>
                <w:tc>
                  <w:tcPr>
                    <w:tcW w:w="951"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96,154,542.35</w:t>
                    </w:r>
                  </w:p>
                </w:tc>
                <w:tc>
                  <w:tcPr>
                    <w:tcW w:w="582"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w:t>
                    </w:r>
                    <w:r>
                      <w:rPr>
                        <w:rFonts w:hint="eastAsia" w:asciiTheme="minorEastAsia" w:hAnsiTheme="minorEastAsia" w:eastAsiaTheme="minorEastAsia"/>
                        <w:szCs w:val="21"/>
                      </w:rPr>
                      <w:t>0</w:t>
                    </w:r>
                  </w:p>
                </w:tc>
                <w:tc>
                  <w:tcPr>
                    <w:tcW w:w="951"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162,817,257.55</w:t>
                    </w:r>
                  </w:p>
                </w:tc>
                <w:tc>
                  <w:tcPr>
                    <w:tcW w:w="582"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-40.94</w:t>
                    </w:r>
                  </w:p>
                </w:tc>
                <w:tc>
                  <w:tcPr>
                    <w:tcW w:w="313" w:type="pct"/>
                  </w:tcPr>
                  <w:p>
                    <w:pPr>
                      <w:widowControl w:val="0"/>
                      <w:jc w:val="right"/>
                      <w:rPr>
                        <w:rFonts w:asciiTheme="minorEastAsia" w:hAnsiTheme="minorEastAsia" w:eastAsiaTheme="minorEastAsia"/>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sdt>
              <w:sdtPr>
                <w:rPr>
                  <w:rFonts w:asciiTheme="minorEastAsia" w:hAnsiTheme="minorEastAsia" w:eastAsiaTheme="minorEastAsia"/>
                  <w:szCs w:val="21"/>
                </w:rPr>
                <w:tag w:val="_PLD_0092d9f33f1f4ccb96da6cc52c190e39"/>
                <w:id w:val="34630690"/>
                <w:lock w:val="sdtLocked"/>
              </w:sdtPr>
              <w:sdtEndPr>
                <w:rPr>
                  <w:rFonts w:asciiTheme="minorEastAsia" w:hAnsiTheme="minorEastAsia" w:eastAsiaTheme="minorEastAsia"/>
                  <w:szCs w:val="21"/>
                </w:rPr>
              </w:sdtEndPr>
              <w:sdtContent>
                <w:tc>
                  <w:tcPr>
                    <w:tcW w:w="5000" w:type="pct"/>
                    <w:gridSpan w:val="8"/>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分产品情况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rPr>
                  <w:rFonts w:asciiTheme="minorEastAsia" w:hAnsiTheme="minorEastAsia" w:eastAsiaTheme="minorEastAsia"/>
                  <w:szCs w:val="21"/>
                </w:rPr>
                <w:tag w:val="_PLD_c196e3eb716a4b75bda8de0a1a1a5780"/>
                <w:id w:val="34630691"/>
                <w:lock w:val="sdtLocked"/>
              </w:sdtPr>
              <w:sdtEndPr>
                <w:rPr>
                  <w:rFonts w:asciiTheme="minorEastAsia" w:hAnsiTheme="minorEastAsia" w:eastAsiaTheme="minorEastAsia"/>
                  <w:szCs w:val="21"/>
                </w:rPr>
              </w:sdtEndPr>
              <w:sdtContent>
                <w:tc>
                  <w:tcPr>
                    <w:tcW w:w="480"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分</w:t>
                    </w:r>
                    <w:r>
                      <w:rPr>
                        <w:rFonts w:hint="eastAsia" w:asciiTheme="minorEastAsia" w:hAnsiTheme="minorEastAsia" w:eastAsiaTheme="minorEastAsia"/>
                        <w:szCs w:val="21"/>
                      </w:rPr>
                      <w:t>产品</w:t>
                    </w:r>
                  </w:p>
                </w:tc>
              </w:sdtContent>
            </w:sdt>
            <w:sdt>
              <w:sdtPr>
                <w:rPr>
                  <w:rFonts w:asciiTheme="minorEastAsia" w:hAnsiTheme="minorEastAsia" w:eastAsiaTheme="minorEastAsia"/>
                  <w:szCs w:val="21"/>
                </w:rPr>
                <w:tag w:val="_PLD_9a4782df875a421fa22d5bb28b135494"/>
                <w:id w:val="34630692"/>
                <w:lock w:val="sdtLocked"/>
              </w:sdtPr>
              <w:sdtEndPr>
                <w:rPr>
                  <w:rFonts w:asciiTheme="minorEastAsia" w:hAnsiTheme="minorEastAsia" w:eastAsiaTheme="minorEastAsia"/>
                  <w:szCs w:val="21"/>
                </w:rPr>
              </w:sdtEndPr>
              <w:sdtContent>
                <w:tc>
                  <w:tcPr>
                    <w:tcW w:w="584"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成本构成项目</w:t>
                    </w:r>
                  </w:p>
                </w:tc>
              </w:sdtContent>
            </w:sdt>
            <w:sdt>
              <w:sdtPr>
                <w:rPr>
                  <w:rFonts w:asciiTheme="minorEastAsia" w:hAnsiTheme="minorEastAsia" w:eastAsiaTheme="minorEastAsia"/>
                  <w:szCs w:val="21"/>
                </w:rPr>
                <w:tag w:val="_PLD_3ddf6750761e4cb5a3c10274752059ad"/>
                <w:id w:val="34630693"/>
                <w:lock w:val="sdtLocked"/>
              </w:sdtPr>
              <w:sdtEndPr>
                <w:rPr>
                  <w:rFonts w:asciiTheme="minorEastAsia" w:hAnsiTheme="minorEastAsia" w:eastAsiaTheme="minorEastAsia"/>
                  <w:szCs w:val="21"/>
                </w:rPr>
              </w:sdtEndPr>
              <w:sdtContent>
                <w:tc>
                  <w:tcPr>
                    <w:tcW w:w="951"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本期金额</w:t>
                    </w:r>
                  </w:p>
                </w:tc>
              </w:sdtContent>
            </w:sdt>
            <w:sdt>
              <w:sdtPr>
                <w:rPr>
                  <w:rFonts w:asciiTheme="minorEastAsia" w:hAnsiTheme="minorEastAsia" w:eastAsiaTheme="minorEastAsia"/>
                  <w:szCs w:val="21"/>
                </w:rPr>
                <w:tag w:val="_PLD_dcb03e51a739483781a7336e1a9b6c53"/>
                <w:id w:val="34630694"/>
                <w:lock w:val="sdtLocked"/>
              </w:sdtPr>
              <w:sdtEndPr>
                <w:rPr>
                  <w:rFonts w:asciiTheme="minorEastAsia" w:hAnsiTheme="minorEastAsia" w:eastAsiaTheme="minorEastAsia"/>
                  <w:szCs w:val="21"/>
                </w:rPr>
              </w:sdtEndPr>
              <w:sdtContent>
                <w:tc>
                  <w:tcPr>
                    <w:tcW w:w="582"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本期占总成本比例(</w:t>
                    </w:r>
                    <w:r>
                      <w:rPr>
                        <w:rFonts w:hint="eastAsia" w:asciiTheme="minorEastAsia" w:hAnsiTheme="minorEastAsia" w:eastAsiaTheme="minorEastAsia"/>
                        <w:szCs w:val="21"/>
                      </w:rPr>
                      <w:t>%</w:t>
                    </w:r>
                    <w:r>
                      <w:rPr>
                        <w:rFonts w:asciiTheme="minorEastAsia" w:hAnsiTheme="minorEastAsia" w:eastAsiaTheme="minorEastAsia"/>
                        <w:szCs w:val="21"/>
                      </w:rPr>
                      <w:t>)</w:t>
                    </w:r>
                  </w:p>
                </w:tc>
              </w:sdtContent>
            </w:sdt>
            <w:sdt>
              <w:sdtPr>
                <w:rPr>
                  <w:rFonts w:asciiTheme="minorEastAsia" w:hAnsiTheme="minorEastAsia" w:eastAsiaTheme="minorEastAsia"/>
                  <w:szCs w:val="21"/>
                </w:rPr>
                <w:tag w:val="_PLD_fe6b2171d862410980857c00f504b451"/>
                <w:id w:val="34630695"/>
                <w:lock w:val="sdtLocked"/>
              </w:sdtPr>
              <w:sdtEndPr>
                <w:rPr>
                  <w:rFonts w:asciiTheme="minorEastAsia" w:hAnsiTheme="minorEastAsia" w:eastAsiaTheme="minorEastAsia"/>
                  <w:szCs w:val="21"/>
                </w:rPr>
              </w:sdtEndPr>
              <w:sdtContent>
                <w:tc>
                  <w:tcPr>
                    <w:tcW w:w="951"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上年同期金额</w:t>
                    </w:r>
                  </w:p>
                </w:tc>
              </w:sdtContent>
            </w:sdt>
            <w:sdt>
              <w:sdtPr>
                <w:rPr>
                  <w:rFonts w:asciiTheme="minorEastAsia" w:hAnsiTheme="minorEastAsia" w:eastAsiaTheme="minorEastAsia"/>
                  <w:szCs w:val="21"/>
                </w:rPr>
                <w:tag w:val="_PLD_4cf5110e7be04df78012e249a0900292"/>
                <w:id w:val="34630696"/>
                <w:lock w:val="sdtLocked"/>
              </w:sdtPr>
              <w:sdtEndPr>
                <w:rPr>
                  <w:rFonts w:asciiTheme="minorEastAsia" w:hAnsiTheme="minorEastAsia" w:eastAsiaTheme="minorEastAsia"/>
                  <w:szCs w:val="21"/>
                </w:rPr>
              </w:sdtEndPr>
              <w:sdtContent>
                <w:tc>
                  <w:tcPr>
                    <w:tcW w:w="582"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上年同期占总成本比例(</w:t>
                    </w:r>
                    <w:r>
                      <w:rPr>
                        <w:rFonts w:hint="eastAsia" w:asciiTheme="minorEastAsia" w:hAnsiTheme="minorEastAsia" w:eastAsiaTheme="minorEastAsia"/>
                        <w:szCs w:val="21"/>
                      </w:rPr>
                      <w:t>%</w:t>
                    </w:r>
                    <w:r>
                      <w:rPr>
                        <w:rFonts w:asciiTheme="minorEastAsia" w:hAnsiTheme="minorEastAsia" w:eastAsiaTheme="minorEastAsia"/>
                        <w:szCs w:val="21"/>
                      </w:rPr>
                      <w:t>)</w:t>
                    </w:r>
                  </w:p>
                </w:tc>
              </w:sdtContent>
            </w:sdt>
            <w:sdt>
              <w:sdtPr>
                <w:rPr>
                  <w:rFonts w:asciiTheme="minorEastAsia" w:hAnsiTheme="minorEastAsia" w:eastAsiaTheme="minorEastAsia"/>
                  <w:szCs w:val="21"/>
                </w:rPr>
                <w:tag w:val="_PLD_efbc8491fdf34506bf7690ab3a8f6402"/>
                <w:id w:val="34630697"/>
                <w:lock w:val="sdtLocked"/>
              </w:sdtPr>
              <w:sdtEndPr>
                <w:rPr>
                  <w:rFonts w:asciiTheme="minorEastAsia" w:hAnsiTheme="minorEastAsia" w:eastAsiaTheme="minorEastAsia"/>
                  <w:szCs w:val="21"/>
                </w:rPr>
              </w:sdtEndPr>
              <w:sdtContent>
                <w:tc>
                  <w:tcPr>
                    <w:tcW w:w="557"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本期金额较上年同期变动比例(</w:t>
                    </w:r>
                    <w:r>
                      <w:rPr>
                        <w:rFonts w:hint="eastAsia" w:asciiTheme="minorEastAsia" w:hAnsiTheme="minorEastAsia" w:eastAsiaTheme="minorEastAsia"/>
                        <w:szCs w:val="21"/>
                      </w:rPr>
                      <w:t>%</w:t>
                    </w:r>
                    <w:r>
                      <w:rPr>
                        <w:rFonts w:asciiTheme="minorEastAsia" w:hAnsiTheme="minorEastAsia" w:eastAsiaTheme="minorEastAsia"/>
                        <w:szCs w:val="21"/>
                      </w:rPr>
                      <w:t>)</w:t>
                    </w:r>
                  </w:p>
                </w:tc>
              </w:sdtContent>
            </w:sdt>
            <w:sdt>
              <w:sdtPr>
                <w:rPr>
                  <w:rFonts w:asciiTheme="minorEastAsia" w:hAnsiTheme="minorEastAsia" w:eastAsiaTheme="minorEastAsia"/>
                  <w:szCs w:val="21"/>
                </w:rPr>
                <w:tag w:val="_PLD_b8e943b8220340c7810a554346594426"/>
                <w:id w:val="34630698"/>
                <w:lock w:val="sdtLocked"/>
              </w:sdtPr>
              <w:sdtEndPr>
                <w:rPr>
                  <w:rFonts w:asciiTheme="minorEastAsia" w:hAnsiTheme="minorEastAsia" w:eastAsiaTheme="minorEastAsia"/>
                  <w:szCs w:val="21"/>
                </w:rPr>
              </w:sdtEndPr>
              <w:sdtContent>
                <w:tc>
                  <w:tcPr>
                    <w:tcW w:w="313" w:type="pc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情况</w:t>
                    </w:r>
                  </w:p>
                  <w:p>
                    <w:pPr>
                      <w:widowControl w:val="0"/>
                      <w:jc w:val="center"/>
                      <w:rPr>
                        <w:rFonts w:asciiTheme="minorEastAsia" w:hAnsiTheme="minorEastAsia" w:eastAsiaTheme="minorEastAsia"/>
                        <w:szCs w:val="21"/>
                      </w:rPr>
                    </w:pPr>
                    <w:r>
                      <w:rPr>
                        <w:rFonts w:asciiTheme="minorEastAsia" w:hAnsiTheme="minorEastAsia" w:eastAsiaTheme="minorEastAsia"/>
                        <w:szCs w:val="21"/>
                      </w:rPr>
                      <w:t>说明</w:t>
                    </w:r>
                  </w:p>
                </w:tc>
              </w:sdtContent>
            </w:sdt>
          </w:tr>
          <w:sdt>
            <w:sdtPr>
              <w:rPr>
                <w:rFonts w:asciiTheme="minorEastAsia" w:hAnsiTheme="minorEastAsia" w:eastAsiaTheme="minorEastAsia" w:cstheme="minorBidi"/>
                <w:kern w:val="2"/>
                <w:szCs w:val="21"/>
              </w:rPr>
              <w:alias w:val="分产品成本分析"/>
              <w:tag w:val="_TUP_a99457d0ffea4639b6d23dc0f965122f"/>
              <w:id w:val="34630699"/>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restart"/>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乘用车及配件</w:t>
                    </w: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直接材料</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448,123,439.03</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99.56</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400,075,122.91</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96.52</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12.01</w:t>
                    </w:r>
                  </w:p>
                </w:tc>
                <w:tc>
                  <w:tcPr>
                    <w:tcW w:w="313" w:type="pct"/>
                    <w:tcBorders>
                      <w:bottom w:val="single" w:color="auto" w:sz="4" w:space="0"/>
                    </w:tcBorders>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szCs w:val="21"/>
              </w:rPr>
              <w:alias w:val="分产品成本分析"/>
              <w:tag w:val="_TUP_a99457d0ffea4639b6d23dc0f965122f"/>
              <w:id w:val="34630700"/>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szCs w:val="21"/>
                      </w:rPr>
                    </w:pP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直接人工</w:t>
                    </w:r>
                  </w:p>
                </w:tc>
                <w:tc>
                  <w:tcPr>
                    <w:tcW w:w="951"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1,015,696.52</w:t>
                    </w:r>
                  </w:p>
                </w:tc>
                <w:tc>
                  <w:tcPr>
                    <w:tcW w:w="5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0.23</w:t>
                    </w:r>
                  </w:p>
                </w:tc>
                <w:tc>
                  <w:tcPr>
                    <w:tcW w:w="951"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4,488,555.26</w:t>
                    </w:r>
                  </w:p>
                </w:tc>
                <w:tc>
                  <w:tcPr>
                    <w:tcW w:w="5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1.08</w:t>
                    </w:r>
                  </w:p>
                </w:tc>
                <w:tc>
                  <w:tcPr>
                    <w:tcW w:w="55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-77.37</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szCs w:val="21"/>
              </w:rPr>
              <w:alias w:val="分产品成本分析"/>
              <w:tag w:val="_TUP_a99457d0ffea4639b6d23dc0f965122f"/>
              <w:id w:val="34630701"/>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szCs w:val="21"/>
                      </w:rPr>
                    </w:pPr>
                  </w:p>
                </w:tc>
                <w:tc>
                  <w:tcPr>
                    <w:tcW w:w="584" w:type="pct"/>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制造费用</w:t>
                    </w:r>
                  </w:p>
                </w:tc>
                <w:tc>
                  <w:tcPr>
                    <w:tcW w:w="951"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954,555.37</w:t>
                    </w:r>
                  </w:p>
                </w:tc>
                <w:tc>
                  <w:tcPr>
                    <w:tcW w:w="5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0.21</w:t>
                    </w:r>
                  </w:p>
                </w:tc>
                <w:tc>
                  <w:tcPr>
                    <w:tcW w:w="951"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9,932,765.61</w:t>
                    </w:r>
                  </w:p>
                </w:tc>
                <w:tc>
                  <w:tcPr>
                    <w:tcW w:w="582"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2.40</w:t>
                    </w:r>
                  </w:p>
                </w:tc>
                <w:tc>
                  <w:tcPr>
                    <w:tcW w:w="557" w:type="pct"/>
                  </w:tcPr>
                  <w:p>
                    <w:pPr>
                      <w:widowControl w:val="0"/>
                      <w:jc w:val="right"/>
                      <w:rPr>
                        <w:rFonts w:asciiTheme="minorEastAsia" w:hAnsiTheme="minorEastAsia" w:eastAsiaTheme="minorEastAsia"/>
                        <w:szCs w:val="21"/>
                      </w:rPr>
                    </w:pPr>
                    <w:r>
                      <w:rPr>
                        <w:rFonts w:asciiTheme="minorEastAsia" w:hAnsiTheme="minorEastAsia" w:eastAsiaTheme="minorEastAsia"/>
                        <w:szCs w:val="21"/>
                      </w:rPr>
                      <w:t>-90.39</w:t>
                    </w:r>
                  </w:p>
                </w:tc>
                <w:tc>
                  <w:tcPr>
                    <w:tcW w:w="313" w:type="pct"/>
                  </w:tcPr>
                  <w:p>
                    <w:pPr>
                      <w:widowControl w:val="0"/>
                      <w:jc w:val="right"/>
                      <w:rPr>
                        <w:rFonts w:asciiTheme="minorEastAsia" w:hAnsiTheme="minorEastAsia" w:eastAsiaTheme="minorEastAsia"/>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2"/>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tcBorders>
                      <w:bottom w:val="single" w:color="auto" w:sz="4" w:space="0"/>
                    </w:tcBorders>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小计</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450,093,690.92</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414,496,443.7</w:t>
                    </w:r>
                    <w:r>
                      <w:rPr>
                        <w:rFonts w:hint="eastAsia" w:asciiTheme="minorEastAsia" w:hAnsiTheme="minorEastAsia" w:eastAsiaTheme="minorEastAsia"/>
                        <w:szCs w:val="21"/>
                      </w:rPr>
                      <w:t>8</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8.59</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3"/>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restart"/>
                    <w:vAlign w:val="center"/>
                  </w:tcPr>
                  <w:p>
                    <w:pPr>
                      <w:widowControl w:val="0"/>
                      <w:jc w:val="center"/>
                      <w:rPr>
                        <w:rFonts w:asciiTheme="minorEastAsia" w:hAnsiTheme="minorEastAsia" w:eastAsiaTheme="minorEastAsia" w:cstheme="minorBidi"/>
                        <w:kern w:val="2"/>
                        <w:szCs w:val="21"/>
                      </w:rPr>
                    </w:pPr>
                    <w:r>
                      <w:rPr>
                        <w:rFonts w:asciiTheme="minorEastAsia" w:hAnsiTheme="minorEastAsia" w:eastAsiaTheme="minorEastAsia"/>
                        <w:szCs w:val="21"/>
                      </w:rPr>
                      <w:t>摩托车及配件</w:t>
                    </w: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直接材料</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2,271,407,035.29</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94.0</w:t>
                    </w:r>
                    <w:r>
                      <w:rPr>
                        <w:rFonts w:hint="eastAsia" w:asciiTheme="minorEastAsia" w:hAnsiTheme="minorEastAsia" w:eastAsiaTheme="minorEastAsia"/>
                        <w:szCs w:val="21"/>
                      </w:rPr>
                      <w:t>4</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2,217,266,066.89</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94.4</w:t>
                    </w:r>
                    <w:r>
                      <w:rPr>
                        <w:rFonts w:hint="eastAsia" w:asciiTheme="minorEastAsia" w:hAnsiTheme="minorEastAsia" w:eastAsiaTheme="minorEastAsia"/>
                        <w:szCs w:val="21"/>
                      </w:rPr>
                      <w:t>9</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2.44</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4"/>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直接人工</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67,266,438.08</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2.79</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62,264,579.69</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2.65</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8.03</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5"/>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制造费用</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76,549,739.5</w:t>
                    </w:r>
                    <w:r>
                      <w:rPr>
                        <w:rFonts w:hint="eastAsia" w:asciiTheme="minorEastAsia" w:hAnsiTheme="minorEastAsia" w:eastAsiaTheme="minorEastAsia"/>
                        <w:szCs w:val="21"/>
                      </w:rPr>
                      <w:t>1</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3.17</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67,187,323.34</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2.86</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13.93</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6"/>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tcBorders>
                      <w:bottom w:val="single" w:color="auto" w:sz="4" w:space="0"/>
                    </w:tcBorders>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小计</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2,415,223,212.88</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2,346,717,969.92</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2.92</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7"/>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restart"/>
                    <w:vAlign w:val="center"/>
                  </w:tcPr>
                  <w:p>
                    <w:pPr>
                      <w:widowControl w:val="0"/>
                      <w:jc w:val="center"/>
                      <w:rPr>
                        <w:rFonts w:asciiTheme="minorEastAsia" w:hAnsiTheme="minorEastAsia" w:eastAsiaTheme="minorEastAsia" w:cstheme="minorBidi"/>
                        <w:kern w:val="2"/>
                        <w:szCs w:val="21"/>
                      </w:rPr>
                    </w:pPr>
                    <w:r>
                      <w:rPr>
                        <w:rFonts w:asciiTheme="minorEastAsia" w:hAnsiTheme="minorEastAsia" w:eastAsiaTheme="minorEastAsia"/>
                        <w:szCs w:val="21"/>
                      </w:rPr>
                      <w:t>内燃机及配件</w:t>
                    </w: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直接材料</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338,715,166.7</w:t>
                    </w:r>
                    <w:r>
                      <w:rPr>
                        <w:rFonts w:hint="eastAsia" w:asciiTheme="minorEastAsia" w:hAnsiTheme="minorEastAsia" w:eastAsiaTheme="minorEastAsia"/>
                        <w:szCs w:val="21"/>
                      </w:rPr>
                      <w:t>7</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93.01</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296,429,680.9</w:t>
                    </w:r>
                    <w:r>
                      <w:rPr>
                        <w:rFonts w:hint="eastAsia" w:asciiTheme="minorEastAsia" w:hAnsiTheme="minorEastAsia" w:eastAsiaTheme="minorEastAsia"/>
                        <w:szCs w:val="21"/>
                      </w:rPr>
                      <w:t>8</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93.35</w:t>
                    </w:r>
                  </w:p>
                </w:tc>
                <w:tc>
                  <w:tcPr>
                    <w:tcW w:w="557"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14.26</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8"/>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直接人工</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13,804,072.31</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3.79</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10,654,788.13</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3.36</w:t>
                    </w:r>
                  </w:p>
                </w:tc>
                <w:tc>
                  <w:tcPr>
                    <w:tcW w:w="557"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29.56</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09"/>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制造费用</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11,640,203.92</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3.20</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10,464,640.27</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3.29</w:t>
                    </w:r>
                  </w:p>
                </w:tc>
                <w:tc>
                  <w:tcPr>
                    <w:tcW w:w="557"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11.23</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10"/>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tcBorders>
                      <w:bottom w:val="single" w:color="auto" w:sz="4" w:space="0"/>
                    </w:tcBorders>
                    <w:vAlign w:val="center"/>
                  </w:tcPr>
                  <w:p>
                    <w:pPr>
                      <w:widowControl w:val="0"/>
                      <w:jc w:val="center"/>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小计</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364,159,443.00</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317,549,109.38</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14.68</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11"/>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restart"/>
                    <w:vAlign w:val="center"/>
                  </w:tcPr>
                  <w:p>
                    <w:pPr>
                      <w:widowControl w:val="0"/>
                      <w:jc w:val="center"/>
                      <w:rPr>
                        <w:rFonts w:asciiTheme="minorEastAsia" w:hAnsiTheme="minorEastAsia" w:eastAsiaTheme="minorEastAsia" w:cstheme="minorBidi"/>
                        <w:kern w:val="2"/>
                        <w:szCs w:val="21"/>
                      </w:rPr>
                    </w:pPr>
                    <w:r>
                      <w:rPr>
                        <w:rFonts w:hint="eastAsia" w:asciiTheme="minorEastAsia" w:hAnsiTheme="minorEastAsia" w:eastAsiaTheme="minorEastAsia"/>
                        <w:szCs w:val="21"/>
                      </w:rPr>
                      <w:t>其他</w:t>
                    </w: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综合成本</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96,154,542.35</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951"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162,817,257.55</w:t>
                    </w:r>
                  </w:p>
                </w:tc>
                <w:tc>
                  <w:tcPr>
                    <w:tcW w:w="582"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tcBorders>
                      <w:bottom w:val="single" w:color="auto" w:sz="4" w:space="0"/>
                    </w:tcBorders>
                    <w:vAlign w:val="center"/>
                  </w:tcPr>
                  <w:p>
                    <w:pPr>
                      <w:widowControl w:val="0"/>
                      <w:jc w:val="right"/>
                      <w:rPr>
                        <w:rFonts w:asciiTheme="minorEastAsia" w:hAnsiTheme="minorEastAsia" w:eastAsiaTheme="minorEastAsia"/>
                        <w:szCs w:val="21"/>
                      </w:rPr>
                    </w:pPr>
                    <w:r>
                      <w:rPr>
                        <w:rFonts w:asciiTheme="minorEastAsia" w:hAnsiTheme="minorEastAsia" w:eastAsiaTheme="minorEastAsia"/>
                        <w:szCs w:val="21"/>
                      </w:rPr>
                      <w:t>-40.94</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sdt>
            <w:sdtPr>
              <w:rPr>
                <w:rFonts w:asciiTheme="minorEastAsia" w:hAnsiTheme="minorEastAsia" w:eastAsiaTheme="minorEastAsia" w:cstheme="minorBidi"/>
                <w:kern w:val="2"/>
                <w:szCs w:val="21"/>
              </w:rPr>
              <w:alias w:val="分产品成本分析"/>
              <w:tag w:val="_TUP_a99457d0ffea4639b6d23dc0f965122f"/>
              <w:id w:val="34630712"/>
              <w:lock w:val="sdtLocked"/>
            </w:sdtPr>
            <w:sdtEndPr>
              <w:rPr>
                <w:rFonts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480" w:type="pct"/>
                    <w:vMerge w:val="continue"/>
                    <w:tcBorders>
                      <w:bottom w:val="single" w:color="auto" w:sz="4" w:space="0"/>
                    </w:tcBorders>
                  </w:tcPr>
                  <w:p>
                    <w:pPr>
                      <w:widowControl w:val="0"/>
                      <w:jc w:val="both"/>
                      <w:rPr>
                        <w:rFonts w:asciiTheme="minorEastAsia" w:hAnsiTheme="minorEastAsia" w:eastAsiaTheme="minorEastAsia" w:cstheme="minorBidi"/>
                        <w:kern w:val="2"/>
                        <w:szCs w:val="21"/>
                      </w:rPr>
                    </w:pPr>
                  </w:p>
                </w:tc>
                <w:tc>
                  <w:tcPr>
                    <w:tcW w:w="584" w:type="pct"/>
                    <w:tcBorders>
                      <w:bottom w:val="single" w:color="auto" w:sz="4" w:space="0"/>
                    </w:tcBorders>
                  </w:tcPr>
                  <w:p>
                    <w:pPr>
                      <w:widowControl w:val="0"/>
                      <w:jc w:val="center"/>
                      <w:rPr>
                        <w:rFonts w:asciiTheme="minorEastAsia" w:hAnsiTheme="minorEastAsia" w:eastAsiaTheme="minorEastAsia"/>
                        <w:szCs w:val="21"/>
                      </w:rPr>
                    </w:pPr>
                    <w:r>
                      <w:rPr>
                        <w:rFonts w:asciiTheme="minorEastAsia" w:hAnsiTheme="minorEastAsia" w:eastAsiaTheme="minorEastAsia"/>
                        <w:szCs w:val="21"/>
                      </w:rPr>
                      <w:t>小计</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96,154,542.35</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951"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162,817,257.55</w:t>
                    </w:r>
                  </w:p>
                </w:tc>
                <w:tc>
                  <w:tcPr>
                    <w:tcW w:w="582"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100.00</w:t>
                    </w:r>
                  </w:p>
                </w:tc>
                <w:tc>
                  <w:tcPr>
                    <w:tcW w:w="557" w:type="pct"/>
                    <w:tcBorders>
                      <w:bottom w:val="single" w:color="auto" w:sz="4" w:space="0"/>
                    </w:tcBorders>
                  </w:tcPr>
                  <w:p>
                    <w:pPr>
                      <w:widowControl w:val="0"/>
                      <w:jc w:val="right"/>
                      <w:rPr>
                        <w:rFonts w:asciiTheme="minorEastAsia" w:hAnsiTheme="minorEastAsia" w:eastAsiaTheme="minorEastAsia"/>
                        <w:szCs w:val="21"/>
                      </w:rPr>
                    </w:pPr>
                    <w:r>
                      <w:rPr>
                        <w:rFonts w:asciiTheme="minorEastAsia" w:hAnsiTheme="minorEastAsia" w:eastAsiaTheme="minorEastAsia"/>
                        <w:szCs w:val="21"/>
                      </w:rPr>
                      <w:t>-40.94</w:t>
                    </w:r>
                  </w:p>
                </w:tc>
                <w:tc>
                  <w:tcPr>
                    <w:tcW w:w="313" w:type="pct"/>
                    <w:tcBorders>
                      <w:bottom w:val="single" w:color="auto" w:sz="4" w:space="0"/>
                    </w:tcBorders>
                  </w:tcPr>
                  <w:p>
                    <w:pPr>
                      <w:widowControl w:val="0"/>
                      <w:jc w:val="right"/>
                      <w:rPr>
                        <w:rFonts w:asciiTheme="minorEastAsia" w:hAnsiTheme="minorEastAsia" w:eastAsiaTheme="minorEastAsia" w:cstheme="minorBidi"/>
                        <w:kern w:val="2"/>
                        <w:szCs w:val="21"/>
                      </w:rPr>
                    </w:pPr>
                  </w:p>
                </w:tc>
              </w:tr>
            </w:sdtContent>
          </w:sdt>
        </w:tbl>
        <w:p/>
        <w:p>
          <w:pPr>
            <w:spacing w:line="360" w:lineRule="auto"/>
            <w:rPr>
              <w:szCs w:val="21"/>
            </w:rPr>
          </w:pPr>
          <w:r>
            <w:rPr>
              <w:rFonts w:hint="eastAsia"/>
              <w:szCs w:val="21"/>
            </w:rPr>
            <w:t>成本分析其他情况说明</w:t>
          </w:r>
        </w:p>
        <w:sdt>
          <w:sdtPr>
            <w:rPr>
              <w:rFonts w:hint="eastAsia"/>
              <w:szCs w:val="21"/>
            </w:rPr>
            <w:alias w:val="成本分析其他情况"/>
            <w:tag w:val="_GBC_93fdd34ed0d546d3bf448336c6187b3a"/>
            <w:id w:val="-423504051"/>
            <w:lock w:val="sdtLocked"/>
            <w:placeholder>
              <w:docPart w:val="GBC22222222222222222222222222222"/>
            </w:placeholder>
          </w:sdtPr>
          <w:sdtEndPr>
            <w:rPr>
              <w:rFonts w:hint="eastAsia"/>
              <w:szCs w:val="21"/>
            </w:rPr>
          </w:sdtEndPr>
          <w:sdtContent>
            <w:p>
              <w:pPr>
                <w:spacing w:line="360" w:lineRule="auto"/>
                <w:rPr>
                  <w:szCs w:val="21"/>
                </w:rPr>
              </w:pPr>
              <w:r>
                <w:rPr>
                  <w:rFonts w:hint="eastAsia"/>
                  <w:szCs w:val="21"/>
                </w:rPr>
                <w:t>无</w:t>
              </w:r>
            </w:p>
          </w:sdtContent>
        </w:sdt>
        <w:p>
          <w:pPr>
            <w:rPr>
              <w:szCs w:val="21"/>
            </w:rPr>
          </w:pPr>
        </w:p>
      </w:sdtContent>
    </w:sdt>
    <w:sdt>
      <w:sdtPr>
        <w:rPr>
          <w:rFonts w:ascii="宋体" w:hAnsi="宋体" w:cs="宋体"/>
          <w:b w:val="0"/>
          <w:bCs w:val="0"/>
          <w:kern w:val="0"/>
          <w:szCs w:val="21"/>
        </w:rPr>
        <w:alias w:val="模块:报告期主要子公司股权变动导致合并范围变化  "/>
        <w:tag w:val="_SEC_7994c9389a294bdbaecc407b4132887e"/>
        <w:id w:val="-1189443166"/>
        <w:lock w:val="sdtLocked"/>
        <w:placeholder>
          <w:docPart w:val="GBC22222222222222222222222222222"/>
        </w:placeholder>
      </w:sdtPr>
      <w:sdtEndPr>
        <w:rPr>
          <w:rFonts w:ascii="宋体" w:hAnsi="宋体" w:cs="宋体"/>
          <w:b w:val="0"/>
          <w:bCs w:val="0"/>
          <w:kern w:val="0"/>
          <w:szCs w:val="24"/>
        </w:rPr>
      </w:sdtEndPr>
      <w:sdtContent>
        <w:p>
          <w:pPr>
            <w:pStyle w:val="6"/>
            <w:numPr>
              <w:ilvl w:val="0"/>
              <w:numId w:val="10"/>
            </w:numPr>
            <w:tabs>
              <w:tab w:val="left" w:pos="567"/>
            </w:tabs>
            <w:spacing w:before="0" w:after="0" w:line="360" w:lineRule="auto"/>
            <w:ind w:left="0" w:firstLine="0"/>
            <w:rPr>
              <w:szCs w:val="21"/>
            </w:rPr>
          </w:pPr>
          <w:bookmarkStart w:id="34" w:name="_Hlk89876513"/>
          <w:r>
            <w:rPr>
              <w:szCs w:val="21"/>
            </w:rPr>
            <w:t>报告期</w:t>
          </w:r>
          <w:r>
            <w:t>主要子公司股权变动导致合并范围变化</w:t>
          </w:r>
        </w:p>
        <w:sdt>
          <w:sdtPr>
            <w:alias w:val="是否适用：报告期主要子公司股权变动导致合并范围变化 [双击切换]"/>
            <w:tag w:val="_GBC_f684be8377fd464e8fc7d9a0e6df7b78"/>
            <w:id w:val="574707179"/>
            <w:lock w:val="sdtLocked"/>
            <w:placeholder>
              <w:docPart w:val="GBC22222222222222222222222222222"/>
            </w:placeholder>
          </w:sdtPr>
          <w:sdtContent>
            <w:p>
              <w:pPr>
                <w:spacing w:line="360" w:lineRule="auto"/>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sdt>
      <w:sdtPr>
        <w:rPr>
          <w:rFonts w:ascii="宋体" w:hAnsi="宋体" w:cs="宋体"/>
          <w:b w:val="0"/>
          <w:bCs w:val="0"/>
          <w:kern w:val="0"/>
          <w:szCs w:val="21"/>
        </w:rPr>
        <w:alias w:val="模块:公司报告期内业务、产品或服务发生重大变化或调整有关情况  ..."/>
        <w:tag w:val="_SEC_d6cb17445afd40d08283b8668ce1d236"/>
        <w:id w:val="164831692"/>
        <w:lock w:val="sdtLocked"/>
        <w:placeholder>
          <w:docPart w:val="GBC22222222222222222222222222222"/>
        </w:placeholder>
      </w:sdtPr>
      <w:sdtEndPr>
        <w:rPr>
          <w:rFonts w:ascii="宋体" w:hAnsi="宋体" w:cs="宋体"/>
          <w:b w:val="0"/>
          <w:bCs w:val="0"/>
          <w:kern w:val="0"/>
          <w:szCs w:val="21"/>
        </w:rPr>
      </w:sdtEndPr>
      <w:sdtContent>
        <w:p>
          <w:pPr>
            <w:pStyle w:val="6"/>
            <w:numPr>
              <w:ilvl w:val="0"/>
              <w:numId w:val="10"/>
            </w:numPr>
            <w:tabs>
              <w:tab w:val="left" w:pos="567"/>
            </w:tabs>
            <w:spacing w:before="0" w:after="0" w:line="360" w:lineRule="auto"/>
            <w:ind w:left="0" w:firstLine="0"/>
            <w:rPr>
              <w:szCs w:val="21"/>
            </w:rPr>
          </w:pPr>
          <w:r>
            <w:rPr>
              <w:szCs w:val="21"/>
            </w:rPr>
            <w:t>公司报告期内业务、产品或服务发生重大变化或调整有关情况</w:t>
          </w:r>
        </w:p>
        <w:sdt>
          <w:sdtPr>
            <w:alias w:val="是否适用：公司报告期内业务、产品或服务发生重大变化或调整有关情况  [双击切换]"/>
            <w:tag w:val="_GBC_f5a966f2eb244fd68a4bc2176691f92b"/>
            <w:id w:val="1892766155"/>
            <w:lock w:val="sdtLocked"/>
            <w:placeholder>
              <w:docPart w:val="GBC22222222222222222222222222222"/>
            </w:placeholder>
          </w:sdtPr>
          <w:sdtContent>
            <w:p>
              <w:pPr>
                <w:spacing w:line="360" w:lineRule="auto"/>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rPr>
              <w:szCs w:val="21"/>
            </w:rPr>
          </w:pPr>
        </w:p>
      </w:sdtContent>
    </w:sdt>
    <w:bookmarkEnd w:id="34"/>
    <w:p>
      <w:pPr>
        <w:pStyle w:val="6"/>
        <w:numPr>
          <w:ilvl w:val="0"/>
          <w:numId w:val="10"/>
        </w:numPr>
        <w:tabs>
          <w:tab w:val="left" w:pos="567"/>
        </w:tabs>
        <w:spacing w:before="0" w:after="0" w:line="360" w:lineRule="auto"/>
        <w:ind w:left="0" w:firstLine="0"/>
        <w:rPr>
          <w:szCs w:val="21"/>
        </w:rPr>
      </w:pPr>
      <w:r>
        <w:rPr>
          <w:szCs w:val="21"/>
        </w:rPr>
        <w:t>主要销售客户及主要供应商情况</w:t>
      </w:r>
    </w:p>
    <w:sdt>
      <w:sdtPr>
        <w:rPr>
          <w:rFonts w:hint="eastAsia"/>
          <w:b/>
          <w:szCs w:val="21"/>
        </w:rPr>
        <w:alias w:val="模块:公司主要销售客户情况前五名客户销售额"/>
        <w:tag w:val="_SEC_1e36f4c903d34dcaa490079809a25d63"/>
        <w:id w:val="-1066337689"/>
        <w:lock w:val="sdtLocked"/>
        <w:placeholder>
          <w:docPart w:val="GBC22222222222222222222222222222"/>
        </w:placeholder>
      </w:sdtPr>
      <w:sdtEndPr>
        <w:rPr>
          <w:rFonts w:hint="default"/>
          <w:b w:val="0"/>
          <w:szCs w:val="21"/>
        </w:rPr>
      </w:sdtEndPr>
      <w:sdtContent>
        <w:p>
          <w:pPr>
            <w:autoSpaceDE w:val="0"/>
            <w:autoSpaceDN w:val="0"/>
            <w:adjustRightInd w:val="0"/>
            <w:spacing w:line="360" w:lineRule="auto"/>
            <w:rPr>
              <w:b/>
              <w:szCs w:val="22"/>
              <w:lang w:val="zh-CN"/>
            </w:rPr>
          </w:pPr>
          <w:r>
            <w:rPr>
              <w:rFonts w:hint="eastAsia"/>
              <w:b/>
              <w:szCs w:val="21"/>
            </w:rPr>
            <w:t>A.</w:t>
          </w:r>
          <w:r>
            <w:rPr>
              <w:rFonts w:hint="eastAsia"/>
              <w:b/>
              <w:lang w:val="zh-CN"/>
            </w:rPr>
            <w:t>公司主要销售客户情况</w:t>
          </w:r>
        </w:p>
        <w:p>
          <w:pPr>
            <w:spacing w:line="360" w:lineRule="auto"/>
            <w:rPr>
              <w:szCs w:val="21"/>
            </w:rPr>
          </w:pPr>
          <w:r>
            <w:rPr>
              <w:rFonts w:hint="eastAsia"/>
              <w:szCs w:val="21"/>
            </w:rPr>
            <w:t>前五名客户销售额</w:t>
          </w:r>
          <w:sdt>
            <w:sdtPr>
              <w:rPr>
                <w:rFonts w:hint="eastAsia"/>
                <w:szCs w:val="21"/>
              </w:rPr>
              <w:alias w:val="前五名客户销售额"/>
              <w:tag w:val="_GBC_e497000fdfbc4e548555b7f8ddf9780c"/>
              <w:id w:val="-404066535"/>
              <w:lock w:val="sdtLocked"/>
              <w:placeholder>
                <w:docPart w:val="GBC22222222222222222222222222222"/>
              </w:placeholder>
            </w:sdtPr>
            <w:sdtEndPr>
              <w:rPr>
                <w:rFonts w:hint="eastAsia"/>
                <w:szCs w:val="21"/>
              </w:rPr>
            </w:sdtEndPr>
            <w:sdtContent>
              <w:r>
                <w:rPr>
                  <w:szCs w:val="21"/>
                </w:rPr>
                <w:t>90,747.09</w:t>
              </w:r>
            </w:sdtContent>
          </w:sdt>
          <w:sdt>
            <w:sdtPr>
              <w:rPr>
                <w:rFonts w:hint="eastAsia"/>
                <w:szCs w:val="21"/>
              </w:rPr>
              <w:alias w:val="单位：前五名客户销售额"/>
              <w:tag w:val="_GBC_4bd6620b209a4bae8dc3404e8b89ea35"/>
              <w:id w:val="16868674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szCs w:val="21"/>
            </w:rPr>
            <w:t>，占年度销售总额</w:t>
          </w:r>
          <w:sdt>
            <w:sdtPr>
              <w:rPr>
                <w:szCs w:val="21"/>
              </w:rPr>
              <w:alias w:val="前五名客户销售额占年度销售总额比例"/>
              <w:tag w:val="_GBC_68b3c8b493d04b6c9db16e7e475d7b35"/>
              <w:id w:val="1296097705"/>
              <w:lock w:val="sdtLocked"/>
              <w:placeholder>
                <w:docPart w:val="GBC22222222222222222222222222222"/>
              </w:placeholder>
            </w:sdtPr>
            <w:sdtEndPr>
              <w:rPr>
                <w:szCs w:val="21"/>
              </w:rPr>
            </w:sdtEndPr>
            <w:sdtContent>
              <w:r>
                <w:rPr>
                  <w:rFonts w:hint="eastAsia"/>
                  <w:szCs w:val="21"/>
                </w:rPr>
                <w:t>22.82</w:t>
              </w:r>
            </w:sdtContent>
          </w:sdt>
          <w:r>
            <w:rPr>
              <w:szCs w:val="21"/>
            </w:rPr>
            <w:t>%；其中前五名客户销售额中关联方销售额</w:t>
          </w:r>
          <w:sdt>
            <w:sdtPr>
              <w:rPr>
                <w:szCs w:val="21"/>
              </w:rPr>
              <w:alias w:val="前五名客户销售额中关联方销售额"/>
              <w:tag w:val="_GBC_bfa0971257a44f65996f01cfb0497b07"/>
              <w:id w:val="-2056852613"/>
              <w:lock w:val="sdtLocked"/>
              <w:placeholder>
                <w:docPart w:val="GBC22222222222222222222222222222"/>
              </w:placeholder>
            </w:sdtPr>
            <w:sdtEndPr>
              <w:rPr>
                <w:szCs w:val="21"/>
              </w:rPr>
            </w:sdtEndPr>
            <w:sdtContent>
              <w:r>
                <w:rPr>
                  <w:szCs w:val="21"/>
                </w:rPr>
                <w:t>23,472.78</w:t>
              </w:r>
            </w:sdtContent>
          </w:sdt>
          <w:sdt>
            <w:sdtPr>
              <w:rPr>
                <w:szCs w:val="21"/>
              </w:rPr>
              <w:alias w:val="单位：前五名客户销售额中关联方销售额"/>
              <w:tag w:val="_GBC_f3c03afc93a5429f9fa45fc25f9018ab"/>
              <w:id w:val="8964798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万元</w:t>
              </w:r>
            </w:sdtContent>
          </w:sdt>
          <w:r>
            <w:rPr>
              <w:szCs w:val="21"/>
            </w:rPr>
            <w:t>，占年度销售总额</w:t>
          </w:r>
          <w:sdt>
            <w:sdtPr>
              <w:rPr>
                <w:szCs w:val="21"/>
              </w:rPr>
              <w:alias w:val="前五名客户销售额中关联方销售额占年度销售总额比例"/>
              <w:tag w:val="_GBC_a84a9f2fd5cd467fa7226eab846a8fd4"/>
              <w:id w:val="847919885"/>
              <w:lock w:val="sdtLocked"/>
              <w:placeholder>
                <w:docPart w:val="GBC22222222222222222222222222222"/>
              </w:placeholder>
            </w:sdtPr>
            <w:sdtEndPr>
              <w:rPr>
                <w:szCs w:val="21"/>
              </w:rPr>
            </w:sdtEndPr>
            <w:sdtContent>
              <w:r>
                <w:rPr>
                  <w:rFonts w:hint="eastAsia"/>
                  <w:szCs w:val="21"/>
                </w:rPr>
                <w:t>5.90</w:t>
              </w:r>
            </w:sdtContent>
          </w:sdt>
          <w:r>
            <w:rPr>
              <w:szCs w:val="21"/>
            </w:rPr>
            <w:t xml:space="preserve"> %。</w:t>
          </w:r>
        </w:p>
        <w:p>
          <w:pPr>
            <w:spacing w:line="360" w:lineRule="auto"/>
            <w:rPr>
              <w:szCs w:val="21"/>
            </w:rPr>
          </w:pPr>
        </w:p>
      </w:sdtContent>
    </w:sdt>
    <w:sdt>
      <w:sdtPr>
        <w:rPr>
          <w:rFonts w:hint="eastAsia"/>
        </w:rPr>
        <w:alias w:val="模块:报告期内向单个客户的销售比例超过总额的50%、前5名客户中存..."/>
        <w:tag w:val="_SEC_95ad638a4b6f4b4790b1d0f3690a45cd"/>
        <w:id w:val="1874184205"/>
        <w:lock w:val="sdtLocked"/>
        <w:placeholder>
          <w:docPart w:val="GBC22222222222222222222222222222"/>
        </w:placeholder>
      </w:sdtPr>
      <w:sdtEndPr>
        <w:rPr>
          <w:rFonts w:hint="default"/>
          <w:szCs w:val="21"/>
        </w:rPr>
      </w:sdtEndPr>
      <w:sdtContent>
        <w:p>
          <w:pPr>
            <w:spacing w:line="360" w:lineRule="auto"/>
          </w:pPr>
          <w:r>
            <w:rPr>
              <w:rFonts w:hint="eastAsia"/>
            </w:rPr>
            <w:t>报告期内向单个客户的销售比例超过总额的</w:t>
          </w:r>
          <w:r>
            <w:t>50%、前</w:t>
          </w:r>
          <w:r>
            <w:rPr>
              <w:rFonts w:hint="eastAsia"/>
            </w:rPr>
            <w:t>5</w:t>
          </w:r>
          <w:r>
            <w:t>名客户中存在新增客户的或严重依赖于少数客户的情形</w:t>
          </w:r>
        </w:p>
        <w:sdt>
          <w:sdtPr>
            <w:alias w:val="是否适用：前5名销售客户中存在新增客户的或严重依赖于少数客户的情形表[双击切换]"/>
            <w:tag w:val="_GBC_9335bc17e9fb4b00a212f4c3a2cf1884"/>
            <w:id w:val="-1568795764"/>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r>
            <w:rPr>
              <w:szCs w:val="21"/>
            </w:rPr>
            <w:t>:</w:t>
          </w:r>
          <w:sdt>
            <w:sdtPr>
              <w:rPr>
                <w:szCs w:val="21"/>
              </w:rPr>
              <w:alias w:val="单位：前5名销售客户中存在新增客户的或严重依赖于少数客户的情形表"/>
              <w:tag w:val="_GBC_22674a8b80bc41d9ba2de131e15d1af2"/>
              <w:id w:val="587043569"/>
              <w:lock w:val="sdtLocked"/>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万元</w:t>
              </w:r>
            </w:sdtContent>
          </w:sdt>
          <w:r>
            <w:rPr>
              <w:rFonts w:hint="eastAsia"/>
              <w:szCs w:val="21"/>
            </w:rPr>
            <w:t xml:space="preserve">  币种</w:t>
          </w:r>
          <w:r>
            <w:rPr>
              <w:szCs w:val="21"/>
            </w:rPr>
            <w:t>:</w:t>
          </w:r>
          <w:sdt>
            <w:sdtPr>
              <w:rPr>
                <w:szCs w:val="21"/>
              </w:rPr>
              <w:alias w:val="币种：前5名销售客户中存在新增客户的或严重依赖于少数客户的情形表"/>
              <w:tag w:val="_GBC_e2457c42f05f41bb95eff5baccf7c4df"/>
              <w:id w:val="21306629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816"/>
            <w:gridCol w:w="2816"/>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hint="eastAsia"/>
                </w:rPr>
                <w:tag w:val="_PLD_832d49455e154febbee31aaea66c955e"/>
                <w:id w:val="-1544050999"/>
                <w:lock w:val="sdtLocked"/>
              </w:sdtPr>
              <w:sdtEndPr>
                <w:rPr>
                  <w:rFonts w:hint="eastAsia"/>
                </w:rPr>
              </w:sdtEndPr>
              <w:sdtContent>
                <w:tc>
                  <w:tcPr>
                    <w:tcW w:w="451" w:type="pct"/>
                  </w:tcPr>
                  <w:p>
                    <w:pPr>
                      <w:jc w:val="center"/>
                    </w:pPr>
                    <w:r>
                      <w:rPr>
                        <w:rFonts w:hint="eastAsia"/>
                      </w:rPr>
                      <w:t>序号</w:t>
                    </w:r>
                  </w:p>
                </w:tc>
              </w:sdtContent>
            </w:sdt>
            <w:sdt>
              <w:sdtPr>
                <w:rPr>
                  <w:rFonts w:hint="eastAsia"/>
                </w:rPr>
                <w:tag w:val="_PLD_56b739c89f6b4e3b98c3214aa6c0ebed"/>
                <w:id w:val="-622923609"/>
                <w:lock w:val="sdtLocked"/>
              </w:sdtPr>
              <w:sdtEndPr>
                <w:rPr>
                  <w:rFonts w:hint="eastAsia"/>
                </w:rPr>
              </w:sdtEndPr>
              <w:sdtContent>
                <w:tc>
                  <w:tcPr>
                    <w:tcW w:w="1516" w:type="pct"/>
                    <w:shd w:val="clear" w:color="auto" w:fill="auto"/>
                    <w:vAlign w:val="center"/>
                  </w:tcPr>
                  <w:p>
                    <w:pPr>
                      <w:jc w:val="center"/>
                      <w:rPr>
                        <w:szCs w:val="21"/>
                      </w:rPr>
                    </w:pPr>
                    <w:r>
                      <w:rPr>
                        <w:rFonts w:hint="eastAsia"/>
                      </w:rPr>
                      <w:t>客户名称</w:t>
                    </w:r>
                  </w:p>
                </w:tc>
              </w:sdtContent>
            </w:sdt>
            <w:sdt>
              <w:sdtPr>
                <w:rPr>
                  <w:rFonts w:hint="eastAsia"/>
                </w:rPr>
                <w:tag w:val="_PLD_929992b727ca44b38f0aeadace422195"/>
                <w:id w:val="-1671165722"/>
                <w:lock w:val="sdtLocked"/>
              </w:sdtPr>
              <w:sdtEndPr>
                <w:rPr>
                  <w:rFonts w:hint="eastAsia"/>
                </w:rPr>
              </w:sdtEndPr>
              <w:sdtContent>
                <w:tc>
                  <w:tcPr>
                    <w:tcW w:w="1516" w:type="pct"/>
                    <w:shd w:val="clear" w:color="auto" w:fill="auto"/>
                    <w:vAlign w:val="center"/>
                  </w:tcPr>
                  <w:p>
                    <w:pPr>
                      <w:jc w:val="center"/>
                      <w:rPr>
                        <w:szCs w:val="21"/>
                      </w:rPr>
                    </w:pPr>
                    <w:r>
                      <w:rPr>
                        <w:rFonts w:hint="eastAsia"/>
                      </w:rPr>
                      <w:t>销售额</w:t>
                    </w:r>
                  </w:p>
                </w:tc>
              </w:sdtContent>
            </w:sdt>
            <w:sdt>
              <w:sdtPr>
                <w:rPr>
                  <w:rFonts w:hint="eastAsia"/>
                </w:rPr>
                <w:tag w:val="_PLD_ae46fbca7efd4f50ac5928cc7757a5ee"/>
                <w:id w:val="-1329363782"/>
                <w:lock w:val="sdtLocked"/>
              </w:sdtPr>
              <w:sdtEndPr>
                <w:rPr>
                  <w:rFonts w:hint="eastAsia"/>
                </w:rPr>
              </w:sdtEndPr>
              <w:sdtContent>
                <w:tc>
                  <w:tcPr>
                    <w:tcW w:w="1516" w:type="pct"/>
                  </w:tcPr>
                  <w:p>
                    <w:pPr>
                      <w:jc w:val="center"/>
                    </w:pPr>
                    <w:r>
                      <w:rPr>
                        <w:rFonts w:hint="eastAsia"/>
                      </w:rPr>
                      <w:t>占年度销售总额比例（%）</w:t>
                    </w:r>
                  </w:p>
                </w:tc>
              </w:sdtContent>
            </w:sdt>
          </w:tr>
          <w:sdt>
            <w:sdtPr>
              <w:rPr>
                <w:rStyle w:val="101"/>
                <w:rFonts w:hint="eastAsia" w:asciiTheme="minorHAnsi" w:hAnsiTheme="minorHAnsi" w:eastAsiaTheme="minorEastAsia" w:cstheme="minorBidi"/>
                <w:b w:val="0"/>
                <w:szCs w:val="21"/>
                <w:shd w:val="solid" w:color="FFFFFF" w:fill="auto"/>
              </w:rPr>
              <w:alias w:val="前5名销售客户中存在新增客户的或严重依赖于少数客户的情形表明细"/>
              <w:tag w:val="_TUP_b626d3ef0a3743f3ac2a14f8acf6bfcb"/>
              <w:id w:val="167299210"/>
              <w:lock w:val="sdtLocked"/>
            </w:sdtPr>
            <w:sdtEndPr>
              <w:rPr>
                <w:rStyle w:val="101"/>
                <w:rFonts w:hint="default" w:asciiTheme="minorHAnsi" w:hAnsiTheme="minorHAnsi" w:eastAsiaTheme="minorEastAsia" w:cstheme="minorBidi"/>
                <w:b w:val="0"/>
                <w:szCs w:val="21"/>
                <w:shd w:val="clear" w:color="auto" w:fill="auto"/>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51" w:type="pct"/>
                    <w:vAlign w:val="center"/>
                  </w:tcPr>
                  <w:sdt>
                    <w:sdtPr>
                      <w:rPr>
                        <w:rStyle w:val="101"/>
                        <w:rFonts w:hint="eastAsia"/>
                        <w:b w:val="0"/>
                        <w:szCs w:val="21"/>
                        <w:shd w:val="solid" w:color="FFFFFF" w:fill="auto"/>
                      </w:rPr>
                      <w:tag w:val="_PLD_6292b612b1734f06937eedae99bded19"/>
                      <w:id w:val="866484726"/>
                      <w:lock w:val="sdtLocked"/>
                    </w:sdtPr>
                    <w:sdtEndPr>
                      <w:rPr>
                        <w:rStyle w:val="101"/>
                        <w:rFonts w:hint="eastAsia"/>
                        <w:b w:val="0"/>
                        <w:szCs w:val="21"/>
                        <w:shd w:val="solid" w:color="FFFFFF" w:fill="auto"/>
                      </w:rPr>
                    </w:sdtEndPr>
                    <w:sdtContent>
                      <w:p>
                        <w:pPr>
                          <w:jc w:val="center"/>
                          <w:rPr>
                            <w:rStyle w:val="101"/>
                            <w:b w:val="0"/>
                            <w:szCs w:val="21"/>
                          </w:rPr>
                        </w:pPr>
                        <w:r>
                          <w:rPr>
                            <w:rStyle w:val="101"/>
                            <w:rFonts w:hint="eastAsia"/>
                            <w:b w:val="0"/>
                            <w:szCs w:val="21"/>
                            <w:shd w:val="solid" w:color="FFFFFF" w:fill="auto"/>
                          </w:rPr>
                          <w:t>1</w:t>
                        </w:r>
                      </w:p>
                    </w:sdtContent>
                  </w:sdt>
                </w:tc>
                <w:tc>
                  <w:tcPr>
                    <w:tcW w:w="1516" w:type="pct"/>
                    <w:shd w:val="clear" w:color="auto" w:fill="auto"/>
                  </w:tcPr>
                  <w:p>
                    <w:pPr>
                      <w:rPr>
                        <w:rStyle w:val="101"/>
                        <w:b w:val="0"/>
                        <w:szCs w:val="21"/>
                      </w:rPr>
                    </w:pPr>
                    <w:r>
                      <w:rPr>
                        <w:rStyle w:val="101"/>
                        <w:rFonts w:hint="eastAsia"/>
                        <w:b w:val="0"/>
                        <w:szCs w:val="21"/>
                      </w:rPr>
                      <w:t>易易互联科技有限公司及同一控制人控制的其他单位</w:t>
                    </w:r>
                  </w:p>
                </w:tc>
                <w:tc>
                  <w:tcPr>
                    <w:tcW w:w="1516" w:type="pct"/>
                    <w:shd w:val="clear" w:color="auto" w:fill="auto"/>
                    <w:vAlign w:val="center"/>
                  </w:tcPr>
                  <w:p>
                    <w:pPr>
                      <w:jc w:val="right"/>
                      <w:rPr>
                        <w:rStyle w:val="101"/>
                        <w:b w:val="0"/>
                        <w:szCs w:val="21"/>
                      </w:rPr>
                    </w:pPr>
                    <w:r>
                      <w:rPr>
                        <w:rStyle w:val="101"/>
                        <w:b w:val="0"/>
                        <w:szCs w:val="21"/>
                      </w:rPr>
                      <w:t>23,472.7</w:t>
                    </w:r>
                    <w:r>
                      <w:rPr>
                        <w:rStyle w:val="101"/>
                        <w:rFonts w:hint="eastAsia"/>
                        <w:b w:val="0"/>
                        <w:szCs w:val="21"/>
                      </w:rPr>
                      <w:t>8</w:t>
                    </w:r>
                  </w:p>
                </w:tc>
                <w:tc>
                  <w:tcPr>
                    <w:tcW w:w="1516" w:type="pct"/>
                    <w:vAlign w:val="center"/>
                  </w:tcPr>
                  <w:p>
                    <w:pPr>
                      <w:jc w:val="right"/>
                      <w:rPr>
                        <w:rStyle w:val="101"/>
                        <w:b w:val="0"/>
                        <w:szCs w:val="21"/>
                      </w:rPr>
                    </w:pPr>
                    <w:r>
                      <w:rPr>
                        <w:rStyle w:val="101"/>
                        <w:rFonts w:hint="eastAsia"/>
                        <w:b w:val="0"/>
                        <w:szCs w:val="21"/>
                      </w:rPr>
                      <w:t>5.90</w:t>
                    </w:r>
                  </w:p>
                </w:tc>
              </w:tr>
            </w:sdtContent>
          </w:sdt>
        </w:tbl>
        <w:p>
          <w:pPr>
            <w:rPr>
              <w:szCs w:val="21"/>
            </w:rPr>
          </w:pPr>
        </w:p>
      </w:sdtContent>
    </w:sdt>
    <w:sdt>
      <w:sdtPr>
        <w:rPr>
          <w:rFonts w:hint="eastAsia"/>
          <w:b/>
          <w:bCs/>
          <w:kern w:val="2"/>
          <w:szCs w:val="21"/>
        </w:rPr>
        <w:alias w:val="模块:公司主要供应商情况前五名供应商采购额"/>
        <w:tag w:val="_SEC_3a7906474e0b449b832049e5ab89fb92"/>
        <w:id w:val="-1549224172"/>
        <w:lock w:val="sdtLocked"/>
        <w:placeholder>
          <w:docPart w:val="GBC22222222222222222222222222222"/>
        </w:placeholder>
      </w:sdtPr>
      <w:sdtEndPr>
        <w:rPr>
          <w:rFonts w:hint="default"/>
          <w:b w:val="0"/>
          <w:bCs/>
          <w:kern w:val="2"/>
          <w:szCs w:val="21"/>
        </w:rPr>
      </w:sdtEndPr>
      <w:sdtContent>
        <w:p>
          <w:pPr>
            <w:spacing w:line="360" w:lineRule="auto"/>
            <w:rPr>
              <w:szCs w:val="21"/>
            </w:rPr>
          </w:pPr>
          <w:r>
            <w:rPr>
              <w:rFonts w:hint="eastAsia"/>
              <w:b/>
              <w:szCs w:val="21"/>
            </w:rPr>
            <w:t>B.</w:t>
          </w:r>
          <w:r>
            <w:rPr>
              <w:rFonts w:hint="eastAsia"/>
              <w:b/>
              <w:lang w:val="zh-CN"/>
            </w:rPr>
            <w:t>公司主要供应商情况</w:t>
          </w:r>
        </w:p>
        <w:p>
          <w:pPr>
            <w:spacing w:line="360" w:lineRule="auto"/>
          </w:pPr>
          <w:r>
            <w:rPr>
              <w:rFonts w:hint="eastAsia"/>
              <w:szCs w:val="21"/>
            </w:rPr>
            <w:t>前五名供应商采购额</w:t>
          </w:r>
          <w:sdt>
            <w:sdtPr>
              <w:rPr>
                <w:rFonts w:hint="eastAsia"/>
                <w:szCs w:val="21"/>
              </w:rPr>
              <w:alias w:val="前五名供应商采购额"/>
              <w:tag w:val="_GBC_4552254972a04ec6983b359a0f18d4bf"/>
              <w:id w:val="117810904"/>
              <w:lock w:val="sdtLocked"/>
              <w:placeholder>
                <w:docPart w:val="GBC22222222222222222222222222222"/>
              </w:placeholder>
            </w:sdtPr>
            <w:sdtEndPr>
              <w:rPr>
                <w:rFonts w:hint="eastAsia"/>
                <w:szCs w:val="21"/>
              </w:rPr>
            </w:sdtEndPr>
            <w:sdtContent>
              <w:r>
                <w:rPr>
                  <w:szCs w:val="21"/>
                </w:rPr>
                <w:t>64,294.91</w:t>
              </w:r>
            </w:sdtContent>
          </w:sdt>
          <w:sdt>
            <w:sdtPr>
              <w:rPr>
                <w:rFonts w:hint="eastAsia"/>
                <w:szCs w:val="21"/>
              </w:rPr>
              <w:alias w:val="单位：前五名供应商采购额"/>
              <w:tag w:val="_GBC_418fcbdb1c1a4643afb7cce014bdeca2"/>
              <w:id w:val="3495370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szCs w:val="21"/>
            </w:rPr>
            <w:t>，占年度采购总额</w:t>
          </w:r>
          <w:sdt>
            <w:sdtPr>
              <w:rPr>
                <w:szCs w:val="21"/>
              </w:rPr>
              <w:alias w:val="前五名供应商采购额占年度采购总额比例"/>
              <w:tag w:val="_GBC_f32c49f691154cc4b6ba587f4a582958"/>
              <w:id w:val="560519493"/>
              <w:lock w:val="sdtLocked"/>
              <w:placeholder>
                <w:docPart w:val="GBC22222222222222222222222222222"/>
              </w:placeholder>
            </w:sdtPr>
            <w:sdtEndPr>
              <w:rPr>
                <w:szCs w:val="21"/>
              </w:rPr>
            </w:sdtEndPr>
            <w:sdtContent>
              <w:r>
                <w:rPr>
                  <w:rFonts w:hint="eastAsia"/>
                  <w:szCs w:val="21"/>
                </w:rPr>
                <w:t>21.24</w:t>
              </w:r>
            </w:sdtContent>
          </w:sdt>
          <w:r>
            <w:rPr>
              <w:szCs w:val="21"/>
            </w:rPr>
            <w:t>%；其中前五名供应商采购额中关联方采购额</w:t>
          </w:r>
          <w:sdt>
            <w:sdtPr>
              <w:rPr>
                <w:szCs w:val="21"/>
              </w:rPr>
              <w:alias w:val="前五名供应商采购额中关联方采购额"/>
              <w:tag w:val="_GBC_b4791060802442e186017fdd5f31805a"/>
              <w:id w:val="-1459945155"/>
              <w:lock w:val="sdtLocked"/>
              <w:placeholder>
                <w:docPart w:val="GBC22222222222222222222222222222"/>
              </w:placeholder>
            </w:sdtPr>
            <w:sdtEndPr>
              <w:rPr>
                <w:szCs w:val="21"/>
              </w:rPr>
            </w:sdtEndPr>
            <w:sdtContent>
              <w:r>
                <w:rPr>
                  <w:szCs w:val="21"/>
                </w:rPr>
                <w:t>44,565.90</w:t>
              </w:r>
            </w:sdtContent>
          </w:sdt>
          <w:sdt>
            <w:sdtPr>
              <w:rPr>
                <w:szCs w:val="21"/>
              </w:rPr>
              <w:alias w:val="单位：前五名供应商采购额中关联方采购额"/>
              <w:tag w:val="_GBC_bac6c3f63a9a4b0db685f5ee8e883818"/>
              <w:id w:val="-94684173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万元</w:t>
              </w:r>
            </w:sdtContent>
          </w:sdt>
          <w:r>
            <w:rPr>
              <w:szCs w:val="21"/>
            </w:rPr>
            <w:t>，占年度采购总额</w:t>
          </w:r>
          <w:sdt>
            <w:sdtPr>
              <w:rPr>
                <w:szCs w:val="21"/>
              </w:rPr>
              <w:alias w:val="前五名供应商采购额中关联方采购额占年度采购总额比例"/>
              <w:tag w:val="_GBC_41b2f0a67a5743e1a4ccf8f427eec0a3"/>
              <w:id w:val="2099209116"/>
              <w:lock w:val="sdtLocked"/>
              <w:placeholder>
                <w:docPart w:val="GBC22222222222222222222222222222"/>
              </w:placeholder>
            </w:sdtPr>
            <w:sdtEndPr>
              <w:rPr>
                <w:szCs w:val="21"/>
              </w:rPr>
            </w:sdtEndPr>
            <w:sdtContent>
              <w:r>
                <w:rPr>
                  <w:rFonts w:hint="eastAsia"/>
                  <w:szCs w:val="21"/>
                </w:rPr>
                <w:t>14.72</w:t>
              </w:r>
            </w:sdtContent>
          </w:sdt>
          <w:r>
            <w:rPr>
              <w:rFonts w:hint="eastAsia"/>
            </w:rPr>
            <w:t>%。</w:t>
          </w:r>
        </w:p>
        <w:p>
          <w:pPr>
            <w:spacing w:line="360" w:lineRule="auto"/>
            <w:rPr>
              <w:szCs w:val="21"/>
            </w:rPr>
          </w:pPr>
        </w:p>
      </w:sdtContent>
    </w:sdt>
    <w:sdt>
      <w:sdtPr>
        <w:alias w:val="模块:报告期内向单个供应商的采购比例超过总额的50%、前5名供应商..."/>
        <w:tag w:val="_SEC_3d1177daffc24273aa09c51395106f77"/>
        <w:id w:val="-1684506610"/>
        <w:lock w:val="sdtLocked"/>
        <w:placeholder>
          <w:docPart w:val="GBC22222222222222222222222222222"/>
        </w:placeholder>
      </w:sdtPr>
      <w:sdtEndPr>
        <w:rPr>
          <w:szCs w:val="21"/>
        </w:rPr>
      </w:sdtEndPr>
      <w:sdtContent>
        <w:p>
          <w:pPr>
            <w:spacing w:line="360" w:lineRule="auto"/>
          </w:pPr>
          <w:r>
            <w:t>报告期内向单个供应商的采购比例超过总额的50%、前5名供应商中存在新增供应商的或严重依赖于少数供应商的情形</w:t>
          </w:r>
        </w:p>
        <w:sdt>
          <w:sdtPr>
            <w:alias w:val="是否适用：前5名供应商中存在新增供应商的或严重依赖于少数供应商的情形表[双击切换]"/>
            <w:tag w:val="_GBC_1e4a3af63f0f41888dc455d8c1a979a8"/>
            <w:id w:val="-758365151"/>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r>
            <w:rPr>
              <w:szCs w:val="21"/>
            </w:rPr>
            <w:t>:</w:t>
          </w:r>
          <w:sdt>
            <w:sdtPr>
              <w:rPr>
                <w:szCs w:val="21"/>
              </w:rPr>
              <w:alias w:val="单位：前5名供应商中存在新增供应商的或严重依赖于少数供应商的情形表"/>
              <w:tag w:val="_GBC_036521f9552a4945b789f303a5ebc076"/>
              <w:id w:val="-24395624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万元</w:t>
              </w:r>
            </w:sdtContent>
          </w:sdt>
          <w:r>
            <w:rPr>
              <w:rFonts w:hint="eastAsia"/>
              <w:szCs w:val="21"/>
            </w:rPr>
            <w:t xml:space="preserve">  币种</w:t>
          </w:r>
          <w:r>
            <w:rPr>
              <w:szCs w:val="21"/>
            </w:rPr>
            <w:t>:</w:t>
          </w:r>
          <w:sdt>
            <w:sdtPr>
              <w:rPr>
                <w:szCs w:val="21"/>
              </w:rPr>
              <w:alias w:val="币种：前5名供应商中存在新增供应商的或严重依赖于少数供应商的情形表"/>
              <w:tag w:val="_GBC_4f8542d2517f47e5bd8480fca623c3f2"/>
              <w:id w:val="-8369235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2816"/>
            <w:gridCol w:w="2816"/>
            <w:gridCol w:w="2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hint="eastAsia"/>
                </w:rPr>
                <w:tag w:val="_PLD_5c6412ba92ae46a6868a5ff54cd0de79"/>
                <w:id w:val="-181130104"/>
                <w:lock w:val="sdtLocked"/>
              </w:sdtPr>
              <w:sdtEndPr>
                <w:rPr>
                  <w:rFonts w:hint="eastAsia"/>
                </w:rPr>
              </w:sdtEndPr>
              <w:sdtContent>
                <w:tc>
                  <w:tcPr>
                    <w:tcW w:w="451" w:type="pct"/>
                  </w:tcPr>
                  <w:p>
                    <w:pPr>
                      <w:widowControl w:val="0"/>
                      <w:jc w:val="center"/>
                    </w:pPr>
                    <w:r>
                      <w:rPr>
                        <w:rFonts w:hint="eastAsia"/>
                      </w:rPr>
                      <w:t>序号</w:t>
                    </w:r>
                  </w:p>
                </w:tc>
              </w:sdtContent>
            </w:sdt>
            <w:sdt>
              <w:sdtPr>
                <w:rPr>
                  <w:rFonts w:hint="eastAsia"/>
                </w:rPr>
                <w:tag w:val="_PLD_1c99637d118847169ab972d16260e563"/>
                <w:id w:val="-1098795651"/>
                <w:lock w:val="sdtLocked"/>
              </w:sdtPr>
              <w:sdtEndPr>
                <w:rPr>
                  <w:rFonts w:hint="eastAsia"/>
                </w:rPr>
              </w:sdtEndPr>
              <w:sdtContent>
                <w:tc>
                  <w:tcPr>
                    <w:tcW w:w="1516" w:type="pct"/>
                    <w:shd w:val="clear" w:color="auto" w:fill="auto"/>
                    <w:vAlign w:val="center"/>
                  </w:tcPr>
                  <w:p>
                    <w:pPr>
                      <w:widowControl w:val="0"/>
                      <w:jc w:val="center"/>
                      <w:rPr>
                        <w:szCs w:val="21"/>
                      </w:rPr>
                    </w:pPr>
                    <w:r>
                      <w:rPr>
                        <w:rFonts w:hint="eastAsia"/>
                      </w:rPr>
                      <w:t>供应商名称</w:t>
                    </w:r>
                  </w:p>
                </w:tc>
              </w:sdtContent>
            </w:sdt>
            <w:sdt>
              <w:sdtPr>
                <w:rPr>
                  <w:rFonts w:hint="eastAsia"/>
                </w:rPr>
                <w:tag w:val="_PLD_7fe1f236ee9346c5b56beeb2fbb521c1"/>
                <w:id w:val="-301306234"/>
                <w:lock w:val="sdtLocked"/>
              </w:sdtPr>
              <w:sdtEndPr>
                <w:rPr>
                  <w:rFonts w:hint="eastAsia"/>
                </w:rPr>
              </w:sdtEndPr>
              <w:sdtContent>
                <w:tc>
                  <w:tcPr>
                    <w:tcW w:w="1516" w:type="pct"/>
                    <w:shd w:val="clear" w:color="auto" w:fill="auto"/>
                    <w:vAlign w:val="center"/>
                  </w:tcPr>
                  <w:p>
                    <w:pPr>
                      <w:widowControl w:val="0"/>
                      <w:jc w:val="center"/>
                      <w:rPr>
                        <w:szCs w:val="21"/>
                      </w:rPr>
                    </w:pPr>
                    <w:r>
                      <w:rPr>
                        <w:rFonts w:hint="eastAsia"/>
                      </w:rPr>
                      <w:t>采购额</w:t>
                    </w:r>
                  </w:p>
                </w:tc>
              </w:sdtContent>
            </w:sdt>
            <w:sdt>
              <w:sdtPr>
                <w:rPr>
                  <w:rFonts w:hint="eastAsia"/>
                </w:rPr>
                <w:tag w:val="_PLD_ae3cc0eaaaf54f8c9c9a2424008b3d80"/>
                <w:id w:val="1909416762"/>
                <w:lock w:val="sdtLocked"/>
              </w:sdtPr>
              <w:sdtEndPr>
                <w:rPr>
                  <w:rFonts w:hint="eastAsia"/>
                </w:rPr>
              </w:sdtEndPr>
              <w:sdtContent>
                <w:tc>
                  <w:tcPr>
                    <w:tcW w:w="1516" w:type="pct"/>
                  </w:tcPr>
                  <w:p>
                    <w:pPr>
                      <w:widowControl w:val="0"/>
                      <w:jc w:val="center"/>
                    </w:pPr>
                    <w:r>
                      <w:rPr>
                        <w:rFonts w:hint="eastAsia"/>
                      </w:rPr>
                      <w:t>占年度采购总额比例（%）</w:t>
                    </w:r>
                  </w:p>
                </w:tc>
              </w:sdtContent>
            </w:sdt>
          </w:tr>
          <w:sdt>
            <w:sdtPr>
              <w:rPr>
                <w:rStyle w:val="101"/>
                <w:rFonts w:hint="eastAsia"/>
                <w:b w:val="0"/>
                <w:szCs w:val="21"/>
              </w:rPr>
              <w:alias w:val="前5名供应商中存在新增供应商的或严重依赖于少数供应商的情形表明细"/>
              <w:tag w:val="_TUP_f7ede681f93a4bf8be00942afc1aa2cd"/>
              <w:id w:val="-604339484"/>
              <w:lock w:val="sdtLocked"/>
            </w:sdtPr>
            <w:sdtEndPr>
              <w:rPr>
                <w:rStyle w:val="101"/>
                <w:rFonts w:hint="default"/>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451" w:type="pct"/>
                    <w:vAlign w:val="center"/>
                  </w:tcPr>
                  <w:sdt>
                    <w:sdtPr>
                      <w:rPr>
                        <w:rStyle w:val="101"/>
                        <w:rFonts w:hint="eastAsia"/>
                        <w:b w:val="0"/>
                        <w:szCs w:val="21"/>
                      </w:rPr>
                      <w:tag w:val="_PLD_855251ac9cbe4112968c2db6112ae308"/>
                      <w:id w:val="106321417"/>
                      <w:lock w:val="sdtLocked"/>
                    </w:sdtPr>
                    <w:sdtEndPr>
                      <w:rPr>
                        <w:rStyle w:val="101"/>
                        <w:rFonts w:hint="eastAsia"/>
                        <w:b w:val="0"/>
                        <w:szCs w:val="21"/>
                      </w:rPr>
                    </w:sdtEndPr>
                    <w:sdtContent>
                      <w:p>
                        <w:pPr>
                          <w:widowControl w:val="0"/>
                          <w:jc w:val="center"/>
                          <w:rPr>
                            <w:rStyle w:val="101"/>
                            <w:b w:val="0"/>
                            <w:szCs w:val="21"/>
                          </w:rPr>
                        </w:pPr>
                        <w:r>
                          <w:rPr>
                            <w:rStyle w:val="101"/>
                            <w:rFonts w:hint="eastAsia"/>
                            <w:b w:val="0"/>
                            <w:szCs w:val="21"/>
                          </w:rPr>
                          <w:t>1</w:t>
                        </w:r>
                      </w:p>
                    </w:sdtContent>
                  </w:sdt>
                </w:tc>
                <w:tc>
                  <w:tcPr>
                    <w:tcW w:w="1516" w:type="pct"/>
                    <w:shd w:val="clear" w:color="auto" w:fill="auto"/>
                  </w:tcPr>
                  <w:p>
                    <w:pPr>
                      <w:widowControl w:val="0"/>
                      <w:jc w:val="both"/>
                      <w:rPr>
                        <w:rStyle w:val="101"/>
                        <w:b w:val="0"/>
                        <w:szCs w:val="21"/>
                      </w:rPr>
                    </w:pPr>
                    <w:r>
                      <w:rPr>
                        <w:rStyle w:val="101"/>
                        <w:rFonts w:hint="eastAsia"/>
                        <w:b w:val="0"/>
                        <w:szCs w:val="21"/>
                      </w:rPr>
                      <w:t>浙江吉利汽车有限公司贵阳分公司及</w:t>
                    </w:r>
                    <w:r>
                      <w:t>同一控制人控制</w:t>
                    </w:r>
                    <w:r>
                      <w:rPr>
                        <w:rFonts w:hint="eastAsia"/>
                      </w:rPr>
                      <w:t>的其他单位</w:t>
                    </w:r>
                  </w:p>
                </w:tc>
                <w:tc>
                  <w:tcPr>
                    <w:tcW w:w="1516" w:type="pct"/>
                    <w:shd w:val="clear" w:color="auto" w:fill="auto"/>
                    <w:vAlign w:val="center"/>
                  </w:tcPr>
                  <w:p>
                    <w:pPr>
                      <w:widowControl w:val="0"/>
                      <w:jc w:val="right"/>
                      <w:rPr>
                        <w:rStyle w:val="101"/>
                        <w:b w:val="0"/>
                        <w:szCs w:val="21"/>
                      </w:rPr>
                    </w:pPr>
                    <w:r>
                      <w:rPr>
                        <w:rStyle w:val="101"/>
                        <w:b w:val="0"/>
                        <w:szCs w:val="21"/>
                      </w:rPr>
                      <w:t>44,565.90</w:t>
                    </w:r>
                  </w:p>
                </w:tc>
                <w:tc>
                  <w:tcPr>
                    <w:tcW w:w="1516" w:type="pct"/>
                    <w:vAlign w:val="center"/>
                  </w:tcPr>
                  <w:p>
                    <w:pPr>
                      <w:widowControl w:val="0"/>
                      <w:jc w:val="right"/>
                      <w:rPr>
                        <w:rStyle w:val="101"/>
                        <w:b w:val="0"/>
                        <w:szCs w:val="21"/>
                      </w:rPr>
                    </w:pPr>
                    <w:r>
                      <w:rPr>
                        <w:rStyle w:val="101"/>
                        <w:rFonts w:hint="eastAsia"/>
                        <w:b w:val="0"/>
                        <w:szCs w:val="21"/>
                      </w:rPr>
                      <w:t>14.72</w:t>
                    </w:r>
                  </w:p>
                </w:tc>
              </w:tr>
            </w:sdtContent>
          </w:sdt>
        </w:tbl>
        <w:p>
          <w:pPr>
            <w:rPr>
              <w:szCs w:val="21"/>
            </w:rPr>
          </w:pPr>
        </w:p>
      </w:sdtContent>
    </w:sdt>
    <w:p>
      <w:pPr>
        <w:spacing w:line="360" w:lineRule="auto"/>
        <w:rPr>
          <w:szCs w:val="21"/>
        </w:rPr>
      </w:pPr>
      <w:r>
        <w:rPr>
          <w:rFonts w:hint="eastAsia"/>
          <w:szCs w:val="21"/>
        </w:rPr>
        <w:t>其他说明</w:t>
      </w:r>
    </w:p>
    <w:sdt>
      <w:sdtPr>
        <w:rPr>
          <w:szCs w:val="21"/>
        </w:rPr>
        <w:alias w:val="主要销售客户及主要供应商情况其他说明"/>
        <w:tag w:val="_GBC_671f841429ed4c5aaa013b86ad58b88f"/>
        <w:id w:val="-33199582"/>
        <w:lock w:val="sdtLocked"/>
        <w:placeholder>
          <w:docPart w:val="GBC22222222222222222222222222222"/>
        </w:placeholder>
      </w:sdtPr>
      <w:sdtEndPr>
        <w:rPr>
          <w:szCs w:val="21"/>
        </w:rPr>
      </w:sdtEndPr>
      <w:sdtContent>
        <w:p>
          <w:pPr>
            <w:spacing w:line="360" w:lineRule="auto"/>
            <w:rPr>
              <w:szCs w:val="21"/>
            </w:rPr>
          </w:pPr>
          <w:r>
            <w:rPr>
              <w:rFonts w:hint="eastAsia"/>
              <w:szCs w:val="21"/>
            </w:rPr>
            <w:t>无</w:t>
          </w:r>
        </w:p>
      </w:sdtContent>
    </w:sdt>
    <w:p>
      <w:pPr>
        <w:rPr>
          <w:szCs w:val="21"/>
        </w:rPr>
      </w:pPr>
    </w:p>
    <w:sdt>
      <w:sdtPr>
        <w:rPr>
          <w:rFonts w:ascii="宋体" w:hAnsi="宋体" w:eastAsia="宋体" w:cs="宋体"/>
          <w:b w:val="0"/>
          <w:bCs w:val="0"/>
          <w:kern w:val="0"/>
          <w:szCs w:val="24"/>
        </w:rPr>
        <w:alias w:val="模块:费用"/>
        <w:tag w:val="_SEC_775a3421cf05469a8bf0b92a3e954a9d"/>
        <w:id w:val="864866202"/>
        <w:lock w:val="sdtLocked"/>
        <w:placeholder>
          <w:docPart w:val="GBC22222222222222222222222222222"/>
        </w:placeholder>
      </w:sdtPr>
      <w:sdtEndPr>
        <w:rPr>
          <w:rFonts w:ascii="宋体" w:hAnsi="宋体" w:eastAsia="宋体" w:cs="宋体"/>
          <w:b w:val="0"/>
          <w:bCs w:val="0"/>
          <w:kern w:val="0"/>
          <w:szCs w:val="24"/>
        </w:rPr>
      </w:sdtEndPr>
      <w:sdtContent>
        <w:p>
          <w:pPr>
            <w:pStyle w:val="5"/>
            <w:numPr>
              <w:ilvl w:val="0"/>
              <w:numId w:val="9"/>
            </w:numPr>
          </w:pPr>
          <w:r>
            <w:rPr>
              <w:rFonts w:hint="eastAsia"/>
            </w:rPr>
            <w:t>费用</w:t>
          </w:r>
        </w:p>
        <w:sdt>
          <w:sdtPr>
            <w:alias w:val="是否适用：费用[双击切换]"/>
            <w:tag w:val="_GBC_fa9cd5e43a8f426c8b793a737190d8db"/>
            <w:id w:val="-2302222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费用情况说明"/>
            <w:tag w:val="_GBC_02a46af1e8d349d8b753768e17da35a1"/>
            <w:id w:val="-1645353110"/>
            <w:lock w:val="sdtLocked"/>
          </w:sdtPr>
          <w:sdtEndPr>
            <w:rPr>
              <w:rFonts w:hint="eastAsia"/>
              <w:szCs w:val="24"/>
            </w:rPr>
          </w:sdtEndPr>
          <w:sdtContent>
            <w:p>
              <w:pPr>
                <w:ind w:right="420"/>
                <w:jc w:val="right"/>
                <w:rPr>
                  <w:szCs w:val="21"/>
                </w:rPr>
              </w:pPr>
              <w:r>
                <w:rPr>
                  <w:rFonts w:hint="eastAsia"/>
                  <w:szCs w:val="21"/>
                </w:rPr>
                <w:t>单位：元</w:t>
              </w:r>
            </w:p>
            <w:tbl>
              <w:tblPr>
                <w:tblStyle w:val="108"/>
                <w:tblW w:w="8779" w:type="dxa"/>
                <w:tblInd w:w="118" w:type="dxa"/>
                <w:tblLayout w:type="fixed"/>
                <w:tblCellMar>
                  <w:top w:w="0" w:type="dxa"/>
                  <w:left w:w="108" w:type="dxa"/>
                  <w:bottom w:w="0" w:type="dxa"/>
                  <w:right w:w="108" w:type="dxa"/>
                </w:tblCellMar>
              </w:tblPr>
              <w:tblGrid>
                <w:gridCol w:w="1553"/>
                <w:gridCol w:w="2631"/>
                <w:gridCol w:w="2610"/>
                <w:gridCol w:w="1985"/>
              </w:tblGrid>
              <w:tr>
                <w:tblPrEx>
                  <w:tblCellMar>
                    <w:top w:w="0" w:type="dxa"/>
                    <w:left w:w="108" w:type="dxa"/>
                    <w:bottom w:w="0" w:type="dxa"/>
                    <w:right w:w="108" w:type="dxa"/>
                  </w:tblCellMar>
                </w:tblPrEx>
                <w:trPr>
                  <w:trHeight w:val="285" w:hRule="atLeast"/>
                </w:trPr>
                <w:tc>
                  <w:tcPr>
                    <w:tcW w:w="1553"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rPr>
                        <w:color w:val="000000"/>
                        <w:szCs w:val="21"/>
                      </w:rPr>
                    </w:pPr>
                    <w:r>
                      <w:rPr>
                        <w:rFonts w:hint="eastAsia"/>
                        <w:color w:val="000000"/>
                        <w:szCs w:val="21"/>
                      </w:rPr>
                      <w:t>科目</w:t>
                    </w:r>
                  </w:p>
                </w:tc>
                <w:tc>
                  <w:tcPr>
                    <w:tcW w:w="2631" w:type="dxa"/>
                    <w:tcBorders>
                      <w:top w:val="single" w:color="auto" w:sz="8" w:space="0"/>
                      <w:left w:val="nil"/>
                      <w:bottom w:val="single" w:color="auto" w:sz="8" w:space="0"/>
                      <w:right w:val="single" w:color="auto" w:sz="8" w:space="0"/>
                    </w:tcBorders>
                    <w:shd w:val="clear" w:color="auto" w:fill="auto"/>
                    <w:vAlign w:val="center"/>
                  </w:tcPr>
                  <w:p>
                    <w:pPr>
                      <w:jc w:val="center"/>
                      <w:rPr>
                        <w:color w:val="000000"/>
                        <w:szCs w:val="21"/>
                      </w:rPr>
                    </w:pPr>
                    <w:r>
                      <w:rPr>
                        <w:rFonts w:hint="eastAsia"/>
                        <w:color w:val="000000"/>
                        <w:szCs w:val="21"/>
                      </w:rPr>
                      <w:t>本期数</w:t>
                    </w:r>
                  </w:p>
                </w:tc>
                <w:tc>
                  <w:tcPr>
                    <w:tcW w:w="2610" w:type="dxa"/>
                    <w:tcBorders>
                      <w:top w:val="single" w:color="auto" w:sz="8" w:space="0"/>
                      <w:left w:val="nil"/>
                      <w:bottom w:val="single" w:color="auto" w:sz="8" w:space="0"/>
                      <w:right w:val="single" w:color="auto" w:sz="8" w:space="0"/>
                    </w:tcBorders>
                    <w:shd w:val="clear" w:color="auto" w:fill="auto"/>
                    <w:vAlign w:val="center"/>
                  </w:tcPr>
                  <w:p>
                    <w:pPr>
                      <w:jc w:val="center"/>
                      <w:rPr>
                        <w:color w:val="000000"/>
                        <w:szCs w:val="21"/>
                      </w:rPr>
                    </w:pPr>
                    <w:r>
                      <w:rPr>
                        <w:rFonts w:hint="eastAsia"/>
                        <w:color w:val="000000"/>
                        <w:szCs w:val="21"/>
                      </w:rPr>
                      <w:t>上年同期数</w:t>
                    </w:r>
                  </w:p>
                </w:tc>
                <w:tc>
                  <w:tcPr>
                    <w:tcW w:w="1985" w:type="dxa"/>
                    <w:tcBorders>
                      <w:top w:val="single" w:color="auto" w:sz="8" w:space="0"/>
                      <w:left w:val="nil"/>
                      <w:bottom w:val="single" w:color="auto" w:sz="8" w:space="0"/>
                      <w:right w:val="single" w:color="auto" w:sz="8" w:space="0"/>
                    </w:tcBorders>
                    <w:shd w:val="clear" w:color="auto" w:fill="auto"/>
                    <w:vAlign w:val="center"/>
                  </w:tcPr>
                  <w:p>
                    <w:pPr>
                      <w:jc w:val="center"/>
                      <w:rPr>
                        <w:color w:val="000000"/>
                        <w:szCs w:val="21"/>
                      </w:rPr>
                    </w:pPr>
                    <w:r>
                      <w:rPr>
                        <w:rFonts w:hint="eastAsia"/>
                        <w:color w:val="000000"/>
                        <w:szCs w:val="21"/>
                      </w:rPr>
                      <w:t>变动比例（%）</w:t>
                    </w:r>
                  </w:p>
                </w:tc>
              </w:tr>
              <w:tr>
                <w:tblPrEx>
                  <w:tblCellMar>
                    <w:top w:w="0" w:type="dxa"/>
                    <w:left w:w="108" w:type="dxa"/>
                    <w:bottom w:w="0" w:type="dxa"/>
                    <w:right w:w="108" w:type="dxa"/>
                  </w:tblCellMar>
                </w:tblPrEx>
                <w:trPr>
                  <w:trHeight w:val="285" w:hRule="atLeast"/>
                </w:trPr>
                <w:tc>
                  <w:tcPr>
                    <w:tcW w:w="1553" w:type="dxa"/>
                    <w:tcBorders>
                      <w:top w:val="nil"/>
                      <w:left w:val="single" w:color="auto" w:sz="8" w:space="0"/>
                      <w:bottom w:val="single" w:color="auto" w:sz="8" w:space="0"/>
                      <w:right w:val="single" w:color="auto" w:sz="8" w:space="0"/>
                    </w:tcBorders>
                    <w:shd w:val="clear" w:color="auto" w:fill="auto"/>
                  </w:tcPr>
                  <w:p>
                    <w:pPr>
                      <w:rPr>
                        <w:color w:val="000000"/>
                        <w:szCs w:val="21"/>
                      </w:rPr>
                    </w:pPr>
                    <w:r>
                      <w:rPr>
                        <w:rFonts w:hint="eastAsia"/>
                        <w:color w:val="000000"/>
                        <w:szCs w:val="21"/>
                      </w:rPr>
                      <w:t>销售费用</w:t>
                    </w:r>
                  </w:p>
                </w:tc>
                <w:tc>
                  <w:tcPr>
                    <w:tcW w:w="2631"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148,555,614.23</w:t>
                    </w:r>
                  </w:p>
                </w:tc>
                <w:tc>
                  <w:tcPr>
                    <w:tcW w:w="2610"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405,138,197.87</w:t>
                    </w:r>
                  </w:p>
                </w:tc>
                <w:tc>
                  <w:tcPr>
                    <w:tcW w:w="1985"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-63.33</w:t>
                    </w:r>
                  </w:p>
                </w:tc>
              </w:tr>
              <w:tr>
                <w:tblPrEx>
                  <w:tblCellMar>
                    <w:top w:w="0" w:type="dxa"/>
                    <w:left w:w="108" w:type="dxa"/>
                    <w:bottom w:w="0" w:type="dxa"/>
                    <w:right w:w="108" w:type="dxa"/>
                  </w:tblCellMar>
                </w:tblPrEx>
                <w:trPr>
                  <w:trHeight w:val="285" w:hRule="atLeast"/>
                </w:trPr>
                <w:tc>
                  <w:tcPr>
                    <w:tcW w:w="1553" w:type="dxa"/>
                    <w:tcBorders>
                      <w:top w:val="nil"/>
                      <w:left w:val="single" w:color="auto" w:sz="8" w:space="0"/>
                      <w:bottom w:val="single" w:color="auto" w:sz="8" w:space="0"/>
                      <w:right w:val="single" w:color="auto" w:sz="8" w:space="0"/>
                    </w:tcBorders>
                    <w:shd w:val="clear" w:color="auto" w:fill="auto"/>
                  </w:tcPr>
                  <w:p>
                    <w:pPr>
                      <w:rPr>
                        <w:color w:val="000000"/>
                        <w:szCs w:val="21"/>
                      </w:rPr>
                    </w:pPr>
                    <w:r>
                      <w:rPr>
                        <w:rFonts w:hint="eastAsia"/>
                        <w:color w:val="000000"/>
                        <w:szCs w:val="21"/>
                      </w:rPr>
                      <w:t>管理费用</w:t>
                    </w:r>
                  </w:p>
                </w:tc>
                <w:tc>
                  <w:tcPr>
                    <w:tcW w:w="2631"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417,297,253.11</w:t>
                    </w:r>
                  </w:p>
                </w:tc>
                <w:tc>
                  <w:tcPr>
                    <w:tcW w:w="2610"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701,936,838.91</w:t>
                    </w:r>
                  </w:p>
                </w:tc>
                <w:tc>
                  <w:tcPr>
                    <w:tcW w:w="1985"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-40.55</w:t>
                    </w:r>
                  </w:p>
                </w:tc>
              </w:tr>
              <w:tr>
                <w:tblPrEx>
                  <w:tblCellMar>
                    <w:top w:w="0" w:type="dxa"/>
                    <w:left w:w="108" w:type="dxa"/>
                    <w:bottom w:w="0" w:type="dxa"/>
                    <w:right w:w="108" w:type="dxa"/>
                  </w:tblCellMar>
                </w:tblPrEx>
                <w:trPr>
                  <w:trHeight w:val="285" w:hRule="atLeast"/>
                </w:trPr>
                <w:tc>
                  <w:tcPr>
                    <w:tcW w:w="1553" w:type="dxa"/>
                    <w:tcBorders>
                      <w:top w:val="nil"/>
                      <w:left w:val="single" w:color="auto" w:sz="8" w:space="0"/>
                      <w:bottom w:val="single" w:color="auto" w:sz="8" w:space="0"/>
                      <w:right w:val="single" w:color="auto" w:sz="8" w:space="0"/>
                    </w:tcBorders>
                    <w:shd w:val="clear" w:color="auto" w:fill="auto"/>
                  </w:tcPr>
                  <w:p>
                    <w:pPr>
                      <w:rPr>
                        <w:color w:val="000000"/>
                        <w:szCs w:val="21"/>
                      </w:rPr>
                    </w:pPr>
                    <w:r>
                      <w:rPr>
                        <w:rFonts w:hint="eastAsia"/>
                        <w:color w:val="000000"/>
                        <w:szCs w:val="21"/>
                      </w:rPr>
                      <w:t>研发费用</w:t>
                    </w:r>
                  </w:p>
                </w:tc>
                <w:tc>
                  <w:tcPr>
                    <w:tcW w:w="2631"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120,169,880.40</w:t>
                    </w:r>
                  </w:p>
                </w:tc>
                <w:tc>
                  <w:tcPr>
                    <w:tcW w:w="2610"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253,032,072.92</w:t>
                    </w:r>
                  </w:p>
                </w:tc>
                <w:tc>
                  <w:tcPr>
                    <w:tcW w:w="1985"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-52.51</w:t>
                    </w:r>
                  </w:p>
                </w:tc>
              </w:tr>
              <w:tr>
                <w:trPr>
                  <w:trHeight w:val="285" w:hRule="atLeast"/>
                </w:trPr>
                <w:tc>
                  <w:tcPr>
                    <w:tcW w:w="1553" w:type="dxa"/>
                    <w:tcBorders>
                      <w:top w:val="nil"/>
                      <w:left w:val="single" w:color="auto" w:sz="8" w:space="0"/>
                      <w:bottom w:val="single" w:color="auto" w:sz="8" w:space="0"/>
                      <w:right w:val="single" w:color="auto" w:sz="8" w:space="0"/>
                    </w:tcBorders>
                    <w:shd w:val="clear" w:color="auto" w:fill="auto"/>
                  </w:tcPr>
                  <w:p>
                    <w:pPr>
                      <w:rPr>
                        <w:color w:val="000000"/>
                        <w:szCs w:val="21"/>
                      </w:rPr>
                    </w:pPr>
                    <w:r>
                      <w:rPr>
                        <w:rFonts w:hint="eastAsia"/>
                        <w:color w:val="000000"/>
                        <w:szCs w:val="21"/>
                      </w:rPr>
                      <w:t>财务费用</w:t>
                    </w:r>
                  </w:p>
                </w:tc>
                <w:tc>
                  <w:tcPr>
                    <w:tcW w:w="2631" w:type="dxa"/>
                    <w:tcBorders>
                      <w:top w:val="nil"/>
                      <w:left w:val="nil"/>
                      <w:bottom w:val="single" w:color="auto" w:sz="8" w:space="0"/>
                      <w:right w:val="single" w:color="auto" w:sz="8" w:space="0"/>
                    </w:tcBorders>
                    <w:shd w:val="clear" w:color="auto" w:fill="auto"/>
                    <w:vAlign w:val="center"/>
                  </w:tcPr>
                  <w:p>
                    <w:pPr>
                      <w:jc w:val="right"/>
                      <w:rPr>
                        <w:szCs w:val="21"/>
                      </w:rPr>
                    </w:pPr>
                    <w:r>
                      <w:t>     140,799,480.26</w:t>
                    </w:r>
                  </w:p>
                </w:tc>
                <w:tc>
                  <w:tcPr>
                    <w:tcW w:w="2610" w:type="dxa"/>
                    <w:tcBorders>
                      <w:top w:val="nil"/>
                      <w:left w:val="nil"/>
                      <w:bottom w:val="single" w:color="auto" w:sz="8" w:space="0"/>
                      <w:right w:val="single" w:color="auto" w:sz="8" w:space="0"/>
                    </w:tcBorders>
                    <w:shd w:val="clear" w:color="auto" w:fill="auto"/>
                    <w:vAlign w:val="center"/>
                  </w:tcPr>
                  <w:p>
                    <w:pPr>
                      <w:jc w:val="right"/>
                      <w:rPr>
                        <w:szCs w:val="21"/>
                      </w:rPr>
                    </w:pPr>
                    <w:r>
                      <w:t>   1,888,314,885.63</w:t>
                    </w:r>
                  </w:p>
                </w:tc>
                <w:tc>
                  <w:tcPr>
                    <w:tcW w:w="1985" w:type="dxa"/>
                    <w:tcBorders>
                      <w:top w:val="nil"/>
                      <w:left w:val="nil"/>
                      <w:bottom w:val="single" w:color="auto" w:sz="8" w:space="0"/>
                      <w:right w:val="single" w:color="auto" w:sz="8" w:space="0"/>
                    </w:tcBorders>
                    <w:shd w:val="clear" w:color="auto" w:fill="auto"/>
                    <w:vAlign w:val="center"/>
                  </w:tcPr>
                  <w:p>
                    <w:pPr>
                      <w:jc w:val="right"/>
                      <w:rPr>
                        <w:szCs w:val="21"/>
                      </w:rPr>
                    </w:pPr>
                    <w:r>
                      <w:t>-92.54</w:t>
                    </w:r>
                  </w:p>
                </w:tc>
              </w:tr>
            </w:tbl>
            <w:p/>
          </w:sdtContent>
        </w:sdt>
      </w:sdtContent>
    </w:sdt>
    <w:sdt>
      <w:sdtPr>
        <w:rPr>
          <w:rStyle w:val="48"/>
          <w:rFonts w:ascii="宋体" w:hAnsi="宋体" w:eastAsia="宋体" w:cs="宋体"/>
          <w:b/>
          <w:bCs/>
          <w:szCs w:val="21"/>
        </w:rPr>
        <w:alias w:val="模块:研发投入情况表"/>
        <w:tag w:val="_SEC_7d98484d3b0a438487e1af19f740dceb"/>
        <w:id w:val="-1559926506"/>
        <w:lock w:val="sdtLocked"/>
        <w:placeholder>
          <w:docPart w:val="GBC22222222222222222222222222222"/>
        </w:placeholder>
      </w:sdtPr>
      <w:sdtEndPr>
        <w:rPr>
          <w:rStyle w:val="38"/>
          <w:rFonts w:hint="eastAsia" w:ascii="宋体" w:hAnsi="宋体" w:eastAsia="宋体" w:cs="宋体"/>
          <w:b w:val="0"/>
          <w:bCs w:val="0"/>
          <w:kern w:val="0"/>
          <w:szCs w:val="24"/>
        </w:rPr>
      </w:sdtEndPr>
      <w:sdtContent>
        <w:p>
          <w:pPr>
            <w:pStyle w:val="5"/>
            <w:numPr>
              <w:ilvl w:val="0"/>
              <w:numId w:val="9"/>
            </w:numPr>
            <w:rPr>
              <w:rStyle w:val="48"/>
              <w:b/>
              <w:bCs/>
            </w:rPr>
          </w:pPr>
          <w:r>
            <w:rPr>
              <w:rFonts w:hint="eastAsia"/>
            </w:rPr>
            <w:t>研发投入</w:t>
          </w:r>
        </w:p>
        <w:p>
          <w:pPr>
            <w:pStyle w:val="55"/>
            <w:numPr>
              <w:ilvl w:val="0"/>
              <w:numId w:val="11"/>
            </w:numPr>
            <w:spacing w:before="60" w:after="60"/>
            <w:ind w:firstLineChars="0"/>
            <w:rPr>
              <w:rStyle w:val="48"/>
              <w:szCs w:val="21"/>
            </w:rPr>
          </w:pPr>
          <w:r>
            <w:rPr>
              <w:rStyle w:val="48"/>
              <w:szCs w:val="21"/>
            </w:rPr>
            <w:t>研发</w:t>
          </w:r>
          <w:r>
            <w:rPr>
              <w:rStyle w:val="48"/>
              <w:rFonts w:hint="eastAsia"/>
              <w:szCs w:val="21"/>
            </w:rPr>
            <w:t>投入</w:t>
          </w:r>
          <w:r>
            <w:rPr>
              <w:rStyle w:val="48"/>
              <w:szCs w:val="21"/>
            </w:rPr>
            <w:t>情况表</w:t>
          </w:r>
        </w:p>
        <w:sdt>
          <w:sdtPr>
            <w:rPr>
              <w:rStyle w:val="48"/>
              <w:rFonts w:hint="eastAsia"/>
              <w:b w:val="0"/>
              <w:szCs w:val="21"/>
            </w:rPr>
            <w:alias w:val="是否适用：研发投入情况表[双击切换]"/>
            <w:tag w:val="_GBC_b745f9cad6de412690fcb0f363f3eadb"/>
            <w:id w:val="-1393807266"/>
            <w:lock w:val="sdtLocked"/>
            <w:placeholder>
              <w:docPart w:val="GBC22222222222222222222222222222"/>
            </w:placeholder>
          </w:sdtPr>
          <w:sdtEndPr>
            <w:rPr>
              <w:rStyle w:val="48"/>
              <w:rFonts w:hint="eastAsia"/>
              <w:b w:val="0"/>
              <w:szCs w:val="21"/>
            </w:rPr>
          </w:sdtEndPr>
          <w:sdtContent>
            <w:p>
              <w:pPr>
                <w:rPr>
                  <w:rStyle w:val="48"/>
                  <w:b w:val="0"/>
                  <w:szCs w:val="21"/>
                </w:rPr>
              </w:pPr>
              <w:r>
                <w:rPr>
                  <w:rStyle w:val="48"/>
                  <w:b w:val="0"/>
                  <w:szCs w:val="21"/>
                </w:rPr>
                <w:fldChar w:fldCharType="begin"/>
              </w:r>
              <w:r>
                <w:rPr>
                  <w:rStyle w:val="48"/>
                  <w:b w:val="0"/>
                  <w:szCs w:val="21"/>
                </w:rPr>
                <w:instrText xml:space="preserve"> MACROBUTTON  SnrToggleCheckbox √适用  </w:instrText>
              </w:r>
              <w:r>
                <w:rPr>
                  <w:rStyle w:val="48"/>
                  <w:b w:val="0"/>
                  <w:szCs w:val="21"/>
                </w:rPr>
                <w:fldChar w:fldCharType="end"/>
              </w:r>
              <w:r>
                <w:rPr>
                  <w:rStyle w:val="48"/>
                  <w:b w:val="0"/>
                  <w:szCs w:val="21"/>
                </w:rPr>
                <w:fldChar w:fldCharType="begin"/>
              </w:r>
              <w:r>
                <w:rPr>
                  <w:rStyle w:val="48"/>
                  <w:b w:val="0"/>
                  <w:szCs w:val="21"/>
                </w:rPr>
                <w:instrText xml:space="preserve"> MACROBUTTON  SnrToggleCheckbox □不适用 </w:instrText>
              </w:r>
              <w:r>
                <w:rPr>
                  <w:rStyle w:val="48"/>
                  <w:b w:val="0"/>
                  <w:szCs w:val="21"/>
                </w:rPr>
                <w:fldChar w:fldCharType="end"/>
              </w:r>
            </w:p>
          </w:sdtContent>
        </w:sdt>
        <w:p>
          <w:pPr>
            <w:jc w:val="right"/>
            <w:rPr>
              <w:rStyle w:val="48"/>
              <w:b w:val="0"/>
              <w:szCs w:val="21"/>
            </w:rPr>
          </w:pPr>
          <w:r>
            <w:rPr>
              <w:rFonts w:hint="eastAsia"/>
              <w:szCs w:val="21"/>
            </w:rPr>
            <w:t>单位：</w:t>
          </w:r>
          <w:sdt>
            <w:sdtPr>
              <w:rPr>
                <w:rFonts w:hint="eastAsia"/>
                <w:szCs w:val="21"/>
              </w:rPr>
              <w:alias w:val="单位：研发支出"/>
              <w:tag w:val="_GBC_74cd81424a3c41dd9b3b9f335eae8c21"/>
              <w:id w:val="-677502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95"/>
            <w:gridCol w:w="5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tag w:val="_PLD_34e4faf6ae244cfbac1fd41757cfe96b"/>
                <w:id w:val="556441666"/>
                <w:lock w:val="sdtLocked"/>
              </w:sdtPr>
              <w:sdtContent>
                <w:tc>
                  <w:tcPr>
                    <w:tcW w:w="2097" w:type="pct"/>
                  </w:tcPr>
                  <w:p>
                    <w:pPr>
                      <w:widowControl w:val="0"/>
                      <w:jc w:val="both"/>
                      <w:rPr>
                        <w:rStyle w:val="48"/>
                        <w:b w:val="0"/>
                        <w:bCs w:val="0"/>
                        <w:szCs w:val="21"/>
                      </w:rPr>
                    </w:pPr>
                    <w:r>
                      <w:rPr>
                        <w:szCs w:val="21"/>
                      </w:rPr>
                      <w:t>本期费用化研发</w:t>
                    </w:r>
                    <w:r>
                      <w:rPr>
                        <w:rFonts w:hint="eastAsia"/>
                        <w:szCs w:val="21"/>
                      </w:rPr>
                      <w:t>投入</w:t>
                    </w:r>
                  </w:p>
                </w:tc>
              </w:sdtContent>
            </w:sdt>
            <w:sdt>
              <w:sdtPr>
                <w:rPr>
                  <w:rStyle w:val="48"/>
                  <w:rFonts w:hint="eastAsia" w:ascii="Times New Roman" w:hAnsi="Times New Roman"/>
                  <w:b w:val="0"/>
                  <w:szCs w:val="21"/>
                </w:rPr>
                <w:alias w:val="费用化研发投入"/>
                <w:tag w:val="_GBC_4fb175bc5990483bb41db359eecfdbdb"/>
                <w:id w:val="1945955847"/>
                <w:lock w:val="sdtLocked"/>
              </w:sdtPr>
              <w:sdtEndPr>
                <w:rPr>
                  <w:rStyle w:val="48"/>
                  <w:rFonts w:hint="eastAsia" w:ascii="Times New Roman" w:hAnsi="Times New Roman"/>
                  <w:b w:val="0"/>
                  <w:szCs w:val="21"/>
                </w:rPr>
              </w:sdtEndPr>
              <w:sdtContent>
                <w:tc>
                  <w:tcPr>
                    <w:tcW w:w="2903" w:type="pct"/>
                  </w:tcPr>
                  <w:p>
                    <w:pPr>
                      <w:widowControl w:val="0"/>
                      <w:jc w:val="right"/>
                      <w:rPr>
                        <w:rStyle w:val="48"/>
                        <w:b w:val="0"/>
                        <w:szCs w:val="21"/>
                      </w:rPr>
                    </w:pPr>
                    <w:r>
                      <w:rPr>
                        <w:rStyle w:val="48"/>
                        <w:rFonts w:hint="eastAsia"/>
                        <w:b w:val="0"/>
                        <w:szCs w:val="21"/>
                      </w:rPr>
                      <w:t>120,169,880.40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sdt>
              <w:sdtPr>
                <w:tag w:val="_PLD_20c161beca374b52aa10a0ce52fc5c8f"/>
                <w:id w:val="-534655596"/>
                <w:lock w:val="sdtLocked"/>
              </w:sdtPr>
              <w:sdtContent>
                <w:tc>
                  <w:tcPr>
                    <w:tcW w:w="2097" w:type="pct"/>
                  </w:tcPr>
                  <w:p>
                    <w:pPr>
                      <w:widowControl w:val="0"/>
                      <w:jc w:val="both"/>
                      <w:rPr>
                        <w:rStyle w:val="48"/>
                        <w:szCs w:val="21"/>
                      </w:rPr>
                    </w:pPr>
                    <w:r>
                      <w:rPr>
                        <w:szCs w:val="21"/>
                      </w:rPr>
                      <w:t>本期资本化研发</w:t>
                    </w:r>
                    <w:r>
                      <w:rPr>
                        <w:rFonts w:hint="eastAsia"/>
                        <w:szCs w:val="21"/>
                      </w:rPr>
                      <w:t>投入</w:t>
                    </w:r>
                  </w:p>
                </w:tc>
              </w:sdtContent>
            </w:sdt>
            <w:tc>
              <w:tcPr>
                <w:tcW w:w="2903" w:type="pct"/>
              </w:tcPr>
              <w:p>
                <w:pPr>
                  <w:widowControl w:val="0"/>
                  <w:jc w:val="right"/>
                  <w:rPr>
                    <w:rStyle w:val="48"/>
                    <w:b w:val="0"/>
                    <w:szCs w:val="21"/>
                  </w:rPr>
                </w:pPr>
                <w:r>
                  <w:t>1,268,145.54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rPr>
                  <w:rFonts w:ascii="Times New Roman" w:hAnsi="Times New Roman"/>
                  <w:b/>
                  <w:bCs/>
                  <w:szCs w:val="28"/>
                </w:rPr>
                <w:tag w:val="_PLD_21956088f1024a23941f7c544fb04a97"/>
                <w:id w:val="208085604"/>
                <w:lock w:val="sdtLocked"/>
              </w:sdtPr>
              <w:sdtEndPr>
                <w:rPr>
                  <w:rFonts w:ascii="Times New Roman" w:hAnsi="Times New Roman"/>
                  <w:b w:val="0"/>
                  <w:bCs w:val="0"/>
                  <w:szCs w:val="20"/>
                </w:rPr>
              </w:sdtEndPr>
              <w:sdtContent>
                <w:tc>
                  <w:tcPr>
                    <w:tcW w:w="2097" w:type="pct"/>
                  </w:tcPr>
                  <w:p>
                    <w:pPr>
                      <w:widowControl w:val="0"/>
                      <w:jc w:val="both"/>
                      <w:rPr>
                        <w:rStyle w:val="48"/>
                        <w:szCs w:val="21"/>
                      </w:rPr>
                    </w:pPr>
                    <w:r>
                      <w:rPr>
                        <w:szCs w:val="21"/>
                      </w:rPr>
                      <w:t>研发</w:t>
                    </w:r>
                    <w:r>
                      <w:rPr>
                        <w:rFonts w:hint="eastAsia"/>
                        <w:szCs w:val="21"/>
                      </w:rPr>
                      <w:t>投入</w:t>
                    </w:r>
                    <w:r>
                      <w:rPr>
                        <w:szCs w:val="21"/>
                      </w:rPr>
                      <w:t>合计</w:t>
                    </w:r>
                  </w:p>
                </w:tc>
              </w:sdtContent>
            </w:sdt>
            <w:tc>
              <w:tcPr>
                <w:tcW w:w="2903" w:type="pct"/>
              </w:tcPr>
              <w:p>
                <w:pPr>
                  <w:widowControl w:val="0"/>
                  <w:jc w:val="right"/>
                  <w:rPr>
                    <w:rStyle w:val="48"/>
                    <w:b w:val="0"/>
                    <w:szCs w:val="21"/>
                  </w:rPr>
                </w:pPr>
                <w:r>
                  <w:t>121,438,025.94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Times New Roman" w:hAnsi="Times New Roman"/>
                  <w:b/>
                  <w:bCs/>
                  <w:szCs w:val="28"/>
                </w:rPr>
                <w:tag w:val="_PLD_ab1307558a044f3da8f8f6293608de34"/>
                <w:id w:val="-1546453199"/>
                <w:lock w:val="sdtLocked"/>
              </w:sdtPr>
              <w:sdtEndPr>
                <w:rPr>
                  <w:rFonts w:ascii="Times New Roman" w:hAnsi="Times New Roman"/>
                  <w:b w:val="0"/>
                  <w:bCs w:val="0"/>
                  <w:szCs w:val="20"/>
                </w:rPr>
              </w:sdtEndPr>
              <w:sdtContent>
                <w:tc>
                  <w:tcPr>
                    <w:tcW w:w="2097" w:type="pct"/>
                  </w:tcPr>
                  <w:p>
                    <w:pPr>
                      <w:widowControl w:val="0"/>
                      <w:jc w:val="both"/>
                      <w:rPr>
                        <w:rStyle w:val="48"/>
                        <w:szCs w:val="21"/>
                      </w:rPr>
                    </w:pPr>
                    <w:r>
                      <w:rPr>
                        <w:szCs w:val="21"/>
                      </w:rPr>
                      <w:t>研发</w:t>
                    </w:r>
                    <w:r>
                      <w:rPr>
                        <w:rFonts w:hint="eastAsia"/>
                        <w:szCs w:val="21"/>
                      </w:rPr>
                      <w:t>投入</w:t>
                    </w:r>
                    <w:r>
                      <w:rPr>
                        <w:szCs w:val="21"/>
                      </w:rPr>
                      <w:t>总额占营业收入比例（%）</w:t>
                    </w:r>
                  </w:p>
                </w:tc>
              </w:sdtContent>
            </w:sdt>
            <w:tc>
              <w:tcPr>
                <w:tcW w:w="2903" w:type="pct"/>
              </w:tcPr>
              <w:p>
                <w:pPr>
                  <w:widowControl w:val="0"/>
                  <w:jc w:val="right"/>
                  <w:rPr>
                    <w:rStyle w:val="48"/>
                    <w:b w:val="0"/>
                    <w:szCs w:val="21"/>
                  </w:rPr>
                </w:pPr>
                <w:r>
                  <w:rPr>
                    <w:rStyle w:val="48"/>
                    <w:rFonts w:hint="eastAsia"/>
                    <w:b w:val="0"/>
                    <w:szCs w:val="21"/>
                  </w:rPr>
                  <w:t>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sdt>
              <w:sdtPr>
                <w:rPr>
                  <w:rFonts w:ascii="Calibri" w:hAnsi="Calibri" w:cs="Times New Roman"/>
                  <w:b/>
                  <w:bCs/>
                  <w:kern w:val="2"/>
                  <w:szCs w:val="28"/>
                </w:rPr>
                <w:tag w:val="_PLD_0d2db39633024627a1ba32892a5b2e60"/>
                <w:id w:val="-1336609521"/>
                <w:lock w:val="sdtLocked"/>
              </w:sdtPr>
              <w:sdtEndPr>
                <w:rPr>
                  <w:rFonts w:ascii="Calibri" w:hAnsi="Calibri" w:cs="Times New Roman"/>
                  <w:b w:val="0"/>
                  <w:bCs w:val="0"/>
                  <w:kern w:val="2"/>
                  <w:szCs w:val="20"/>
                </w:rPr>
              </w:sdtEndPr>
              <w:sdtContent>
                <w:tc>
                  <w:tcPr>
                    <w:tcW w:w="2097" w:type="pct"/>
                  </w:tcPr>
                  <w:p>
                    <w:pPr>
                      <w:widowControl w:val="0"/>
                      <w:jc w:val="both"/>
                      <w:rPr>
                        <w:szCs w:val="21"/>
                      </w:rPr>
                    </w:pPr>
                    <w:r>
                      <w:rPr>
                        <w:rFonts w:hint="eastAsia"/>
                        <w:szCs w:val="21"/>
                      </w:rPr>
                      <w:t>研发投入资本化的比重</w:t>
                    </w:r>
                    <w:r>
                      <w:rPr>
                        <w:szCs w:val="21"/>
                      </w:rPr>
                      <w:t>（%）</w:t>
                    </w:r>
                  </w:p>
                </w:tc>
              </w:sdtContent>
            </w:sdt>
            <w:tc>
              <w:tcPr>
                <w:tcW w:w="2903" w:type="pct"/>
              </w:tcPr>
              <w:p>
                <w:pPr>
                  <w:widowControl w:val="0"/>
                  <w:jc w:val="right"/>
                  <w:rPr>
                    <w:bCs/>
                    <w:szCs w:val="21"/>
                  </w:rPr>
                </w:pPr>
                <w:r>
                  <w:rPr>
                    <w:rFonts w:hint="eastAsia"/>
                    <w:bCs/>
                    <w:szCs w:val="21"/>
                  </w:rPr>
                  <w:t>1.04</w:t>
                </w:r>
              </w:p>
            </w:tc>
          </w:tr>
        </w:tbl>
        <w:p/>
      </w:sdtContent>
    </w:sdt>
    <w:sdt>
      <w:sdtPr>
        <w:rPr>
          <w:rStyle w:val="48"/>
          <w:rFonts w:hint="eastAsia" w:ascii="宋体" w:hAnsi="宋体" w:cs="宋体"/>
          <w:szCs w:val="21"/>
        </w:rPr>
        <w:alias w:val="模块:研发人员情况表  公司研发人员的数量　 研发人员数量占公..."/>
        <w:tag w:val="_SEC_0e96295bcf0243fa915a42a64988d5d2"/>
        <w:id w:val="1093361296"/>
        <w:lock w:val="sdtLocked"/>
        <w:placeholder>
          <w:docPart w:val="GBC22222222222222222222222222222"/>
        </w:placeholder>
      </w:sdtPr>
      <w:sdtEndPr>
        <w:rPr>
          <w:rStyle w:val="38"/>
          <w:rFonts w:hint="default" w:ascii="宋体" w:hAnsi="宋体" w:cs="宋体"/>
          <w:b w:val="0"/>
          <w:bCs w:val="0"/>
          <w:kern w:val="0"/>
          <w:szCs w:val="24"/>
        </w:rPr>
      </w:sdtEndPr>
      <w:sdtContent>
        <w:p>
          <w:pPr>
            <w:pStyle w:val="55"/>
            <w:numPr>
              <w:ilvl w:val="0"/>
              <w:numId w:val="11"/>
            </w:numPr>
            <w:spacing w:before="60" w:after="60"/>
            <w:ind w:firstLineChars="0"/>
            <w:rPr>
              <w:rStyle w:val="48"/>
              <w:szCs w:val="21"/>
            </w:rPr>
          </w:pPr>
          <w:bookmarkStart w:id="35" w:name="_Hlk89876622"/>
          <w:r>
            <w:rPr>
              <w:rStyle w:val="48"/>
              <w:rFonts w:hint="eastAsia"/>
              <w:szCs w:val="21"/>
            </w:rPr>
            <w:t>研发人员情况表</w:t>
          </w:r>
        </w:p>
        <w:sdt>
          <w:sdtPr>
            <w:rPr>
              <w:rFonts w:hint="eastAsia"/>
              <w:b/>
              <w:bCs/>
              <w:kern w:val="2"/>
              <w:szCs w:val="28"/>
            </w:rPr>
            <w:alias w:val="是否适用：研发人员情况[双击切换]"/>
            <w:tag w:val="_GBC_ef3f376f125b4e219be789ed3078c140"/>
            <w:id w:val="-662322528"/>
            <w:lock w:val="sdtLocked"/>
            <w:placeholder>
              <w:docPart w:val="GBC22222222222222222222222222222"/>
            </w:placeholder>
          </w:sdtPr>
          <w:sdtEndPr>
            <w:rPr>
              <w:rFonts w:hint="eastAsia"/>
              <w:b/>
              <w:bCs/>
              <w:kern w:val="2"/>
              <w:szCs w:val="28"/>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tbl>
          <w:tblPr>
            <w:tblStyle w:val="108"/>
            <w:tblW w:w="9150" w:type="dxa"/>
            <w:jc w:val="center"/>
            <w:tblLayout w:type="autofit"/>
            <w:tblCellMar>
              <w:top w:w="0" w:type="dxa"/>
              <w:left w:w="108" w:type="dxa"/>
              <w:bottom w:w="0" w:type="dxa"/>
              <w:right w:w="108" w:type="dxa"/>
            </w:tblCellMar>
          </w:tblPr>
          <w:tblGrid>
            <w:gridCol w:w="5808"/>
            <w:gridCol w:w="3342"/>
          </w:tblGrid>
          <w:tr>
            <w:tblPrEx>
              <w:tblCellMar>
                <w:top w:w="0" w:type="dxa"/>
                <w:left w:w="108" w:type="dxa"/>
                <w:bottom w:w="0" w:type="dxa"/>
                <w:right w:w="108" w:type="dxa"/>
              </w:tblCellMar>
            </w:tblPrEx>
            <w:trPr>
              <w:trHeight w:val="270" w:hRule="atLeast"/>
              <w:jc w:val="center"/>
            </w:trPr>
            <w:sdt>
              <w:sdtPr>
                <w:rPr>
                  <w:rFonts w:hint="eastAsia"/>
                  <w:szCs w:val="21"/>
                </w:rPr>
                <w:tag w:val="_PLD_13cec8f1a3504661b1b570efe7519fa3"/>
                <w:id w:val="-642351987"/>
                <w:lock w:val="sdtLocked"/>
              </w:sdtPr>
              <w:sdtEndPr>
                <w:rPr>
                  <w:rFonts w:hint="eastAsia"/>
                  <w:szCs w:val="21"/>
                </w:rPr>
              </w:sdtEndPr>
              <w:sdtContent>
                <w:tc>
                  <w:tcPr>
                    <w:tcW w:w="5808" w:type="dxa"/>
                    <w:tcBorders>
                      <w:top w:val="single" w:color="auto" w:sz="4" w:space="0"/>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公司研发人员的数量</w:t>
                    </w:r>
                  </w:p>
                </w:tc>
              </w:sdtContent>
            </w:sdt>
            <w:sdt>
              <w:sdtPr>
                <w:rPr>
                  <w:rFonts w:hint="eastAsia"/>
                </w:rPr>
                <w:alias w:val="公司研发人员的数量"/>
                <w:tag w:val="_GBC_a84a5cadb95b4b7595981b8f24d727c8"/>
                <w:id w:val="-1935430782"/>
                <w:lock w:val="sdtLocked"/>
              </w:sdtPr>
              <w:sdtEndPr>
                <w:rPr>
                  <w:rFonts w:hint="eastAsia"/>
                </w:rPr>
              </w:sdtEndPr>
              <w:sdtContent>
                <w:tc>
                  <w:tcPr>
                    <w:tcW w:w="3342" w:type="dxa"/>
                    <w:tcBorders>
                      <w:top w:val="single" w:color="auto" w:sz="4" w:space="0"/>
                      <w:left w:val="nil"/>
                      <w:bottom w:val="single" w:color="auto" w:sz="4" w:space="0"/>
                      <w:right w:val="single" w:color="auto" w:sz="4" w:space="0"/>
                    </w:tcBorders>
                    <w:shd w:val="clear" w:color="auto" w:fill="auto"/>
                    <w:vAlign w:val="center"/>
                  </w:tcPr>
                  <w:p>
                    <w:pPr>
                      <w:jc w:val="center"/>
                    </w:pPr>
                    <w:r>
                      <w:rPr>
                        <w:rFonts w:hint="eastAsia"/>
                      </w:rPr>
                      <w:t>393</w:t>
                    </w:r>
                  </w:p>
                </w:tc>
              </w:sdtContent>
            </w:sdt>
          </w:tr>
          <w:tr>
            <w:tblPrEx>
              <w:tblCellMar>
                <w:top w:w="0" w:type="dxa"/>
                <w:left w:w="108" w:type="dxa"/>
                <w:bottom w:w="0" w:type="dxa"/>
                <w:right w:w="108" w:type="dxa"/>
              </w:tblCellMar>
            </w:tblPrEx>
            <w:trPr>
              <w:trHeight w:val="270" w:hRule="atLeast"/>
              <w:jc w:val="center"/>
            </w:trPr>
            <w:sdt>
              <w:sdtPr>
                <w:rPr>
                  <w:rFonts w:hint="eastAsia"/>
                  <w:szCs w:val="21"/>
                </w:rPr>
                <w:tag w:val="_PLD_1f2fd4e2d81d451e8b872a04015711c1"/>
                <w:id w:val="-84845994"/>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研发人员数量占公司总人数的比例（%）</w:t>
                    </w:r>
                  </w:p>
                </w:tc>
              </w:sdtContent>
            </w:sdt>
            <w:tc>
              <w:tcPr>
                <w:tcW w:w="3342" w:type="dxa"/>
                <w:tcBorders>
                  <w:top w:val="nil"/>
                  <w:left w:val="nil"/>
                  <w:bottom w:val="single" w:color="auto" w:sz="4" w:space="0"/>
                  <w:right w:val="single" w:color="auto" w:sz="4" w:space="0"/>
                </w:tcBorders>
                <w:shd w:val="clear" w:color="auto" w:fill="auto"/>
                <w:vAlign w:val="center"/>
              </w:tcPr>
              <w:p>
                <w:pPr>
                  <w:jc w:val="center"/>
                </w:pPr>
                <w:r>
                  <w:rPr>
                    <w:rFonts w:hint="eastAsia"/>
                  </w:rPr>
                  <w:t>8.29</w:t>
                </w:r>
              </w:p>
            </w:tc>
          </w:tr>
          <w:tr>
            <w:tblPrEx>
              <w:tblCellMar>
                <w:top w:w="0" w:type="dxa"/>
                <w:left w:w="108" w:type="dxa"/>
                <w:bottom w:w="0" w:type="dxa"/>
                <w:right w:w="108" w:type="dxa"/>
              </w:tblCellMar>
            </w:tblPrEx>
            <w:trPr>
              <w:trHeight w:val="270" w:hRule="atLeast"/>
              <w:jc w:val="center"/>
            </w:trPr>
            <w:sdt>
              <w:sdtPr>
                <w:rPr>
                  <w:rFonts w:hint="eastAsia"/>
                  <w:szCs w:val="21"/>
                </w:rPr>
                <w:tag w:val="_PLD_b048dc379aae455a86f744476f1bb4a1"/>
                <w:id w:val="-579365872"/>
                <w:lock w:val="sdtLocked"/>
              </w:sdtPr>
              <w:sdtEndPr>
                <w:rPr>
                  <w:rFonts w:hint="eastAsia"/>
                  <w:szCs w:val="21"/>
                </w:rPr>
              </w:sdtEndPr>
              <w:sdtContent>
                <w:tc>
                  <w:tcPr>
                    <w:tcW w:w="915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研发人员学历结构</w:t>
                    </w:r>
                  </w:p>
                </w:tc>
              </w:sdtContent>
            </w:sdt>
          </w:tr>
          <w:tr>
            <w:tblPrEx>
              <w:tblCellMar>
                <w:top w:w="0" w:type="dxa"/>
                <w:left w:w="108" w:type="dxa"/>
                <w:bottom w:w="0" w:type="dxa"/>
                <w:right w:w="108" w:type="dxa"/>
              </w:tblCellMar>
            </w:tblPrEx>
            <w:trPr>
              <w:trHeight w:val="270" w:hRule="atLeast"/>
              <w:jc w:val="center"/>
            </w:trPr>
            <w:sdt>
              <w:sdtPr>
                <w:rPr>
                  <w:rFonts w:hint="eastAsia"/>
                  <w:szCs w:val="21"/>
                </w:rPr>
                <w:tag w:val="_PLD_f770501e43654648a563d2a86970204f"/>
                <w:id w:val="-1742318836"/>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学历结构类别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学历结构人数</w:t>
                </w:r>
              </w:p>
            </w:tc>
          </w:tr>
          <w:tr>
            <w:tblPrEx>
              <w:tblCellMar>
                <w:top w:w="0" w:type="dxa"/>
                <w:left w:w="108" w:type="dxa"/>
                <w:bottom w:w="0" w:type="dxa"/>
                <w:right w:w="108" w:type="dxa"/>
              </w:tblCellMar>
            </w:tblPrEx>
            <w:trPr>
              <w:trHeight w:val="270" w:hRule="atLeast"/>
              <w:jc w:val="center"/>
            </w:trPr>
            <w:sdt>
              <w:sdtPr>
                <w:rPr>
                  <w:rFonts w:hint="eastAsia"/>
                  <w:szCs w:val="21"/>
                </w:rPr>
                <w:tag w:val="_PLD_c46520fd07cd40f78b3dbb43ed0d107f"/>
                <w:id w:val="1014967379"/>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博士研究生</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pPr>
                <w:r>
                  <w:rPr>
                    <w:rFonts w:hint="eastAsia"/>
                  </w:rPr>
                  <w:t>0</w:t>
                </w:r>
              </w:p>
            </w:tc>
          </w:tr>
          <w:tr>
            <w:tblPrEx>
              <w:tblCellMar>
                <w:top w:w="0" w:type="dxa"/>
                <w:left w:w="108" w:type="dxa"/>
                <w:bottom w:w="0" w:type="dxa"/>
                <w:right w:w="108" w:type="dxa"/>
              </w:tblCellMar>
            </w:tblPrEx>
            <w:trPr>
              <w:trHeight w:val="270" w:hRule="atLeast"/>
              <w:jc w:val="center"/>
            </w:trPr>
            <w:sdt>
              <w:sdtPr>
                <w:rPr>
                  <w:rFonts w:hint="eastAsia"/>
                  <w:szCs w:val="21"/>
                </w:rPr>
                <w:tag w:val="_PLD_c36d15ada5a946fd92a12a7a35136801"/>
                <w:id w:val="-1304461357"/>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硕士研究生</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pPr>
                <w:r>
                  <w:rPr>
                    <w:rFonts w:hint="eastAsia"/>
                  </w:rPr>
                  <w:t>12</w:t>
                </w:r>
              </w:p>
            </w:tc>
          </w:tr>
          <w:tr>
            <w:tblPrEx>
              <w:tblCellMar>
                <w:top w:w="0" w:type="dxa"/>
                <w:left w:w="108" w:type="dxa"/>
                <w:bottom w:w="0" w:type="dxa"/>
                <w:right w:w="108" w:type="dxa"/>
              </w:tblCellMar>
            </w:tblPrEx>
            <w:trPr>
              <w:trHeight w:val="270" w:hRule="atLeast"/>
              <w:jc w:val="center"/>
            </w:trPr>
            <w:sdt>
              <w:sdtPr>
                <w:rPr>
                  <w:rFonts w:hint="eastAsia"/>
                  <w:szCs w:val="21"/>
                </w:rPr>
                <w:tag w:val="_PLD_656838ab09934a089df512ce100ce670"/>
                <w:id w:val="436800241"/>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本科</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pPr>
                <w:r>
                  <w:rPr>
                    <w:rFonts w:hint="eastAsia"/>
                  </w:rPr>
                  <w:t>234</w:t>
                </w:r>
              </w:p>
            </w:tc>
          </w:tr>
          <w:tr>
            <w:tblPrEx>
              <w:tblCellMar>
                <w:top w:w="0" w:type="dxa"/>
                <w:left w:w="108" w:type="dxa"/>
                <w:bottom w:w="0" w:type="dxa"/>
                <w:right w:w="108" w:type="dxa"/>
              </w:tblCellMar>
            </w:tblPrEx>
            <w:trPr>
              <w:trHeight w:val="270" w:hRule="atLeast"/>
              <w:jc w:val="center"/>
            </w:trPr>
            <w:sdt>
              <w:sdtPr>
                <w:rPr>
                  <w:rFonts w:hint="eastAsia"/>
                  <w:szCs w:val="21"/>
                </w:rPr>
                <w:tag w:val="_PLD_83a99a8fe7374551a59c1017026fa0a2"/>
                <w:id w:val="444355921"/>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专科</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pPr>
                <w:r>
                  <w:rPr>
                    <w:rFonts w:hint="eastAsia"/>
                  </w:rPr>
                  <w:t>90</w:t>
                </w:r>
              </w:p>
            </w:tc>
          </w:tr>
          <w:tr>
            <w:tblPrEx>
              <w:tblCellMar>
                <w:top w:w="0" w:type="dxa"/>
                <w:left w:w="108" w:type="dxa"/>
                <w:bottom w:w="0" w:type="dxa"/>
                <w:right w:w="108" w:type="dxa"/>
              </w:tblCellMar>
            </w:tblPrEx>
            <w:trPr>
              <w:trHeight w:val="270" w:hRule="atLeast"/>
              <w:jc w:val="center"/>
            </w:trPr>
            <w:sdt>
              <w:sdtPr>
                <w:rPr>
                  <w:rFonts w:hint="eastAsia"/>
                  <w:szCs w:val="21"/>
                </w:rPr>
                <w:tag w:val="_PLD_3622e16939a74516a0351a28a250914a"/>
                <w:id w:val="1450813613"/>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高中及以下</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pPr>
                <w:r>
                  <w:rPr>
                    <w:rFonts w:hint="eastAsia"/>
                  </w:rPr>
                  <w:t>57</w:t>
                </w:r>
              </w:p>
            </w:tc>
          </w:tr>
          <w:tr>
            <w:tblPrEx>
              <w:tblCellMar>
                <w:top w:w="0" w:type="dxa"/>
                <w:left w:w="108" w:type="dxa"/>
                <w:bottom w:w="0" w:type="dxa"/>
                <w:right w:w="108" w:type="dxa"/>
              </w:tblCellMar>
            </w:tblPrEx>
            <w:trPr>
              <w:trHeight w:val="270" w:hRule="atLeast"/>
              <w:jc w:val="center"/>
            </w:trPr>
            <w:sdt>
              <w:sdtPr>
                <w:rPr>
                  <w:rFonts w:hint="eastAsia"/>
                  <w:szCs w:val="21"/>
                </w:rPr>
                <w:tag w:val="_PLD_10352dc928264c50aa8776e0ae8ec569"/>
                <w:id w:val="1439796632"/>
                <w:lock w:val="sdtLocked"/>
              </w:sdtPr>
              <w:sdtEndPr>
                <w:rPr>
                  <w:rFonts w:hint="eastAsia"/>
                  <w:szCs w:val="21"/>
                </w:rPr>
              </w:sdtEndPr>
              <w:sdtContent>
                <w:tc>
                  <w:tcPr>
                    <w:tcW w:w="9150" w:type="dxa"/>
                    <w:gridSpan w:val="2"/>
                    <w:tcBorders>
                      <w:top w:val="nil"/>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研发人员年龄结构</w:t>
                    </w:r>
                  </w:p>
                </w:tc>
              </w:sdtContent>
            </w:sdt>
          </w:tr>
          <w:tr>
            <w:tblPrEx>
              <w:tblCellMar>
                <w:top w:w="0" w:type="dxa"/>
                <w:left w:w="108" w:type="dxa"/>
                <w:bottom w:w="0" w:type="dxa"/>
                <w:right w:w="108" w:type="dxa"/>
              </w:tblCellMar>
            </w:tblPrEx>
            <w:trPr>
              <w:trHeight w:val="270" w:hRule="atLeast"/>
              <w:jc w:val="center"/>
            </w:trPr>
            <w:sdt>
              <w:sdtPr>
                <w:rPr>
                  <w:rFonts w:hint="eastAsia"/>
                  <w:szCs w:val="21"/>
                </w:rPr>
                <w:tag w:val="_PLD_b9dd411387bd4ae4b04fe660cc0aac1b"/>
                <w:id w:val="1881746146"/>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年龄结构类别</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年龄结构人数</w:t>
                </w:r>
              </w:p>
            </w:tc>
          </w:tr>
          <w:tr>
            <w:tblPrEx>
              <w:tblCellMar>
                <w:top w:w="0" w:type="dxa"/>
                <w:left w:w="108" w:type="dxa"/>
                <w:bottom w:w="0" w:type="dxa"/>
                <w:right w:w="108" w:type="dxa"/>
              </w:tblCellMar>
            </w:tblPrEx>
            <w:trPr>
              <w:trHeight w:val="270" w:hRule="atLeast"/>
              <w:jc w:val="center"/>
            </w:trPr>
            <w:sdt>
              <w:sdtPr>
                <w:rPr>
                  <w:rFonts w:hint="eastAsia"/>
                  <w:szCs w:val="21"/>
                </w:rPr>
                <w:tag w:val="_PLD_e5171914f1d148afa8a05a2d06e95f4f"/>
                <w:id w:val="1754162765"/>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30岁以下（不含30岁）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95</w:t>
                </w:r>
              </w:p>
            </w:tc>
          </w:tr>
          <w:tr>
            <w:tblPrEx>
              <w:tblCellMar>
                <w:top w:w="0" w:type="dxa"/>
                <w:left w:w="108" w:type="dxa"/>
                <w:bottom w:w="0" w:type="dxa"/>
                <w:right w:w="108" w:type="dxa"/>
              </w:tblCellMar>
            </w:tblPrEx>
            <w:trPr>
              <w:trHeight w:val="270" w:hRule="atLeast"/>
              <w:jc w:val="center"/>
            </w:trPr>
            <w:sdt>
              <w:sdtPr>
                <w:rPr>
                  <w:rFonts w:hint="eastAsia"/>
                  <w:szCs w:val="21"/>
                </w:rPr>
                <w:tag w:val="_PLD_f21d6499f48144ffb78c6c373b031e13"/>
                <w:id w:val="-173264455"/>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30-40岁（含30岁，不含40岁）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159</w:t>
                </w:r>
              </w:p>
            </w:tc>
          </w:tr>
          <w:tr>
            <w:tblPrEx>
              <w:tblCellMar>
                <w:top w:w="0" w:type="dxa"/>
                <w:left w:w="108" w:type="dxa"/>
                <w:bottom w:w="0" w:type="dxa"/>
                <w:right w:w="108" w:type="dxa"/>
              </w:tblCellMar>
            </w:tblPrEx>
            <w:trPr>
              <w:trHeight w:val="270" w:hRule="atLeast"/>
              <w:jc w:val="center"/>
            </w:trPr>
            <w:sdt>
              <w:sdtPr>
                <w:rPr>
                  <w:rFonts w:hint="eastAsia"/>
                  <w:szCs w:val="21"/>
                </w:rPr>
                <w:tag w:val="_PLD_db37b649f1b7473db96ac9c4579d2b7a"/>
                <w:id w:val="-514378667"/>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40-50岁（含40岁，不含50岁）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87</w:t>
                </w:r>
              </w:p>
            </w:tc>
          </w:tr>
          <w:tr>
            <w:tblPrEx>
              <w:tblCellMar>
                <w:top w:w="0" w:type="dxa"/>
                <w:left w:w="108" w:type="dxa"/>
                <w:bottom w:w="0" w:type="dxa"/>
                <w:right w:w="108" w:type="dxa"/>
              </w:tblCellMar>
            </w:tblPrEx>
            <w:trPr>
              <w:trHeight w:val="270" w:hRule="atLeast"/>
              <w:jc w:val="center"/>
            </w:trPr>
            <w:sdt>
              <w:sdtPr>
                <w:rPr>
                  <w:rFonts w:hint="eastAsia"/>
                  <w:szCs w:val="21"/>
                </w:rPr>
                <w:tag w:val="_PLD_d12871b2a0c448cb9a1a4705d095e777"/>
                <w:id w:val="-503202868"/>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50-60岁（含50岁，不含60岁）</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50</w:t>
                </w:r>
              </w:p>
            </w:tc>
          </w:tr>
          <w:tr>
            <w:tblPrEx>
              <w:tblCellMar>
                <w:top w:w="0" w:type="dxa"/>
                <w:left w:w="108" w:type="dxa"/>
                <w:bottom w:w="0" w:type="dxa"/>
                <w:right w:w="108" w:type="dxa"/>
              </w:tblCellMar>
            </w:tblPrEx>
            <w:trPr>
              <w:trHeight w:val="159" w:hRule="atLeast"/>
              <w:jc w:val="center"/>
            </w:trPr>
            <w:sdt>
              <w:sdtPr>
                <w:rPr>
                  <w:rFonts w:hint="eastAsia"/>
                  <w:szCs w:val="21"/>
                </w:rPr>
                <w:tag w:val="_PLD_9f42d6c743254252b4fa13341d304fcf"/>
                <w:id w:val="-353966163"/>
                <w:lock w:val="sdtLocked"/>
              </w:sdtPr>
              <w:sdtEndPr>
                <w:rPr>
                  <w:rFonts w:hint="eastAsia"/>
                  <w:szCs w:val="21"/>
                </w:rPr>
              </w:sdtEndPr>
              <w:sdtContent>
                <w:tc>
                  <w:tcPr>
                    <w:tcW w:w="5808" w:type="dxa"/>
                    <w:tcBorders>
                      <w:top w:val="nil"/>
                      <w:left w:val="single" w:color="auto" w:sz="4" w:space="0"/>
                      <w:bottom w:val="single" w:color="auto" w:sz="4" w:space="0"/>
                      <w:right w:val="single" w:color="auto" w:sz="4" w:space="0"/>
                    </w:tcBorders>
                    <w:shd w:val="clear" w:color="auto" w:fill="auto"/>
                    <w:vAlign w:val="center"/>
                  </w:tcPr>
                  <w:p>
                    <w:pPr>
                      <w:rPr>
                        <w:szCs w:val="21"/>
                      </w:rPr>
                    </w:pPr>
                    <w:r>
                      <w:rPr>
                        <w:rFonts w:hint="eastAsia"/>
                        <w:szCs w:val="21"/>
                      </w:rPr>
                      <w:t>60岁及以上</w:t>
                    </w:r>
                  </w:p>
                </w:tc>
              </w:sdtContent>
            </w:sdt>
            <w:tc>
              <w:tcPr>
                <w:tcW w:w="3342" w:type="dxa"/>
                <w:tcBorders>
                  <w:top w:val="nil"/>
                  <w:left w:val="nil"/>
                  <w:bottom w:val="single" w:color="auto" w:sz="4" w:space="0"/>
                  <w:right w:val="single" w:color="auto" w:sz="4" w:space="0"/>
                </w:tcBorders>
                <w:shd w:val="clear" w:color="auto" w:fill="auto"/>
                <w:noWrap/>
                <w:vAlign w:val="center"/>
              </w:tcPr>
              <w:p>
                <w:pPr>
                  <w:jc w:val="center"/>
                  <w:rPr>
                    <w:szCs w:val="21"/>
                  </w:rPr>
                </w:pPr>
                <w:r>
                  <w:rPr>
                    <w:rFonts w:hint="eastAsia"/>
                    <w:szCs w:val="21"/>
                  </w:rPr>
                  <w:t>2</w:t>
                </w:r>
              </w:p>
            </w:tc>
          </w:tr>
        </w:tbl>
        <w:p/>
      </w:sdtContent>
    </w:sdt>
    <w:bookmarkEnd w:id="35"/>
    <w:sdt>
      <w:sdtPr>
        <w:rPr>
          <w:rStyle w:val="48"/>
          <w:rFonts w:ascii="宋体" w:hAnsi="宋体" w:cs="宋体"/>
          <w:szCs w:val="21"/>
        </w:rPr>
        <w:alias w:val="模块:情况说明"/>
        <w:tag w:val="_SEC_0004b40963e14f23a54c541fda51ba2e"/>
        <w:id w:val="750397385"/>
        <w:lock w:val="sdtLocked"/>
        <w:placeholder>
          <w:docPart w:val="GBC22222222222222222222222222222"/>
        </w:placeholder>
      </w:sdtPr>
      <w:sdtEndPr>
        <w:rPr>
          <w:rStyle w:val="48"/>
          <w:rFonts w:hint="eastAsia" w:ascii="宋体" w:hAnsi="宋体" w:cs="宋体"/>
          <w:b w:val="0"/>
          <w:szCs w:val="21"/>
        </w:rPr>
      </w:sdtEndPr>
      <w:sdtContent>
        <w:p>
          <w:pPr>
            <w:pStyle w:val="55"/>
            <w:numPr>
              <w:ilvl w:val="0"/>
              <w:numId w:val="11"/>
            </w:numPr>
            <w:spacing w:before="60" w:after="60"/>
            <w:ind w:firstLineChars="0"/>
            <w:rPr>
              <w:rStyle w:val="48"/>
              <w:szCs w:val="21"/>
            </w:rPr>
          </w:pPr>
          <w:r>
            <w:rPr>
              <w:rStyle w:val="48"/>
              <w:szCs w:val="21"/>
            </w:rPr>
            <w:t>情况说明</w:t>
          </w:r>
        </w:p>
        <w:sdt>
          <w:sdtPr>
            <w:rPr>
              <w:rStyle w:val="48"/>
              <w:b w:val="0"/>
              <w:szCs w:val="21"/>
            </w:rPr>
            <w:alias w:val="是否适用：研发支出情况说明[双击切换]"/>
            <w:tag w:val="_GBC_b983f5c63407411d82434ca6547deae8"/>
            <w:id w:val="261878104"/>
            <w:lock w:val="sdtLocked"/>
            <w:placeholder>
              <w:docPart w:val="GBC22222222222222222222222222222"/>
            </w:placeholder>
          </w:sdtPr>
          <w:sdtEndPr>
            <w:rPr>
              <w:rStyle w:val="48"/>
              <w:b w:val="0"/>
              <w:szCs w:val="21"/>
            </w:rPr>
          </w:sdtEndPr>
          <w:sdtContent>
            <w:p>
              <w:pPr>
                <w:spacing w:before="60" w:after="60"/>
                <w:rPr>
                  <w:rStyle w:val="48"/>
                  <w:szCs w:val="21"/>
                </w:rPr>
              </w:pPr>
              <w:r>
                <w:rPr>
                  <w:rStyle w:val="48"/>
                  <w:b w:val="0"/>
                  <w:szCs w:val="21"/>
                </w:rPr>
                <w:fldChar w:fldCharType="begin"/>
              </w:r>
              <w:r>
                <w:rPr>
                  <w:rStyle w:val="48"/>
                  <w:b w:val="0"/>
                  <w:szCs w:val="21"/>
                </w:rPr>
                <w:instrText xml:space="preserve">MACROBUTTON  SnrToggleCheckbox □适用 </w:instrText>
              </w:r>
              <w:r>
                <w:rPr>
                  <w:rStyle w:val="48"/>
                  <w:b w:val="0"/>
                  <w:szCs w:val="21"/>
                </w:rPr>
                <w:fldChar w:fldCharType="end"/>
              </w:r>
              <w:r>
                <w:rPr>
                  <w:rStyle w:val="48"/>
                  <w:b w:val="0"/>
                  <w:szCs w:val="21"/>
                </w:rPr>
                <w:fldChar w:fldCharType="begin"/>
              </w:r>
              <w:r>
                <w:rPr>
                  <w:rStyle w:val="48"/>
                  <w:b w:val="0"/>
                  <w:szCs w:val="21"/>
                </w:rPr>
                <w:instrText xml:space="preserve"> MACROBUTTON  SnrToggleCheckbox √不适用 </w:instrText>
              </w:r>
              <w:r>
                <w:rPr>
                  <w:rStyle w:val="48"/>
                  <w:b w:val="0"/>
                  <w:szCs w:val="21"/>
                </w:rPr>
                <w:fldChar w:fldCharType="end"/>
              </w:r>
            </w:p>
          </w:sdtContent>
        </w:sdt>
      </w:sdtContent>
    </w:sdt>
    <w:sdt>
      <w:sdtPr>
        <w:rPr>
          <w:rStyle w:val="48"/>
          <w:rFonts w:hint="eastAsia" w:ascii="宋体" w:hAnsi="宋体" w:cs="宋体"/>
          <w:szCs w:val="21"/>
        </w:rPr>
        <w:alias w:val="模块:研发人员构成发生重大变化的原因及对公司未来发展的影响  ..."/>
        <w:tag w:val="_SEC_1b0ac7c10221440292ebe3dc985f0f13"/>
        <w:id w:val="1564830180"/>
        <w:lock w:val="sdtLocked"/>
        <w:placeholder>
          <w:docPart w:val="GBC22222222222222222222222222222"/>
        </w:placeholder>
      </w:sdtPr>
      <w:sdtEndPr>
        <w:rPr>
          <w:rStyle w:val="38"/>
          <w:rFonts w:hint="default" w:ascii="宋体" w:hAnsi="宋体" w:cs="宋体"/>
          <w:b w:val="0"/>
          <w:bCs w:val="0"/>
          <w:kern w:val="0"/>
          <w:szCs w:val="21"/>
        </w:rPr>
      </w:sdtEndPr>
      <w:sdtContent>
        <w:p>
          <w:pPr>
            <w:pStyle w:val="55"/>
            <w:numPr>
              <w:ilvl w:val="0"/>
              <w:numId w:val="11"/>
            </w:numPr>
            <w:spacing w:before="60" w:after="60"/>
            <w:ind w:firstLineChars="0"/>
            <w:rPr>
              <w:rStyle w:val="48"/>
              <w:szCs w:val="21"/>
            </w:rPr>
          </w:pPr>
          <w:bookmarkStart w:id="36" w:name="_Hlk89876701"/>
          <w:r>
            <w:rPr>
              <w:rStyle w:val="48"/>
              <w:rFonts w:hint="eastAsia"/>
              <w:szCs w:val="21"/>
            </w:rPr>
            <w:t>研发人员构成发生重大变化的原因及对公司未来发展的影响</w:t>
          </w:r>
        </w:p>
        <w:sdt>
          <w:sdtPr>
            <w:rPr>
              <w:rStyle w:val="101"/>
              <w:b w:val="0"/>
              <w:szCs w:val="21"/>
            </w:rPr>
            <w:alias w:val="是否适用：研发人员构成发生重大变化的原因及对公司未来发展的影响 [双击切换]"/>
            <w:tag w:val="_GBC_03b44883afff4742a08c198d082c26b3"/>
            <w:id w:val="-1866901744"/>
            <w:lock w:val="sdtLocked"/>
            <w:placeholder>
              <w:docPart w:val="GBC22222222222222222222222222222"/>
            </w:placeholder>
          </w:sdtPr>
          <w:sdtEndPr>
            <w:rPr>
              <w:rStyle w:val="101"/>
              <w:b w:val="0"/>
              <w:szCs w:val="21"/>
            </w:rPr>
          </w:sdtEndPr>
          <w:sdtContent>
            <w:p>
              <w:pPr>
                <w:spacing w:before="60" w:after="60"/>
                <w:rPr>
                  <w:rStyle w:val="101"/>
                  <w:szCs w:val="21"/>
                </w:rPr>
              </w:pPr>
              <w:r>
                <w:rPr>
                  <w:rStyle w:val="101"/>
                  <w:b w:val="0"/>
                  <w:szCs w:val="21"/>
                </w:rPr>
                <w:fldChar w:fldCharType="begin"/>
              </w:r>
              <w:r>
                <w:rPr>
                  <w:rStyle w:val="101"/>
                  <w:b w:val="0"/>
                  <w:szCs w:val="21"/>
                </w:rPr>
                <w:instrText xml:space="preserve"> MACROBUTTON  SnrToggleCheckbox □适用 </w:instrText>
              </w:r>
              <w:r>
                <w:rPr>
                  <w:rStyle w:val="101"/>
                  <w:b w:val="0"/>
                  <w:szCs w:val="21"/>
                </w:rPr>
                <w:fldChar w:fldCharType="end"/>
              </w:r>
              <w:r>
                <w:rPr>
                  <w:rStyle w:val="101"/>
                  <w:b w:val="0"/>
                  <w:szCs w:val="21"/>
                </w:rPr>
                <w:fldChar w:fldCharType="begin"/>
              </w:r>
              <w:r>
                <w:rPr>
                  <w:rStyle w:val="101"/>
                  <w:b w:val="0"/>
                  <w:szCs w:val="21"/>
                </w:rPr>
                <w:instrText xml:space="preserve"> MACROBUTTON  SnrToggleCheckbox √不适用 </w:instrText>
              </w:r>
              <w:r>
                <w:rPr>
                  <w:rStyle w:val="101"/>
                  <w:b w:val="0"/>
                  <w:szCs w:val="21"/>
                </w:rPr>
                <w:fldChar w:fldCharType="end"/>
              </w:r>
            </w:p>
          </w:sdtContent>
        </w:sdt>
        <w:p>
          <w:pPr>
            <w:rPr>
              <w:szCs w:val="21"/>
            </w:rPr>
          </w:pPr>
        </w:p>
      </w:sdtContent>
    </w:sdt>
    <w:bookmarkEnd w:id="36"/>
    <w:sdt>
      <w:sdtPr>
        <w:rPr>
          <w:rFonts w:hint="eastAsia" w:ascii="宋体" w:hAnsi="宋体" w:eastAsia="宋体" w:cs="宋体"/>
          <w:b w:val="0"/>
          <w:bCs w:val="0"/>
          <w:kern w:val="0"/>
          <w:szCs w:val="24"/>
        </w:rPr>
        <w:alias w:val="模块:现金流"/>
        <w:tag w:val="_SEC_686d1eb4c39f48b6b19ee846f1749d81"/>
        <w:id w:val="-102516813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9"/>
            </w:numPr>
          </w:pPr>
          <w:r>
            <w:rPr>
              <w:rFonts w:hint="eastAsia"/>
            </w:rPr>
            <w:t>现金流</w:t>
          </w:r>
        </w:p>
        <w:sdt>
          <w:sdtPr>
            <w:alias w:val="是否适用：现金流[双击切换]"/>
            <w:tag w:val="_GBC_3340f2fc4f854cc1882e18412cf992f6"/>
            <w:id w:val="-135665066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现金流的影响分析"/>
            <w:tag w:val="_GBC_586311c345aa4f48bab3f8f8d5347f93"/>
            <w:id w:val="-440918658"/>
            <w:lock w:val="sdtLocked"/>
            <w:placeholder>
              <w:docPart w:val="GBC22222222222222222222222222222"/>
            </w:placeholder>
          </w:sdtPr>
          <w:sdtEndPr>
            <w:rPr>
              <w:rFonts w:hint="eastAsia"/>
              <w:szCs w:val="24"/>
            </w:rPr>
          </w:sdtEndPr>
          <w:sdtContent>
            <w:p>
              <w:pPr>
                <w:ind w:right="315"/>
                <w:jc w:val="right"/>
                <w:rPr>
                  <w:szCs w:val="21"/>
                </w:rPr>
              </w:pPr>
              <w:r>
                <w:rPr>
                  <w:rFonts w:hint="eastAsia"/>
                  <w:szCs w:val="21"/>
                </w:rPr>
                <w:t>单位：元</w:t>
              </w:r>
            </w:p>
            <w:tbl>
              <w:tblPr>
                <w:tblStyle w:val="108"/>
                <w:tblW w:w="8779" w:type="dxa"/>
                <w:tblInd w:w="118" w:type="dxa"/>
                <w:tblLayout w:type="fixed"/>
                <w:tblCellMar>
                  <w:top w:w="0" w:type="dxa"/>
                  <w:left w:w="108" w:type="dxa"/>
                  <w:bottom w:w="0" w:type="dxa"/>
                  <w:right w:w="108" w:type="dxa"/>
                </w:tblCellMar>
              </w:tblPr>
              <w:tblGrid>
                <w:gridCol w:w="3109"/>
                <w:gridCol w:w="2126"/>
                <w:gridCol w:w="1985"/>
                <w:gridCol w:w="1559"/>
              </w:tblGrid>
              <w:tr>
                <w:tblPrEx>
                  <w:tblCellMar>
                    <w:top w:w="0" w:type="dxa"/>
                    <w:left w:w="108" w:type="dxa"/>
                    <w:bottom w:w="0" w:type="dxa"/>
                    <w:right w:w="108" w:type="dxa"/>
                  </w:tblCellMar>
                </w:tblPrEx>
                <w:trPr>
                  <w:trHeight w:val="235" w:hRule="atLeast"/>
                </w:trPr>
                <w:tc>
                  <w:tcPr>
                    <w:tcW w:w="3109" w:type="dxa"/>
                    <w:tcBorders>
                      <w:top w:val="single" w:color="auto" w:sz="8" w:space="0"/>
                      <w:left w:val="single" w:color="auto" w:sz="8" w:space="0"/>
                      <w:bottom w:val="single" w:color="auto" w:sz="8" w:space="0"/>
                      <w:right w:val="single" w:color="auto" w:sz="8" w:space="0"/>
                    </w:tcBorders>
                    <w:shd w:val="clear" w:color="auto" w:fill="auto"/>
                    <w:vAlign w:val="bottom"/>
                  </w:tcPr>
                  <w:p>
                    <w:pPr>
                      <w:jc w:val="center"/>
                      <w:rPr>
                        <w:color w:val="000000"/>
                        <w:szCs w:val="21"/>
                      </w:rPr>
                    </w:pPr>
                    <w:r>
                      <w:rPr>
                        <w:rFonts w:hint="eastAsia"/>
                        <w:color w:val="000000"/>
                        <w:szCs w:val="21"/>
                      </w:rPr>
                      <w:t>项目</w:t>
                    </w:r>
                  </w:p>
                </w:tc>
                <w:tc>
                  <w:tcPr>
                    <w:tcW w:w="2126" w:type="dxa"/>
                    <w:tcBorders>
                      <w:top w:val="single" w:color="auto" w:sz="8" w:space="0"/>
                      <w:left w:val="nil"/>
                      <w:bottom w:val="single" w:color="auto" w:sz="8" w:space="0"/>
                      <w:right w:val="single" w:color="auto" w:sz="8" w:space="0"/>
                    </w:tcBorders>
                    <w:shd w:val="clear" w:color="auto" w:fill="auto"/>
                    <w:vAlign w:val="bottom"/>
                  </w:tcPr>
                  <w:p>
                    <w:pPr>
                      <w:jc w:val="center"/>
                      <w:rPr>
                        <w:color w:val="000000"/>
                        <w:szCs w:val="21"/>
                      </w:rPr>
                    </w:pPr>
                    <w:r>
                      <w:rPr>
                        <w:rFonts w:hint="eastAsia"/>
                        <w:color w:val="000000"/>
                        <w:szCs w:val="21"/>
                      </w:rPr>
                      <w:t>本期数</w:t>
                    </w:r>
                  </w:p>
                </w:tc>
                <w:tc>
                  <w:tcPr>
                    <w:tcW w:w="1985" w:type="dxa"/>
                    <w:tcBorders>
                      <w:top w:val="single" w:color="auto" w:sz="8" w:space="0"/>
                      <w:left w:val="nil"/>
                      <w:bottom w:val="single" w:color="auto" w:sz="8" w:space="0"/>
                      <w:right w:val="single" w:color="auto" w:sz="8" w:space="0"/>
                    </w:tcBorders>
                    <w:shd w:val="clear" w:color="auto" w:fill="auto"/>
                    <w:vAlign w:val="bottom"/>
                  </w:tcPr>
                  <w:p>
                    <w:pPr>
                      <w:jc w:val="center"/>
                      <w:rPr>
                        <w:color w:val="000000"/>
                        <w:szCs w:val="21"/>
                      </w:rPr>
                    </w:pPr>
                    <w:r>
                      <w:rPr>
                        <w:rFonts w:hint="eastAsia"/>
                        <w:color w:val="000000"/>
                        <w:szCs w:val="21"/>
                      </w:rPr>
                      <w:t>上年同期数</w:t>
                    </w:r>
                  </w:p>
                </w:tc>
                <w:tc>
                  <w:tcPr>
                    <w:tcW w:w="1559" w:type="dxa"/>
                    <w:tcBorders>
                      <w:top w:val="single" w:color="auto" w:sz="8" w:space="0"/>
                      <w:left w:val="nil"/>
                      <w:bottom w:val="single" w:color="auto" w:sz="8" w:space="0"/>
                      <w:right w:val="single" w:color="auto" w:sz="8" w:space="0"/>
                    </w:tcBorders>
                    <w:shd w:val="clear" w:color="auto" w:fill="auto"/>
                    <w:vAlign w:val="bottom"/>
                  </w:tcPr>
                  <w:p>
                    <w:pPr>
                      <w:jc w:val="center"/>
                      <w:rPr>
                        <w:color w:val="000000"/>
                        <w:szCs w:val="21"/>
                      </w:rPr>
                    </w:pPr>
                    <w:r>
                      <w:rPr>
                        <w:rFonts w:hint="eastAsia"/>
                        <w:color w:val="000000"/>
                        <w:szCs w:val="21"/>
                      </w:rPr>
                      <w:t>变动比例（%）</w:t>
                    </w:r>
                  </w:p>
                </w:tc>
              </w:tr>
              <w:tr>
                <w:tblPrEx>
                  <w:tblCellMar>
                    <w:top w:w="0" w:type="dxa"/>
                    <w:left w:w="108" w:type="dxa"/>
                    <w:bottom w:w="0" w:type="dxa"/>
                    <w:right w:w="108" w:type="dxa"/>
                  </w:tblCellMar>
                </w:tblPrEx>
                <w:trPr>
                  <w:trHeight w:val="496" w:hRule="atLeast"/>
                </w:trPr>
                <w:tc>
                  <w:tcPr>
                    <w:tcW w:w="3109" w:type="dxa"/>
                    <w:tcBorders>
                      <w:top w:val="nil"/>
                      <w:left w:val="single" w:color="auto" w:sz="8" w:space="0"/>
                      <w:bottom w:val="single" w:color="auto" w:sz="8" w:space="0"/>
                      <w:right w:val="single" w:color="auto" w:sz="8" w:space="0"/>
                    </w:tcBorders>
                    <w:shd w:val="clear" w:color="auto" w:fill="auto"/>
                    <w:vAlign w:val="center"/>
                  </w:tcPr>
                  <w:p>
                    <w:pPr>
                      <w:rPr>
                        <w:color w:val="000000"/>
                        <w:szCs w:val="21"/>
                      </w:rPr>
                    </w:pPr>
                    <w:r>
                      <w:rPr>
                        <w:rFonts w:hint="eastAsia"/>
                        <w:color w:val="000000"/>
                        <w:szCs w:val="21"/>
                      </w:rPr>
                      <w:t>经营活动产生的现金流量净额</w:t>
                    </w:r>
                  </w:p>
                </w:tc>
                <w:tc>
                  <w:tcPr>
                    <w:tcW w:w="2126" w:type="dxa"/>
                    <w:tcBorders>
                      <w:top w:val="nil"/>
                      <w:left w:val="nil"/>
                      <w:bottom w:val="single" w:color="auto" w:sz="8" w:space="0"/>
                      <w:right w:val="single" w:color="auto" w:sz="8" w:space="0"/>
                    </w:tcBorders>
                    <w:shd w:val="clear" w:color="auto" w:fill="auto"/>
                    <w:vAlign w:val="center"/>
                  </w:tcPr>
                  <w:p>
                    <w:pPr>
                      <w:jc w:val="right"/>
                      <w:rPr>
                        <w:szCs w:val="21"/>
                      </w:rPr>
                    </w:pPr>
                    <w:r>
                      <w:t>375,500,566.85</w:t>
                    </w:r>
                  </w:p>
                </w:tc>
                <w:tc>
                  <w:tcPr>
                    <w:tcW w:w="1985" w:type="dxa"/>
                    <w:tcBorders>
                      <w:top w:val="nil"/>
                      <w:left w:val="nil"/>
                      <w:bottom w:val="single" w:color="auto" w:sz="8" w:space="0"/>
                      <w:right w:val="single" w:color="auto" w:sz="8" w:space="0"/>
                    </w:tcBorders>
                    <w:shd w:val="clear" w:color="auto" w:fill="auto"/>
                    <w:vAlign w:val="center"/>
                  </w:tcPr>
                  <w:p>
                    <w:pPr>
                      <w:jc w:val="right"/>
                      <w:rPr>
                        <w:szCs w:val="21"/>
                      </w:rPr>
                    </w:pPr>
                    <w:r>
                      <w:t>234,608,073.45</w:t>
                    </w:r>
                  </w:p>
                </w:tc>
                <w:tc>
                  <w:tcPr>
                    <w:tcW w:w="1559" w:type="dxa"/>
                    <w:tcBorders>
                      <w:top w:val="nil"/>
                      <w:left w:val="nil"/>
                      <w:bottom w:val="single" w:color="auto" w:sz="8" w:space="0"/>
                      <w:right w:val="single" w:color="auto" w:sz="8" w:space="0"/>
                    </w:tcBorders>
                    <w:shd w:val="clear" w:color="auto" w:fill="auto"/>
                    <w:vAlign w:val="center"/>
                  </w:tcPr>
                  <w:p>
                    <w:pPr>
                      <w:jc w:val="right"/>
                      <w:rPr>
                        <w:szCs w:val="21"/>
                      </w:rPr>
                    </w:pPr>
                    <w:r>
                      <w:t>60.05</w:t>
                    </w:r>
                  </w:p>
                </w:tc>
              </w:tr>
              <w:tr>
                <w:tblPrEx>
                  <w:tblCellMar>
                    <w:top w:w="0" w:type="dxa"/>
                    <w:left w:w="108" w:type="dxa"/>
                    <w:bottom w:w="0" w:type="dxa"/>
                    <w:right w:w="108" w:type="dxa"/>
                  </w:tblCellMar>
                </w:tblPrEx>
                <w:trPr>
                  <w:trHeight w:val="496" w:hRule="atLeast"/>
                </w:trPr>
                <w:tc>
                  <w:tcPr>
                    <w:tcW w:w="3109" w:type="dxa"/>
                    <w:tcBorders>
                      <w:top w:val="nil"/>
                      <w:left w:val="single" w:color="auto" w:sz="8" w:space="0"/>
                      <w:bottom w:val="single" w:color="auto" w:sz="8" w:space="0"/>
                      <w:right w:val="single" w:color="auto" w:sz="8" w:space="0"/>
                    </w:tcBorders>
                    <w:shd w:val="clear" w:color="auto" w:fill="auto"/>
                    <w:vAlign w:val="center"/>
                  </w:tcPr>
                  <w:p>
                    <w:pPr>
                      <w:rPr>
                        <w:color w:val="000000"/>
                        <w:szCs w:val="21"/>
                      </w:rPr>
                    </w:pPr>
                    <w:r>
                      <w:rPr>
                        <w:rFonts w:hint="eastAsia"/>
                        <w:color w:val="000000"/>
                        <w:szCs w:val="21"/>
                      </w:rPr>
                      <w:t>投资活动产生的现金流量净额</w:t>
                    </w:r>
                  </w:p>
                </w:tc>
                <w:tc>
                  <w:tcPr>
                    <w:tcW w:w="2126" w:type="dxa"/>
                    <w:tcBorders>
                      <w:top w:val="nil"/>
                      <w:left w:val="nil"/>
                      <w:bottom w:val="single" w:color="auto" w:sz="8" w:space="0"/>
                      <w:right w:val="single" w:color="auto" w:sz="8" w:space="0"/>
                    </w:tcBorders>
                    <w:shd w:val="clear" w:color="auto" w:fill="auto"/>
                    <w:vAlign w:val="center"/>
                  </w:tcPr>
                  <w:p>
                    <w:pPr>
                      <w:jc w:val="right"/>
                      <w:rPr>
                        <w:sz w:val="24"/>
                      </w:rPr>
                    </w:pPr>
                    <w:r>
                      <w:rPr>
                        <w:rFonts w:hint="eastAsia"/>
                      </w:rPr>
                      <w:t>-371,992,664.43</w:t>
                    </w:r>
                  </w:p>
                </w:tc>
                <w:tc>
                  <w:tcPr>
                    <w:tcW w:w="1985"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25,900,296.87</w:t>
                    </w:r>
                  </w:p>
                </w:tc>
                <w:tc>
                  <w:tcPr>
                    <w:tcW w:w="1559" w:type="dxa"/>
                    <w:tcBorders>
                      <w:top w:val="nil"/>
                      <w:left w:val="nil"/>
                      <w:bottom w:val="single" w:color="auto" w:sz="8" w:space="0"/>
                      <w:right w:val="single" w:color="auto" w:sz="8" w:space="0"/>
                    </w:tcBorders>
                    <w:shd w:val="clear" w:color="auto" w:fill="auto"/>
                    <w:vAlign w:val="center"/>
                  </w:tcPr>
                  <w:p>
                    <w:pPr>
                      <w:jc w:val="right"/>
                      <w:rPr>
                        <w:color w:val="000000" w:themeColor="text1"/>
                        <w:szCs w:val="21"/>
                      </w:rPr>
                    </w:pPr>
                    <w:r>
                      <w:rPr>
                        <w:rFonts w:hint="eastAsia"/>
                        <w:color w:val="000000" w:themeColor="text1"/>
                        <w:szCs w:val="21"/>
                      </w:rPr>
                      <w:t>不适用</w:t>
                    </w:r>
                  </w:p>
                </w:tc>
              </w:tr>
              <w:tr>
                <w:tblPrEx>
                  <w:tblCellMar>
                    <w:top w:w="0" w:type="dxa"/>
                    <w:left w:w="108" w:type="dxa"/>
                    <w:bottom w:w="0" w:type="dxa"/>
                    <w:right w:w="108" w:type="dxa"/>
                  </w:tblCellMar>
                </w:tblPrEx>
                <w:trPr>
                  <w:trHeight w:val="496" w:hRule="atLeast"/>
                </w:trPr>
                <w:tc>
                  <w:tcPr>
                    <w:tcW w:w="3109" w:type="dxa"/>
                    <w:tcBorders>
                      <w:top w:val="nil"/>
                      <w:left w:val="single" w:color="auto" w:sz="8" w:space="0"/>
                      <w:bottom w:val="single" w:color="auto" w:sz="8" w:space="0"/>
                      <w:right w:val="single" w:color="auto" w:sz="8" w:space="0"/>
                    </w:tcBorders>
                    <w:shd w:val="clear" w:color="auto" w:fill="auto"/>
                    <w:vAlign w:val="center"/>
                  </w:tcPr>
                  <w:p>
                    <w:pPr>
                      <w:rPr>
                        <w:color w:val="000000"/>
                        <w:szCs w:val="21"/>
                      </w:rPr>
                    </w:pPr>
                    <w:r>
                      <w:rPr>
                        <w:rFonts w:hint="eastAsia"/>
                        <w:color w:val="000000"/>
                        <w:szCs w:val="21"/>
                      </w:rPr>
                      <w:t>筹资活动产生的现金流量净额</w:t>
                    </w:r>
                  </w:p>
                </w:tc>
                <w:tc>
                  <w:tcPr>
                    <w:tcW w:w="2126" w:type="dxa"/>
                    <w:tcBorders>
                      <w:top w:val="nil"/>
                      <w:left w:val="nil"/>
                      <w:bottom w:val="single" w:color="auto" w:sz="8" w:space="0"/>
                      <w:right w:val="single" w:color="auto" w:sz="8" w:space="0"/>
                    </w:tcBorders>
                    <w:shd w:val="clear" w:color="auto" w:fill="auto"/>
                    <w:vAlign w:val="center"/>
                  </w:tcPr>
                  <w:p>
                    <w:pPr>
                      <w:jc w:val="right"/>
                      <w:rPr>
                        <w:sz w:val="24"/>
                      </w:rPr>
                    </w:pPr>
                    <w:r>
                      <w:rPr>
                        <w:rFonts w:hint="eastAsia"/>
                      </w:rPr>
                      <w:t>-256,537,849.46</w:t>
                    </w:r>
                  </w:p>
                </w:tc>
                <w:tc>
                  <w:tcPr>
                    <w:tcW w:w="1985" w:type="dxa"/>
                    <w:tcBorders>
                      <w:top w:val="nil"/>
                      <w:left w:val="nil"/>
                      <w:bottom w:val="single" w:color="auto" w:sz="8" w:space="0"/>
                      <w:right w:val="single" w:color="auto" w:sz="8" w:space="0"/>
                    </w:tcBorders>
                    <w:shd w:val="clear" w:color="auto" w:fill="auto"/>
                    <w:vAlign w:val="center"/>
                  </w:tcPr>
                  <w:p>
                    <w:pPr>
                      <w:jc w:val="right"/>
                      <w:rPr>
                        <w:color w:val="000000"/>
                        <w:szCs w:val="21"/>
                      </w:rPr>
                    </w:pPr>
                    <w:r>
                      <w:rPr>
                        <w:rFonts w:hint="eastAsia"/>
                        <w:color w:val="000000"/>
                        <w:szCs w:val="21"/>
                      </w:rPr>
                      <w:t>1,780,354,183.74</w:t>
                    </w:r>
                  </w:p>
                </w:tc>
                <w:tc>
                  <w:tcPr>
                    <w:tcW w:w="1559" w:type="dxa"/>
                    <w:tcBorders>
                      <w:top w:val="nil"/>
                      <w:left w:val="nil"/>
                      <w:bottom w:val="single" w:color="auto" w:sz="8" w:space="0"/>
                      <w:right w:val="single" w:color="auto" w:sz="8" w:space="0"/>
                    </w:tcBorders>
                    <w:shd w:val="clear" w:color="auto" w:fill="auto"/>
                    <w:vAlign w:val="center"/>
                  </w:tcPr>
                  <w:p>
                    <w:pPr>
                      <w:jc w:val="right"/>
                      <w:rPr>
                        <w:color w:val="000000" w:themeColor="text1"/>
                        <w:szCs w:val="21"/>
                      </w:rPr>
                    </w:pPr>
                    <w:r>
                      <w:rPr>
                        <w:rFonts w:hint="eastAsia"/>
                        <w:color w:val="000000" w:themeColor="text1"/>
                        <w:szCs w:val="21"/>
                      </w:rPr>
                      <w:t>不适用</w:t>
                    </w:r>
                  </w:p>
                </w:tc>
              </w:tr>
            </w:tbl>
            <w:p/>
          </w:sdtContent>
        </w:sdt>
      </w:sdtContent>
    </w:sdt>
    <w:p>
      <w:pPr>
        <w:rPr>
          <w:szCs w:val="21"/>
        </w:rPr>
      </w:pPr>
    </w:p>
    <w:sdt>
      <w:sdtPr>
        <w:rPr>
          <w:rFonts w:hint="eastAsia" w:ascii="宋体" w:hAnsi="宋体" w:cs="宋体"/>
          <w:b w:val="0"/>
          <w:bCs w:val="0"/>
          <w:kern w:val="0"/>
          <w:szCs w:val="21"/>
        </w:rPr>
        <w:alias w:val="模块:非主营业务来源分析"/>
        <w:tag w:val="_SEC_b0e1a8f55b6e4b79a965887836132040"/>
        <w:id w:val="-189596203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ind w:left="368" w:hanging="367" w:hangingChars="175"/>
            <w:rPr>
              <w:szCs w:val="21"/>
            </w:rPr>
          </w:pPr>
          <w:r>
            <w:rPr>
              <w:rFonts w:hint="eastAsia"/>
              <w:szCs w:val="21"/>
            </w:rPr>
            <w:t>非主营业务导致利润重大变化的说明</w:t>
          </w:r>
        </w:p>
        <w:sdt>
          <w:sdtPr>
            <w:rPr>
              <w:szCs w:val="21"/>
            </w:rPr>
            <w:alias w:val="是否适用：非主营业务来源分析[双击切换]"/>
            <w:tag w:val="_GBC_e76b46ce658b44e591e71db49febe73d"/>
            <w:id w:val="-1855653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4"/>
        <w:numPr>
          <w:ilvl w:val="0"/>
          <w:numId w:val="8"/>
        </w:numPr>
        <w:rPr>
          <w:szCs w:val="21"/>
        </w:rPr>
      </w:pPr>
      <w:r>
        <w:rPr>
          <w:szCs w:val="21"/>
        </w:rPr>
        <w:t>资产、负债情况分析</w:t>
      </w:r>
    </w:p>
    <w:p>
      <w:sdt>
        <w:sdtPr>
          <w:rPr>
            <w:rFonts w:hint="eastAsia"/>
          </w:rPr>
          <w:alias w:val="是否适用：资产、负债情况分析[双击切换]"/>
          <w:tag w:val="_GBC_73f72b786f764d01bef1bb70d2d6e5c6"/>
          <w:id w:val="688338886"/>
          <w:lock w:val="sdtContentLocked"/>
          <w:placeholder>
            <w:docPart w:val="GBC22222222222222222222222222222"/>
          </w:placeholder>
        </w:sdtPr>
        <w:sdtEndPr>
          <w:rPr>
            <w:rFonts w:hint="eastAsia"/>
          </w:rPr>
        </w:sdtEndPr>
        <w:sdtContent>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sdtContent>
      </w:sdt>
    </w:p>
    <w:sdt>
      <w:sdtPr>
        <w:rPr>
          <w:rFonts w:ascii="宋体" w:hAnsi="宋体" w:eastAsia="宋体" w:cs="宋体"/>
          <w:b w:val="0"/>
          <w:bCs w:val="0"/>
          <w:kern w:val="0"/>
          <w:szCs w:val="21"/>
        </w:rPr>
        <w:alias w:val="模块:资产负债情况分析表"/>
        <w:tag w:val="_SEC_4a3163af8aaf45ec8cbbe30e595b76d7"/>
        <w:id w:val="1127128138"/>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12"/>
            </w:numPr>
          </w:pPr>
          <w:r>
            <w:t>资产</w:t>
          </w:r>
          <w:r>
            <w:rPr>
              <w:rFonts w:hint="eastAsia"/>
            </w:rPr>
            <w:t>及</w:t>
          </w:r>
          <w:r>
            <w:t>负债</w:t>
          </w:r>
          <w:r>
            <w:rPr>
              <w:rFonts w:hint="eastAsia"/>
              <w:szCs w:val="21"/>
            </w:rPr>
            <w:t>状</w:t>
          </w:r>
          <w:r>
            <w:rPr>
              <w:szCs w:val="21"/>
            </w:rPr>
            <w:t>况</w:t>
          </w:r>
        </w:p>
        <w:p>
          <w:pPr>
            <w:jc w:val="right"/>
            <w:rPr>
              <w:szCs w:val="21"/>
            </w:rPr>
          </w:pPr>
          <w:r>
            <w:rPr>
              <w:rFonts w:hint="eastAsia"/>
              <w:szCs w:val="21"/>
            </w:rPr>
            <w:t>单位：</w:t>
          </w:r>
          <w:sdt>
            <w:sdtPr>
              <w:rPr>
                <w:rFonts w:hint="eastAsia"/>
                <w:szCs w:val="21"/>
              </w:rPr>
              <w:alias w:val="单位：资产负债状况分析"/>
              <w:tag w:val="_GBC_f016c1cffd884dd784e4fb134fd0d4df"/>
              <w:id w:val="-3172672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p>
        <w:tbl>
          <w:tblPr>
            <w:tblStyle w:val="37"/>
            <w:tblW w:w="5249"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8"/>
            <w:gridCol w:w="2038"/>
            <w:gridCol w:w="726"/>
            <w:gridCol w:w="2037"/>
            <w:gridCol w:w="871"/>
            <w:gridCol w:w="1314"/>
            <w:gridCol w:w="1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rPr>
                  <w:rFonts w:hint="eastAsia" w:ascii="Times New Roman" w:hAnsi="Times New Roman"/>
                  <w:szCs w:val="21"/>
                </w:rPr>
                <w:tag w:val="_PLD_8f1f37d9a09f4bf3a8f4c407297e58ed"/>
                <w:id w:val="197291549"/>
                <w:lock w:val="sdtLocked"/>
              </w:sdtPr>
              <w:sdtEndPr>
                <w:rPr>
                  <w:rFonts w:hint="eastAsia" w:ascii="Times New Roman" w:hAnsi="Times New Roman"/>
                  <w:szCs w:val="21"/>
                </w:rPr>
              </w:sdtEndPr>
              <w:sdtContent>
                <w:tc>
                  <w:tcPr>
                    <w:tcW w:w="896" w:type="pct"/>
                    <w:vAlign w:val="center"/>
                  </w:tcPr>
                  <w:p>
                    <w:pPr>
                      <w:widowControl w:val="0"/>
                      <w:jc w:val="center"/>
                      <w:rPr>
                        <w:rStyle w:val="48"/>
                        <w:szCs w:val="21"/>
                      </w:rPr>
                    </w:pPr>
                    <w:r>
                      <w:rPr>
                        <w:rFonts w:hint="eastAsia"/>
                        <w:szCs w:val="21"/>
                      </w:rPr>
                      <w:t>项目名称</w:t>
                    </w:r>
                  </w:p>
                </w:tc>
              </w:sdtContent>
            </w:sdt>
            <w:sdt>
              <w:sdtPr>
                <w:rPr>
                  <w:rFonts w:hint="eastAsia" w:ascii="Times New Roman" w:hAnsi="Times New Roman"/>
                  <w:szCs w:val="21"/>
                </w:rPr>
                <w:tag w:val="_PLD_a4c00a3d0d0a42e28bc6a14dd6d26320"/>
                <w:id w:val="-1339001066"/>
                <w:lock w:val="sdtLocked"/>
              </w:sdtPr>
              <w:sdtEndPr>
                <w:rPr>
                  <w:rFonts w:hint="eastAsia" w:ascii="Times New Roman" w:hAnsi="Times New Roman"/>
                  <w:szCs w:val="21"/>
                </w:rPr>
              </w:sdtEndPr>
              <w:sdtContent>
                <w:tc>
                  <w:tcPr>
                    <w:tcW w:w="1045" w:type="pct"/>
                    <w:vAlign w:val="center"/>
                  </w:tcPr>
                  <w:p>
                    <w:pPr>
                      <w:widowControl w:val="0"/>
                      <w:jc w:val="center"/>
                      <w:rPr>
                        <w:rStyle w:val="48"/>
                        <w:szCs w:val="21"/>
                      </w:rPr>
                    </w:pPr>
                    <w:r>
                      <w:rPr>
                        <w:rFonts w:hint="eastAsia"/>
                        <w:szCs w:val="21"/>
                      </w:rPr>
                      <w:t>本期期末数</w:t>
                    </w:r>
                  </w:p>
                </w:tc>
              </w:sdtContent>
            </w:sdt>
            <w:sdt>
              <w:sdtPr>
                <w:rPr>
                  <w:rFonts w:hint="eastAsia" w:ascii="Times New Roman" w:hAnsi="Times New Roman"/>
                  <w:szCs w:val="21"/>
                </w:rPr>
                <w:tag w:val="_PLD_17de20223ad64b528b824744807b0036"/>
                <w:id w:val="-199321900"/>
                <w:lock w:val="sdtLocked"/>
              </w:sdtPr>
              <w:sdtEndPr>
                <w:rPr>
                  <w:rFonts w:hint="eastAsia" w:ascii="Times New Roman" w:hAnsi="Times New Roman"/>
                  <w:szCs w:val="21"/>
                </w:rPr>
              </w:sdtEndPr>
              <w:sdtContent>
                <w:tc>
                  <w:tcPr>
                    <w:tcW w:w="372" w:type="pct"/>
                    <w:vAlign w:val="center"/>
                  </w:tcPr>
                  <w:p>
                    <w:pPr>
                      <w:widowControl w:val="0"/>
                      <w:jc w:val="center"/>
                      <w:rPr>
                        <w:rStyle w:val="48"/>
                        <w:szCs w:val="21"/>
                      </w:rPr>
                    </w:pPr>
                    <w:r>
                      <w:rPr>
                        <w:rFonts w:hint="eastAsia"/>
                        <w:szCs w:val="21"/>
                      </w:rPr>
                      <w:t>本期期末数占总资产的比例（%）</w:t>
                    </w:r>
                  </w:p>
                </w:tc>
              </w:sdtContent>
            </w:sdt>
            <w:sdt>
              <w:sdtPr>
                <w:rPr>
                  <w:rFonts w:hint="eastAsia" w:ascii="Times New Roman" w:hAnsi="Times New Roman"/>
                  <w:szCs w:val="21"/>
                </w:rPr>
                <w:tag w:val="_PLD_d1b9e9483c3a41358f877758b5adb0fb"/>
                <w:id w:val="-1410989597"/>
                <w:lock w:val="sdtLocked"/>
              </w:sdtPr>
              <w:sdtEndPr>
                <w:rPr>
                  <w:rFonts w:hint="eastAsia" w:ascii="Times New Roman" w:hAnsi="Times New Roman"/>
                  <w:szCs w:val="21"/>
                </w:rPr>
              </w:sdtEndPr>
              <w:sdtContent>
                <w:tc>
                  <w:tcPr>
                    <w:tcW w:w="1045" w:type="pct"/>
                    <w:vAlign w:val="center"/>
                  </w:tcPr>
                  <w:p>
                    <w:pPr>
                      <w:widowControl w:val="0"/>
                      <w:jc w:val="center"/>
                      <w:rPr>
                        <w:rStyle w:val="48"/>
                        <w:szCs w:val="21"/>
                      </w:rPr>
                    </w:pPr>
                    <w:r>
                      <w:rPr>
                        <w:rFonts w:hint="eastAsia"/>
                        <w:szCs w:val="21"/>
                      </w:rPr>
                      <w:t>上期期末数</w:t>
                    </w:r>
                  </w:p>
                </w:tc>
              </w:sdtContent>
            </w:sdt>
            <w:sdt>
              <w:sdtPr>
                <w:rPr>
                  <w:rFonts w:hint="eastAsia" w:ascii="Times New Roman" w:hAnsi="Times New Roman"/>
                  <w:szCs w:val="21"/>
                </w:rPr>
                <w:tag w:val="_PLD_3a8a8577e1a84f26856a900f7202f9a8"/>
                <w:id w:val="-1500032637"/>
                <w:lock w:val="sdtLocked"/>
              </w:sdtPr>
              <w:sdtEndPr>
                <w:rPr>
                  <w:rFonts w:hint="eastAsia" w:ascii="Times New Roman" w:hAnsi="Times New Roman"/>
                  <w:szCs w:val="21"/>
                </w:rPr>
              </w:sdtEndPr>
              <w:sdtContent>
                <w:tc>
                  <w:tcPr>
                    <w:tcW w:w="447" w:type="pct"/>
                    <w:vAlign w:val="center"/>
                  </w:tcPr>
                  <w:p>
                    <w:pPr>
                      <w:widowControl w:val="0"/>
                      <w:jc w:val="center"/>
                      <w:rPr>
                        <w:rStyle w:val="48"/>
                        <w:szCs w:val="21"/>
                      </w:rPr>
                    </w:pPr>
                    <w:r>
                      <w:rPr>
                        <w:rFonts w:hint="eastAsia"/>
                        <w:szCs w:val="21"/>
                      </w:rPr>
                      <w:t>上期期末数占总资产的比例（%）</w:t>
                    </w:r>
                  </w:p>
                </w:tc>
              </w:sdtContent>
            </w:sdt>
            <w:sdt>
              <w:sdtPr>
                <w:rPr>
                  <w:rFonts w:hint="eastAsia" w:ascii="Times New Roman" w:hAnsi="Times New Roman"/>
                  <w:szCs w:val="21"/>
                </w:rPr>
                <w:tag w:val="_PLD_8af1894621b84d44aec1deba51e3a7da"/>
                <w:id w:val="1823773759"/>
                <w:lock w:val="sdtLocked"/>
              </w:sdtPr>
              <w:sdtEndPr>
                <w:rPr>
                  <w:rFonts w:hint="eastAsia" w:ascii="Times New Roman" w:hAnsi="Times New Roman"/>
                  <w:szCs w:val="21"/>
                </w:rPr>
              </w:sdtEndPr>
              <w:sdtContent>
                <w:tc>
                  <w:tcPr>
                    <w:tcW w:w="674" w:type="pct"/>
                    <w:vAlign w:val="center"/>
                  </w:tcPr>
                  <w:p>
                    <w:pPr>
                      <w:widowControl w:val="0"/>
                      <w:jc w:val="center"/>
                      <w:rPr>
                        <w:rStyle w:val="48"/>
                        <w:szCs w:val="21"/>
                      </w:rPr>
                    </w:pPr>
                    <w:r>
                      <w:rPr>
                        <w:rFonts w:hint="eastAsia"/>
                        <w:szCs w:val="21"/>
                      </w:rPr>
                      <w:t>本期期末金额较上期期末变动比例（%）</w:t>
                    </w:r>
                  </w:p>
                </w:tc>
              </w:sdtContent>
            </w:sdt>
            <w:sdt>
              <w:sdtPr>
                <w:rPr>
                  <w:rFonts w:hint="eastAsia" w:ascii="Times New Roman" w:hAnsi="Times New Roman"/>
                  <w:szCs w:val="21"/>
                </w:rPr>
                <w:tag w:val="_PLD_495436d1d45e4a9391194459a895631e"/>
                <w:id w:val="-1681347430"/>
                <w:lock w:val="sdtLocked"/>
              </w:sdtPr>
              <w:sdtEndPr>
                <w:rPr>
                  <w:rFonts w:hint="eastAsia" w:ascii="Times New Roman" w:hAnsi="Times New Roman"/>
                  <w:szCs w:val="21"/>
                </w:rPr>
              </w:sdtEndPr>
              <w:sdtContent>
                <w:tc>
                  <w:tcPr>
                    <w:tcW w:w="520" w:type="pct"/>
                    <w:vAlign w:val="center"/>
                  </w:tcPr>
                  <w:p>
                    <w:pPr>
                      <w:widowControl w:val="0"/>
                      <w:jc w:val="center"/>
                      <w:rPr>
                        <w:szCs w:val="21"/>
                      </w:rPr>
                    </w:pPr>
                    <w:r>
                      <w:rPr>
                        <w:rFonts w:hint="eastAsia"/>
                        <w:szCs w:val="21"/>
                      </w:rPr>
                      <w:t>情况</w:t>
                    </w:r>
                  </w:p>
                  <w:p>
                    <w:pPr>
                      <w:widowControl w:val="0"/>
                      <w:jc w:val="center"/>
                      <w:rPr>
                        <w:rStyle w:val="48"/>
                        <w:szCs w:val="21"/>
                      </w:rPr>
                    </w:pPr>
                    <w:r>
                      <w:rPr>
                        <w:rFonts w:hint="eastAsia"/>
                        <w:szCs w:val="21"/>
                      </w:rPr>
                      <w:t>说明</w:t>
                    </w:r>
                  </w:p>
                </w:tc>
              </w:sdtContent>
            </w:sdt>
          </w:tr>
          <w:sdt>
            <w:sdtPr>
              <w:rPr>
                <w:rStyle w:val="48"/>
                <w:rFonts w:hint="eastAsia"/>
                <w:b w:val="0"/>
                <w:szCs w:val="21"/>
              </w:rPr>
              <w:alias w:val="资产负债状况分析"/>
              <w:tag w:val="_TUP_815ebab5da7a4ba88d97b27a17b235f3"/>
              <w:id w:val="-32347434"/>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896" w:type="pct"/>
                  </w:tcPr>
                  <w:p>
                    <w:pPr>
                      <w:widowControl w:val="0"/>
                      <w:jc w:val="both"/>
                      <w:rPr>
                        <w:rStyle w:val="48"/>
                        <w:b w:val="0"/>
                        <w:szCs w:val="21"/>
                      </w:rPr>
                    </w:pPr>
                    <w:r>
                      <w:rPr>
                        <w:rFonts w:hint="eastAsia"/>
                        <w:szCs w:val="21"/>
                      </w:rPr>
                      <w:t>其他应收款</w:t>
                    </w:r>
                  </w:p>
                </w:tc>
                <w:tc>
                  <w:tcPr>
                    <w:tcW w:w="1045" w:type="pct"/>
                    <w:vAlign w:val="center"/>
                  </w:tcPr>
                  <w:p>
                    <w:pPr>
                      <w:widowControl w:val="0"/>
                      <w:jc w:val="right"/>
                      <w:rPr>
                        <w:szCs w:val="21"/>
                      </w:rPr>
                    </w:pPr>
                    <w:r>
                      <w:rPr>
                        <w:rFonts w:hint="eastAsia"/>
                        <w:szCs w:val="21"/>
                      </w:rPr>
                      <w:t>418,928,927.27</w:t>
                    </w:r>
                  </w:p>
                </w:tc>
                <w:tc>
                  <w:tcPr>
                    <w:tcW w:w="372" w:type="pct"/>
                    <w:vAlign w:val="center"/>
                  </w:tcPr>
                  <w:p>
                    <w:pPr>
                      <w:widowControl w:val="0"/>
                      <w:jc w:val="right"/>
                      <w:rPr>
                        <w:szCs w:val="21"/>
                      </w:rPr>
                    </w:pPr>
                    <w:r>
                      <w:rPr>
                        <w:rFonts w:hint="eastAsia"/>
                        <w:szCs w:val="21"/>
                      </w:rPr>
                      <w:t>2.38</w:t>
                    </w:r>
                  </w:p>
                </w:tc>
                <w:tc>
                  <w:tcPr>
                    <w:tcW w:w="1045" w:type="pct"/>
                    <w:vAlign w:val="center"/>
                  </w:tcPr>
                  <w:p>
                    <w:pPr>
                      <w:widowControl w:val="0"/>
                      <w:jc w:val="right"/>
                      <w:rPr>
                        <w:szCs w:val="21"/>
                      </w:rPr>
                    </w:pPr>
                    <w:r>
                      <w:rPr>
                        <w:rFonts w:hint="eastAsia"/>
                        <w:szCs w:val="21"/>
                      </w:rPr>
                      <w:t>1,062,246,467.49</w:t>
                    </w:r>
                  </w:p>
                </w:tc>
                <w:tc>
                  <w:tcPr>
                    <w:tcW w:w="447" w:type="pct"/>
                    <w:vAlign w:val="center"/>
                  </w:tcPr>
                  <w:p>
                    <w:pPr>
                      <w:widowControl w:val="0"/>
                      <w:jc w:val="right"/>
                      <w:rPr>
                        <w:szCs w:val="21"/>
                      </w:rPr>
                    </w:pPr>
                    <w:r>
                      <w:rPr>
                        <w:rFonts w:hint="eastAsia"/>
                        <w:szCs w:val="21"/>
                      </w:rPr>
                      <w:t>5.92</w:t>
                    </w:r>
                  </w:p>
                </w:tc>
                <w:tc>
                  <w:tcPr>
                    <w:tcW w:w="674" w:type="pct"/>
                    <w:vAlign w:val="center"/>
                  </w:tcPr>
                  <w:p>
                    <w:pPr>
                      <w:widowControl w:val="0"/>
                      <w:jc w:val="right"/>
                      <w:rPr>
                        <w:szCs w:val="21"/>
                      </w:rPr>
                    </w:pPr>
                    <w:r>
                      <w:rPr>
                        <w:rFonts w:hint="eastAsia"/>
                        <w:szCs w:val="21"/>
                      </w:rPr>
                      <w:t>-60.56</w:t>
                    </w:r>
                  </w:p>
                </w:tc>
                <w:tc>
                  <w:tcPr>
                    <w:tcW w:w="520" w:type="pct"/>
                    <w:vAlign w:val="center"/>
                  </w:tcPr>
                  <w:p>
                    <w:pPr>
                      <w:widowControl w:val="0"/>
                      <w:jc w:val="center"/>
                      <w:rPr>
                        <w:rStyle w:val="48"/>
                        <w:b w:val="0"/>
                        <w:szCs w:val="21"/>
                      </w:rPr>
                    </w:pPr>
                    <w:r>
                      <w:rPr>
                        <w:rFonts w:hint="eastAsia"/>
                        <w:szCs w:val="21"/>
                      </w:rPr>
                      <w:t>(1)</w:t>
                    </w:r>
                  </w:p>
                </w:tc>
              </w:tr>
            </w:sdtContent>
          </w:sdt>
          <w:sdt>
            <w:sdtPr>
              <w:rPr>
                <w:rStyle w:val="48"/>
                <w:rFonts w:hint="eastAsia"/>
                <w:b w:val="0"/>
                <w:szCs w:val="21"/>
              </w:rPr>
              <w:alias w:val="资产负债状况分析"/>
              <w:tag w:val="_TUP_815ebab5da7a4ba88d97b27a17b235f3"/>
              <w:id w:val="-559401154"/>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应收利息</w:t>
                    </w:r>
                  </w:p>
                </w:tc>
                <w:tc>
                  <w:tcPr>
                    <w:tcW w:w="1045" w:type="pct"/>
                    <w:vAlign w:val="center"/>
                  </w:tcPr>
                  <w:p>
                    <w:pPr>
                      <w:widowControl w:val="0"/>
                      <w:jc w:val="right"/>
                      <w:rPr>
                        <w:rStyle w:val="48"/>
                        <w:b w:val="0"/>
                        <w:szCs w:val="21"/>
                      </w:rPr>
                    </w:pPr>
                  </w:p>
                </w:tc>
                <w:tc>
                  <w:tcPr>
                    <w:tcW w:w="372" w:type="pct"/>
                    <w:vAlign w:val="center"/>
                  </w:tcPr>
                  <w:p>
                    <w:pPr>
                      <w:widowControl w:val="0"/>
                      <w:jc w:val="center"/>
                      <w:rPr>
                        <w:rStyle w:val="48"/>
                        <w:b w:val="0"/>
                        <w:szCs w:val="21"/>
                      </w:rPr>
                    </w:pPr>
                  </w:p>
                </w:tc>
                <w:tc>
                  <w:tcPr>
                    <w:tcW w:w="1045" w:type="pct"/>
                    <w:vAlign w:val="center"/>
                  </w:tcPr>
                  <w:p>
                    <w:pPr>
                      <w:widowControl w:val="0"/>
                      <w:jc w:val="right"/>
                      <w:rPr>
                        <w:rStyle w:val="48"/>
                        <w:b w:val="0"/>
                        <w:szCs w:val="21"/>
                      </w:rPr>
                    </w:pPr>
                    <w:r>
                      <w:rPr>
                        <w:rFonts w:hint="eastAsia"/>
                        <w:szCs w:val="21"/>
                      </w:rPr>
                      <w:t>29,294.46</w:t>
                    </w:r>
                  </w:p>
                </w:tc>
                <w:tc>
                  <w:tcPr>
                    <w:tcW w:w="447" w:type="pct"/>
                    <w:vAlign w:val="center"/>
                  </w:tcPr>
                  <w:p>
                    <w:pPr>
                      <w:widowControl w:val="0"/>
                      <w:jc w:val="right"/>
                      <w:rPr>
                        <w:rStyle w:val="48"/>
                        <w:b w:val="0"/>
                        <w:szCs w:val="21"/>
                      </w:rPr>
                    </w:pPr>
                  </w:p>
                </w:tc>
                <w:tc>
                  <w:tcPr>
                    <w:tcW w:w="674" w:type="pct"/>
                    <w:vAlign w:val="center"/>
                  </w:tcPr>
                  <w:p>
                    <w:pPr>
                      <w:widowControl w:val="0"/>
                      <w:jc w:val="right"/>
                      <w:rPr>
                        <w:rStyle w:val="48"/>
                        <w:b w:val="0"/>
                        <w:szCs w:val="21"/>
                      </w:rPr>
                    </w:pPr>
                    <w:r>
                      <w:rPr>
                        <w:rFonts w:hint="eastAsia"/>
                        <w:szCs w:val="21"/>
                      </w:rPr>
                      <w:t>-100.00</w:t>
                    </w:r>
                  </w:p>
                </w:tc>
                <w:tc>
                  <w:tcPr>
                    <w:tcW w:w="520" w:type="pct"/>
                    <w:vAlign w:val="center"/>
                  </w:tcPr>
                  <w:p>
                    <w:pPr>
                      <w:widowControl w:val="0"/>
                      <w:jc w:val="center"/>
                      <w:rPr>
                        <w:rStyle w:val="48"/>
                        <w:b w:val="0"/>
                        <w:szCs w:val="21"/>
                      </w:rPr>
                    </w:pPr>
                    <w:r>
                      <w:rPr>
                        <w:rFonts w:hint="eastAsia"/>
                        <w:szCs w:val="21"/>
                      </w:rPr>
                      <w:t>(2)</w:t>
                    </w:r>
                  </w:p>
                </w:tc>
              </w:tr>
            </w:sdtContent>
          </w:sdt>
          <w:sdt>
            <w:sdtPr>
              <w:rPr>
                <w:rStyle w:val="48"/>
                <w:rFonts w:hint="eastAsia"/>
                <w:b w:val="0"/>
                <w:szCs w:val="21"/>
              </w:rPr>
              <w:alias w:val="资产负债状况分析"/>
              <w:tag w:val="_TUP_815ebab5da7a4ba88d97b27a17b235f3"/>
              <w:id w:val="-1868129439"/>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应收股利</w:t>
                    </w:r>
                  </w:p>
                </w:tc>
                <w:tc>
                  <w:tcPr>
                    <w:tcW w:w="1045" w:type="pct"/>
                    <w:vAlign w:val="center"/>
                  </w:tcPr>
                  <w:p>
                    <w:pPr>
                      <w:widowControl w:val="0"/>
                      <w:jc w:val="right"/>
                      <w:rPr>
                        <w:rStyle w:val="48"/>
                        <w:b w:val="0"/>
                        <w:szCs w:val="21"/>
                      </w:rPr>
                    </w:pPr>
                    <w:r>
                      <w:rPr>
                        <w:rFonts w:hint="eastAsia"/>
                        <w:szCs w:val="21"/>
                      </w:rPr>
                      <w:t>99,858,043.12</w:t>
                    </w:r>
                  </w:p>
                </w:tc>
                <w:tc>
                  <w:tcPr>
                    <w:tcW w:w="372" w:type="pct"/>
                    <w:vAlign w:val="center"/>
                  </w:tcPr>
                  <w:p>
                    <w:pPr>
                      <w:widowControl w:val="0"/>
                      <w:jc w:val="center"/>
                      <w:rPr>
                        <w:rStyle w:val="48"/>
                        <w:b w:val="0"/>
                        <w:szCs w:val="21"/>
                      </w:rPr>
                    </w:pPr>
                    <w:r>
                      <w:rPr>
                        <w:rFonts w:hint="eastAsia"/>
                        <w:szCs w:val="21"/>
                      </w:rPr>
                      <w:t>0.57</w:t>
                    </w:r>
                  </w:p>
                </w:tc>
                <w:tc>
                  <w:tcPr>
                    <w:tcW w:w="1045" w:type="pct"/>
                    <w:vAlign w:val="center"/>
                  </w:tcPr>
                  <w:p>
                    <w:pPr>
                      <w:widowControl w:val="0"/>
                      <w:jc w:val="right"/>
                      <w:rPr>
                        <w:rStyle w:val="48"/>
                        <w:b w:val="0"/>
                        <w:szCs w:val="21"/>
                      </w:rPr>
                    </w:pPr>
                    <w:r>
                      <w:rPr>
                        <w:rFonts w:hint="eastAsia"/>
                        <w:szCs w:val="21"/>
                      </w:rPr>
                      <w:t>51,530,323.48</w:t>
                    </w:r>
                  </w:p>
                </w:tc>
                <w:tc>
                  <w:tcPr>
                    <w:tcW w:w="447" w:type="pct"/>
                    <w:vAlign w:val="center"/>
                  </w:tcPr>
                  <w:p>
                    <w:pPr>
                      <w:widowControl w:val="0"/>
                      <w:jc w:val="right"/>
                      <w:rPr>
                        <w:rStyle w:val="48"/>
                        <w:b w:val="0"/>
                        <w:szCs w:val="21"/>
                      </w:rPr>
                    </w:pPr>
                    <w:r>
                      <w:rPr>
                        <w:rFonts w:hint="eastAsia"/>
                        <w:szCs w:val="21"/>
                      </w:rPr>
                      <w:t>0.29</w:t>
                    </w:r>
                  </w:p>
                </w:tc>
                <w:tc>
                  <w:tcPr>
                    <w:tcW w:w="674" w:type="pct"/>
                    <w:vAlign w:val="center"/>
                  </w:tcPr>
                  <w:p>
                    <w:pPr>
                      <w:widowControl w:val="0"/>
                      <w:jc w:val="right"/>
                      <w:rPr>
                        <w:rStyle w:val="48"/>
                        <w:b w:val="0"/>
                        <w:szCs w:val="21"/>
                      </w:rPr>
                    </w:pPr>
                    <w:r>
                      <w:rPr>
                        <w:rFonts w:hint="eastAsia"/>
                        <w:szCs w:val="21"/>
                      </w:rPr>
                      <w:t>93.79</w:t>
                    </w:r>
                  </w:p>
                </w:tc>
                <w:tc>
                  <w:tcPr>
                    <w:tcW w:w="520" w:type="pct"/>
                    <w:vAlign w:val="center"/>
                  </w:tcPr>
                  <w:p>
                    <w:pPr>
                      <w:widowControl w:val="0"/>
                      <w:jc w:val="center"/>
                      <w:rPr>
                        <w:rStyle w:val="48"/>
                        <w:b w:val="0"/>
                        <w:szCs w:val="21"/>
                      </w:rPr>
                    </w:pPr>
                    <w:r>
                      <w:rPr>
                        <w:rFonts w:hint="eastAsia"/>
                        <w:szCs w:val="21"/>
                      </w:rPr>
                      <w:t>(3)</w:t>
                    </w:r>
                  </w:p>
                </w:tc>
              </w:tr>
            </w:sdtContent>
          </w:sdt>
          <w:sdt>
            <w:sdtPr>
              <w:rPr>
                <w:rStyle w:val="48"/>
                <w:rFonts w:hint="eastAsia"/>
                <w:b w:val="0"/>
                <w:szCs w:val="21"/>
              </w:rPr>
              <w:alias w:val="资产负债状况分析"/>
              <w:tag w:val="_TUP_815ebab5da7a4ba88d97b27a17b235f3"/>
              <w:id w:val="1228807363"/>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使用权资产</w:t>
                    </w:r>
                  </w:p>
                </w:tc>
                <w:tc>
                  <w:tcPr>
                    <w:tcW w:w="1045" w:type="pct"/>
                    <w:vAlign w:val="center"/>
                  </w:tcPr>
                  <w:p>
                    <w:pPr>
                      <w:widowControl w:val="0"/>
                      <w:jc w:val="right"/>
                      <w:rPr>
                        <w:rStyle w:val="48"/>
                        <w:b w:val="0"/>
                        <w:szCs w:val="21"/>
                      </w:rPr>
                    </w:pPr>
                    <w:r>
                      <w:rPr>
                        <w:rFonts w:hint="eastAsia"/>
                        <w:szCs w:val="21"/>
                      </w:rPr>
                      <w:t>4,431,112.39</w:t>
                    </w:r>
                  </w:p>
                </w:tc>
                <w:tc>
                  <w:tcPr>
                    <w:tcW w:w="372" w:type="pct"/>
                    <w:vAlign w:val="center"/>
                  </w:tcPr>
                  <w:p>
                    <w:pPr>
                      <w:widowControl w:val="0"/>
                      <w:jc w:val="center"/>
                      <w:rPr>
                        <w:rStyle w:val="48"/>
                        <w:b w:val="0"/>
                        <w:szCs w:val="21"/>
                      </w:rPr>
                    </w:pPr>
                    <w:r>
                      <w:rPr>
                        <w:rFonts w:hint="eastAsia"/>
                        <w:szCs w:val="21"/>
                      </w:rPr>
                      <w:t>0.03</w:t>
                    </w:r>
                  </w:p>
                </w:tc>
                <w:tc>
                  <w:tcPr>
                    <w:tcW w:w="1045" w:type="pct"/>
                    <w:vAlign w:val="center"/>
                  </w:tcPr>
                  <w:p>
                    <w:pPr>
                      <w:widowControl w:val="0"/>
                      <w:jc w:val="right"/>
                      <w:rPr>
                        <w:rStyle w:val="48"/>
                        <w:b w:val="0"/>
                        <w:szCs w:val="21"/>
                      </w:rPr>
                    </w:pPr>
                  </w:p>
                </w:tc>
                <w:tc>
                  <w:tcPr>
                    <w:tcW w:w="447" w:type="pct"/>
                    <w:vAlign w:val="center"/>
                  </w:tcPr>
                  <w:p>
                    <w:pPr>
                      <w:widowControl w:val="0"/>
                      <w:jc w:val="right"/>
                      <w:rPr>
                        <w:rStyle w:val="48"/>
                        <w:b w:val="0"/>
                        <w:szCs w:val="21"/>
                      </w:rPr>
                    </w:pPr>
                  </w:p>
                </w:tc>
                <w:tc>
                  <w:tcPr>
                    <w:tcW w:w="674" w:type="pct"/>
                    <w:vAlign w:val="center"/>
                  </w:tcPr>
                  <w:p>
                    <w:pPr>
                      <w:widowControl w:val="0"/>
                      <w:jc w:val="right"/>
                      <w:rPr>
                        <w:rStyle w:val="48"/>
                        <w:b w:val="0"/>
                        <w:szCs w:val="21"/>
                      </w:rPr>
                    </w:pPr>
                    <w:r>
                      <w:rPr>
                        <w:rStyle w:val="48"/>
                        <w:rFonts w:hint="eastAsia"/>
                        <w:b w:val="0"/>
                        <w:szCs w:val="21"/>
                      </w:rPr>
                      <w:t>不适用</w:t>
                    </w:r>
                  </w:p>
                </w:tc>
                <w:tc>
                  <w:tcPr>
                    <w:tcW w:w="520" w:type="pct"/>
                    <w:vAlign w:val="center"/>
                  </w:tcPr>
                  <w:p>
                    <w:pPr>
                      <w:widowControl w:val="0"/>
                      <w:jc w:val="center"/>
                      <w:rPr>
                        <w:rStyle w:val="48"/>
                        <w:b w:val="0"/>
                        <w:szCs w:val="21"/>
                      </w:rPr>
                    </w:pPr>
                    <w:r>
                      <w:rPr>
                        <w:rFonts w:hint="eastAsia"/>
                        <w:szCs w:val="21"/>
                      </w:rPr>
                      <w:t>(4)</w:t>
                    </w:r>
                  </w:p>
                </w:tc>
              </w:tr>
            </w:sdtContent>
          </w:sdt>
          <w:sdt>
            <w:sdtPr>
              <w:rPr>
                <w:rStyle w:val="48"/>
                <w:rFonts w:hint="eastAsia"/>
                <w:b w:val="0"/>
                <w:szCs w:val="21"/>
              </w:rPr>
              <w:alias w:val="资产负债状况分析"/>
              <w:tag w:val="_TUP_815ebab5da7a4ba88d97b27a17b235f3"/>
              <w:id w:val="-1437201955"/>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开发支出</w:t>
                    </w:r>
                  </w:p>
                </w:tc>
                <w:tc>
                  <w:tcPr>
                    <w:tcW w:w="1045" w:type="pct"/>
                    <w:vAlign w:val="center"/>
                  </w:tcPr>
                  <w:p>
                    <w:pPr>
                      <w:widowControl w:val="0"/>
                      <w:jc w:val="right"/>
                      <w:rPr>
                        <w:rStyle w:val="48"/>
                        <w:b w:val="0"/>
                        <w:szCs w:val="21"/>
                      </w:rPr>
                    </w:pPr>
                    <w:r>
                      <w:rPr>
                        <w:rFonts w:hint="eastAsia"/>
                        <w:szCs w:val="21"/>
                      </w:rPr>
                      <w:t>13,294,599.11</w:t>
                    </w:r>
                  </w:p>
                </w:tc>
                <w:tc>
                  <w:tcPr>
                    <w:tcW w:w="372" w:type="pct"/>
                    <w:vAlign w:val="center"/>
                  </w:tcPr>
                  <w:p>
                    <w:pPr>
                      <w:widowControl w:val="0"/>
                      <w:jc w:val="center"/>
                      <w:rPr>
                        <w:rStyle w:val="48"/>
                        <w:b w:val="0"/>
                        <w:szCs w:val="21"/>
                      </w:rPr>
                    </w:pPr>
                    <w:r>
                      <w:rPr>
                        <w:rFonts w:hint="eastAsia"/>
                        <w:szCs w:val="21"/>
                      </w:rPr>
                      <w:t>0.08</w:t>
                    </w:r>
                  </w:p>
                </w:tc>
                <w:tc>
                  <w:tcPr>
                    <w:tcW w:w="1045" w:type="pct"/>
                    <w:vAlign w:val="center"/>
                  </w:tcPr>
                  <w:p>
                    <w:pPr>
                      <w:widowControl w:val="0"/>
                      <w:jc w:val="right"/>
                      <w:rPr>
                        <w:rStyle w:val="48"/>
                        <w:b w:val="0"/>
                        <w:szCs w:val="21"/>
                      </w:rPr>
                    </w:pPr>
                    <w:r>
                      <w:rPr>
                        <w:rFonts w:hint="eastAsia"/>
                        <w:szCs w:val="21"/>
                      </w:rPr>
                      <w:t>53,571,352.45</w:t>
                    </w:r>
                  </w:p>
                </w:tc>
                <w:tc>
                  <w:tcPr>
                    <w:tcW w:w="447" w:type="pct"/>
                    <w:vAlign w:val="center"/>
                  </w:tcPr>
                  <w:p>
                    <w:pPr>
                      <w:widowControl w:val="0"/>
                      <w:jc w:val="right"/>
                      <w:rPr>
                        <w:rStyle w:val="48"/>
                        <w:b w:val="0"/>
                        <w:szCs w:val="21"/>
                      </w:rPr>
                    </w:pPr>
                    <w:r>
                      <w:rPr>
                        <w:rFonts w:hint="eastAsia"/>
                        <w:szCs w:val="21"/>
                      </w:rPr>
                      <w:t>0.30</w:t>
                    </w:r>
                  </w:p>
                </w:tc>
                <w:tc>
                  <w:tcPr>
                    <w:tcW w:w="674" w:type="pct"/>
                    <w:vAlign w:val="center"/>
                  </w:tcPr>
                  <w:p>
                    <w:pPr>
                      <w:widowControl w:val="0"/>
                      <w:jc w:val="right"/>
                      <w:rPr>
                        <w:rStyle w:val="48"/>
                        <w:b w:val="0"/>
                        <w:szCs w:val="21"/>
                      </w:rPr>
                    </w:pPr>
                    <w:r>
                      <w:rPr>
                        <w:rFonts w:hint="eastAsia"/>
                        <w:szCs w:val="21"/>
                      </w:rPr>
                      <w:t>-75.18</w:t>
                    </w:r>
                  </w:p>
                </w:tc>
                <w:tc>
                  <w:tcPr>
                    <w:tcW w:w="520" w:type="pct"/>
                    <w:vAlign w:val="center"/>
                  </w:tcPr>
                  <w:p>
                    <w:pPr>
                      <w:widowControl w:val="0"/>
                      <w:jc w:val="center"/>
                      <w:rPr>
                        <w:rStyle w:val="48"/>
                        <w:b w:val="0"/>
                        <w:szCs w:val="21"/>
                      </w:rPr>
                    </w:pPr>
                    <w:r>
                      <w:rPr>
                        <w:rFonts w:hint="eastAsia"/>
                        <w:szCs w:val="21"/>
                      </w:rPr>
                      <w:t>(5)</w:t>
                    </w:r>
                  </w:p>
                </w:tc>
              </w:tr>
            </w:sdtContent>
          </w:sdt>
          <w:sdt>
            <w:sdtPr>
              <w:rPr>
                <w:rStyle w:val="48"/>
                <w:rFonts w:hint="eastAsia"/>
                <w:b w:val="0"/>
                <w:szCs w:val="21"/>
              </w:rPr>
              <w:alias w:val="资产负债状况分析"/>
              <w:tag w:val="_TUP_815ebab5da7a4ba88d97b27a17b235f3"/>
              <w:id w:val="-1087538722"/>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896" w:type="pct"/>
                    <w:vAlign w:val="center"/>
                  </w:tcPr>
                  <w:p>
                    <w:pPr>
                      <w:widowControl w:val="0"/>
                      <w:jc w:val="both"/>
                      <w:rPr>
                        <w:rStyle w:val="48"/>
                        <w:b w:val="0"/>
                        <w:szCs w:val="21"/>
                      </w:rPr>
                    </w:pPr>
                    <w:r>
                      <w:rPr>
                        <w:rFonts w:hint="eastAsia"/>
                        <w:szCs w:val="21"/>
                      </w:rPr>
                      <w:t>长期待摊费用</w:t>
                    </w:r>
                  </w:p>
                </w:tc>
                <w:tc>
                  <w:tcPr>
                    <w:tcW w:w="1045" w:type="pct"/>
                    <w:vAlign w:val="center"/>
                  </w:tcPr>
                  <w:p>
                    <w:pPr>
                      <w:widowControl w:val="0"/>
                      <w:jc w:val="right"/>
                      <w:rPr>
                        <w:rStyle w:val="48"/>
                        <w:b w:val="0"/>
                        <w:szCs w:val="21"/>
                      </w:rPr>
                    </w:pPr>
                  </w:p>
                </w:tc>
                <w:tc>
                  <w:tcPr>
                    <w:tcW w:w="372" w:type="pct"/>
                    <w:vAlign w:val="center"/>
                  </w:tcPr>
                  <w:p>
                    <w:pPr>
                      <w:widowControl w:val="0"/>
                      <w:jc w:val="right"/>
                      <w:rPr>
                        <w:rStyle w:val="48"/>
                        <w:b w:val="0"/>
                        <w:szCs w:val="21"/>
                      </w:rPr>
                    </w:pPr>
                  </w:p>
                </w:tc>
                <w:tc>
                  <w:tcPr>
                    <w:tcW w:w="1045" w:type="pct"/>
                    <w:vAlign w:val="center"/>
                  </w:tcPr>
                  <w:p>
                    <w:pPr>
                      <w:widowControl w:val="0"/>
                      <w:jc w:val="right"/>
                      <w:rPr>
                        <w:rStyle w:val="48"/>
                        <w:b w:val="0"/>
                        <w:szCs w:val="21"/>
                      </w:rPr>
                    </w:pPr>
                    <w:r>
                      <w:rPr>
                        <w:rFonts w:hint="eastAsia"/>
                        <w:szCs w:val="21"/>
                      </w:rPr>
                      <w:t>3,133,097.35</w:t>
                    </w:r>
                  </w:p>
                </w:tc>
                <w:tc>
                  <w:tcPr>
                    <w:tcW w:w="447" w:type="pct"/>
                    <w:vAlign w:val="center"/>
                  </w:tcPr>
                  <w:p>
                    <w:pPr>
                      <w:widowControl w:val="0"/>
                      <w:jc w:val="right"/>
                      <w:rPr>
                        <w:rStyle w:val="48"/>
                        <w:b w:val="0"/>
                        <w:szCs w:val="21"/>
                      </w:rPr>
                    </w:pPr>
                    <w:r>
                      <w:rPr>
                        <w:rFonts w:hint="eastAsia"/>
                        <w:szCs w:val="21"/>
                      </w:rPr>
                      <w:t>0.02</w:t>
                    </w:r>
                  </w:p>
                </w:tc>
                <w:tc>
                  <w:tcPr>
                    <w:tcW w:w="674" w:type="pct"/>
                    <w:vAlign w:val="center"/>
                  </w:tcPr>
                  <w:p>
                    <w:pPr>
                      <w:widowControl w:val="0"/>
                      <w:jc w:val="right"/>
                      <w:rPr>
                        <w:rStyle w:val="48"/>
                        <w:b w:val="0"/>
                        <w:szCs w:val="21"/>
                      </w:rPr>
                    </w:pPr>
                    <w:r>
                      <w:rPr>
                        <w:rFonts w:hint="eastAsia"/>
                        <w:szCs w:val="21"/>
                      </w:rPr>
                      <w:t>-100.00</w:t>
                    </w:r>
                  </w:p>
                </w:tc>
                <w:tc>
                  <w:tcPr>
                    <w:tcW w:w="520" w:type="pct"/>
                    <w:vAlign w:val="center"/>
                  </w:tcPr>
                  <w:p>
                    <w:pPr>
                      <w:widowControl w:val="0"/>
                      <w:jc w:val="center"/>
                      <w:rPr>
                        <w:rStyle w:val="48"/>
                        <w:b w:val="0"/>
                        <w:szCs w:val="21"/>
                      </w:rPr>
                    </w:pPr>
                    <w:r>
                      <w:rPr>
                        <w:rFonts w:hint="eastAsia"/>
                        <w:szCs w:val="21"/>
                      </w:rPr>
                      <w:t>(6)</w:t>
                    </w:r>
                  </w:p>
                </w:tc>
              </w:tr>
            </w:sdtContent>
          </w:sdt>
          <w:sdt>
            <w:sdtPr>
              <w:rPr>
                <w:rStyle w:val="48"/>
                <w:rFonts w:hint="eastAsia"/>
                <w:b w:val="0"/>
                <w:szCs w:val="21"/>
              </w:rPr>
              <w:alias w:val="资产负债状况分析"/>
              <w:tag w:val="_TUP_815ebab5da7a4ba88d97b27a17b235f3"/>
              <w:id w:val="-1841850322"/>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短期借款</w:t>
                    </w:r>
                  </w:p>
                </w:tc>
                <w:tc>
                  <w:tcPr>
                    <w:tcW w:w="1045" w:type="pct"/>
                    <w:vAlign w:val="center"/>
                  </w:tcPr>
                  <w:p>
                    <w:pPr>
                      <w:widowControl w:val="0"/>
                      <w:jc w:val="right"/>
                      <w:rPr>
                        <w:rStyle w:val="48"/>
                        <w:b w:val="0"/>
                        <w:szCs w:val="21"/>
                      </w:rPr>
                    </w:pPr>
                    <w:r>
                      <w:rPr>
                        <w:rFonts w:hint="eastAsia"/>
                        <w:szCs w:val="21"/>
                      </w:rPr>
                      <w:t>14,000,000.00</w:t>
                    </w:r>
                  </w:p>
                </w:tc>
                <w:tc>
                  <w:tcPr>
                    <w:tcW w:w="372" w:type="pct"/>
                    <w:vAlign w:val="center"/>
                  </w:tcPr>
                  <w:p>
                    <w:pPr>
                      <w:widowControl w:val="0"/>
                      <w:jc w:val="center"/>
                      <w:rPr>
                        <w:rStyle w:val="48"/>
                        <w:b w:val="0"/>
                        <w:szCs w:val="21"/>
                      </w:rPr>
                    </w:pPr>
                    <w:r>
                      <w:rPr>
                        <w:rFonts w:hint="eastAsia"/>
                        <w:szCs w:val="21"/>
                      </w:rPr>
                      <w:t>0.08</w:t>
                    </w:r>
                  </w:p>
                </w:tc>
                <w:tc>
                  <w:tcPr>
                    <w:tcW w:w="1045" w:type="pct"/>
                    <w:vAlign w:val="center"/>
                  </w:tcPr>
                  <w:p>
                    <w:pPr>
                      <w:widowControl w:val="0"/>
                      <w:jc w:val="right"/>
                      <w:rPr>
                        <w:rStyle w:val="48"/>
                        <w:b w:val="0"/>
                        <w:szCs w:val="21"/>
                      </w:rPr>
                    </w:pPr>
                    <w:r>
                      <w:rPr>
                        <w:rFonts w:hint="eastAsia"/>
                        <w:szCs w:val="21"/>
                      </w:rPr>
                      <w:t>37,900,000.00</w:t>
                    </w:r>
                  </w:p>
                </w:tc>
                <w:tc>
                  <w:tcPr>
                    <w:tcW w:w="447" w:type="pct"/>
                    <w:vAlign w:val="center"/>
                  </w:tcPr>
                  <w:p>
                    <w:pPr>
                      <w:widowControl w:val="0"/>
                      <w:jc w:val="right"/>
                      <w:rPr>
                        <w:rStyle w:val="48"/>
                        <w:b w:val="0"/>
                        <w:szCs w:val="21"/>
                      </w:rPr>
                    </w:pPr>
                    <w:r>
                      <w:rPr>
                        <w:rFonts w:hint="eastAsia"/>
                        <w:szCs w:val="21"/>
                      </w:rPr>
                      <w:t>0.21</w:t>
                    </w:r>
                  </w:p>
                </w:tc>
                <w:tc>
                  <w:tcPr>
                    <w:tcW w:w="674" w:type="pct"/>
                    <w:vAlign w:val="center"/>
                  </w:tcPr>
                  <w:p>
                    <w:pPr>
                      <w:widowControl w:val="0"/>
                      <w:jc w:val="right"/>
                      <w:rPr>
                        <w:rStyle w:val="48"/>
                        <w:b w:val="0"/>
                        <w:szCs w:val="21"/>
                      </w:rPr>
                    </w:pPr>
                    <w:r>
                      <w:rPr>
                        <w:rFonts w:hint="eastAsia"/>
                        <w:szCs w:val="21"/>
                      </w:rPr>
                      <w:t>-63.06</w:t>
                    </w:r>
                  </w:p>
                </w:tc>
                <w:tc>
                  <w:tcPr>
                    <w:tcW w:w="520" w:type="pct"/>
                    <w:vAlign w:val="center"/>
                  </w:tcPr>
                  <w:p>
                    <w:pPr>
                      <w:widowControl w:val="0"/>
                      <w:jc w:val="center"/>
                      <w:rPr>
                        <w:rStyle w:val="48"/>
                        <w:b w:val="0"/>
                        <w:szCs w:val="21"/>
                      </w:rPr>
                    </w:pPr>
                    <w:r>
                      <w:rPr>
                        <w:rFonts w:hint="eastAsia"/>
                        <w:szCs w:val="21"/>
                      </w:rPr>
                      <w:t>(7)</w:t>
                    </w:r>
                  </w:p>
                </w:tc>
              </w:tr>
            </w:sdtContent>
          </w:sdt>
          <w:sdt>
            <w:sdtPr>
              <w:rPr>
                <w:rStyle w:val="48"/>
                <w:rFonts w:hint="eastAsia"/>
                <w:b w:val="0"/>
                <w:szCs w:val="21"/>
              </w:rPr>
              <w:alias w:val="资产负债状况分析"/>
              <w:tag w:val="_TUP_815ebab5da7a4ba88d97b27a17b235f3"/>
              <w:id w:val="1772201165"/>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应付票据</w:t>
                    </w:r>
                  </w:p>
                </w:tc>
                <w:tc>
                  <w:tcPr>
                    <w:tcW w:w="1045" w:type="pct"/>
                    <w:vAlign w:val="center"/>
                  </w:tcPr>
                  <w:p>
                    <w:pPr>
                      <w:widowControl w:val="0"/>
                      <w:jc w:val="right"/>
                      <w:rPr>
                        <w:rStyle w:val="48"/>
                        <w:b w:val="0"/>
                        <w:szCs w:val="21"/>
                      </w:rPr>
                    </w:pPr>
                    <w:r>
                      <w:rPr>
                        <w:rFonts w:hint="eastAsia"/>
                        <w:szCs w:val="21"/>
                      </w:rPr>
                      <w:t>137,500,000.00</w:t>
                    </w:r>
                  </w:p>
                </w:tc>
                <w:tc>
                  <w:tcPr>
                    <w:tcW w:w="372" w:type="pct"/>
                    <w:vAlign w:val="center"/>
                  </w:tcPr>
                  <w:p>
                    <w:pPr>
                      <w:widowControl w:val="0"/>
                      <w:jc w:val="center"/>
                      <w:rPr>
                        <w:rStyle w:val="48"/>
                        <w:b w:val="0"/>
                        <w:szCs w:val="21"/>
                      </w:rPr>
                    </w:pPr>
                    <w:r>
                      <w:rPr>
                        <w:rFonts w:hint="eastAsia"/>
                        <w:szCs w:val="21"/>
                      </w:rPr>
                      <w:t>0.78</w:t>
                    </w:r>
                  </w:p>
                </w:tc>
                <w:tc>
                  <w:tcPr>
                    <w:tcW w:w="1045" w:type="pct"/>
                    <w:vAlign w:val="center"/>
                  </w:tcPr>
                  <w:p>
                    <w:pPr>
                      <w:widowControl w:val="0"/>
                      <w:jc w:val="right"/>
                      <w:rPr>
                        <w:rStyle w:val="48"/>
                        <w:b w:val="0"/>
                        <w:szCs w:val="21"/>
                      </w:rPr>
                    </w:pPr>
                    <w:r>
                      <w:rPr>
                        <w:rFonts w:hint="eastAsia"/>
                        <w:szCs w:val="21"/>
                      </w:rPr>
                      <w:t>79,134,886.07</w:t>
                    </w:r>
                  </w:p>
                </w:tc>
                <w:tc>
                  <w:tcPr>
                    <w:tcW w:w="447" w:type="pct"/>
                    <w:vAlign w:val="center"/>
                  </w:tcPr>
                  <w:p>
                    <w:pPr>
                      <w:widowControl w:val="0"/>
                      <w:jc w:val="right"/>
                      <w:rPr>
                        <w:rStyle w:val="48"/>
                        <w:b w:val="0"/>
                        <w:szCs w:val="21"/>
                      </w:rPr>
                    </w:pPr>
                    <w:r>
                      <w:rPr>
                        <w:rFonts w:hint="eastAsia"/>
                        <w:szCs w:val="21"/>
                      </w:rPr>
                      <w:t>0.44</w:t>
                    </w:r>
                  </w:p>
                </w:tc>
                <w:tc>
                  <w:tcPr>
                    <w:tcW w:w="674" w:type="pct"/>
                    <w:vAlign w:val="center"/>
                  </w:tcPr>
                  <w:p>
                    <w:pPr>
                      <w:widowControl w:val="0"/>
                      <w:jc w:val="right"/>
                      <w:rPr>
                        <w:rStyle w:val="48"/>
                        <w:b w:val="0"/>
                        <w:szCs w:val="21"/>
                      </w:rPr>
                    </w:pPr>
                    <w:r>
                      <w:rPr>
                        <w:rFonts w:hint="eastAsia"/>
                        <w:szCs w:val="21"/>
                      </w:rPr>
                      <w:t>73.75</w:t>
                    </w:r>
                  </w:p>
                </w:tc>
                <w:tc>
                  <w:tcPr>
                    <w:tcW w:w="520" w:type="pct"/>
                    <w:vAlign w:val="center"/>
                  </w:tcPr>
                  <w:p>
                    <w:pPr>
                      <w:widowControl w:val="0"/>
                      <w:jc w:val="center"/>
                      <w:rPr>
                        <w:rStyle w:val="48"/>
                        <w:b w:val="0"/>
                        <w:szCs w:val="21"/>
                      </w:rPr>
                    </w:pPr>
                    <w:r>
                      <w:rPr>
                        <w:rFonts w:hint="eastAsia"/>
                        <w:szCs w:val="21"/>
                      </w:rPr>
                      <w:t>(8)</w:t>
                    </w:r>
                  </w:p>
                </w:tc>
              </w:tr>
            </w:sdtContent>
          </w:sdt>
          <w:sdt>
            <w:sdtPr>
              <w:rPr>
                <w:rStyle w:val="48"/>
                <w:rFonts w:hint="eastAsia"/>
                <w:b w:val="0"/>
                <w:szCs w:val="21"/>
              </w:rPr>
              <w:alias w:val="资产负债状况分析"/>
              <w:tag w:val="_TUP_815ebab5da7a4ba88d97b27a17b235f3"/>
              <w:id w:val="-1246560055"/>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应付账款</w:t>
                    </w:r>
                  </w:p>
                </w:tc>
                <w:tc>
                  <w:tcPr>
                    <w:tcW w:w="1045" w:type="pct"/>
                    <w:vAlign w:val="center"/>
                  </w:tcPr>
                  <w:p>
                    <w:pPr>
                      <w:widowControl w:val="0"/>
                      <w:jc w:val="right"/>
                      <w:rPr>
                        <w:rStyle w:val="48"/>
                        <w:b w:val="0"/>
                        <w:szCs w:val="21"/>
                      </w:rPr>
                    </w:pPr>
                    <w:r>
                      <w:rPr>
                        <w:rFonts w:hint="eastAsia"/>
                        <w:szCs w:val="21"/>
                      </w:rPr>
                      <w:t>1,041,304,335.95</w:t>
                    </w:r>
                  </w:p>
                </w:tc>
                <w:tc>
                  <w:tcPr>
                    <w:tcW w:w="372" w:type="pct"/>
                    <w:vAlign w:val="center"/>
                  </w:tcPr>
                  <w:p>
                    <w:pPr>
                      <w:widowControl w:val="0"/>
                      <w:jc w:val="center"/>
                      <w:rPr>
                        <w:rStyle w:val="48"/>
                        <w:b w:val="0"/>
                        <w:szCs w:val="21"/>
                      </w:rPr>
                    </w:pPr>
                    <w:r>
                      <w:rPr>
                        <w:rFonts w:hint="eastAsia"/>
                        <w:szCs w:val="21"/>
                      </w:rPr>
                      <w:t>5.91</w:t>
                    </w:r>
                  </w:p>
                </w:tc>
                <w:tc>
                  <w:tcPr>
                    <w:tcW w:w="1045" w:type="pct"/>
                    <w:vAlign w:val="center"/>
                  </w:tcPr>
                  <w:p>
                    <w:pPr>
                      <w:widowControl w:val="0"/>
                      <w:jc w:val="right"/>
                      <w:rPr>
                        <w:rStyle w:val="48"/>
                        <w:b w:val="0"/>
                        <w:szCs w:val="21"/>
                      </w:rPr>
                    </w:pPr>
                    <w:r>
                      <w:rPr>
                        <w:rFonts w:hint="eastAsia"/>
                        <w:szCs w:val="21"/>
                      </w:rPr>
                      <w:t>753,843,063.96</w:t>
                    </w:r>
                  </w:p>
                </w:tc>
                <w:tc>
                  <w:tcPr>
                    <w:tcW w:w="447" w:type="pct"/>
                    <w:vAlign w:val="center"/>
                  </w:tcPr>
                  <w:p>
                    <w:pPr>
                      <w:widowControl w:val="0"/>
                      <w:jc w:val="right"/>
                      <w:rPr>
                        <w:rStyle w:val="48"/>
                        <w:b w:val="0"/>
                        <w:szCs w:val="21"/>
                      </w:rPr>
                    </w:pPr>
                    <w:r>
                      <w:rPr>
                        <w:rFonts w:hint="eastAsia"/>
                        <w:szCs w:val="21"/>
                      </w:rPr>
                      <w:t>4.20</w:t>
                    </w:r>
                  </w:p>
                </w:tc>
                <w:tc>
                  <w:tcPr>
                    <w:tcW w:w="674" w:type="pct"/>
                    <w:vAlign w:val="center"/>
                  </w:tcPr>
                  <w:p>
                    <w:pPr>
                      <w:widowControl w:val="0"/>
                      <w:jc w:val="right"/>
                      <w:rPr>
                        <w:rStyle w:val="48"/>
                        <w:b w:val="0"/>
                        <w:szCs w:val="21"/>
                      </w:rPr>
                    </w:pPr>
                    <w:r>
                      <w:rPr>
                        <w:rFonts w:hint="eastAsia"/>
                        <w:szCs w:val="21"/>
                      </w:rPr>
                      <w:t>38.13</w:t>
                    </w:r>
                  </w:p>
                </w:tc>
                <w:tc>
                  <w:tcPr>
                    <w:tcW w:w="520" w:type="pct"/>
                    <w:vAlign w:val="center"/>
                  </w:tcPr>
                  <w:p>
                    <w:pPr>
                      <w:widowControl w:val="0"/>
                      <w:jc w:val="center"/>
                      <w:rPr>
                        <w:rStyle w:val="48"/>
                        <w:b w:val="0"/>
                        <w:szCs w:val="21"/>
                      </w:rPr>
                    </w:pPr>
                    <w:r>
                      <w:rPr>
                        <w:rFonts w:hint="eastAsia"/>
                        <w:szCs w:val="21"/>
                      </w:rPr>
                      <w:t>(9)</w:t>
                    </w:r>
                  </w:p>
                </w:tc>
              </w:tr>
            </w:sdtContent>
          </w:sdt>
          <w:sdt>
            <w:sdtPr>
              <w:rPr>
                <w:rStyle w:val="48"/>
                <w:rFonts w:hint="eastAsia"/>
                <w:b w:val="0"/>
                <w:szCs w:val="21"/>
              </w:rPr>
              <w:alias w:val="资产负债状况分析"/>
              <w:tag w:val="_TUP_815ebab5da7a4ba88d97b27a17b235f3"/>
              <w:id w:val="2032993623"/>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一年内到期的非流动负债</w:t>
                    </w:r>
                  </w:p>
                </w:tc>
                <w:tc>
                  <w:tcPr>
                    <w:tcW w:w="1045" w:type="pct"/>
                    <w:vAlign w:val="center"/>
                  </w:tcPr>
                  <w:p>
                    <w:pPr>
                      <w:widowControl w:val="0"/>
                      <w:jc w:val="right"/>
                      <w:rPr>
                        <w:rStyle w:val="48"/>
                        <w:b w:val="0"/>
                        <w:szCs w:val="21"/>
                      </w:rPr>
                    </w:pPr>
                    <w:r>
                      <w:rPr>
                        <w:rFonts w:hint="eastAsia"/>
                        <w:szCs w:val="21"/>
                      </w:rPr>
                      <w:t>442,468,946.75</w:t>
                    </w:r>
                  </w:p>
                </w:tc>
                <w:tc>
                  <w:tcPr>
                    <w:tcW w:w="372" w:type="pct"/>
                    <w:vAlign w:val="center"/>
                  </w:tcPr>
                  <w:p>
                    <w:pPr>
                      <w:widowControl w:val="0"/>
                      <w:jc w:val="center"/>
                      <w:rPr>
                        <w:rStyle w:val="48"/>
                        <w:b w:val="0"/>
                        <w:szCs w:val="21"/>
                      </w:rPr>
                    </w:pPr>
                    <w:r>
                      <w:rPr>
                        <w:rFonts w:hint="eastAsia"/>
                        <w:szCs w:val="21"/>
                      </w:rPr>
                      <w:t>2.51</w:t>
                    </w:r>
                  </w:p>
                </w:tc>
                <w:tc>
                  <w:tcPr>
                    <w:tcW w:w="1045" w:type="pct"/>
                    <w:vAlign w:val="center"/>
                  </w:tcPr>
                  <w:p>
                    <w:pPr>
                      <w:widowControl w:val="0"/>
                      <w:jc w:val="right"/>
                      <w:rPr>
                        <w:rStyle w:val="48"/>
                        <w:b w:val="0"/>
                        <w:szCs w:val="21"/>
                      </w:rPr>
                    </w:pPr>
                    <w:r>
                      <w:rPr>
                        <w:rFonts w:hint="eastAsia"/>
                        <w:szCs w:val="21"/>
                      </w:rPr>
                      <w:t>181,069,100.00</w:t>
                    </w:r>
                  </w:p>
                </w:tc>
                <w:tc>
                  <w:tcPr>
                    <w:tcW w:w="447" w:type="pct"/>
                    <w:vAlign w:val="center"/>
                  </w:tcPr>
                  <w:p>
                    <w:pPr>
                      <w:widowControl w:val="0"/>
                      <w:jc w:val="right"/>
                      <w:rPr>
                        <w:rStyle w:val="48"/>
                        <w:b w:val="0"/>
                        <w:szCs w:val="21"/>
                      </w:rPr>
                    </w:pPr>
                    <w:r>
                      <w:rPr>
                        <w:rFonts w:hint="eastAsia"/>
                        <w:szCs w:val="21"/>
                      </w:rPr>
                      <w:t>1.01</w:t>
                    </w:r>
                  </w:p>
                </w:tc>
                <w:tc>
                  <w:tcPr>
                    <w:tcW w:w="674" w:type="pct"/>
                    <w:vAlign w:val="center"/>
                  </w:tcPr>
                  <w:p>
                    <w:pPr>
                      <w:widowControl w:val="0"/>
                      <w:jc w:val="right"/>
                      <w:rPr>
                        <w:rStyle w:val="48"/>
                        <w:b w:val="0"/>
                        <w:szCs w:val="21"/>
                      </w:rPr>
                    </w:pPr>
                    <w:r>
                      <w:rPr>
                        <w:rFonts w:hint="eastAsia"/>
                        <w:szCs w:val="21"/>
                      </w:rPr>
                      <w:t>144.36</w:t>
                    </w:r>
                  </w:p>
                </w:tc>
                <w:tc>
                  <w:tcPr>
                    <w:tcW w:w="520" w:type="pct"/>
                    <w:vAlign w:val="center"/>
                  </w:tcPr>
                  <w:p>
                    <w:pPr>
                      <w:widowControl w:val="0"/>
                      <w:jc w:val="center"/>
                      <w:rPr>
                        <w:rStyle w:val="48"/>
                        <w:b w:val="0"/>
                        <w:szCs w:val="21"/>
                      </w:rPr>
                    </w:pPr>
                    <w:r>
                      <w:rPr>
                        <w:rFonts w:hint="eastAsia"/>
                        <w:szCs w:val="21"/>
                      </w:rPr>
                      <w:t>(10)</w:t>
                    </w:r>
                  </w:p>
                </w:tc>
              </w:tr>
            </w:sdtContent>
          </w:sdt>
          <w:sdt>
            <w:sdtPr>
              <w:rPr>
                <w:rStyle w:val="48"/>
                <w:rFonts w:hint="eastAsia"/>
                <w:b w:val="0"/>
                <w:szCs w:val="21"/>
              </w:rPr>
              <w:alias w:val="资产负债状况分析"/>
              <w:tag w:val="_TUP_815ebab5da7a4ba88d97b27a17b235f3"/>
              <w:id w:val="624048829"/>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其他流动负债</w:t>
                    </w:r>
                  </w:p>
                </w:tc>
                <w:tc>
                  <w:tcPr>
                    <w:tcW w:w="1045" w:type="pct"/>
                    <w:vAlign w:val="center"/>
                  </w:tcPr>
                  <w:p>
                    <w:pPr>
                      <w:widowControl w:val="0"/>
                      <w:jc w:val="right"/>
                      <w:rPr>
                        <w:rStyle w:val="48"/>
                        <w:b w:val="0"/>
                        <w:szCs w:val="21"/>
                      </w:rPr>
                    </w:pPr>
                    <w:r>
                      <w:rPr>
                        <w:rFonts w:hint="eastAsia"/>
                        <w:szCs w:val="21"/>
                      </w:rPr>
                      <w:t>47,863,991.01</w:t>
                    </w:r>
                  </w:p>
                </w:tc>
                <w:tc>
                  <w:tcPr>
                    <w:tcW w:w="372" w:type="pct"/>
                    <w:vAlign w:val="center"/>
                  </w:tcPr>
                  <w:p>
                    <w:pPr>
                      <w:widowControl w:val="0"/>
                      <w:jc w:val="center"/>
                      <w:rPr>
                        <w:rStyle w:val="48"/>
                        <w:b w:val="0"/>
                        <w:szCs w:val="21"/>
                      </w:rPr>
                    </w:pPr>
                    <w:r>
                      <w:rPr>
                        <w:rFonts w:hint="eastAsia"/>
                        <w:szCs w:val="21"/>
                      </w:rPr>
                      <w:t>0.27</w:t>
                    </w:r>
                  </w:p>
                </w:tc>
                <w:tc>
                  <w:tcPr>
                    <w:tcW w:w="1045" w:type="pct"/>
                    <w:vAlign w:val="center"/>
                  </w:tcPr>
                  <w:p>
                    <w:pPr>
                      <w:widowControl w:val="0"/>
                      <w:jc w:val="right"/>
                      <w:rPr>
                        <w:rStyle w:val="48"/>
                        <w:b w:val="0"/>
                        <w:szCs w:val="21"/>
                      </w:rPr>
                    </w:pPr>
                    <w:r>
                      <w:rPr>
                        <w:rFonts w:hint="eastAsia"/>
                        <w:szCs w:val="21"/>
                      </w:rPr>
                      <w:t>30,136,924.15</w:t>
                    </w:r>
                  </w:p>
                </w:tc>
                <w:tc>
                  <w:tcPr>
                    <w:tcW w:w="447" w:type="pct"/>
                    <w:vAlign w:val="center"/>
                  </w:tcPr>
                  <w:p>
                    <w:pPr>
                      <w:widowControl w:val="0"/>
                      <w:jc w:val="right"/>
                      <w:rPr>
                        <w:rStyle w:val="48"/>
                        <w:b w:val="0"/>
                        <w:szCs w:val="21"/>
                      </w:rPr>
                    </w:pPr>
                    <w:r>
                      <w:rPr>
                        <w:rFonts w:hint="eastAsia"/>
                        <w:szCs w:val="21"/>
                      </w:rPr>
                      <w:t>0.17</w:t>
                    </w:r>
                  </w:p>
                </w:tc>
                <w:tc>
                  <w:tcPr>
                    <w:tcW w:w="674" w:type="pct"/>
                    <w:vAlign w:val="center"/>
                  </w:tcPr>
                  <w:p>
                    <w:pPr>
                      <w:widowControl w:val="0"/>
                      <w:jc w:val="right"/>
                      <w:rPr>
                        <w:rStyle w:val="48"/>
                        <w:b w:val="0"/>
                        <w:szCs w:val="21"/>
                      </w:rPr>
                    </w:pPr>
                    <w:r>
                      <w:rPr>
                        <w:rFonts w:hint="eastAsia"/>
                        <w:szCs w:val="21"/>
                      </w:rPr>
                      <w:t>58.82</w:t>
                    </w:r>
                  </w:p>
                </w:tc>
                <w:tc>
                  <w:tcPr>
                    <w:tcW w:w="520" w:type="pct"/>
                    <w:vAlign w:val="center"/>
                  </w:tcPr>
                  <w:p>
                    <w:pPr>
                      <w:widowControl w:val="0"/>
                      <w:jc w:val="center"/>
                      <w:rPr>
                        <w:rStyle w:val="48"/>
                        <w:b w:val="0"/>
                        <w:szCs w:val="21"/>
                      </w:rPr>
                    </w:pPr>
                    <w:r>
                      <w:rPr>
                        <w:rFonts w:hint="eastAsia"/>
                        <w:szCs w:val="21"/>
                      </w:rPr>
                      <w:t>(11)</w:t>
                    </w:r>
                  </w:p>
                </w:tc>
              </w:tr>
            </w:sdtContent>
          </w:sdt>
          <w:sdt>
            <w:sdtPr>
              <w:rPr>
                <w:rStyle w:val="48"/>
                <w:rFonts w:hint="eastAsia"/>
                <w:b w:val="0"/>
                <w:szCs w:val="21"/>
              </w:rPr>
              <w:alias w:val="资产负债状况分析"/>
              <w:tag w:val="_TUP_815ebab5da7a4ba88d97b27a17b235f3"/>
              <w:id w:val="-1431960498"/>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896" w:type="pct"/>
                  </w:tcPr>
                  <w:p>
                    <w:pPr>
                      <w:widowControl w:val="0"/>
                      <w:jc w:val="both"/>
                      <w:rPr>
                        <w:rStyle w:val="48"/>
                        <w:b w:val="0"/>
                        <w:szCs w:val="21"/>
                      </w:rPr>
                    </w:pPr>
                    <w:r>
                      <w:rPr>
                        <w:rFonts w:hint="eastAsia"/>
                        <w:szCs w:val="21"/>
                      </w:rPr>
                      <w:t>租赁负债</w:t>
                    </w:r>
                  </w:p>
                </w:tc>
                <w:tc>
                  <w:tcPr>
                    <w:tcW w:w="1045" w:type="pct"/>
                    <w:vAlign w:val="center"/>
                  </w:tcPr>
                  <w:p>
                    <w:pPr>
                      <w:widowControl w:val="0"/>
                      <w:jc w:val="right"/>
                      <w:rPr>
                        <w:rStyle w:val="48"/>
                        <w:b w:val="0"/>
                        <w:szCs w:val="21"/>
                      </w:rPr>
                    </w:pPr>
                    <w:r>
                      <w:rPr>
                        <w:rFonts w:hint="eastAsia"/>
                        <w:szCs w:val="21"/>
                      </w:rPr>
                      <w:t>2,831,984.56</w:t>
                    </w:r>
                  </w:p>
                </w:tc>
                <w:tc>
                  <w:tcPr>
                    <w:tcW w:w="372" w:type="pct"/>
                    <w:vAlign w:val="center"/>
                  </w:tcPr>
                  <w:p>
                    <w:pPr>
                      <w:widowControl w:val="0"/>
                      <w:jc w:val="center"/>
                      <w:rPr>
                        <w:rStyle w:val="48"/>
                        <w:b w:val="0"/>
                        <w:szCs w:val="21"/>
                      </w:rPr>
                    </w:pPr>
                    <w:r>
                      <w:rPr>
                        <w:rFonts w:hint="eastAsia"/>
                        <w:szCs w:val="21"/>
                      </w:rPr>
                      <w:t>0.02</w:t>
                    </w:r>
                  </w:p>
                </w:tc>
                <w:tc>
                  <w:tcPr>
                    <w:tcW w:w="1045" w:type="pct"/>
                    <w:vAlign w:val="center"/>
                  </w:tcPr>
                  <w:p>
                    <w:pPr>
                      <w:widowControl w:val="0"/>
                      <w:jc w:val="right"/>
                      <w:rPr>
                        <w:rStyle w:val="48"/>
                        <w:b w:val="0"/>
                        <w:szCs w:val="21"/>
                      </w:rPr>
                    </w:pPr>
                  </w:p>
                </w:tc>
                <w:tc>
                  <w:tcPr>
                    <w:tcW w:w="447" w:type="pct"/>
                    <w:vAlign w:val="center"/>
                  </w:tcPr>
                  <w:p>
                    <w:pPr>
                      <w:widowControl w:val="0"/>
                      <w:jc w:val="right"/>
                      <w:rPr>
                        <w:rStyle w:val="48"/>
                        <w:b w:val="0"/>
                        <w:szCs w:val="21"/>
                      </w:rPr>
                    </w:pPr>
                  </w:p>
                </w:tc>
                <w:tc>
                  <w:tcPr>
                    <w:tcW w:w="674" w:type="pct"/>
                    <w:vAlign w:val="center"/>
                  </w:tcPr>
                  <w:p>
                    <w:pPr>
                      <w:widowControl w:val="0"/>
                      <w:jc w:val="right"/>
                      <w:rPr>
                        <w:rStyle w:val="48"/>
                        <w:b w:val="0"/>
                        <w:szCs w:val="21"/>
                      </w:rPr>
                    </w:pPr>
                    <w:r>
                      <w:rPr>
                        <w:rStyle w:val="48"/>
                        <w:rFonts w:hint="eastAsia"/>
                        <w:b w:val="0"/>
                        <w:szCs w:val="21"/>
                      </w:rPr>
                      <w:t>不适用</w:t>
                    </w:r>
                  </w:p>
                </w:tc>
                <w:tc>
                  <w:tcPr>
                    <w:tcW w:w="520" w:type="pct"/>
                    <w:vAlign w:val="center"/>
                  </w:tcPr>
                  <w:p>
                    <w:pPr>
                      <w:widowControl w:val="0"/>
                      <w:jc w:val="center"/>
                      <w:rPr>
                        <w:rStyle w:val="48"/>
                        <w:b w:val="0"/>
                        <w:szCs w:val="21"/>
                      </w:rPr>
                    </w:pPr>
                    <w:r>
                      <w:rPr>
                        <w:rFonts w:hint="eastAsia"/>
                        <w:szCs w:val="21"/>
                      </w:rPr>
                      <w:t>(12)</w:t>
                    </w:r>
                  </w:p>
                </w:tc>
              </w:tr>
            </w:sdtContent>
          </w:sdt>
          <w:sdt>
            <w:sdtPr>
              <w:rPr>
                <w:rStyle w:val="48"/>
                <w:rFonts w:hint="eastAsia"/>
                <w:b w:val="0"/>
                <w:szCs w:val="21"/>
              </w:rPr>
              <w:alias w:val="资产负债状况分析"/>
              <w:tag w:val="_TUP_815ebab5da7a4ba88d97b27a17b235f3"/>
              <w:id w:val="1760404060"/>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递延收益</w:t>
                    </w:r>
                  </w:p>
                </w:tc>
                <w:tc>
                  <w:tcPr>
                    <w:tcW w:w="1045" w:type="pct"/>
                    <w:vAlign w:val="center"/>
                  </w:tcPr>
                  <w:p>
                    <w:pPr>
                      <w:widowControl w:val="0"/>
                      <w:jc w:val="right"/>
                      <w:rPr>
                        <w:rStyle w:val="48"/>
                        <w:b w:val="0"/>
                        <w:szCs w:val="21"/>
                      </w:rPr>
                    </w:pPr>
                    <w:r>
                      <w:rPr>
                        <w:rFonts w:hint="eastAsia"/>
                        <w:szCs w:val="21"/>
                      </w:rPr>
                      <w:t>2,206,666.62</w:t>
                    </w:r>
                  </w:p>
                </w:tc>
                <w:tc>
                  <w:tcPr>
                    <w:tcW w:w="372" w:type="pct"/>
                    <w:vAlign w:val="center"/>
                  </w:tcPr>
                  <w:p>
                    <w:pPr>
                      <w:widowControl w:val="0"/>
                      <w:jc w:val="center"/>
                      <w:rPr>
                        <w:rStyle w:val="48"/>
                        <w:b w:val="0"/>
                        <w:szCs w:val="21"/>
                      </w:rPr>
                    </w:pPr>
                    <w:r>
                      <w:rPr>
                        <w:rFonts w:hint="eastAsia"/>
                        <w:szCs w:val="21"/>
                      </w:rPr>
                      <w:t>0.01</w:t>
                    </w:r>
                  </w:p>
                </w:tc>
                <w:tc>
                  <w:tcPr>
                    <w:tcW w:w="1045" w:type="pct"/>
                    <w:vAlign w:val="center"/>
                  </w:tcPr>
                  <w:p>
                    <w:pPr>
                      <w:widowControl w:val="0"/>
                      <w:jc w:val="right"/>
                      <w:rPr>
                        <w:rStyle w:val="48"/>
                        <w:b w:val="0"/>
                        <w:szCs w:val="21"/>
                      </w:rPr>
                    </w:pPr>
                    <w:r>
                      <w:rPr>
                        <w:rFonts w:hint="eastAsia"/>
                        <w:szCs w:val="21"/>
                      </w:rPr>
                      <w:t>3,515,990.78</w:t>
                    </w:r>
                  </w:p>
                </w:tc>
                <w:tc>
                  <w:tcPr>
                    <w:tcW w:w="447" w:type="pct"/>
                    <w:vAlign w:val="center"/>
                  </w:tcPr>
                  <w:p>
                    <w:pPr>
                      <w:widowControl w:val="0"/>
                      <w:jc w:val="right"/>
                      <w:rPr>
                        <w:rStyle w:val="48"/>
                        <w:b w:val="0"/>
                        <w:szCs w:val="21"/>
                      </w:rPr>
                    </w:pPr>
                    <w:r>
                      <w:rPr>
                        <w:rFonts w:hint="eastAsia"/>
                        <w:szCs w:val="21"/>
                      </w:rPr>
                      <w:t>0.02</w:t>
                    </w:r>
                  </w:p>
                </w:tc>
                <w:tc>
                  <w:tcPr>
                    <w:tcW w:w="674" w:type="pct"/>
                    <w:vAlign w:val="center"/>
                  </w:tcPr>
                  <w:p>
                    <w:pPr>
                      <w:widowControl w:val="0"/>
                      <w:jc w:val="right"/>
                      <w:rPr>
                        <w:rStyle w:val="48"/>
                        <w:b w:val="0"/>
                        <w:szCs w:val="21"/>
                      </w:rPr>
                    </w:pPr>
                    <w:r>
                      <w:rPr>
                        <w:rFonts w:hint="eastAsia"/>
                        <w:szCs w:val="21"/>
                      </w:rPr>
                      <w:t>-37.24</w:t>
                    </w:r>
                  </w:p>
                </w:tc>
                <w:tc>
                  <w:tcPr>
                    <w:tcW w:w="520" w:type="pct"/>
                    <w:vAlign w:val="center"/>
                  </w:tcPr>
                  <w:p>
                    <w:pPr>
                      <w:widowControl w:val="0"/>
                      <w:jc w:val="center"/>
                      <w:rPr>
                        <w:rStyle w:val="48"/>
                        <w:b w:val="0"/>
                        <w:szCs w:val="21"/>
                      </w:rPr>
                    </w:pPr>
                    <w:r>
                      <w:rPr>
                        <w:rFonts w:hint="eastAsia"/>
                        <w:szCs w:val="21"/>
                      </w:rPr>
                      <w:t>(13)</w:t>
                    </w:r>
                  </w:p>
                </w:tc>
              </w:tr>
            </w:sdtContent>
          </w:sdt>
          <w:sdt>
            <w:sdtPr>
              <w:rPr>
                <w:rStyle w:val="48"/>
                <w:rFonts w:hint="eastAsia"/>
                <w:b w:val="0"/>
                <w:szCs w:val="21"/>
              </w:rPr>
              <w:alias w:val="资产负债状况分析"/>
              <w:tag w:val="_TUP_815ebab5da7a4ba88d97b27a17b235f3"/>
              <w:id w:val="198908586"/>
              <w:lock w:val="sdtLocked"/>
            </w:sdtPr>
            <w:sdtEndPr>
              <w:rPr>
                <w:rStyle w:val="48"/>
                <w:rFonts w:hint="eastAsia"/>
                <w:b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896" w:type="pct"/>
                  </w:tcPr>
                  <w:p>
                    <w:pPr>
                      <w:widowControl w:val="0"/>
                      <w:jc w:val="both"/>
                      <w:rPr>
                        <w:rStyle w:val="48"/>
                        <w:b w:val="0"/>
                        <w:szCs w:val="21"/>
                      </w:rPr>
                    </w:pPr>
                    <w:r>
                      <w:rPr>
                        <w:rFonts w:hint="eastAsia"/>
                        <w:szCs w:val="21"/>
                      </w:rPr>
                      <w:t>库存股</w:t>
                    </w:r>
                  </w:p>
                </w:tc>
                <w:tc>
                  <w:tcPr>
                    <w:tcW w:w="1045" w:type="pct"/>
                    <w:vAlign w:val="center"/>
                  </w:tcPr>
                  <w:p>
                    <w:pPr>
                      <w:widowControl w:val="0"/>
                      <w:jc w:val="right"/>
                      <w:rPr>
                        <w:rStyle w:val="48"/>
                        <w:b w:val="0"/>
                        <w:szCs w:val="21"/>
                      </w:rPr>
                    </w:pPr>
                    <w:r>
                      <w:rPr>
                        <w:rStyle w:val="48"/>
                        <w:b w:val="0"/>
                        <w:szCs w:val="21"/>
                      </w:rPr>
                      <w:t>126,364,347</w:t>
                    </w:r>
                    <w:r>
                      <w:rPr>
                        <w:rStyle w:val="48"/>
                        <w:rFonts w:hint="eastAsia"/>
                        <w:b w:val="0"/>
                        <w:szCs w:val="21"/>
                      </w:rPr>
                      <w:t>.00</w:t>
                    </w:r>
                  </w:p>
                </w:tc>
                <w:tc>
                  <w:tcPr>
                    <w:tcW w:w="372" w:type="pct"/>
                    <w:vAlign w:val="center"/>
                  </w:tcPr>
                  <w:p>
                    <w:pPr>
                      <w:widowControl w:val="0"/>
                      <w:jc w:val="center"/>
                      <w:rPr>
                        <w:rStyle w:val="48"/>
                        <w:b w:val="0"/>
                        <w:szCs w:val="21"/>
                      </w:rPr>
                    </w:pPr>
                    <w:r>
                      <w:rPr>
                        <w:rFonts w:hint="eastAsia"/>
                        <w:szCs w:val="21"/>
                      </w:rPr>
                      <w:t>0.72</w:t>
                    </w:r>
                  </w:p>
                </w:tc>
                <w:tc>
                  <w:tcPr>
                    <w:tcW w:w="1045" w:type="pct"/>
                    <w:vAlign w:val="center"/>
                  </w:tcPr>
                  <w:p>
                    <w:pPr>
                      <w:widowControl w:val="0"/>
                      <w:jc w:val="right"/>
                      <w:rPr>
                        <w:rStyle w:val="48"/>
                        <w:b w:val="0"/>
                        <w:szCs w:val="21"/>
                      </w:rPr>
                    </w:pPr>
                    <w:r>
                      <w:rPr>
                        <w:rFonts w:hint="eastAsia"/>
                        <w:szCs w:val="21"/>
                      </w:rPr>
                      <w:t>250,597,854.00</w:t>
                    </w:r>
                  </w:p>
                </w:tc>
                <w:tc>
                  <w:tcPr>
                    <w:tcW w:w="447" w:type="pct"/>
                    <w:vAlign w:val="center"/>
                  </w:tcPr>
                  <w:p>
                    <w:pPr>
                      <w:widowControl w:val="0"/>
                      <w:jc w:val="right"/>
                      <w:rPr>
                        <w:rStyle w:val="48"/>
                        <w:b w:val="0"/>
                        <w:szCs w:val="21"/>
                      </w:rPr>
                    </w:pPr>
                    <w:r>
                      <w:rPr>
                        <w:rFonts w:hint="eastAsia"/>
                        <w:szCs w:val="21"/>
                      </w:rPr>
                      <w:t>1.40</w:t>
                    </w:r>
                  </w:p>
                </w:tc>
                <w:tc>
                  <w:tcPr>
                    <w:tcW w:w="674" w:type="pct"/>
                    <w:vAlign w:val="center"/>
                  </w:tcPr>
                  <w:p>
                    <w:pPr>
                      <w:widowControl w:val="0"/>
                      <w:jc w:val="right"/>
                      <w:rPr>
                        <w:rStyle w:val="48"/>
                        <w:b w:val="0"/>
                        <w:szCs w:val="21"/>
                      </w:rPr>
                    </w:pPr>
                    <w:r>
                      <w:rPr>
                        <w:rFonts w:hint="eastAsia"/>
                        <w:szCs w:val="21"/>
                      </w:rPr>
                      <w:t>-49.57</w:t>
                    </w:r>
                  </w:p>
                </w:tc>
                <w:tc>
                  <w:tcPr>
                    <w:tcW w:w="520" w:type="pct"/>
                    <w:vAlign w:val="center"/>
                  </w:tcPr>
                  <w:p>
                    <w:pPr>
                      <w:widowControl w:val="0"/>
                      <w:jc w:val="center"/>
                      <w:rPr>
                        <w:rStyle w:val="48"/>
                        <w:b w:val="0"/>
                        <w:szCs w:val="21"/>
                      </w:rPr>
                    </w:pPr>
                    <w:r>
                      <w:rPr>
                        <w:rStyle w:val="48"/>
                        <w:rFonts w:hint="eastAsia"/>
                        <w:b w:val="0"/>
                        <w:szCs w:val="21"/>
                      </w:rPr>
                      <w:t>（14）</w:t>
                    </w:r>
                  </w:p>
                </w:tc>
              </w:tr>
            </w:sdtContent>
          </w:sdt>
        </w:tbl>
        <w:p/>
        <w:p>
          <w:pPr>
            <w:rPr>
              <w:szCs w:val="21"/>
            </w:rPr>
          </w:pPr>
          <w:r>
            <w:rPr>
              <w:rFonts w:hint="eastAsia"/>
              <w:szCs w:val="21"/>
            </w:rPr>
            <w:t>其他说明</w:t>
          </w:r>
        </w:p>
        <w:sdt>
          <w:sdtPr>
            <w:rPr>
              <w:rFonts w:hint="eastAsia"/>
              <w:szCs w:val="21"/>
            </w:rPr>
            <w:alias w:val="资产及负债状况的其他说明"/>
            <w:tag w:val="_GBC_3aee54264edd4bb08807d2335eb33f43"/>
            <w:id w:val="1131833285"/>
            <w:lock w:val="sdtLocked"/>
            <w:placeholder>
              <w:docPart w:val="GBC22222222222222222222222222222"/>
            </w:placeholder>
          </w:sdtPr>
          <w:sdtEndPr>
            <w:rPr>
              <w:rFonts w:hint="eastAsia"/>
              <w:szCs w:val="21"/>
            </w:rPr>
          </w:sdtEndPr>
          <w:sdtContent>
            <w:p>
              <w:pPr>
                <w:spacing w:line="360" w:lineRule="auto"/>
                <w:rPr>
                  <w:color w:val="000000"/>
                  <w:szCs w:val="21"/>
                </w:rPr>
              </w:pPr>
              <w:r>
                <w:rPr>
                  <w:rFonts w:hint="eastAsia"/>
                  <w:color w:val="000000"/>
                  <w:szCs w:val="21"/>
                </w:rPr>
                <w:t>（1）其他应收款：年末余额较年初减少主要系本期收回管理人账户资金。</w:t>
              </w:r>
            </w:p>
            <w:p>
              <w:pPr>
                <w:spacing w:line="360" w:lineRule="auto"/>
                <w:ind w:left="1470" w:hanging="1470" w:hangingChars="700"/>
                <w:rPr>
                  <w:szCs w:val="21"/>
                </w:rPr>
              </w:pPr>
              <w:r>
                <w:rPr>
                  <w:rFonts w:hint="eastAsia"/>
                  <w:szCs w:val="21"/>
                </w:rPr>
                <w:t>（</w:t>
              </w:r>
              <w:r>
                <w:rPr>
                  <w:szCs w:val="21"/>
                </w:rPr>
                <w:t>2）应收利息：年末余额较年初</w:t>
              </w:r>
              <w:r>
                <w:rPr>
                  <w:rFonts w:hint="eastAsia"/>
                  <w:szCs w:val="21"/>
                </w:rPr>
                <w:t>减少</w:t>
              </w:r>
              <w:r>
                <w:rPr>
                  <w:szCs w:val="21"/>
                </w:rPr>
                <w:t>主要系</w:t>
              </w:r>
              <w:r>
                <w:rPr>
                  <w:rFonts w:hint="eastAsia"/>
                  <w:szCs w:val="21"/>
                </w:rPr>
                <w:t>根据新金融工具准则，将未到期的应收利息计入货币资金项目</w:t>
              </w:r>
              <w:r>
                <w:rPr>
                  <w:szCs w:val="21"/>
                </w:rPr>
                <w:t>。</w:t>
              </w:r>
            </w:p>
            <w:p>
              <w:pPr>
                <w:spacing w:line="360" w:lineRule="auto"/>
                <w:rPr>
                  <w:szCs w:val="21"/>
                </w:rPr>
              </w:pPr>
              <w:r>
                <w:rPr>
                  <w:rFonts w:hint="eastAsia"/>
                  <w:szCs w:val="21"/>
                </w:rPr>
                <w:t>（</w:t>
              </w:r>
              <w:r>
                <w:rPr>
                  <w:szCs w:val="21"/>
                </w:rPr>
                <w:t>3）应收股利：年末余额较年初增加系应收重庆银行股份有限公司股利增加。</w:t>
              </w:r>
            </w:p>
            <w:p>
              <w:pPr>
                <w:spacing w:line="360" w:lineRule="auto"/>
                <w:rPr>
                  <w:szCs w:val="21"/>
                </w:rPr>
              </w:pPr>
              <w:r>
                <w:rPr>
                  <w:rFonts w:hint="eastAsia"/>
                  <w:szCs w:val="21"/>
                </w:rPr>
                <w:t>（</w:t>
              </w:r>
              <w:r>
                <w:rPr>
                  <w:szCs w:val="21"/>
                </w:rPr>
                <w:t>4）使用权资产：年末余额较年初增加系</w:t>
              </w:r>
              <w:r>
                <w:rPr>
                  <w:rFonts w:hint="eastAsia"/>
                  <w:color w:val="000000"/>
                  <w:szCs w:val="21"/>
                </w:rPr>
                <w:t>公司执行新租赁准则导致</w:t>
              </w:r>
              <w:r>
                <w:rPr>
                  <w:rFonts w:hint="eastAsia"/>
                  <w:szCs w:val="21"/>
                </w:rPr>
                <w:t>。</w:t>
              </w:r>
            </w:p>
            <w:p>
              <w:pPr>
                <w:spacing w:line="360" w:lineRule="auto"/>
                <w:rPr>
                  <w:szCs w:val="21"/>
                </w:rPr>
              </w:pPr>
              <w:r>
                <w:rPr>
                  <w:rFonts w:hint="eastAsia"/>
                  <w:szCs w:val="21"/>
                </w:rPr>
                <w:t>（</w:t>
              </w:r>
              <w:r>
                <w:rPr>
                  <w:szCs w:val="21"/>
                </w:rPr>
                <w:t>5）</w:t>
              </w:r>
              <w:r>
                <w:rPr>
                  <w:rFonts w:hint="eastAsia"/>
                  <w:szCs w:val="21"/>
                </w:rPr>
                <w:t>开</w:t>
              </w:r>
              <w:r>
                <w:rPr>
                  <w:szCs w:val="21"/>
                </w:rPr>
                <w:t>发支出：年末余额较年初减少主要系将未达到预期和停止研发的项目</w:t>
              </w:r>
              <w:r>
                <w:rPr>
                  <w:rFonts w:hint="eastAsia"/>
                  <w:szCs w:val="21"/>
                </w:rPr>
                <w:t>支出</w:t>
              </w:r>
              <w:r>
                <w:rPr>
                  <w:szCs w:val="21"/>
                </w:rPr>
                <w:t>转入当期费用。</w:t>
              </w:r>
            </w:p>
            <w:p>
              <w:pPr>
                <w:spacing w:line="360" w:lineRule="auto"/>
                <w:rPr>
                  <w:szCs w:val="21"/>
                </w:rPr>
              </w:pPr>
              <w:r>
                <w:rPr>
                  <w:rFonts w:hint="eastAsia"/>
                  <w:szCs w:val="21"/>
                </w:rPr>
                <w:t>（</w:t>
              </w:r>
              <w:r>
                <w:rPr>
                  <w:szCs w:val="21"/>
                </w:rPr>
                <w:t>6）长期待摊费用：年末余额较年初减少系待摊费用摊销转入当期费用。</w:t>
              </w:r>
            </w:p>
            <w:p>
              <w:pPr>
                <w:spacing w:line="360" w:lineRule="auto"/>
                <w:rPr>
                  <w:szCs w:val="21"/>
                </w:rPr>
              </w:pPr>
              <w:r>
                <w:rPr>
                  <w:rFonts w:hint="eastAsia"/>
                  <w:szCs w:val="21"/>
                </w:rPr>
                <w:t>（</w:t>
              </w:r>
              <w:r>
                <w:rPr>
                  <w:szCs w:val="21"/>
                </w:rPr>
                <w:t>7）短期借款：年末余额较年初减少主要系本期偿还了到期借款。</w:t>
              </w:r>
            </w:p>
            <w:p>
              <w:pPr>
                <w:spacing w:line="360" w:lineRule="auto"/>
                <w:ind w:left="1525" w:hanging="1524" w:hangingChars="726"/>
                <w:rPr>
                  <w:szCs w:val="21"/>
                </w:rPr>
              </w:pPr>
              <w:r>
                <w:rPr>
                  <w:rFonts w:hint="eastAsia"/>
                  <w:szCs w:val="21"/>
                </w:rPr>
                <w:t>（</w:t>
              </w:r>
              <w:r>
                <w:rPr>
                  <w:szCs w:val="21"/>
                </w:rPr>
                <w:t>8）应付票据：年末余额较年初增加主要系</w:t>
              </w:r>
              <w:r>
                <w:rPr>
                  <w:rFonts w:hint="eastAsia"/>
                  <w:szCs w:val="21"/>
                </w:rPr>
                <w:t>本期充分利用资金价值，开具银行承兑汇票支付货款增加。</w:t>
              </w:r>
            </w:p>
            <w:p>
              <w:pPr>
                <w:spacing w:line="360" w:lineRule="auto"/>
                <w:rPr>
                  <w:szCs w:val="21"/>
                </w:rPr>
              </w:pPr>
              <w:r>
                <w:rPr>
                  <w:rFonts w:hint="eastAsia"/>
                  <w:szCs w:val="21"/>
                </w:rPr>
                <w:t>（</w:t>
              </w:r>
              <w:r>
                <w:rPr>
                  <w:szCs w:val="21"/>
                </w:rPr>
                <w:t>9）应付账款：年末余额较年初增加主要</w:t>
              </w:r>
              <w:r>
                <w:rPr>
                  <w:rFonts w:hint="eastAsia"/>
                  <w:szCs w:val="21"/>
                </w:rPr>
                <w:t>系汽车业务重启，应付供应商货款增加。</w:t>
              </w:r>
            </w:p>
            <w:p>
              <w:pPr>
                <w:spacing w:line="360" w:lineRule="auto"/>
                <w:ind w:left="3150" w:hanging="3150" w:hangingChars="1500"/>
                <w:rPr>
                  <w:szCs w:val="21"/>
                </w:rPr>
              </w:pPr>
              <w:r>
                <w:rPr>
                  <w:rFonts w:hint="eastAsia"/>
                  <w:szCs w:val="21"/>
                </w:rPr>
                <w:t>（</w:t>
              </w:r>
              <w:r>
                <w:rPr>
                  <w:szCs w:val="21"/>
                </w:rPr>
                <w:t>10）一年内到期的非流动负债：年末余额较年初增加主要系</w:t>
              </w:r>
              <w:r>
                <w:rPr>
                  <w:rFonts w:hint="eastAsia"/>
                  <w:szCs w:val="21"/>
                </w:rPr>
                <w:t>将一年内到期的长期借款转入一年内到期的非流动负债列示所致。</w:t>
              </w:r>
            </w:p>
            <w:p>
              <w:pPr>
                <w:spacing w:line="360" w:lineRule="auto"/>
                <w:rPr>
                  <w:szCs w:val="21"/>
                </w:rPr>
              </w:pPr>
              <w:r>
                <w:rPr>
                  <w:rFonts w:hint="eastAsia"/>
                  <w:szCs w:val="21"/>
                </w:rPr>
                <w:t>（</w:t>
              </w:r>
              <w:r>
                <w:rPr>
                  <w:szCs w:val="21"/>
                </w:rPr>
                <w:t>11）其他流动负债：年末余额较年初增加主要系</w:t>
              </w:r>
              <w:r>
                <w:rPr>
                  <w:rFonts w:hint="eastAsia"/>
                  <w:szCs w:val="21"/>
                </w:rPr>
                <w:t>合同负债增加，待转销项税增加。</w:t>
              </w:r>
            </w:p>
            <w:p>
              <w:pPr>
                <w:spacing w:line="360" w:lineRule="auto"/>
                <w:rPr>
                  <w:szCs w:val="21"/>
                </w:rPr>
              </w:pPr>
              <w:r>
                <w:rPr>
                  <w:rFonts w:hint="eastAsia"/>
                  <w:szCs w:val="21"/>
                </w:rPr>
                <w:t>（</w:t>
              </w:r>
              <w:r>
                <w:rPr>
                  <w:szCs w:val="21"/>
                </w:rPr>
                <w:t>12）租赁负债：年末余额较年初增加系</w:t>
              </w:r>
              <w:r>
                <w:rPr>
                  <w:rFonts w:hint="eastAsia"/>
                  <w:szCs w:val="21"/>
                </w:rPr>
                <w:t>公司执行新租赁准则导致。</w:t>
              </w:r>
            </w:p>
            <w:p>
              <w:pPr>
                <w:spacing w:line="360" w:lineRule="auto"/>
                <w:rPr>
                  <w:szCs w:val="21"/>
                </w:rPr>
              </w:pPr>
              <w:r>
                <w:rPr>
                  <w:rFonts w:hint="eastAsia"/>
                  <w:szCs w:val="21"/>
                </w:rPr>
                <w:t>（</w:t>
              </w:r>
              <w:r>
                <w:rPr>
                  <w:szCs w:val="21"/>
                </w:rPr>
                <w:t>13）递延收益：年末余额较年初减少主要系</w:t>
              </w:r>
              <w:r>
                <w:rPr>
                  <w:rFonts w:hint="eastAsia"/>
                  <w:szCs w:val="21"/>
                </w:rPr>
                <w:t>收到的政府补助摊销计入当期损益。</w:t>
              </w:r>
            </w:p>
            <w:p>
              <w:pPr>
                <w:spacing w:line="360" w:lineRule="auto"/>
                <w:rPr>
                  <w:szCs w:val="21"/>
                </w:rPr>
              </w:pPr>
              <w:r>
                <w:rPr>
                  <w:rFonts w:hint="eastAsia"/>
                  <w:szCs w:val="21"/>
                </w:rPr>
                <w:t>（</w:t>
              </w:r>
              <w:r>
                <w:rPr>
                  <w:szCs w:val="21"/>
                </w:rPr>
                <w:t>14）库存股：年末余额较年初减少主要系</w:t>
              </w:r>
              <w:r>
                <w:rPr>
                  <w:rFonts w:hint="eastAsia"/>
                  <w:szCs w:val="21"/>
                </w:rPr>
                <w:t>本期回购注销未达解锁条件限制性股票所致。</w:t>
              </w:r>
            </w:p>
          </w:sdtContent>
        </w:sdt>
      </w:sdtContent>
    </w:sdt>
    <w:p>
      <w:pPr>
        <w:pStyle w:val="5"/>
        <w:numPr>
          <w:ilvl w:val="0"/>
          <w:numId w:val="12"/>
        </w:numPr>
        <w:rPr>
          <w:rFonts w:ascii="宋体" w:hAnsi="宋体" w:eastAsia="宋体" w:cs="宋体"/>
          <w:kern w:val="0"/>
          <w:szCs w:val="21"/>
        </w:rPr>
      </w:pPr>
      <w:bookmarkStart w:id="37" w:name="_Hlk89877438"/>
      <w:r>
        <w:rPr>
          <w:rFonts w:hint="eastAsia" w:ascii="宋体" w:hAnsi="宋体" w:eastAsia="宋体" w:cs="宋体"/>
          <w:kern w:val="0"/>
          <w:szCs w:val="21"/>
        </w:rPr>
        <w:t>境外资产情况</w:t>
      </w:r>
    </w:p>
    <w:sdt>
      <w:sdtPr>
        <w:rPr>
          <w:rFonts w:hint="eastAsia"/>
          <w:szCs w:val="21"/>
        </w:rPr>
        <w:alias w:val="是否适用：境外资产情况 [双击切换]"/>
        <w:tag w:val="_GBC_7c019689b55740839a263ecc68721e10"/>
        <w:id w:val="70268313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bookmarkEnd w:id="37"/>
    <w:sdt>
      <w:sdtPr>
        <w:rPr>
          <w:rFonts w:ascii="宋体" w:hAnsi="宋体" w:eastAsia="宋体" w:cs="宋体"/>
          <w:b w:val="0"/>
          <w:bCs w:val="0"/>
          <w:kern w:val="0"/>
          <w:szCs w:val="24"/>
        </w:rPr>
        <w:alias w:val="模块:截至报告期末主要资产受限情"/>
        <w:tag w:val="_SEC_cd146e80d2e14aa4aac1142579c4c36a"/>
        <w:id w:val="1231415570"/>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12"/>
            </w:numPr>
          </w:pPr>
          <w:r>
            <w:t>截至报告期末主要资产受限情</w:t>
          </w:r>
          <w:r>
            <w:rPr>
              <w:rFonts w:hint="eastAsia"/>
            </w:rPr>
            <w:t>况</w:t>
          </w:r>
        </w:p>
        <w:sdt>
          <w:sdtPr>
            <w:rPr>
              <w:rFonts w:hint="eastAsia"/>
              <w:szCs w:val="21"/>
            </w:rPr>
            <w:alias w:val="是否适用：主要资产受限情况[双击切换]"/>
            <w:tag w:val="_GBC_01311ee451194f52a953344cf249b1b9"/>
            <w:id w:val="105481651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主要资产受限情况"/>
            <w:tag w:val="_GBC_cb7fe3db517742e2a0cff2593f270f8e"/>
            <w:id w:val="1292866654"/>
            <w:lock w:val="sdtLocked"/>
            <w:placeholder>
              <w:docPart w:val="GBC22222222222222222222222222222"/>
            </w:placeholder>
          </w:sdtPr>
          <w:sdtEndPr>
            <w:rPr>
              <w:szCs w:val="24"/>
            </w:rPr>
          </w:sdtEndPr>
          <w:sdtContent>
            <w:p>
              <w:pPr>
                <w:jc w:val="right"/>
                <w:rPr>
                  <w:szCs w:val="21"/>
                </w:rPr>
              </w:pPr>
              <w:r>
                <w:rPr>
                  <w:rFonts w:hint="eastAsia"/>
                  <w:szCs w:val="21"/>
                </w:rPr>
                <w:t>单位：元</w:t>
              </w:r>
            </w:p>
            <w:tbl>
              <w:tblPr>
                <w:tblStyle w:val="10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2"/>
                <w:gridCol w:w="2470"/>
                <w:gridCol w:w="5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895" w:type="pct"/>
                    <w:vAlign w:val="center"/>
                  </w:tcPr>
                  <w:p>
                    <w:pPr>
                      <w:tabs>
                        <w:tab w:val="left" w:pos="196"/>
                        <w:tab w:val="left" w:pos="426"/>
                      </w:tabs>
                      <w:jc w:val="center"/>
                      <w:rPr>
                        <w:rFonts w:ascii="Arial Narrow" w:hAnsi="Arial Narrow"/>
                        <w:szCs w:val="21"/>
                      </w:rPr>
                    </w:pPr>
                    <w:r>
                      <w:rPr>
                        <w:rFonts w:hint="eastAsia" w:ascii="Arial Narrow" w:hAnsi="Arial Narrow"/>
                        <w:szCs w:val="21"/>
                      </w:rPr>
                      <w:t>项目</w:t>
                    </w:r>
                  </w:p>
                </w:tc>
                <w:tc>
                  <w:tcPr>
                    <w:tcW w:w="1330" w:type="pct"/>
                    <w:vAlign w:val="center"/>
                  </w:tcPr>
                  <w:p>
                    <w:pPr>
                      <w:tabs>
                        <w:tab w:val="left" w:pos="196"/>
                        <w:tab w:val="left" w:pos="426"/>
                      </w:tabs>
                      <w:jc w:val="center"/>
                      <w:rPr>
                        <w:rFonts w:ascii="Arial Narrow" w:hAnsi="Arial Narrow"/>
                        <w:szCs w:val="21"/>
                      </w:rPr>
                    </w:pPr>
                    <w:r>
                      <w:rPr>
                        <w:rFonts w:hint="eastAsia" w:ascii="Arial Narrow" w:hAnsi="Arial Narrow"/>
                        <w:szCs w:val="21"/>
                      </w:rPr>
                      <w:t>余额</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受限原因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rPr>
                        <w:rFonts w:ascii="Arial Narrow" w:hAnsi="Arial Narrow"/>
                        <w:szCs w:val="21"/>
                      </w:rPr>
                    </w:pPr>
                    <w:r>
                      <w:rPr>
                        <w:rFonts w:hint="eastAsia" w:ascii="Arial Narrow" w:hAnsi="Arial Narrow"/>
                        <w:szCs w:val="21"/>
                      </w:rPr>
                      <w:t>货币资金</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szCs w:val="21"/>
                      </w:rPr>
                      <w:t>669,864,191.05</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受冻结资金、定期存款及保证金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rPr>
                        <w:rFonts w:ascii="Arial Narrow" w:hAnsi="Arial Narrow"/>
                        <w:szCs w:val="21"/>
                      </w:rPr>
                    </w:pPr>
                    <w:r>
                      <w:rPr>
                        <w:rFonts w:hint="eastAsia" w:ascii="Arial Narrow" w:hAnsi="Arial Narrow"/>
                        <w:szCs w:val="21"/>
                      </w:rPr>
                      <w:t>长期股权投资</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szCs w:val="21"/>
                      </w:rPr>
                      <w:t>1,831,641,693.97</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为银行借款、融资租赁等提供质押担保及被冻结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rPr>
                        <w:rFonts w:ascii="Arial Narrow" w:hAnsi="Arial Narrow"/>
                        <w:szCs w:val="21"/>
                      </w:rPr>
                    </w:pPr>
                    <w:r>
                      <w:rPr>
                        <w:rFonts w:hint="eastAsia" w:ascii="Arial Narrow" w:hAnsi="Arial Narrow"/>
                        <w:szCs w:val="21"/>
                      </w:rPr>
                      <w:t>固定资产</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szCs w:val="21"/>
                      </w:rPr>
                      <w:t>496,413,417.89</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为银行借款、保理借款提供抵押担保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rPr>
                        <w:rFonts w:ascii="Arial Narrow" w:hAnsi="Arial Narrow"/>
                        <w:szCs w:val="21"/>
                      </w:rPr>
                    </w:pPr>
                    <w:r>
                      <w:rPr>
                        <w:rFonts w:hint="eastAsia" w:ascii="Arial Narrow" w:hAnsi="Arial Narrow"/>
                        <w:szCs w:val="21"/>
                      </w:rPr>
                      <w:t>无形资产</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szCs w:val="21"/>
                      </w:rPr>
                      <w:t>474,015,879.00</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为银行借款、保理借款提供抵押担保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rPr>
                        <w:rFonts w:ascii="Arial Narrow" w:hAnsi="Arial Narrow"/>
                        <w:szCs w:val="21"/>
                      </w:rPr>
                    </w:pPr>
                    <w:r>
                      <w:rPr>
                        <w:rFonts w:hint="eastAsia" w:ascii="Arial Narrow" w:hAnsi="Arial Narrow"/>
                        <w:szCs w:val="21"/>
                      </w:rPr>
                      <w:t>投资性房地产</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szCs w:val="21"/>
                      </w:rPr>
                      <w:t>3,059,875,700.00</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为银行借款、保理借款提供抵押担保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rPr>
                        <w:rFonts w:ascii="Arial Narrow" w:hAnsi="Arial Narrow"/>
                        <w:szCs w:val="21"/>
                      </w:rPr>
                    </w:pPr>
                    <w:r>
                      <w:t>使用权资产</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rPr>
                      <w:t>4,431,112.39</w:t>
                    </w:r>
                  </w:p>
                </w:tc>
                <w:tc>
                  <w:tcPr>
                    <w:tcW w:w="2775" w:type="pct"/>
                    <w:vAlign w:val="center"/>
                  </w:tcPr>
                  <w:p>
                    <w:pPr>
                      <w:tabs>
                        <w:tab w:val="left" w:pos="196"/>
                        <w:tab w:val="left" w:pos="426"/>
                      </w:tabs>
                      <w:jc w:val="center"/>
                      <w:rPr>
                        <w:rFonts w:ascii="Arial Narrow" w:hAnsi="Arial Narrow"/>
                        <w:szCs w:val="21"/>
                      </w:rPr>
                    </w:pPr>
                    <w:r>
                      <w:rPr>
                        <w:rFonts w:hint="eastAsia" w:ascii="Arial Narrow" w:hAnsi="Arial Narrow"/>
                        <w:szCs w:val="21"/>
                      </w:rPr>
                      <w:t>租赁办公场所、门面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tabs>
                        <w:tab w:val="left" w:pos="196"/>
                        <w:tab w:val="left" w:pos="426"/>
                      </w:tabs>
                      <w:jc w:val="center"/>
                      <w:rPr>
                        <w:rFonts w:ascii="Arial Narrow" w:hAnsi="Arial Narrow"/>
                        <w:szCs w:val="21"/>
                      </w:rPr>
                    </w:pPr>
                    <w:r>
                      <w:rPr>
                        <w:rFonts w:hint="eastAsia" w:ascii="Arial Narrow" w:hAnsi="Arial Narrow"/>
                        <w:szCs w:val="21"/>
                      </w:rPr>
                      <w:t>合计</w:t>
                    </w:r>
                  </w:p>
                </w:tc>
                <w:tc>
                  <w:tcPr>
                    <w:tcW w:w="1330" w:type="pct"/>
                    <w:vAlign w:val="center"/>
                  </w:tcPr>
                  <w:p>
                    <w:pPr>
                      <w:tabs>
                        <w:tab w:val="left" w:pos="196"/>
                        <w:tab w:val="left" w:pos="426"/>
                      </w:tabs>
                      <w:jc w:val="right"/>
                      <w:rPr>
                        <w:rFonts w:asciiTheme="minorEastAsia" w:hAnsiTheme="minorEastAsia" w:eastAsiaTheme="minorEastAsia"/>
                        <w:szCs w:val="21"/>
                      </w:rPr>
                    </w:pPr>
                    <w:r>
                      <w:rPr>
                        <w:rFonts w:asciiTheme="minorEastAsia" w:hAnsiTheme="minorEastAsia" w:eastAsiaTheme="minorEastAsia"/>
                        <w:szCs w:val="21"/>
                      </w:rPr>
                      <w:t>6,536,241,994.30</w:t>
                    </w:r>
                  </w:p>
                </w:tc>
                <w:tc>
                  <w:tcPr>
                    <w:tcW w:w="2775" w:type="pct"/>
                    <w:vAlign w:val="center"/>
                  </w:tcPr>
                  <w:p/>
                </w:tc>
              </w:tr>
            </w:tbl>
            <w:p/>
          </w:sdtContent>
        </w:sdt>
      </w:sdtContent>
    </w:sdt>
    <w:sdt>
      <w:sdtPr>
        <w:rPr>
          <w:rFonts w:ascii="宋体" w:hAnsi="宋体" w:eastAsia="宋体" w:cs="宋体"/>
          <w:b w:val="0"/>
          <w:bCs w:val="0"/>
          <w:kern w:val="0"/>
          <w:szCs w:val="24"/>
        </w:rPr>
        <w:alias w:val="模块:其他说明"/>
        <w:tag w:val="_SEC_0a5a7a92c0314a60b3f3d11562efe5d4"/>
        <w:id w:val="-291358356"/>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12"/>
            </w:numPr>
          </w:pPr>
          <w:r>
            <w:t>其他说明</w:t>
          </w:r>
        </w:p>
        <w:sdt>
          <w:sdtPr>
            <w:rPr>
              <w:rFonts w:hint="eastAsia"/>
              <w:szCs w:val="21"/>
            </w:rPr>
            <w:alias w:val="是否适用：资产及负债状况的其他说明[双击切换]"/>
            <w:tag w:val="_GBC_364e24c8cf1a4469ba88a4ae16e0417f"/>
            <w:id w:val="-102872047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行业经营性信息分析"/>
        <w:tag w:val="_SEC_5860c602a88b4fa29c583d556917cd48"/>
        <w:id w:val="-178872743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spacing w:before="0" w:after="0" w:line="360" w:lineRule="auto"/>
            <w:rPr>
              <w:szCs w:val="21"/>
            </w:rPr>
          </w:pPr>
          <w:r>
            <w:rPr>
              <w:rFonts w:hint="eastAsia"/>
              <w:szCs w:val="21"/>
            </w:rPr>
            <w:t>行业经营性信息分析</w:t>
          </w:r>
        </w:p>
        <w:sdt>
          <w:sdtPr>
            <w:rPr>
              <w:rFonts w:hint="eastAsia"/>
              <w:szCs w:val="21"/>
            </w:rPr>
            <w:alias w:val="是否适用：行业经营性信息分析[双击切换]"/>
            <w:tag w:val="_GBC_8a02ac4934eb426ab273323b8694d88c"/>
            <w:id w:val="1134909147"/>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行业经营性信息分析"/>
            <w:tag w:val="_GBC_e16bc1aa6d5e4cdd94278d9bb9b9d44b"/>
            <w:id w:val="1885516158"/>
            <w:lock w:val="sdtLocked"/>
            <w:placeholder>
              <w:docPart w:val="GBC22222222222222222222222222222"/>
            </w:placeholder>
          </w:sdtPr>
          <w:sdtEndPr>
            <w:rPr>
              <w:rFonts w:hint="eastAsia"/>
            </w:rPr>
          </w:sdtEndPr>
          <w:sdtContent>
            <w:p>
              <w:pPr>
                <w:pStyle w:val="104"/>
                <w:spacing w:line="360" w:lineRule="auto"/>
                <w:rPr>
                  <w:szCs w:val="21"/>
                </w:rPr>
                <w:sectPr>
                  <w:pgSz w:w="11906" w:h="16838"/>
                  <w:pgMar w:top="1418" w:right="1418" w:bottom="1418" w:left="1418" w:header="856" w:footer="992" w:gutter="0"/>
                  <w:cols w:space="425" w:num="1"/>
                  <w:docGrid w:linePitch="312" w:charSpace="0"/>
                </w:sectPr>
              </w:pPr>
              <w:r>
                <w:rPr>
                  <w:rFonts w:hint="eastAsia" w:ascii="宋体" w:hAnsi="宋体"/>
                </w:rPr>
                <w:t>详见下表</w:t>
              </w:r>
            </w:p>
          </w:sdtContent>
        </w:sdt>
      </w:sdtContent>
    </w:sdt>
    <w:sdt>
      <w:sdtPr>
        <w:rPr>
          <w:rFonts w:hint="eastAsia"/>
        </w:rPr>
        <w:alias w:val="模块:汽车制造行业经营性信息分析"/>
        <w:tag w:val="_SEC_e385897f29db4e0a9f33fc44a7c3a56e"/>
        <w:id w:val="497315656"/>
        <w:lock w:val="sdtLocked"/>
        <w:placeholder>
          <w:docPart w:val="GBC22222222222222222222222222222"/>
        </w:placeholder>
      </w:sdtPr>
      <w:sdtEndPr>
        <w:rPr>
          <w:rFonts w:hint="eastAsia"/>
        </w:rPr>
      </w:sdtEndPr>
      <w:sdtContent>
        <w:p>
          <w:pPr>
            <w:pStyle w:val="5"/>
          </w:pPr>
          <w:r>
            <w:rPr>
              <w:rFonts w:hint="eastAsia"/>
            </w:rPr>
            <w:t>汽车制造行业经营性信息分析</w:t>
          </w:r>
        </w:p>
      </w:sdtContent>
    </w:sdt>
    <w:sdt>
      <w:sdtPr>
        <w:rPr>
          <w:rFonts w:hint="eastAsia" w:ascii="宋体" w:hAnsi="宋体" w:cs="宋体"/>
          <w:b w:val="0"/>
          <w:bCs w:val="0"/>
        </w:rPr>
        <w:alias w:val="模块:产能状况"/>
        <w:tag w:val="_SEC_fdd8971a35984b28a4c8c007e7cd751d"/>
        <w:id w:val="1793794832"/>
        <w:lock w:val="sdtLocked"/>
        <w:placeholder>
          <w:docPart w:val="GBC22222222222222222222222222222"/>
        </w:placeholder>
      </w:sdtPr>
      <w:sdtEndPr>
        <w:rPr>
          <w:rFonts w:hint="default" w:ascii="宋体" w:hAnsi="宋体" w:cs="宋体"/>
          <w:b w:val="0"/>
          <w:bCs w:val="0"/>
          <w:szCs w:val="21"/>
        </w:rPr>
      </w:sdtEndPr>
      <w:sdtContent>
        <w:p>
          <w:pPr>
            <w:pStyle w:val="7"/>
            <w:numPr>
              <w:ilvl w:val="0"/>
              <w:numId w:val="13"/>
            </w:numPr>
          </w:pPr>
          <w:r>
            <w:rPr>
              <w:rFonts w:hint="eastAsia"/>
            </w:rPr>
            <w:t>产能状况</w:t>
          </w:r>
        </w:p>
        <w:sdt>
          <w:sdtPr>
            <w:rPr>
              <w:rFonts w:hint="eastAsia"/>
              <w:szCs w:val="21"/>
            </w:rPr>
            <w:alias w:val="是否适用：汽车产能状况[双击切换]"/>
            <w:tag w:val="_GBC_14e8793157154d3e9b005e7d22a4dabd"/>
            <w:id w:val="2001841188"/>
            <w:lock w:val="sdtLocked"/>
            <w:placeholder>
              <w:docPart w:val="GBC22222222222222222222222222222"/>
            </w:placeholder>
          </w:sdtPr>
          <w:sdtEndPr>
            <w:rPr>
              <w:rFonts w:hint="eastAsia"/>
              <w:szCs w:val="21"/>
            </w:rPr>
          </w:sdtEndPr>
          <w:sdtContent>
            <w:p>
              <w:pPr>
                <w:adjustRightInd w:val="0"/>
                <w:snapToGri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rPr>
              <w:rFonts w:cs="Times New Roman"/>
              <w:b/>
              <w:bCs/>
              <w:kern w:val="2"/>
              <w:szCs w:val="21"/>
            </w:rPr>
          </w:pPr>
        </w:p>
        <w:p>
          <w:pPr>
            <w:adjustRightInd w:val="0"/>
            <w:snapToGrid w:val="0"/>
            <w:rPr>
              <w:rFonts w:cs="Times New Roman"/>
              <w:b/>
              <w:bCs/>
              <w:kern w:val="2"/>
              <w:szCs w:val="21"/>
            </w:rPr>
          </w:pPr>
          <w:r>
            <w:rPr>
              <w:rFonts w:hint="eastAsia" w:cs="Times New Roman"/>
              <w:b/>
              <w:bCs/>
              <w:kern w:val="2"/>
              <w:szCs w:val="21"/>
            </w:rPr>
            <w:t>现有产能</w:t>
          </w:r>
        </w:p>
        <w:p>
          <w:pPr>
            <w:adjustRightInd w:val="0"/>
            <w:snapToGrid w:val="0"/>
            <w:rPr>
              <w:szCs w:val="21"/>
            </w:rPr>
          </w:pPr>
          <w:sdt>
            <w:sdtPr>
              <w:rPr>
                <w:rFonts w:hint="eastAsia"/>
                <w:szCs w:val="21"/>
              </w:rPr>
              <w:alias w:val="是否适用：汽车现有产能[双击切换]"/>
              <w:tag w:val="_GBC_33123a080a1843a0b05e2e9345680133"/>
              <w:id w:val="1354539555"/>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3"/>
            <w:gridCol w:w="2355"/>
            <w:gridCol w:w="2407"/>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sdt>
              <w:sdtPr>
                <w:tag w:val="_PLD_8b5a3592cc39414090f77a68ef574790"/>
                <w:id w:val="1813291544"/>
                <w:lock w:val="sdtLocked"/>
              </w:sdtPr>
              <w:sdtContent>
                <w:tc>
                  <w:tcPr>
                    <w:tcW w:w="1339" w:type="pct"/>
                    <w:shd w:val="clear" w:color="auto" w:fill="auto"/>
                    <w:noWrap/>
                    <w:vAlign w:val="center"/>
                  </w:tcPr>
                  <w:p>
                    <w:pPr>
                      <w:adjustRightInd w:val="0"/>
                      <w:snapToGrid w:val="0"/>
                      <w:jc w:val="center"/>
                      <w:rPr>
                        <w:color w:val="000000"/>
                        <w:szCs w:val="21"/>
                      </w:rPr>
                    </w:pPr>
                    <w:r>
                      <w:rPr>
                        <w:rFonts w:hint="eastAsia"/>
                        <w:color w:val="000000"/>
                        <w:szCs w:val="21"/>
                      </w:rPr>
                      <w:t>主要工厂名称</w:t>
                    </w:r>
                  </w:p>
                </w:tc>
              </w:sdtContent>
            </w:sdt>
            <w:sdt>
              <w:sdtPr>
                <w:tag w:val="_PLD_e1da47e5b16d4460a7196376a4fa4217"/>
                <w:id w:val="-431361099"/>
                <w:lock w:val="sdtLocked"/>
              </w:sdtPr>
              <w:sdtContent>
                <w:tc>
                  <w:tcPr>
                    <w:tcW w:w="1301" w:type="pct"/>
                    <w:shd w:val="clear" w:color="auto" w:fill="auto"/>
                    <w:noWrap/>
                    <w:vAlign w:val="center"/>
                  </w:tcPr>
                  <w:p>
                    <w:pPr>
                      <w:adjustRightInd w:val="0"/>
                      <w:snapToGrid w:val="0"/>
                      <w:jc w:val="center"/>
                      <w:rPr>
                        <w:color w:val="000000"/>
                        <w:szCs w:val="21"/>
                      </w:rPr>
                    </w:pPr>
                    <w:r>
                      <w:rPr>
                        <w:rFonts w:hint="eastAsia"/>
                        <w:color w:val="000000"/>
                        <w:szCs w:val="21"/>
                      </w:rPr>
                      <w:t>设计产能</w:t>
                    </w:r>
                  </w:p>
                </w:tc>
              </w:sdtContent>
            </w:sdt>
            <w:sdt>
              <w:sdtPr>
                <w:tag w:val="_PLD_d8825e4504b1447fbc61c7db472e169f"/>
                <w:id w:val="-793839423"/>
                <w:lock w:val="sdtLocked"/>
              </w:sdtPr>
              <w:sdtContent>
                <w:tc>
                  <w:tcPr>
                    <w:tcW w:w="1330" w:type="pct"/>
                    <w:shd w:val="clear" w:color="auto" w:fill="auto"/>
                    <w:noWrap/>
                    <w:vAlign w:val="center"/>
                  </w:tcPr>
                  <w:p>
                    <w:pPr>
                      <w:adjustRightInd w:val="0"/>
                      <w:snapToGrid w:val="0"/>
                      <w:jc w:val="center"/>
                      <w:rPr>
                        <w:color w:val="000000"/>
                        <w:szCs w:val="21"/>
                      </w:rPr>
                    </w:pPr>
                    <w:r>
                      <w:rPr>
                        <w:rFonts w:hint="eastAsia"/>
                        <w:color w:val="000000"/>
                        <w:szCs w:val="21"/>
                      </w:rPr>
                      <w:t>报告期内产能</w:t>
                    </w:r>
                  </w:p>
                </w:tc>
              </w:sdtContent>
            </w:sdt>
            <w:sdt>
              <w:sdtPr>
                <w:tag w:val="_PLD_234d7369f09f4bfcb2d187e1d48e13a4"/>
                <w:id w:val="1640694197"/>
                <w:lock w:val="sdtLocked"/>
              </w:sdtPr>
              <w:sdtContent>
                <w:tc>
                  <w:tcPr>
                    <w:tcW w:w="1030" w:type="pct"/>
                    <w:shd w:val="clear" w:color="auto" w:fill="auto"/>
                    <w:noWrap/>
                    <w:vAlign w:val="center"/>
                  </w:tcPr>
                  <w:p>
                    <w:pPr>
                      <w:adjustRightInd w:val="0"/>
                      <w:snapToGrid w:val="0"/>
                      <w:jc w:val="center"/>
                      <w:rPr>
                        <w:color w:val="000000"/>
                        <w:szCs w:val="21"/>
                      </w:rPr>
                    </w:pPr>
                    <w:r>
                      <w:rPr>
                        <w:rFonts w:hint="eastAsia"/>
                        <w:color w:val="000000"/>
                        <w:szCs w:val="21"/>
                      </w:rPr>
                      <w:t>产能利用率（%）</w:t>
                    </w:r>
                  </w:p>
                </w:tc>
              </w:sdtContent>
            </w:sdt>
          </w:tr>
          <w:sdt>
            <w:sdtPr>
              <w:rPr>
                <w:rFonts w:hint="eastAsia"/>
                <w:color w:val="000000"/>
                <w:szCs w:val="21"/>
              </w:rPr>
              <w:alias w:val="汽车现有产能明细"/>
              <w:tag w:val="_TUP_052ac21b8e174e258560d295d24e651c"/>
              <w:id w:val="-1214496528"/>
              <w:lock w:val="sdtLocked"/>
            </w:sdtPr>
            <w:sdtEndPr>
              <w:rPr>
                <w:rFonts w:hint="default"/>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339" w:type="pct"/>
                    <w:shd w:val="clear" w:color="auto" w:fill="auto"/>
                    <w:noWrap/>
                    <w:vAlign w:val="center"/>
                  </w:tcPr>
                  <w:p>
                    <w:pPr>
                      <w:adjustRightInd w:val="0"/>
                      <w:snapToGrid w:val="0"/>
                      <w:jc w:val="center"/>
                      <w:rPr>
                        <w:szCs w:val="21"/>
                      </w:rPr>
                    </w:pPr>
                    <w:r>
                      <w:rPr>
                        <w:rFonts w:hint="eastAsia"/>
                        <w:color w:val="000000"/>
                        <w:szCs w:val="21"/>
                      </w:rPr>
                      <w:t>乘用车工厂</w:t>
                    </w:r>
                  </w:p>
                </w:tc>
                <w:tc>
                  <w:tcPr>
                    <w:tcW w:w="1301" w:type="pct"/>
                    <w:shd w:val="clear" w:color="auto" w:fill="auto"/>
                    <w:noWrap/>
                    <w:vAlign w:val="center"/>
                  </w:tcPr>
                  <w:p>
                    <w:pPr>
                      <w:adjustRightInd w:val="0"/>
                      <w:snapToGrid w:val="0"/>
                      <w:jc w:val="center"/>
                      <w:rPr>
                        <w:szCs w:val="21"/>
                      </w:rPr>
                    </w:pPr>
                    <w:r>
                      <w:rPr>
                        <w:rFonts w:hint="eastAsia"/>
                        <w:szCs w:val="21"/>
                      </w:rPr>
                      <w:t>10万辆</w:t>
                    </w:r>
                  </w:p>
                </w:tc>
                <w:tc>
                  <w:tcPr>
                    <w:tcW w:w="1330" w:type="pct"/>
                    <w:shd w:val="clear" w:color="auto" w:fill="auto"/>
                    <w:noWrap/>
                    <w:vAlign w:val="center"/>
                  </w:tcPr>
                  <w:p>
                    <w:pPr>
                      <w:adjustRightInd w:val="0"/>
                      <w:snapToGrid w:val="0"/>
                      <w:jc w:val="center"/>
                      <w:rPr>
                        <w:szCs w:val="21"/>
                      </w:rPr>
                    </w:pPr>
                    <w:r>
                      <w:rPr>
                        <w:rFonts w:hint="eastAsia"/>
                        <w:szCs w:val="21"/>
                      </w:rPr>
                      <w:t>10万辆</w:t>
                    </w:r>
                  </w:p>
                </w:tc>
                <w:tc>
                  <w:tcPr>
                    <w:tcW w:w="1030" w:type="pct"/>
                    <w:shd w:val="clear" w:color="auto" w:fill="auto"/>
                    <w:noWrap/>
                    <w:vAlign w:val="center"/>
                  </w:tcPr>
                  <w:p>
                    <w:pPr>
                      <w:adjustRightInd w:val="0"/>
                      <w:snapToGrid w:val="0"/>
                      <w:jc w:val="center"/>
                      <w:rPr>
                        <w:szCs w:val="21"/>
                      </w:rPr>
                    </w:pPr>
                    <w:r>
                      <w:rPr>
                        <w:rFonts w:hint="eastAsia"/>
                        <w:szCs w:val="21"/>
                      </w:rPr>
                      <w:t>3.95</w:t>
                    </w:r>
                  </w:p>
                </w:tc>
              </w:tr>
            </w:sdtContent>
          </w:sdt>
        </w:tbl>
        <w:p>
          <w:pPr>
            <w:adjustRightInd w:val="0"/>
            <w:snapToGrid w:val="0"/>
            <w:rPr>
              <w:rFonts w:cs="Times New Roman"/>
              <w:b/>
              <w:bCs/>
              <w:szCs w:val="21"/>
            </w:rPr>
          </w:pPr>
        </w:p>
        <w:p>
          <w:pPr>
            <w:adjustRightInd w:val="0"/>
            <w:snapToGrid w:val="0"/>
            <w:rPr>
              <w:rFonts w:cs="Times New Roman"/>
              <w:b/>
              <w:bCs/>
              <w:kern w:val="2"/>
              <w:szCs w:val="21"/>
            </w:rPr>
          </w:pPr>
          <w:r>
            <w:rPr>
              <w:rFonts w:hint="eastAsia" w:cs="Times New Roman"/>
              <w:b/>
              <w:bCs/>
              <w:kern w:val="2"/>
              <w:szCs w:val="21"/>
            </w:rPr>
            <w:t>在建产能</w:t>
          </w:r>
        </w:p>
        <w:sdt>
          <w:sdtPr>
            <w:rPr>
              <w:rFonts w:hint="eastAsia"/>
              <w:szCs w:val="21"/>
            </w:rPr>
            <w:alias w:val="是否适用：汽车在建产能[双击切换]"/>
            <w:tag w:val="_GBC_7e6d5015fb5d45ae81336f11da695409"/>
            <w:id w:val="-1012755285"/>
            <w:lock w:val="sdtLocked"/>
            <w:placeholder>
              <w:docPart w:val="GBC22222222222222222222222222222"/>
            </w:placeholder>
          </w:sdtPr>
          <w:sdtEndPr>
            <w:rPr>
              <w:rFonts w:hint="eastAsia"/>
              <w:szCs w:val="21"/>
            </w:rPr>
          </w:sdtEndPr>
          <w:sdtContent>
            <w:p>
              <w:pPr>
                <w:adjustRightInd w:val="0"/>
                <w:snapToGrid w:val="0"/>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spacing w:line="360" w:lineRule="auto"/>
            <w:rPr>
              <w:szCs w:val="21"/>
            </w:rPr>
          </w:pPr>
          <w:r>
            <w:rPr>
              <w:rFonts w:hint="eastAsia"/>
              <w:szCs w:val="21"/>
            </w:rPr>
            <w:t>产能计算标准</w:t>
          </w:r>
        </w:p>
        <w:sdt>
          <w:sdtPr>
            <w:rPr>
              <w:rFonts w:hint="eastAsia"/>
              <w:szCs w:val="21"/>
            </w:rPr>
            <w:alias w:val="是否适用：汽车产能计算标准[双击切换]"/>
            <w:tag w:val="_GBC_d420fa249e7644339e2c1f12735bdaf6"/>
            <w:id w:val="753391881"/>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汽车产能计算标准"/>
            <w:tag w:val="_GBC_66b31a5ba4d54d0d98521b092c7dc6e9"/>
            <w:id w:val="-1456008240"/>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rFonts w:hint="eastAsia"/>
                  <w:szCs w:val="21"/>
                </w:rPr>
                <w:t>8小时/天，250天/年</w:t>
              </w:r>
            </w:p>
          </w:sdtContent>
        </w:sdt>
        <w:p>
          <w:pPr>
            <w:rPr>
              <w:szCs w:val="21"/>
            </w:rPr>
          </w:pPr>
        </w:p>
      </w:sdtContent>
    </w:sdt>
    <w:sdt>
      <w:sdtPr>
        <w:rPr>
          <w:rFonts w:hint="eastAsia" w:ascii="宋体" w:hAnsi="宋体" w:cs="宋体"/>
          <w:b w:val="0"/>
          <w:bCs w:val="0"/>
          <w:szCs w:val="21"/>
        </w:rPr>
        <w:alias w:val="模块:整车产销量"/>
        <w:tag w:val="_SEC_00bd83d714dd4def86fbe0d8e41e5570"/>
        <w:id w:val="-125161167"/>
        <w:lock w:val="sdtLocked"/>
        <w:placeholder>
          <w:docPart w:val="GBC22222222222222222222222222222"/>
        </w:placeholder>
      </w:sdtPr>
      <w:sdtEndPr>
        <w:rPr>
          <w:rFonts w:hint="eastAsia" w:ascii="宋体" w:hAnsi="宋体" w:cs="宋体"/>
          <w:b w:val="0"/>
          <w:bCs w:val="0"/>
          <w:szCs w:val="21"/>
        </w:rPr>
      </w:sdtEndPr>
      <w:sdtContent>
        <w:p>
          <w:pPr>
            <w:pStyle w:val="7"/>
            <w:numPr>
              <w:ilvl w:val="0"/>
              <w:numId w:val="13"/>
            </w:numPr>
          </w:pPr>
          <w:r>
            <w:rPr>
              <w:rFonts w:hint="eastAsia"/>
            </w:rPr>
            <w:t>整车产销量</w:t>
          </w:r>
        </w:p>
        <w:sdt>
          <w:sdtPr>
            <w:rPr>
              <w:rFonts w:hint="eastAsia"/>
              <w:szCs w:val="21"/>
            </w:rPr>
            <w:alias w:val="是否适用：整车产销量[双击切换]"/>
            <w:tag w:val="_GBC_2ade229f16f44940b1e0e6b91cda06d9"/>
            <w:id w:val="1971325446"/>
            <w:lock w:val="sdtLocked"/>
            <w:placeholder>
              <w:docPart w:val="GBC22222222222222222222222222222"/>
            </w:placeholder>
          </w:sdtPr>
          <w:sdtEndPr>
            <w:rPr>
              <w:rFonts w:hint="eastAsia"/>
              <w:szCs w:val="21"/>
            </w:rPr>
          </w:sdtEndPr>
          <w:sdtContent>
            <w:p>
              <w:pPr>
                <w:adjustRightInd w:val="0"/>
                <w:snapToGri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rPr>
              <w:rFonts w:cs="Times New Roman"/>
              <w:b/>
              <w:bCs/>
              <w:kern w:val="2"/>
              <w:szCs w:val="21"/>
            </w:rPr>
          </w:pPr>
        </w:p>
        <w:p>
          <w:pPr>
            <w:adjustRightInd w:val="0"/>
            <w:snapToGrid w:val="0"/>
            <w:spacing w:line="360" w:lineRule="auto"/>
            <w:rPr>
              <w:rFonts w:cs="Times New Roman"/>
              <w:b/>
              <w:bCs/>
              <w:kern w:val="2"/>
              <w:szCs w:val="21"/>
            </w:rPr>
          </w:pPr>
          <w:r>
            <w:rPr>
              <w:rFonts w:hint="eastAsia" w:cs="Times New Roman"/>
              <w:b/>
              <w:bCs/>
              <w:kern w:val="2"/>
              <w:szCs w:val="21"/>
            </w:rPr>
            <w:t>按车型类别</w:t>
          </w:r>
        </w:p>
        <w:sdt>
          <w:sdtPr>
            <w:rPr>
              <w:rFonts w:hint="eastAsia"/>
              <w:szCs w:val="21"/>
            </w:rPr>
            <w:alias w:val="是否适用：按车型分类的整车产销量[双击切换]"/>
            <w:tag w:val="_GBC_7f04f58403c44cd4988239e7916f29d4"/>
            <w:id w:val="-861584970"/>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4"/>
            <w:gridCol w:w="1232"/>
            <w:gridCol w:w="1204"/>
            <w:gridCol w:w="1198"/>
            <w:gridCol w:w="1223"/>
            <w:gridCol w:w="1204"/>
            <w:gridCol w:w="1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80" w:type="pct"/>
                <w:shd w:val="clear" w:color="auto" w:fill="auto"/>
                <w:noWrap/>
                <w:vAlign w:val="center"/>
              </w:tcPr>
              <w:p>
                <w:pPr>
                  <w:adjustRightInd w:val="0"/>
                  <w:snapToGrid w:val="0"/>
                  <w:rPr>
                    <w:color w:val="000000"/>
                    <w:szCs w:val="21"/>
                  </w:rPr>
                </w:pPr>
              </w:p>
            </w:tc>
            <w:sdt>
              <w:sdtPr>
                <w:tag w:val="_PLD_ebf15a9135954255adb6fc3a8046107a"/>
                <w:id w:val="794094184"/>
                <w:lock w:val="sdtLocked"/>
              </w:sdtPr>
              <w:sdtContent>
                <w:tc>
                  <w:tcPr>
                    <w:tcW w:w="2008" w:type="pct"/>
                    <w:gridSpan w:val="3"/>
                    <w:shd w:val="clear" w:color="auto" w:fill="auto"/>
                    <w:vAlign w:val="center"/>
                  </w:tcPr>
                  <w:p>
                    <w:pPr>
                      <w:adjustRightInd w:val="0"/>
                      <w:snapToGrid w:val="0"/>
                      <w:jc w:val="center"/>
                      <w:rPr>
                        <w:color w:val="000000"/>
                        <w:szCs w:val="21"/>
                      </w:rPr>
                    </w:pPr>
                    <w:r>
                      <w:rPr>
                        <w:rFonts w:hint="eastAsia"/>
                        <w:color w:val="000000"/>
                        <w:szCs w:val="21"/>
                      </w:rPr>
                      <w:t>销量（辆）</w:t>
                    </w:r>
                  </w:p>
                </w:tc>
              </w:sdtContent>
            </w:sdt>
            <w:sdt>
              <w:sdtPr>
                <w:tag w:val="_PLD_26b181320b684cbe8404c673d85e693a"/>
                <w:id w:val="32321915"/>
                <w:lock w:val="sdtLocked"/>
              </w:sdtPr>
              <w:sdtContent>
                <w:tc>
                  <w:tcPr>
                    <w:tcW w:w="2012" w:type="pct"/>
                    <w:gridSpan w:val="3"/>
                    <w:shd w:val="clear" w:color="auto" w:fill="auto"/>
                    <w:vAlign w:val="center"/>
                  </w:tcPr>
                  <w:p>
                    <w:pPr>
                      <w:adjustRightInd w:val="0"/>
                      <w:snapToGrid w:val="0"/>
                      <w:jc w:val="center"/>
                      <w:rPr>
                        <w:color w:val="000000"/>
                        <w:szCs w:val="21"/>
                      </w:rPr>
                    </w:pPr>
                    <w:r>
                      <w:rPr>
                        <w:rFonts w:hint="eastAsia"/>
                        <w:color w:val="000000"/>
                        <w:szCs w:val="21"/>
                      </w:rPr>
                      <w:t>产量（辆）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42397277f447c3b1d41b59c6305b9c"/>
                <w:id w:val="-1833283710"/>
                <w:lock w:val="sdtLocked"/>
              </w:sdtPr>
              <w:sdtContent>
                <w:tc>
                  <w:tcPr>
                    <w:tcW w:w="980" w:type="pct"/>
                    <w:shd w:val="clear" w:color="auto" w:fill="auto"/>
                    <w:noWrap/>
                    <w:vAlign w:val="center"/>
                  </w:tcPr>
                  <w:p>
                    <w:pPr>
                      <w:adjustRightInd w:val="0"/>
                      <w:snapToGrid w:val="0"/>
                      <w:jc w:val="center"/>
                      <w:rPr>
                        <w:szCs w:val="21"/>
                      </w:rPr>
                    </w:pPr>
                    <w:r>
                      <w:rPr>
                        <w:rFonts w:hint="eastAsia"/>
                        <w:szCs w:val="21"/>
                      </w:rPr>
                      <w:t>车型类别</w:t>
                    </w:r>
                  </w:p>
                </w:tc>
              </w:sdtContent>
            </w:sdt>
            <w:sdt>
              <w:sdtPr>
                <w:tag w:val="_PLD_df0c1d87feb24d86acb3f7a2700a8781"/>
                <w:id w:val="-1907138649"/>
                <w:lock w:val="sdtLocked"/>
              </w:sdtPr>
              <w:sdtContent>
                <w:tc>
                  <w:tcPr>
                    <w:tcW w:w="681" w:type="pct"/>
                    <w:shd w:val="clear" w:color="auto" w:fill="auto"/>
                    <w:vAlign w:val="center"/>
                  </w:tcPr>
                  <w:p>
                    <w:pPr>
                      <w:adjustRightInd w:val="0"/>
                      <w:snapToGrid w:val="0"/>
                      <w:jc w:val="center"/>
                      <w:rPr>
                        <w:color w:val="000000"/>
                        <w:szCs w:val="21"/>
                      </w:rPr>
                    </w:pPr>
                    <w:r>
                      <w:rPr>
                        <w:rFonts w:hint="eastAsia"/>
                        <w:color w:val="000000"/>
                        <w:szCs w:val="21"/>
                      </w:rPr>
                      <w:t>本年累计</w:t>
                    </w:r>
                  </w:p>
                </w:tc>
              </w:sdtContent>
            </w:sdt>
            <w:sdt>
              <w:sdtPr>
                <w:tag w:val="_PLD_95f120a05533406bae4d798349859126"/>
                <w:id w:val="-300548428"/>
                <w:lock w:val="sdtLocked"/>
              </w:sdtPr>
              <w:sdtContent>
                <w:tc>
                  <w:tcPr>
                    <w:tcW w:w="665" w:type="pct"/>
                    <w:shd w:val="clear" w:color="auto" w:fill="auto"/>
                    <w:vAlign w:val="center"/>
                  </w:tcPr>
                  <w:p>
                    <w:pPr>
                      <w:adjustRightInd w:val="0"/>
                      <w:snapToGrid w:val="0"/>
                      <w:jc w:val="center"/>
                      <w:rPr>
                        <w:color w:val="000000"/>
                        <w:szCs w:val="21"/>
                      </w:rPr>
                    </w:pPr>
                    <w:r>
                      <w:rPr>
                        <w:rFonts w:hint="eastAsia"/>
                        <w:color w:val="000000"/>
                        <w:szCs w:val="21"/>
                      </w:rPr>
                      <w:t>去年累计</w:t>
                    </w:r>
                  </w:p>
                </w:tc>
              </w:sdtContent>
            </w:sdt>
            <w:sdt>
              <w:sdtPr>
                <w:tag w:val="_PLD_91987e780e9f4b0fb84cdffb824c3d8d"/>
                <w:id w:val="-1646883989"/>
                <w:lock w:val="sdtLocked"/>
              </w:sdtPr>
              <w:sdtContent>
                <w:tc>
                  <w:tcPr>
                    <w:tcW w:w="662" w:type="pct"/>
                    <w:shd w:val="clear" w:color="auto" w:fill="auto"/>
                    <w:vAlign w:val="center"/>
                  </w:tcPr>
                  <w:p>
                    <w:pPr>
                      <w:adjustRightInd w:val="0"/>
                      <w:snapToGrid w:val="0"/>
                      <w:jc w:val="center"/>
                      <w:rPr>
                        <w:color w:val="000000"/>
                        <w:szCs w:val="21"/>
                      </w:rPr>
                    </w:pPr>
                    <w:r>
                      <w:rPr>
                        <w:rFonts w:hint="eastAsia"/>
                        <w:color w:val="000000"/>
                        <w:szCs w:val="21"/>
                      </w:rPr>
                      <w:t>累计同比增减（%）</w:t>
                    </w:r>
                  </w:p>
                </w:tc>
              </w:sdtContent>
            </w:sdt>
            <w:sdt>
              <w:sdtPr>
                <w:tag w:val="_PLD_0c0ded06ea4e42a79241e8212802394d"/>
                <w:id w:val="-456948887"/>
                <w:lock w:val="sdtLocked"/>
              </w:sdtPr>
              <w:sdtContent>
                <w:tc>
                  <w:tcPr>
                    <w:tcW w:w="676" w:type="pct"/>
                    <w:shd w:val="clear" w:color="auto" w:fill="auto"/>
                    <w:vAlign w:val="center"/>
                  </w:tcPr>
                  <w:p>
                    <w:pPr>
                      <w:adjustRightInd w:val="0"/>
                      <w:snapToGrid w:val="0"/>
                      <w:jc w:val="center"/>
                      <w:rPr>
                        <w:color w:val="000000"/>
                        <w:szCs w:val="21"/>
                      </w:rPr>
                    </w:pPr>
                    <w:r>
                      <w:rPr>
                        <w:rFonts w:hint="eastAsia"/>
                        <w:color w:val="000000"/>
                        <w:szCs w:val="21"/>
                      </w:rPr>
                      <w:t>本年累计</w:t>
                    </w:r>
                  </w:p>
                </w:tc>
              </w:sdtContent>
            </w:sdt>
            <w:sdt>
              <w:sdtPr>
                <w:tag w:val="_PLD_3b8616e2260d4f0c8f033fa49f0515b4"/>
                <w:id w:val="-1386331403"/>
                <w:lock w:val="sdtLocked"/>
              </w:sdtPr>
              <w:sdtContent>
                <w:tc>
                  <w:tcPr>
                    <w:tcW w:w="665" w:type="pct"/>
                    <w:shd w:val="clear" w:color="auto" w:fill="auto"/>
                    <w:vAlign w:val="center"/>
                  </w:tcPr>
                  <w:p>
                    <w:pPr>
                      <w:adjustRightInd w:val="0"/>
                      <w:snapToGrid w:val="0"/>
                      <w:jc w:val="center"/>
                      <w:rPr>
                        <w:color w:val="000000"/>
                        <w:szCs w:val="21"/>
                      </w:rPr>
                    </w:pPr>
                    <w:r>
                      <w:rPr>
                        <w:rFonts w:hint="eastAsia"/>
                        <w:color w:val="000000"/>
                        <w:szCs w:val="21"/>
                      </w:rPr>
                      <w:t>去年累计</w:t>
                    </w:r>
                  </w:p>
                </w:tc>
              </w:sdtContent>
            </w:sdt>
            <w:sdt>
              <w:sdtPr>
                <w:tag w:val="_PLD_149f94ae64c94be3bb9743df948c3975"/>
                <w:id w:val="-24798844"/>
                <w:lock w:val="sdtLocked"/>
              </w:sdtPr>
              <w:sdtContent>
                <w:tc>
                  <w:tcPr>
                    <w:tcW w:w="671" w:type="pct"/>
                    <w:shd w:val="clear" w:color="auto" w:fill="auto"/>
                    <w:vAlign w:val="center"/>
                  </w:tcPr>
                  <w:p>
                    <w:pPr>
                      <w:adjustRightInd w:val="0"/>
                      <w:snapToGrid w:val="0"/>
                      <w:jc w:val="center"/>
                      <w:rPr>
                        <w:color w:val="000000"/>
                        <w:szCs w:val="21"/>
                      </w:rPr>
                    </w:pPr>
                    <w:r>
                      <w:rPr>
                        <w:rFonts w:hint="eastAsia"/>
                        <w:color w:val="000000"/>
                        <w:szCs w:val="21"/>
                      </w:rPr>
                      <w:t>累计同比增减（%）</w:t>
                    </w:r>
                  </w:p>
                </w:tc>
              </w:sdtContent>
            </w:sdt>
          </w:tr>
          <w:sdt>
            <w:sdtPr>
              <w:rPr>
                <w:szCs w:val="21"/>
              </w:rPr>
              <w:alias w:val="按车型分类的整车产销量明细"/>
              <w:tag w:val="_TUP_799c243d7df54fcba4e59cd4075f2a7b"/>
              <w:id w:val="-1190146402"/>
              <w:lock w:val="sdtLocked"/>
            </w:sdtPr>
            <w:sdtEndPr>
              <w:rPr>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80" w:type="pct"/>
                    <w:shd w:val="clear" w:color="auto" w:fill="auto"/>
                    <w:noWrap/>
                    <w:vAlign w:val="center"/>
                  </w:tcPr>
                  <w:p>
                    <w:pPr>
                      <w:adjustRightInd w:val="0"/>
                      <w:snapToGrid w:val="0"/>
                      <w:jc w:val="center"/>
                      <w:rPr>
                        <w:szCs w:val="21"/>
                      </w:rPr>
                    </w:pPr>
                    <w:r>
                      <w:rPr>
                        <w:rFonts w:hint="eastAsia"/>
                        <w:szCs w:val="21"/>
                      </w:rPr>
                      <w:t>乘用车</w:t>
                    </w:r>
                  </w:p>
                </w:tc>
                <w:tc>
                  <w:tcPr>
                    <w:tcW w:w="681" w:type="pct"/>
                    <w:shd w:val="clear" w:color="auto" w:fill="auto"/>
                    <w:vAlign w:val="center"/>
                  </w:tcPr>
                  <w:p>
                    <w:pPr>
                      <w:adjustRightInd w:val="0"/>
                      <w:snapToGrid w:val="0"/>
                      <w:ind w:right="-45"/>
                      <w:jc w:val="center"/>
                      <w:rPr>
                        <w:szCs w:val="21"/>
                      </w:rPr>
                    </w:pPr>
                    <w:r>
                      <w:rPr>
                        <w:szCs w:val="21"/>
                      </w:rPr>
                      <w:t>4,456</w:t>
                    </w:r>
                  </w:p>
                </w:tc>
                <w:tc>
                  <w:tcPr>
                    <w:tcW w:w="665" w:type="pct"/>
                    <w:shd w:val="clear" w:color="auto" w:fill="auto"/>
                    <w:vAlign w:val="center"/>
                  </w:tcPr>
                  <w:p>
                    <w:pPr>
                      <w:adjustRightInd w:val="0"/>
                      <w:snapToGrid w:val="0"/>
                      <w:jc w:val="center"/>
                      <w:rPr>
                        <w:szCs w:val="21"/>
                      </w:rPr>
                    </w:pPr>
                    <w:r>
                      <w:rPr>
                        <w:szCs w:val="21"/>
                      </w:rPr>
                      <w:t>3,0</w:t>
                    </w:r>
                    <w:r>
                      <w:rPr>
                        <w:rFonts w:hint="eastAsia"/>
                        <w:szCs w:val="21"/>
                      </w:rPr>
                      <w:t>60</w:t>
                    </w:r>
                  </w:p>
                </w:tc>
                <w:tc>
                  <w:tcPr>
                    <w:tcW w:w="662" w:type="pct"/>
                    <w:shd w:val="clear" w:color="auto" w:fill="auto"/>
                    <w:vAlign w:val="center"/>
                  </w:tcPr>
                  <w:p>
                    <w:pPr>
                      <w:adjustRightInd w:val="0"/>
                      <w:snapToGrid w:val="0"/>
                      <w:jc w:val="center"/>
                      <w:rPr>
                        <w:szCs w:val="21"/>
                      </w:rPr>
                    </w:pPr>
                    <w:r>
                      <w:rPr>
                        <w:rFonts w:hint="eastAsia"/>
                        <w:szCs w:val="21"/>
                      </w:rPr>
                      <w:t>45.62</w:t>
                    </w:r>
                  </w:p>
                </w:tc>
                <w:tc>
                  <w:tcPr>
                    <w:tcW w:w="676" w:type="pct"/>
                    <w:shd w:val="clear" w:color="auto" w:fill="auto"/>
                    <w:vAlign w:val="center"/>
                  </w:tcPr>
                  <w:p>
                    <w:pPr>
                      <w:adjustRightInd w:val="0"/>
                      <w:snapToGrid w:val="0"/>
                      <w:jc w:val="center"/>
                      <w:rPr>
                        <w:szCs w:val="21"/>
                      </w:rPr>
                    </w:pPr>
                    <w:r>
                      <w:rPr>
                        <w:szCs w:val="21"/>
                      </w:rPr>
                      <w:t>3,950</w:t>
                    </w:r>
                  </w:p>
                </w:tc>
                <w:tc>
                  <w:tcPr>
                    <w:tcW w:w="665" w:type="pct"/>
                    <w:shd w:val="clear" w:color="auto" w:fill="auto"/>
                    <w:vAlign w:val="center"/>
                  </w:tcPr>
                  <w:p>
                    <w:pPr>
                      <w:adjustRightInd w:val="0"/>
                      <w:snapToGrid w:val="0"/>
                      <w:jc w:val="center"/>
                      <w:rPr>
                        <w:szCs w:val="21"/>
                      </w:rPr>
                    </w:pPr>
                    <w:r>
                      <w:rPr>
                        <w:szCs w:val="21"/>
                      </w:rPr>
                      <w:t>2,597</w:t>
                    </w:r>
                  </w:p>
                </w:tc>
                <w:tc>
                  <w:tcPr>
                    <w:tcW w:w="671" w:type="pct"/>
                    <w:shd w:val="clear" w:color="auto" w:fill="auto"/>
                    <w:vAlign w:val="center"/>
                  </w:tcPr>
                  <w:p>
                    <w:pPr>
                      <w:adjustRightInd w:val="0"/>
                      <w:snapToGrid w:val="0"/>
                      <w:jc w:val="center"/>
                      <w:rPr>
                        <w:szCs w:val="21"/>
                      </w:rPr>
                    </w:pPr>
                    <w:r>
                      <w:rPr>
                        <w:rFonts w:hint="eastAsia"/>
                        <w:szCs w:val="21"/>
                      </w:rPr>
                      <w:t>52.10</w:t>
                    </w:r>
                  </w:p>
                </w:tc>
              </w:tr>
            </w:sdtContent>
          </w:sdt>
        </w:tbl>
        <w:p>
          <w:pPr>
            <w:adjustRightInd w:val="0"/>
            <w:snapToGrid w:val="0"/>
            <w:rPr>
              <w:b/>
              <w:szCs w:val="21"/>
            </w:rPr>
          </w:pPr>
        </w:p>
        <w:p>
          <w:pPr>
            <w:adjustRightInd w:val="0"/>
            <w:snapToGrid w:val="0"/>
            <w:spacing w:line="360" w:lineRule="auto"/>
            <w:rPr>
              <w:rFonts w:cs="Times New Roman"/>
              <w:b/>
              <w:bCs/>
              <w:kern w:val="2"/>
              <w:szCs w:val="21"/>
            </w:rPr>
          </w:pPr>
          <w:r>
            <w:rPr>
              <w:rFonts w:hint="eastAsia" w:cs="Times New Roman"/>
              <w:b/>
              <w:bCs/>
              <w:kern w:val="2"/>
              <w:szCs w:val="21"/>
            </w:rPr>
            <w:t>按地区</w:t>
          </w:r>
        </w:p>
        <w:sdt>
          <w:sdtPr>
            <w:rPr>
              <w:rFonts w:hint="eastAsia"/>
              <w:szCs w:val="21"/>
            </w:rPr>
            <w:alias w:val="是否适用：按地区分类的整车产销量[双击切换]"/>
            <w:tag w:val="_GBC_821e16a844b64cf5bbbbaef44a1e37bd"/>
            <w:id w:val="1052814914"/>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szCs w:val="21"/>
        </w:rPr>
        <w:alias w:val="模块:零部件产销量  按零部件类别  　 销 量产 量..."/>
        <w:tag w:val="_SEC_5030eaaf77c7441b85ef3a61158665af"/>
        <w:id w:val="-745108339"/>
        <w:lock w:val="sdtLocked"/>
        <w:placeholder>
          <w:docPart w:val="GBC22222222222222222222222222222"/>
        </w:placeholder>
      </w:sdtPr>
      <w:sdtEndPr>
        <w:rPr>
          <w:rFonts w:hint="default" w:ascii="宋体" w:hAnsi="宋体" w:cs="宋体"/>
          <w:b w:val="0"/>
          <w:bCs/>
          <w:color w:val="7030A0"/>
          <w:szCs w:val="21"/>
        </w:rPr>
      </w:sdtEndPr>
      <w:sdtContent>
        <w:p>
          <w:pPr>
            <w:pStyle w:val="7"/>
            <w:numPr>
              <w:ilvl w:val="0"/>
              <w:numId w:val="13"/>
            </w:numPr>
            <w:spacing w:before="0" w:after="0" w:line="360" w:lineRule="auto"/>
            <w:rPr>
              <w:szCs w:val="21"/>
            </w:rPr>
          </w:pPr>
          <w:r>
            <w:rPr>
              <w:rFonts w:hint="eastAsia"/>
            </w:rPr>
            <w:t>零部件产销量</w:t>
          </w:r>
        </w:p>
        <w:sdt>
          <w:sdtPr>
            <w:rPr>
              <w:rFonts w:hint="eastAsia"/>
              <w:szCs w:val="21"/>
            </w:rPr>
            <w:alias w:val="是否适用：零部件产销量[双击切换]"/>
            <w:tag w:val="_GBC_f38be60ddcb84ae0b0e28cdd2600da08"/>
            <w:id w:val="1671362532"/>
            <w:lock w:val="sdtLocked"/>
            <w:placeholder>
              <w:docPart w:val="GBC22222222222222222222222222222"/>
            </w:placeholder>
          </w:sdtPr>
          <w:sdtEndPr>
            <w:rPr>
              <w:rFonts w:hint="eastAsia"/>
              <w:szCs w:val="21"/>
            </w:rPr>
          </w:sdtEndPr>
          <w:sdtContent>
            <w:p>
              <w:pPr>
                <w:adjustRightInd w:val="0"/>
                <w:snapToGrid w:val="0"/>
                <w:spacing w:line="360" w:lineRule="auto"/>
                <w:rPr>
                  <w:bCs/>
                  <w:color w:val="7030A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rPr>
        <w:alias w:val="模块:新能源汽车业务  新能源汽车产能状况  主要工厂名..."/>
        <w:tag w:val="_SEC_e80088fd7f1a423ea15a07de619f22b7"/>
        <w:id w:val="1272429858"/>
        <w:lock w:val="sdtLocked"/>
        <w:placeholder>
          <w:docPart w:val="GBC22222222222222222222222222222"/>
        </w:placeholder>
      </w:sdtPr>
      <w:sdtEndPr>
        <w:rPr>
          <w:rFonts w:hint="eastAsia" w:ascii="宋体" w:hAnsi="宋体" w:cs="宋体"/>
          <w:b w:val="0"/>
          <w:bCs w:val="0"/>
          <w:color w:val="943634"/>
          <w:szCs w:val="21"/>
        </w:rPr>
      </w:sdtEndPr>
      <w:sdtContent>
        <w:p>
          <w:pPr>
            <w:pStyle w:val="7"/>
            <w:numPr>
              <w:ilvl w:val="0"/>
              <w:numId w:val="13"/>
            </w:numPr>
            <w:spacing w:before="0" w:after="0" w:line="360" w:lineRule="auto"/>
            <w:rPr>
              <w:b w:val="0"/>
              <w:bCs w:val="0"/>
              <w:szCs w:val="21"/>
            </w:rPr>
          </w:pPr>
          <w:r>
            <w:rPr>
              <w:rFonts w:hint="eastAsia"/>
            </w:rPr>
            <w:t>新能源汽车业务</w:t>
          </w:r>
        </w:p>
        <w:sdt>
          <w:sdtPr>
            <w:rPr>
              <w:rFonts w:hint="eastAsia"/>
              <w:szCs w:val="21"/>
            </w:rPr>
            <w:alias w:val="是否适用：新能源汽车业务[双击切换]"/>
            <w:tag w:val="_GBC_9d34eb74088e4617a64810a2229f159b"/>
            <w:id w:val="1338116628"/>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spacing w:line="360" w:lineRule="auto"/>
            <w:rPr>
              <w:szCs w:val="21"/>
            </w:rPr>
          </w:pPr>
        </w:p>
        <w:p>
          <w:pPr>
            <w:adjustRightInd w:val="0"/>
            <w:snapToGrid w:val="0"/>
            <w:spacing w:line="360" w:lineRule="auto"/>
            <w:rPr>
              <w:b/>
              <w:szCs w:val="21"/>
            </w:rPr>
          </w:pPr>
          <w:r>
            <w:rPr>
              <w:rFonts w:hint="eastAsia"/>
              <w:b/>
              <w:szCs w:val="21"/>
            </w:rPr>
            <w:t>新能源汽车产能状况</w:t>
          </w:r>
        </w:p>
        <w:sdt>
          <w:sdtPr>
            <w:rPr>
              <w:rFonts w:hint="eastAsia"/>
              <w:szCs w:val="21"/>
            </w:rPr>
            <w:alias w:val="是否适用：新能源汽车产能状况[双击切换]"/>
            <w:tag w:val="_GBC_45c741560b934ce0a69fb3bfe5afcb5f"/>
            <w:id w:val="-647354695"/>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spacing w:line="360" w:lineRule="auto"/>
            <w:rPr>
              <w:b/>
              <w:szCs w:val="21"/>
            </w:rPr>
          </w:pPr>
          <w:r>
            <w:rPr>
              <w:rFonts w:hint="eastAsia"/>
              <w:b/>
              <w:szCs w:val="21"/>
            </w:rPr>
            <w:t>新能源汽车产销量</w:t>
          </w:r>
        </w:p>
        <w:sdt>
          <w:sdtPr>
            <w:rPr>
              <w:rFonts w:hint="eastAsia"/>
              <w:szCs w:val="21"/>
            </w:rPr>
            <w:alias w:val="是否适用：新能源汽车产销量[双击切换]"/>
            <w:tag w:val="_GBC_8c7842cb47de4271b07bb4a5bdb670dc"/>
            <w:id w:val="836117360"/>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133"/>
            <w:gridCol w:w="1274"/>
            <w:gridCol w:w="1278"/>
            <w:gridCol w:w="1135"/>
            <w:gridCol w:w="1133"/>
            <w:gridCol w:w="1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22" w:type="pct"/>
                <w:shd w:val="clear" w:color="auto" w:fill="auto"/>
                <w:noWrap/>
                <w:vAlign w:val="center"/>
              </w:tcPr>
              <w:p>
                <w:pPr>
                  <w:adjustRightInd w:val="0"/>
                  <w:snapToGrid w:val="0"/>
                  <w:rPr>
                    <w:color w:val="000000"/>
                    <w:szCs w:val="21"/>
                  </w:rPr>
                </w:pPr>
              </w:p>
            </w:tc>
            <w:sdt>
              <w:sdtPr>
                <w:tag w:val="_PLD_b5f05ba533f445f69841b6c810c06918"/>
                <w:id w:val="-1099181629"/>
                <w:lock w:val="sdtLocked"/>
              </w:sdtPr>
              <w:sdtContent>
                <w:tc>
                  <w:tcPr>
                    <w:tcW w:w="2036" w:type="pct"/>
                    <w:gridSpan w:val="3"/>
                    <w:shd w:val="clear" w:color="auto" w:fill="auto"/>
                  </w:tcPr>
                  <w:p>
                    <w:pPr>
                      <w:adjustRightInd w:val="0"/>
                      <w:snapToGrid w:val="0"/>
                      <w:jc w:val="center"/>
                      <w:rPr>
                        <w:color w:val="000000"/>
                        <w:szCs w:val="21"/>
                      </w:rPr>
                    </w:pPr>
                    <w:r>
                      <w:rPr>
                        <w:rFonts w:hint="eastAsia"/>
                        <w:color w:val="000000"/>
                        <w:szCs w:val="21"/>
                      </w:rPr>
                      <w:t xml:space="preserve"> 销量（辆）</w:t>
                    </w:r>
                  </w:p>
                </w:tc>
              </w:sdtContent>
            </w:sdt>
            <w:sdt>
              <w:sdtPr>
                <w:tag w:val="_PLD_373480259cbb46f29fffed13b38005dd"/>
                <w:id w:val="2110465669"/>
                <w:lock w:val="sdtLocked"/>
              </w:sdtPr>
              <w:sdtContent>
                <w:tc>
                  <w:tcPr>
                    <w:tcW w:w="2042" w:type="pct"/>
                    <w:gridSpan w:val="3"/>
                    <w:shd w:val="clear" w:color="auto" w:fill="auto"/>
                  </w:tcPr>
                  <w:p>
                    <w:pPr>
                      <w:adjustRightInd w:val="0"/>
                      <w:snapToGrid w:val="0"/>
                      <w:jc w:val="center"/>
                      <w:rPr>
                        <w:color w:val="000000"/>
                        <w:szCs w:val="21"/>
                      </w:rPr>
                    </w:pPr>
                    <w:r>
                      <w:rPr>
                        <w:rFonts w:hint="eastAsia"/>
                        <w:color w:val="000000"/>
                        <w:szCs w:val="21"/>
                      </w:rPr>
                      <w:t>产量（辆）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c68bd936b0b414db1b7686a2de87087"/>
                <w:id w:val="258258818"/>
                <w:lock w:val="sdtLocked"/>
              </w:sdtPr>
              <w:sdtContent>
                <w:tc>
                  <w:tcPr>
                    <w:tcW w:w="922" w:type="pct"/>
                    <w:shd w:val="clear" w:color="auto" w:fill="auto"/>
                    <w:noWrap/>
                    <w:vAlign w:val="center"/>
                  </w:tcPr>
                  <w:p>
                    <w:pPr>
                      <w:adjustRightInd w:val="0"/>
                      <w:snapToGrid w:val="0"/>
                      <w:jc w:val="center"/>
                      <w:rPr>
                        <w:color w:val="000000"/>
                        <w:szCs w:val="21"/>
                      </w:rPr>
                    </w:pPr>
                    <w:r>
                      <w:rPr>
                        <w:rFonts w:hint="eastAsia"/>
                        <w:color w:val="000000"/>
                        <w:szCs w:val="21"/>
                      </w:rPr>
                      <w:t>车型类别</w:t>
                    </w:r>
                  </w:p>
                </w:tc>
              </w:sdtContent>
            </w:sdt>
            <w:sdt>
              <w:sdtPr>
                <w:tag w:val="_PLD_24dc8947b9bc4f4fabdea9390ebf1a6e"/>
                <w:id w:val="1680084528"/>
                <w:lock w:val="sdtLocked"/>
              </w:sdtPr>
              <w:sdtContent>
                <w:tc>
                  <w:tcPr>
                    <w:tcW w:w="626" w:type="pct"/>
                    <w:shd w:val="clear" w:color="auto" w:fill="auto"/>
                    <w:vAlign w:val="center"/>
                  </w:tcPr>
                  <w:p>
                    <w:pPr>
                      <w:adjustRightInd w:val="0"/>
                      <w:snapToGrid w:val="0"/>
                      <w:jc w:val="center"/>
                      <w:rPr>
                        <w:color w:val="000000"/>
                        <w:szCs w:val="21"/>
                      </w:rPr>
                    </w:pPr>
                    <w:r>
                      <w:rPr>
                        <w:rFonts w:hint="eastAsia"/>
                        <w:color w:val="000000"/>
                        <w:szCs w:val="21"/>
                      </w:rPr>
                      <w:t>本年累计</w:t>
                    </w:r>
                  </w:p>
                </w:tc>
              </w:sdtContent>
            </w:sdt>
            <w:sdt>
              <w:sdtPr>
                <w:tag w:val="_PLD_e06a0f53e26b439b8f8534482c31c31d"/>
                <w:id w:val="2144539017"/>
                <w:lock w:val="sdtLocked"/>
              </w:sdtPr>
              <w:sdtContent>
                <w:tc>
                  <w:tcPr>
                    <w:tcW w:w="704" w:type="pct"/>
                    <w:shd w:val="clear" w:color="auto" w:fill="auto"/>
                    <w:vAlign w:val="center"/>
                  </w:tcPr>
                  <w:p>
                    <w:pPr>
                      <w:adjustRightInd w:val="0"/>
                      <w:snapToGrid w:val="0"/>
                      <w:jc w:val="center"/>
                      <w:rPr>
                        <w:color w:val="000000"/>
                        <w:szCs w:val="21"/>
                      </w:rPr>
                    </w:pPr>
                    <w:r>
                      <w:rPr>
                        <w:rFonts w:hint="eastAsia"/>
                        <w:color w:val="000000"/>
                        <w:szCs w:val="21"/>
                      </w:rPr>
                      <w:t>去年累计</w:t>
                    </w:r>
                  </w:p>
                </w:tc>
              </w:sdtContent>
            </w:sdt>
            <w:sdt>
              <w:sdtPr>
                <w:tag w:val="_PLD_d5803941996744859574947b23e2e49b"/>
                <w:id w:val="-284658593"/>
                <w:lock w:val="sdtLocked"/>
              </w:sdtPr>
              <w:sdtContent>
                <w:tc>
                  <w:tcPr>
                    <w:tcW w:w="706" w:type="pct"/>
                    <w:shd w:val="clear" w:color="auto" w:fill="auto"/>
                    <w:vAlign w:val="center"/>
                  </w:tcPr>
                  <w:p>
                    <w:pPr>
                      <w:adjustRightInd w:val="0"/>
                      <w:snapToGrid w:val="0"/>
                      <w:jc w:val="center"/>
                      <w:rPr>
                        <w:color w:val="000000"/>
                        <w:szCs w:val="21"/>
                      </w:rPr>
                    </w:pPr>
                    <w:r>
                      <w:rPr>
                        <w:rFonts w:hint="eastAsia"/>
                        <w:color w:val="000000"/>
                        <w:szCs w:val="21"/>
                      </w:rPr>
                      <w:t>累计同比增减（%）</w:t>
                    </w:r>
                  </w:p>
                </w:tc>
              </w:sdtContent>
            </w:sdt>
            <w:sdt>
              <w:sdtPr>
                <w:tag w:val="_PLD_4848c1a64ed0446a80716cba7558f761"/>
                <w:id w:val="-1282334832"/>
                <w:lock w:val="sdtLocked"/>
              </w:sdtPr>
              <w:sdtContent>
                <w:tc>
                  <w:tcPr>
                    <w:tcW w:w="627" w:type="pct"/>
                    <w:shd w:val="clear" w:color="auto" w:fill="auto"/>
                    <w:vAlign w:val="center"/>
                  </w:tcPr>
                  <w:p>
                    <w:pPr>
                      <w:adjustRightInd w:val="0"/>
                      <w:snapToGrid w:val="0"/>
                      <w:jc w:val="center"/>
                      <w:rPr>
                        <w:color w:val="000000"/>
                        <w:szCs w:val="21"/>
                      </w:rPr>
                    </w:pPr>
                    <w:r>
                      <w:rPr>
                        <w:rFonts w:hint="eastAsia"/>
                        <w:color w:val="000000"/>
                        <w:szCs w:val="21"/>
                      </w:rPr>
                      <w:t>本年累计</w:t>
                    </w:r>
                  </w:p>
                </w:tc>
              </w:sdtContent>
            </w:sdt>
            <w:sdt>
              <w:sdtPr>
                <w:tag w:val="_PLD_5eee8612c3c04e8e933924c0d889f3f7"/>
                <w:id w:val="777528567"/>
                <w:lock w:val="sdtLocked"/>
              </w:sdtPr>
              <w:sdtContent>
                <w:tc>
                  <w:tcPr>
                    <w:tcW w:w="626" w:type="pct"/>
                    <w:shd w:val="clear" w:color="auto" w:fill="auto"/>
                    <w:vAlign w:val="center"/>
                  </w:tcPr>
                  <w:p>
                    <w:pPr>
                      <w:adjustRightInd w:val="0"/>
                      <w:snapToGrid w:val="0"/>
                      <w:jc w:val="center"/>
                      <w:rPr>
                        <w:color w:val="000000"/>
                        <w:szCs w:val="21"/>
                      </w:rPr>
                    </w:pPr>
                    <w:r>
                      <w:rPr>
                        <w:rFonts w:hint="eastAsia"/>
                        <w:color w:val="000000"/>
                        <w:szCs w:val="21"/>
                      </w:rPr>
                      <w:t>去年累计</w:t>
                    </w:r>
                  </w:p>
                </w:tc>
              </w:sdtContent>
            </w:sdt>
            <w:sdt>
              <w:sdtPr>
                <w:tag w:val="_PLD_98ee8b0e757c439c87927cbbf12abed4"/>
                <w:id w:val="1746614279"/>
                <w:lock w:val="sdtLocked"/>
              </w:sdtPr>
              <w:sdtContent>
                <w:tc>
                  <w:tcPr>
                    <w:tcW w:w="789" w:type="pct"/>
                    <w:shd w:val="clear" w:color="auto" w:fill="auto"/>
                    <w:vAlign w:val="center"/>
                  </w:tcPr>
                  <w:p>
                    <w:pPr>
                      <w:adjustRightInd w:val="0"/>
                      <w:snapToGrid w:val="0"/>
                      <w:jc w:val="center"/>
                      <w:rPr>
                        <w:color w:val="000000"/>
                        <w:szCs w:val="21"/>
                      </w:rPr>
                    </w:pPr>
                    <w:r>
                      <w:rPr>
                        <w:rFonts w:hint="eastAsia"/>
                        <w:color w:val="000000"/>
                        <w:szCs w:val="21"/>
                      </w:rPr>
                      <w:t>累计同比增减（%）</w:t>
                    </w:r>
                  </w:p>
                </w:tc>
              </w:sdtContent>
            </w:sdt>
          </w:tr>
          <w:sdt>
            <w:sdtPr>
              <w:rPr>
                <w:color w:val="000000"/>
                <w:szCs w:val="21"/>
              </w:rPr>
              <w:alias w:val="新能源汽车产销量明细"/>
              <w:tag w:val="_TUP_d4349ca02d4a4a5caebd32c0aa3cec58"/>
              <w:id w:val="-1310244659"/>
              <w:lock w:val="sdtLocked"/>
            </w:sdtPr>
            <w:sdtEndPr>
              <w:rPr>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22" w:type="pct"/>
                    <w:shd w:val="clear" w:color="auto" w:fill="auto"/>
                    <w:noWrap/>
                    <w:vAlign w:val="center"/>
                  </w:tcPr>
                  <w:p>
                    <w:pPr>
                      <w:adjustRightInd w:val="0"/>
                      <w:snapToGrid w:val="0"/>
                      <w:jc w:val="center"/>
                      <w:rPr>
                        <w:szCs w:val="21"/>
                      </w:rPr>
                    </w:pPr>
                    <w:r>
                      <w:rPr>
                        <w:rFonts w:hint="eastAsia"/>
                        <w:color w:val="000000"/>
                        <w:szCs w:val="21"/>
                      </w:rPr>
                      <w:t>高速电动车</w:t>
                    </w:r>
                  </w:p>
                </w:tc>
                <w:tc>
                  <w:tcPr>
                    <w:tcW w:w="626" w:type="pct"/>
                    <w:shd w:val="clear" w:color="auto" w:fill="auto"/>
                    <w:vAlign w:val="center"/>
                  </w:tcPr>
                  <w:p>
                    <w:pPr>
                      <w:adjustRightInd w:val="0"/>
                      <w:snapToGrid w:val="0"/>
                      <w:jc w:val="center"/>
                      <w:rPr>
                        <w:szCs w:val="21"/>
                      </w:rPr>
                    </w:pPr>
                    <w:r>
                      <w:rPr>
                        <w:szCs w:val="21"/>
                      </w:rPr>
                      <w:t>3,703</w:t>
                    </w:r>
                  </w:p>
                </w:tc>
                <w:tc>
                  <w:tcPr>
                    <w:tcW w:w="704" w:type="pct"/>
                    <w:shd w:val="clear" w:color="auto" w:fill="auto"/>
                    <w:vAlign w:val="center"/>
                  </w:tcPr>
                  <w:p>
                    <w:pPr>
                      <w:adjustRightInd w:val="0"/>
                      <w:snapToGrid w:val="0"/>
                      <w:jc w:val="center"/>
                      <w:rPr>
                        <w:szCs w:val="21"/>
                      </w:rPr>
                    </w:pPr>
                  </w:p>
                </w:tc>
                <w:tc>
                  <w:tcPr>
                    <w:tcW w:w="706" w:type="pct"/>
                    <w:shd w:val="clear" w:color="auto" w:fill="auto"/>
                    <w:vAlign w:val="center"/>
                  </w:tcPr>
                  <w:p>
                    <w:pPr>
                      <w:adjustRightInd w:val="0"/>
                      <w:snapToGrid w:val="0"/>
                      <w:jc w:val="center"/>
                      <w:rPr>
                        <w:szCs w:val="21"/>
                      </w:rPr>
                    </w:pPr>
                    <w:r>
                      <w:rPr>
                        <w:rFonts w:hint="eastAsia"/>
                        <w:szCs w:val="21"/>
                      </w:rPr>
                      <w:t>不适用</w:t>
                    </w:r>
                  </w:p>
                </w:tc>
                <w:tc>
                  <w:tcPr>
                    <w:tcW w:w="627" w:type="pct"/>
                    <w:shd w:val="clear" w:color="auto" w:fill="auto"/>
                    <w:vAlign w:val="center"/>
                  </w:tcPr>
                  <w:p>
                    <w:pPr>
                      <w:adjustRightInd w:val="0"/>
                      <w:snapToGrid w:val="0"/>
                      <w:jc w:val="center"/>
                      <w:rPr>
                        <w:szCs w:val="21"/>
                      </w:rPr>
                    </w:pPr>
                    <w:r>
                      <w:rPr>
                        <w:szCs w:val="21"/>
                      </w:rPr>
                      <w:t>3,845</w:t>
                    </w:r>
                  </w:p>
                </w:tc>
                <w:tc>
                  <w:tcPr>
                    <w:tcW w:w="626" w:type="pct"/>
                    <w:shd w:val="clear" w:color="auto" w:fill="auto"/>
                    <w:vAlign w:val="center"/>
                  </w:tcPr>
                  <w:p>
                    <w:pPr>
                      <w:adjustRightInd w:val="0"/>
                      <w:snapToGrid w:val="0"/>
                      <w:jc w:val="center"/>
                      <w:rPr>
                        <w:szCs w:val="21"/>
                      </w:rPr>
                    </w:pPr>
                  </w:p>
                </w:tc>
                <w:tc>
                  <w:tcPr>
                    <w:tcW w:w="789" w:type="pct"/>
                    <w:shd w:val="clear" w:color="auto" w:fill="auto"/>
                    <w:vAlign w:val="center"/>
                  </w:tcPr>
                  <w:p>
                    <w:pPr>
                      <w:adjustRightInd w:val="0"/>
                      <w:snapToGrid w:val="0"/>
                      <w:jc w:val="center"/>
                      <w:rPr>
                        <w:szCs w:val="21"/>
                      </w:rPr>
                    </w:pPr>
                    <w:r>
                      <w:rPr>
                        <w:rFonts w:hint="eastAsia"/>
                        <w:szCs w:val="21"/>
                      </w:rPr>
                      <w:t>不适用</w:t>
                    </w:r>
                  </w:p>
                </w:tc>
              </w:tr>
            </w:sdtContent>
          </w:sdt>
          <w:sdt>
            <w:sdtPr>
              <w:rPr>
                <w:color w:val="000000"/>
                <w:szCs w:val="21"/>
              </w:rPr>
              <w:alias w:val="新能源汽车产销量明细"/>
              <w:tag w:val="_TUP_d4349ca02d4a4a5caebd32c0aa3cec58"/>
              <w:id w:val="1566368341"/>
              <w:lock w:val="sdtLocked"/>
            </w:sdtPr>
            <w:sdtEndPr>
              <w:rPr>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922" w:type="pct"/>
                    <w:shd w:val="clear" w:color="auto" w:fill="auto"/>
                    <w:noWrap/>
                    <w:vAlign w:val="center"/>
                  </w:tcPr>
                  <w:p>
                    <w:pPr>
                      <w:adjustRightInd w:val="0"/>
                      <w:snapToGrid w:val="0"/>
                      <w:jc w:val="center"/>
                      <w:rPr>
                        <w:szCs w:val="21"/>
                      </w:rPr>
                    </w:pPr>
                    <w:r>
                      <w:rPr>
                        <w:rFonts w:hint="eastAsia"/>
                        <w:color w:val="000000"/>
                        <w:szCs w:val="21"/>
                      </w:rPr>
                      <w:t>低速电动车</w:t>
                    </w:r>
                  </w:p>
                </w:tc>
                <w:tc>
                  <w:tcPr>
                    <w:tcW w:w="626" w:type="pct"/>
                    <w:shd w:val="clear" w:color="auto" w:fill="auto"/>
                    <w:vAlign w:val="center"/>
                  </w:tcPr>
                  <w:p>
                    <w:pPr>
                      <w:adjustRightInd w:val="0"/>
                      <w:snapToGrid w:val="0"/>
                      <w:jc w:val="center"/>
                      <w:rPr>
                        <w:szCs w:val="21"/>
                      </w:rPr>
                    </w:pPr>
                    <w:r>
                      <w:rPr>
                        <w:rFonts w:hint="eastAsia"/>
                        <w:szCs w:val="21"/>
                      </w:rPr>
                      <w:t>107</w:t>
                    </w:r>
                  </w:p>
                </w:tc>
                <w:tc>
                  <w:tcPr>
                    <w:tcW w:w="704" w:type="pct"/>
                    <w:shd w:val="clear" w:color="auto" w:fill="auto"/>
                    <w:vAlign w:val="center"/>
                  </w:tcPr>
                  <w:p>
                    <w:pPr>
                      <w:adjustRightInd w:val="0"/>
                      <w:snapToGrid w:val="0"/>
                      <w:jc w:val="center"/>
                      <w:rPr>
                        <w:szCs w:val="21"/>
                      </w:rPr>
                    </w:pPr>
                    <w:r>
                      <w:rPr>
                        <w:szCs w:val="21"/>
                      </w:rPr>
                      <w:t>1,072</w:t>
                    </w:r>
                  </w:p>
                </w:tc>
                <w:tc>
                  <w:tcPr>
                    <w:tcW w:w="706" w:type="pct"/>
                    <w:shd w:val="clear" w:color="auto" w:fill="auto"/>
                    <w:vAlign w:val="center"/>
                  </w:tcPr>
                  <w:p>
                    <w:pPr>
                      <w:adjustRightInd w:val="0"/>
                      <w:snapToGrid w:val="0"/>
                      <w:jc w:val="center"/>
                      <w:rPr>
                        <w:szCs w:val="21"/>
                      </w:rPr>
                    </w:pPr>
                    <w:r>
                      <w:rPr>
                        <w:rFonts w:hint="eastAsia"/>
                        <w:szCs w:val="21"/>
                      </w:rPr>
                      <w:t>-90.02</w:t>
                    </w:r>
                  </w:p>
                </w:tc>
                <w:tc>
                  <w:tcPr>
                    <w:tcW w:w="627" w:type="pct"/>
                    <w:shd w:val="clear" w:color="auto" w:fill="auto"/>
                    <w:vAlign w:val="center"/>
                  </w:tcPr>
                  <w:p>
                    <w:pPr>
                      <w:adjustRightInd w:val="0"/>
                      <w:snapToGrid w:val="0"/>
                      <w:jc w:val="center"/>
                      <w:rPr>
                        <w:szCs w:val="21"/>
                      </w:rPr>
                    </w:pPr>
                    <w:r>
                      <w:rPr>
                        <w:rFonts w:hint="eastAsia"/>
                        <w:szCs w:val="21"/>
                      </w:rPr>
                      <w:t>105</w:t>
                    </w:r>
                  </w:p>
                </w:tc>
                <w:tc>
                  <w:tcPr>
                    <w:tcW w:w="626" w:type="pct"/>
                    <w:shd w:val="clear" w:color="auto" w:fill="auto"/>
                    <w:vAlign w:val="center"/>
                  </w:tcPr>
                  <w:p>
                    <w:pPr>
                      <w:adjustRightInd w:val="0"/>
                      <w:snapToGrid w:val="0"/>
                      <w:jc w:val="center"/>
                      <w:rPr>
                        <w:szCs w:val="21"/>
                      </w:rPr>
                    </w:pPr>
                    <w:r>
                      <w:rPr>
                        <w:szCs w:val="21"/>
                      </w:rPr>
                      <w:t>1,0</w:t>
                    </w:r>
                    <w:r>
                      <w:rPr>
                        <w:rFonts w:hint="eastAsia"/>
                        <w:szCs w:val="21"/>
                      </w:rPr>
                      <w:t>13</w:t>
                    </w:r>
                  </w:p>
                </w:tc>
                <w:tc>
                  <w:tcPr>
                    <w:tcW w:w="789" w:type="pct"/>
                    <w:shd w:val="clear" w:color="auto" w:fill="auto"/>
                    <w:vAlign w:val="center"/>
                  </w:tcPr>
                  <w:p>
                    <w:pPr>
                      <w:adjustRightInd w:val="0"/>
                      <w:snapToGrid w:val="0"/>
                      <w:jc w:val="center"/>
                      <w:rPr>
                        <w:szCs w:val="21"/>
                      </w:rPr>
                    </w:pPr>
                    <w:r>
                      <w:rPr>
                        <w:rFonts w:hint="eastAsia"/>
                        <w:szCs w:val="21"/>
                      </w:rPr>
                      <w:t>-89.63</w:t>
                    </w:r>
                  </w:p>
                </w:tc>
              </w:tr>
            </w:sdtContent>
          </w:sdt>
        </w:tbl>
        <w:p>
          <w:pPr>
            <w:adjustRightInd w:val="0"/>
            <w:snapToGrid w:val="0"/>
            <w:rPr>
              <w:szCs w:val="21"/>
            </w:rPr>
          </w:pPr>
        </w:p>
        <w:p>
          <w:pPr>
            <w:adjustRightInd w:val="0"/>
            <w:snapToGrid w:val="0"/>
            <w:spacing w:line="360" w:lineRule="auto"/>
            <w:rPr>
              <w:b/>
              <w:szCs w:val="21"/>
            </w:rPr>
          </w:pPr>
          <w:r>
            <w:rPr>
              <w:rFonts w:hint="eastAsia"/>
              <w:b/>
              <w:szCs w:val="21"/>
            </w:rPr>
            <w:t>新能源汽车收入及补贴</w:t>
          </w:r>
        </w:p>
        <w:sdt>
          <w:sdtPr>
            <w:rPr>
              <w:rFonts w:hint="eastAsia"/>
              <w:szCs w:val="21"/>
            </w:rPr>
            <w:alias w:val="是否适用：新能源汽车收入及补贴[双击切换]"/>
            <w:tag w:val="_GBC_60057f100e6440719c581040e266d933"/>
            <w:id w:val="1066381130"/>
            <w:lock w:val="sdtLocked"/>
            <w:placeholder>
              <w:docPart w:val="GBC22222222222222222222222222222"/>
            </w:placeholder>
          </w:sdtPr>
          <w:sdtEndPr>
            <w:rPr>
              <w:rFonts w:hint="eastAsia"/>
              <w:szCs w:val="21"/>
            </w:rPr>
          </w:sdtEndPr>
          <w:sdtContent>
            <w:p>
              <w:pPr>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jc w:val="right"/>
            <w:rPr>
              <w:szCs w:val="21"/>
            </w:rPr>
          </w:pPr>
          <w:r>
            <w:rPr>
              <w:rFonts w:hint="eastAsia"/>
              <w:szCs w:val="21"/>
            </w:rPr>
            <w:t>单位：</w:t>
          </w:r>
          <w:sdt>
            <w:sdtPr>
              <w:rPr>
                <w:rFonts w:hint="eastAsia"/>
                <w:szCs w:val="21"/>
              </w:rPr>
              <w:alias w:val="单位：新能源汽车收入及补贴"/>
              <w:tag w:val="_GBC_fb8a3eaa5fdc4e15a8cd67d67dad015c"/>
              <w:id w:val="2535555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新能源汽车收入及补贴"/>
              <w:tag w:val="_GBC_c7700804688f4d72bf0b159251894900"/>
              <w:id w:val="5297701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0"/>
            <w:gridCol w:w="2127"/>
            <w:gridCol w:w="2411"/>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sdt>
              <w:sdtPr>
                <w:tag w:val="_PLD_426bee171ba249b98af8c1240f66b305"/>
                <w:id w:val="-1857024911"/>
                <w:lock w:val="sdtLocked"/>
              </w:sdtPr>
              <w:sdtContent>
                <w:tc>
                  <w:tcPr>
                    <w:tcW w:w="1077" w:type="pct"/>
                    <w:shd w:val="clear" w:color="auto" w:fill="auto"/>
                    <w:noWrap/>
                    <w:vAlign w:val="center"/>
                  </w:tcPr>
                  <w:p>
                    <w:pPr>
                      <w:adjustRightInd w:val="0"/>
                      <w:snapToGrid w:val="0"/>
                      <w:jc w:val="center"/>
                      <w:rPr>
                        <w:color w:val="000000"/>
                        <w:szCs w:val="21"/>
                      </w:rPr>
                    </w:pPr>
                    <w:r>
                      <w:rPr>
                        <w:rFonts w:hint="eastAsia"/>
                        <w:color w:val="000000"/>
                        <w:szCs w:val="21"/>
                      </w:rPr>
                      <w:t>车型类别</w:t>
                    </w:r>
                  </w:p>
                </w:tc>
              </w:sdtContent>
            </w:sdt>
            <w:sdt>
              <w:sdtPr>
                <w:tag w:val="_PLD_9165960c1e544b808af1798bb02b367d"/>
                <w:id w:val="-1698613405"/>
                <w:lock w:val="sdtLocked"/>
              </w:sdtPr>
              <w:sdtContent>
                <w:tc>
                  <w:tcPr>
                    <w:tcW w:w="1175" w:type="pct"/>
                    <w:shd w:val="clear" w:color="auto" w:fill="auto"/>
                    <w:noWrap/>
                    <w:vAlign w:val="center"/>
                  </w:tcPr>
                  <w:p>
                    <w:pPr>
                      <w:adjustRightInd w:val="0"/>
                      <w:snapToGrid w:val="0"/>
                      <w:jc w:val="center"/>
                      <w:rPr>
                        <w:color w:val="000000"/>
                        <w:szCs w:val="21"/>
                      </w:rPr>
                    </w:pPr>
                    <w:r>
                      <w:rPr>
                        <w:rFonts w:hint="eastAsia"/>
                        <w:color w:val="000000"/>
                        <w:szCs w:val="21"/>
                      </w:rPr>
                      <w:t>收入</w:t>
                    </w:r>
                  </w:p>
                </w:tc>
              </w:sdtContent>
            </w:sdt>
            <w:sdt>
              <w:sdtPr>
                <w:tag w:val="_PLD_8659a9759371453082ea3edfde59886d"/>
                <w:id w:val="581951874"/>
                <w:lock w:val="sdtLocked"/>
              </w:sdtPr>
              <w:sdtContent>
                <w:tc>
                  <w:tcPr>
                    <w:tcW w:w="1332" w:type="pct"/>
                    <w:shd w:val="clear" w:color="auto" w:fill="auto"/>
                    <w:noWrap/>
                    <w:vAlign w:val="center"/>
                  </w:tcPr>
                  <w:p>
                    <w:pPr>
                      <w:adjustRightInd w:val="0"/>
                      <w:snapToGrid w:val="0"/>
                      <w:jc w:val="center"/>
                      <w:rPr>
                        <w:color w:val="000000"/>
                        <w:szCs w:val="21"/>
                      </w:rPr>
                    </w:pPr>
                    <w:r>
                      <w:rPr>
                        <w:rFonts w:hint="eastAsia"/>
                        <w:color w:val="000000"/>
                        <w:szCs w:val="21"/>
                      </w:rPr>
                      <w:t>新能源汽车补贴金额</w:t>
                    </w:r>
                  </w:p>
                </w:tc>
              </w:sdtContent>
            </w:sdt>
            <w:sdt>
              <w:sdtPr>
                <w:tag w:val="_PLD_6cae6da778f343d7b7731c4afa5041c1"/>
                <w:id w:val="-1725370358"/>
                <w:lock w:val="sdtLocked"/>
              </w:sdtPr>
              <w:sdtContent>
                <w:tc>
                  <w:tcPr>
                    <w:tcW w:w="1415" w:type="pct"/>
                    <w:shd w:val="clear" w:color="auto" w:fill="auto"/>
                    <w:noWrap/>
                    <w:vAlign w:val="center"/>
                  </w:tcPr>
                  <w:p>
                    <w:pPr>
                      <w:adjustRightInd w:val="0"/>
                      <w:snapToGrid w:val="0"/>
                      <w:jc w:val="center"/>
                      <w:rPr>
                        <w:color w:val="000000"/>
                        <w:szCs w:val="21"/>
                      </w:rPr>
                    </w:pPr>
                    <w:r>
                      <w:rPr>
                        <w:rFonts w:hint="eastAsia"/>
                        <w:color w:val="000000"/>
                        <w:szCs w:val="21"/>
                      </w:rPr>
                      <w:t>补贴占比（%）</w:t>
                    </w:r>
                  </w:p>
                </w:tc>
              </w:sdtContent>
            </w:sdt>
          </w:tr>
          <w:sdt>
            <w:sdtPr>
              <w:rPr>
                <w:rFonts w:asciiTheme="minorHAnsi" w:hAnsiTheme="minorHAnsi" w:eastAsiaTheme="minorEastAsia" w:cstheme="minorBidi"/>
                <w:color w:val="000000"/>
                <w:kern w:val="2"/>
                <w:szCs w:val="21"/>
              </w:rPr>
              <w:alias w:val="新能源汽车收入及补贴明细"/>
              <w:tag w:val="_TUP_f9ef146e80734e17878b5f3664a624e1"/>
              <w:id w:val="1970623089"/>
              <w:lock w:val="sdtLocked"/>
            </w:sdtPr>
            <w:sdtEndPr>
              <w:rPr>
                <w:rFonts w:asciiTheme="minorHAnsi" w:hAnsiTheme="minorHAnsi" w:eastAsiaTheme="minorEastAsia" w:cstheme="minorBidi"/>
                <w:color w:val="000000"/>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77" w:type="pct"/>
                    <w:shd w:val="clear" w:color="auto" w:fill="auto"/>
                    <w:noWrap/>
                    <w:vAlign w:val="center"/>
                  </w:tcPr>
                  <w:p>
                    <w:pPr>
                      <w:adjustRightInd w:val="0"/>
                      <w:snapToGrid w:val="0"/>
                      <w:jc w:val="center"/>
                      <w:rPr>
                        <w:rFonts w:asciiTheme="minorHAnsi" w:hAnsiTheme="minorHAnsi" w:eastAsiaTheme="minorEastAsia" w:cstheme="minorBidi"/>
                        <w:color w:val="000000"/>
                        <w:kern w:val="2"/>
                        <w:szCs w:val="21"/>
                      </w:rPr>
                    </w:pPr>
                    <w:r>
                      <w:rPr>
                        <w:rFonts w:hint="eastAsia" w:asciiTheme="minorHAnsi" w:hAnsiTheme="minorHAnsi" w:eastAsiaTheme="minorEastAsia" w:cstheme="minorBidi"/>
                        <w:color w:val="000000"/>
                        <w:kern w:val="2"/>
                        <w:szCs w:val="21"/>
                      </w:rPr>
                      <w:t>高速电动车</w:t>
                    </w:r>
                  </w:p>
                </w:tc>
                <w:tc>
                  <w:tcPr>
                    <w:tcW w:w="1175" w:type="pct"/>
                    <w:shd w:val="clear" w:color="auto" w:fill="auto"/>
                    <w:noWrap/>
                    <w:vAlign w:val="center"/>
                  </w:tcPr>
                  <w:p>
                    <w:pPr>
                      <w:jc w:val="center"/>
                      <w:rPr>
                        <w:sz w:val="24"/>
                      </w:rPr>
                    </w:pPr>
                    <w:r>
                      <w:t>44,379.05</w:t>
                    </w:r>
                  </w:p>
                </w:tc>
                <w:tc>
                  <w:tcPr>
                    <w:tcW w:w="1332" w:type="pct"/>
                    <w:shd w:val="clear" w:color="auto" w:fill="auto"/>
                    <w:noWrap/>
                    <w:vAlign w:val="center"/>
                  </w:tcPr>
                  <w:p>
                    <w:pPr>
                      <w:adjustRightInd w:val="0"/>
                      <w:snapToGrid w:val="0"/>
                      <w:jc w:val="center"/>
                      <w:rPr>
                        <w:szCs w:val="21"/>
                      </w:rPr>
                    </w:pPr>
                    <w:r>
                      <w:rPr>
                        <w:szCs w:val="21"/>
                      </w:rPr>
                      <w:t>4,850.95</w:t>
                    </w:r>
                  </w:p>
                </w:tc>
                <w:tc>
                  <w:tcPr>
                    <w:tcW w:w="1415" w:type="pct"/>
                    <w:shd w:val="clear" w:color="auto" w:fill="auto"/>
                    <w:noWrap/>
                    <w:vAlign w:val="center"/>
                  </w:tcPr>
                  <w:p>
                    <w:pPr>
                      <w:adjustRightInd w:val="0"/>
                      <w:snapToGrid w:val="0"/>
                      <w:jc w:val="center"/>
                      <w:rPr>
                        <w:rFonts w:asciiTheme="minorHAnsi" w:hAnsiTheme="minorHAnsi" w:eastAsiaTheme="minorEastAsia" w:cstheme="minorBidi"/>
                        <w:color w:val="000000"/>
                        <w:kern w:val="2"/>
                        <w:szCs w:val="21"/>
                      </w:rPr>
                    </w:pPr>
                    <w:r>
                      <w:rPr>
                        <w:rFonts w:hint="eastAsia" w:asciiTheme="minorEastAsia" w:hAnsiTheme="minorEastAsia" w:eastAsiaTheme="minorEastAsia" w:cstheme="minorBidi"/>
                        <w:color w:val="000000"/>
                        <w:kern w:val="2"/>
                        <w:szCs w:val="21"/>
                      </w:rPr>
                      <w:t>10.93</w:t>
                    </w:r>
                  </w:p>
                </w:tc>
              </w:tr>
            </w:sdtContent>
          </w:sdt>
        </w:tbl>
        <w:p>
          <w:pPr>
            <w:adjustRightInd w:val="0"/>
            <w:snapToGrid w:val="0"/>
            <w:rPr>
              <w:color w:val="943634"/>
              <w:szCs w:val="21"/>
            </w:rPr>
          </w:pPr>
        </w:p>
      </w:sdtContent>
    </w:sdt>
    <w:sdt>
      <w:sdtPr>
        <w:rPr>
          <w:rFonts w:hint="eastAsia"/>
          <w:szCs w:val="21"/>
        </w:rPr>
        <w:alias w:val="模块:汽车金融业务"/>
        <w:tag w:val="_SEC_81cf03a8f7c04406a0a5ae22433c329b"/>
        <w:id w:val="462774673"/>
        <w:lock w:val="sdtLocked"/>
        <w:placeholder>
          <w:docPart w:val="GBC22222222222222222222222222222"/>
        </w:placeholder>
      </w:sdtPr>
      <w:sdtEndPr>
        <w:rPr>
          <w:rFonts w:hint="eastAsia"/>
          <w:szCs w:val="24"/>
        </w:rPr>
      </w:sdtEndPr>
      <w:sdtContent>
        <w:p>
          <w:pPr>
            <w:pStyle w:val="7"/>
            <w:numPr>
              <w:ilvl w:val="0"/>
              <w:numId w:val="13"/>
            </w:numPr>
            <w:spacing w:before="0" w:after="0" w:line="360" w:lineRule="auto"/>
            <w:rPr>
              <w:szCs w:val="21"/>
            </w:rPr>
          </w:pPr>
          <w:r>
            <w:rPr>
              <w:rFonts w:hint="eastAsia"/>
              <w:szCs w:val="21"/>
            </w:rPr>
            <w:t>汽车金融业务</w:t>
          </w:r>
        </w:p>
      </w:sdtContent>
    </w:sdt>
    <w:sdt>
      <w:sdtPr>
        <w:rPr>
          <w:szCs w:val="21"/>
        </w:rPr>
        <w:alias w:val="是否适用：汽车金融业务 [双击切换]"/>
        <w:tag w:val="_GBC_143ceb5c99a44c56970fdf1ee09f6c52"/>
        <w:id w:val="1327934509"/>
        <w:lock w:val="sdtLocked"/>
        <w:placeholder>
          <w:docPart w:val="GBC22222222222222222222222222222"/>
        </w:placeholder>
      </w:sdtPr>
      <w:sdtEndPr>
        <w:rPr>
          <w:szCs w:val="21"/>
        </w:rPr>
      </w:sdtEndPr>
      <w:sdtContent>
        <w:p>
          <w:pPr>
            <w:adjustRightInd w:val="0"/>
            <w:snapToGrid w:val="0"/>
            <w:spacing w:line="360" w:lineRule="auto"/>
            <w:rPr>
              <w:color w:val="943634"/>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djustRightInd w:val="0"/>
        <w:snapToGrid w:val="0"/>
        <w:spacing w:line="360" w:lineRule="auto"/>
        <w:rPr>
          <w:color w:val="943634"/>
          <w:szCs w:val="21"/>
        </w:rPr>
      </w:pPr>
    </w:p>
    <w:sdt>
      <w:sdtPr>
        <w:rPr>
          <w:rFonts w:hint="eastAsia" w:ascii="宋体" w:hAnsi="宋体" w:cs="宋体"/>
          <w:b w:val="0"/>
          <w:bCs w:val="0"/>
          <w:szCs w:val="21"/>
        </w:rPr>
        <w:alias w:val="模块:汽车制造行业经营性信息分析其他情况说明"/>
        <w:tag w:val="_SEC_fc45036dbd3544789e68dba0f55e3f6e"/>
        <w:id w:val="-1802294739"/>
        <w:lock w:val="sdtLocked"/>
        <w:placeholder>
          <w:docPart w:val="GBC22222222222222222222222222222"/>
        </w:placeholder>
      </w:sdtPr>
      <w:sdtEndPr>
        <w:rPr>
          <w:rFonts w:hint="default" w:ascii="宋体" w:hAnsi="宋体" w:cs="宋体"/>
          <w:b w:val="0"/>
          <w:bCs w:val="0"/>
          <w:szCs w:val="21"/>
          <w:u w:val="single"/>
        </w:rPr>
      </w:sdtEndPr>
      <w:sdtContent>
        <w:p>
          <w:pPr>
            <w:pStyle w:val="7"/>
            <w:numPr>
              <w:ilvl w:val="0"/>
              <w:numId w:val="13"/>
            </w:numPr>
            <w:spacing w:before="0" w:after="0" w:line="360" w:lineRule="auto"/>
          </w:pPr>
          <w:r>
            <w:rPr>
              <w:rFonts w:hint="eastAsia"/>
            </w:rPr>
            <w:t>其他说明</w:t>
          </w:r>
        </w:p>
        <w:sdt>
          <w:sdtPr>
            <w:rPr>
              <w:rFonts w:hint="eastAsia"/>
              <w:szCs w:val="21"/>
            </w:rPr>
            <w:alias w:val="是否适用：汽车制造行业经营性信息分析其他情况说明[双击切换]"/>
            <w:tag w:val="_GBC_b7f82760876e453b8ca27eb09968c8f2"/>
            <w:id w:val="-1341841746"/>
            <w:lock w:val="sdtLocked"/>
            <w:placeholder>
              <w:docPart w:val="GBC22222222222222222222222222222"/>
            </w:placeholder>
          </w:sdtPr>
          <w:sdtEndPr>
            <w:rPr>
              <w:rFonts w:hint="eastAsia"/>
              <w:szCs w:val="21"/>
            </w:rPr>
          </w:sdtEndPr>
          <w:sdtContent>
            <w:p>
              <w:pPr>
                <w:spacing w:line="360" w:lineRule="auto"/>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u w:val="single"/>
            </w:rPr>
          </w:pPr>
        </w:p>
      </w:sdtContent>
    </w:sdt>
    <w:p>
      <w:pPr>
        <w:pStyle w:val="4"/>
        <w:numPr>
          <w:ilvl w:val="0"/>
          <w:numId w:val="8"/>
        </w:numPr>
        <w:spacing w:before="0" w:after="0" w:line="360" w:lineRule="auto"/>
        <w:rPr>
          <w:szCs w:val="21"/>
        </w:rPr>
      </w:pPr>
      <w:r>
        <w:rPr>
          <w:rFonts w:hint="eastAsia"/>
          <w:szCs w:val="21"/>
        </w:rPr>
        <w:t>投资状况分析</w:t>
      </w:r>
    </w:p>
    <w:p>
      <w:pPr>
        <w:pStyle w:val="5"/>
        <w:spacing w:before="0" w:after="0" w:line="360" w:lineRule="auto"/>
      </w:pPr>
      <w:r>
        <w:t>对外股权投资总体分析</w:t>
      </w:r>
    </w:p>
    <w:sdt>
      <w:sdtPr>
        <w:rPr>
          <w:szCs w:val="21"/>
        </w:rPr>
        <w:alias w:val="模块:对外股权投资总体分析"/>
        <w:tag w:val="_SEC_4b4a052df79741968a7e11e5835fce59"/>
        <w:id w:val="1122497282"/>
        <w:lock w:val="sdtLocked"/>
        <w:placeholder>
          <w:docPart w:val="GBC22222222222222222222222222222"/>
        </w:placeholder>
      </w:sdtPr>
      <w:sdtEndPr>
        <w:rPr>
          <w:rFonts w:hint="eastAsia" w:asciiTheme="minorEastAsia" w:hAnsiTheme="minorEastAsia" w:eastAsiaTheme="minorEastAsia"/>
          <w:szCs w:val="21"/>
        </w:rPr>
      </w:sdtEndPr>
      <w:sdtContent>
        <w:sdt>
          <w:sdtPr>
            <w:rPr>
              <w:szCs w:val="21"/>
            </w:rPr>
            <w:alias w:val="是否适用：对外股权投资总体分析[双击切换]"/>
            <w:tag w:val="_GBC_cfb706fadf2c47bbbaf1bf90c054ccaf"/>
            <w:id w:val="1517889646"/>
            <w:lock w:val="sdtLocked"/>
            <w:placeholder>
              <w:docPart w:val="GBC22222222222222222222222222222"/>
            </w:placeholder>
          </w:sdtPr>
          <w:sdtEndPr>
            <w:rPr>
              <w:szCs w:val="21"/>
            </w:rPr>
          </w:sdtEndPr>
          <w:sdtContent>
            <w:p>
              <w:pPr>
                <w:spacing w:line="360" w:lineRule="auto"/>
                <w:rPr>
                  <w:szCs w:val="21"/>
                </w:rPr>
              </w:pPr>
              <w:bookmarkStart w:id="38" w:name="_Hlk533435360"/>
              <w:bookmarkEnd w:id="38"/>
              <w:bookmarkStart w:id="39" w:name="_Hlk533666971"/>
              <w:bookmarkEnd w:id="39"/>
              <w:bookmarkStart w:id="40" w:name="_Hlk533435130"/>
              <w:bookmarkEnd w:id="40"/>
              <w:bookmarkStart w:id="41" w:name="_Hlk533433706"/>
              <w:bookmarkEnd w:id="41"/>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rFonts w:asciiTheme="minorEastAsia" w:hAnsiTheme="minorEastAsia" w:eastAsiaTheme="minorEastAsia"/>
              <w:szCs w:val="21"/>
            </w:rPr>
          </w:pPr>
        </w:p>
      </w:sdtContent>
    </w:sdt>
    <w:sdt>
      <w:sdtPr>
        <w:rPr>
          <w:rFonts w:hint="eastAsia" w:ascii="宋体" w:hAnsi="宋体" w:cs="宋体"/>
          <w:b w:val="0"/>
          <w:bCs w:val="0"/>
          <w:kern w:val="0"/>
          <w:szCs w:val="21"/>
        </w:rPr>
        <w:alias w:val="模块:重大的股权投资"/>
        <w:tag w:val="_SEC_e305a089659a4e8f8dd9498c36674ab7"/>
        <w:id w:val="778367038"/>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4"/>
            </w:numPr>
            <w:spacing w:before="0" w:after="0" w:line="360" w:lineRule="auto"/>
            <w:rPr>
              <w:szCs w:val="21"/>
            </w:rPr>
          </w:pPr>
          <w:r>
            <w:rPr>
              <w:rFonts w:hint="eastAsia"/>
              <w:szCs w:val="21"/>
            </w:rPr>
            <w:t>重大的股权投资</w:t>
          </w:r>
        </w:p>
        <w:sdt>
          <w:sdtPr>
            <w:rPr>
              <w:rFonts w:hint="eastAsia"/>
            </w:rPr>
            <w:alias w:val="是否适用：重大的股权投资[双击切换]"/>
            <w:tag w:val="_GBC_b20506918d854c13b13a3b89dd84c7d3"/>
            <w:id w:val="142854038"/>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sdt>
      <w:sdtPr>
        <w:rPr>
          <w:rFonts w:hint="eastAsia" w:ascii="宋体" w:hAnsi="宋体" w:cs="宋体"/>
          <w:b w:val="0"/>
          <w:bCs w:val="0"/>
          <w:kern w:val="0"/>
          <w:szCs w:val="21"/>
        </w:rPr>
        <w:alias w:val="模块:重大的非股权投资"/>
        <w:tag w:val="_SEC_a184487ede57408c81910695beb0ed38"/>
        <w:id w:val="700047479"/>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14"/>
            </w:numPr>
            <w:spacing w:before="0" w:after="0" w:line="360" w:lineRule="auto"/>
            <w:rPr>
              <w:rFonts w:ascii="宋体" w:hAnsi="宋体" w:cs="宋体"/>
              <w:kern w:val="0"/>
              <w:szCs w:val="21"/>
            </w:rPr>
          </w:pPr>
          <w:r>
            <w:rPr>
              <w:rFonts w:hint="eastAsia" w:ascii="宋体" w:hAnsi="宋体" w:cs="宋体"/>
              <w:kern w:val="0"/>
              <w:szCs w:val="21"/>
            </w:rPr>
            <w:t>重大的非股权投资</w:t>
          </w:r>
        </w:p>
        <w:sdt>
          <w:sdtPr>
            <w:rPr>
              <w:rFonts w:hint="eastAsia"/>
            </w:rPr>
            <w:alias w:val="是否适用：重大的非股权投资[双击切换]"/>
            <w:tag w:val="_GBC_fbd46075a5b9414d9e28cd2404e5d47c"/>
            <w:id w:val="-185523148"/>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sdt>
      <w:sdtPr>
        <w:rPr>
          <w:rFonts w:hint="eastAsia" w:ascii="宋体" w:hAnsi="宋体" w:cs="宋体"/>
          <w:b w:val="0"/>
          <w:bCs w:val="0"/>
          <w:kern w:val="0"/>
          <w:szCs w:val="21"/>
        </w:rPr>
        <w:alias w:val="模块:以公允价值计量的金融资产"/>
        <w:tag w:val="_SEC_b68803fb05c54f76bddc131e89240164"/>
        <w:id w:val="-217045200"/>
        <w:lock w:val="sdtLocked"/>
        <w:placeholder>
          <w:docPart w:val="GBC22222222222222222222222222222"/>
        </w:placeholder>
      </w:sdtPr>
      <w:sdtEndPr>
        <w:rPr>
          <w:rFonts w:hint="eastAsia" w:ascii="宋体" w:hAnsi="宋体" w:cs="宋体"/>
          <w:b w:val="0"/>
          <w:bCs w:val="0"/>
          <w:kern w:val="0"/>
          <w:szCs w:val="21"/>
        </w:rPr>
      </w:sdtEndPr>
      <w:sdtContent>
        <w:p>
          <w:pPr>
            <w:pStyle w:val="6"/>
            <w:numPr>
              <w:ilvl w:val="0"/>
              <w:numId w:val="14"/>
            </w:numPr>
            <w:spacing w:before="0" w:after="0" w:line="360" w:lineRule="auto"/>
            <w:rPr>
              <w:rFonts w:ascii="宋体" w:hAnsi="宋体" w:cs="宋体"/>
              <w:kern w:val="0"/>
              <w:szCs w:val="21"/>
            </w:rPr>
          </w:pPr>
          <w:r>
            <w:rPr>
              <w:rFonts w:hint="eastAsia" w:ascii="宋体" w:hAnsi="宋体" w:cs="宋体"/>
              <w:kern w:val="0"/>
              <w:szCs w:val="21"/>
            </w:rPr>
            <w:t>以公允价值计量的金融资产</w:t>
          </w:r>
        </w:p>
        <w:sdt>
          <w:sdtPr>
            <w:rPr>
              <w:rFonts w:hint="eastAsia"/>
              <w:szCs w:val="21"/>
            </w:rPr>
            <w:alias w:val="是否适用：以公允价值计量的金融资产[双击切换]"/>
            <w:tag w:val="_GBC_27fa42d1c8fd489d9e8648bed00ddd53"/>
            <w:id w:val="-1321962066"/>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hint="eastAsia" w:ascii="宋体" w:hAnsi="宋体" w:cs="宋体"/>
          <w:b w:val="0"/>
          <w:bCs w:val="0"/>
          <w:kern w:val="0"/>
          <w:szCs w:val="24"/>
        </w:rPr>
        <w:alias w:val="报告期内重大资产重组整合的具体进展情况"/>
        <w:tag w:val="_SEC_334c83ee3ed34abe9f07a2b14baa41a3"/>
        <w:id w:val="-1576192568"/>
        <w:lock w:val="sdtLocked"/>
      </w:sdtPr>
      <w:sdtEndPr>
        <w:rPr>
          <w:rFonts w:hint="eastAsia" w:ascii="宋体" w:hAnsi="宋体" w:cs="宋体"/>
          <w:b w:val="0"/>
          <w:bCs w:val="0"/>
          <w:kern w:val="0"/>
          <w:szCs w:val="24"/>
        </w:rPr>
      </w:sdtEndPr>
      <w:sdtContent>
        <w:p>
          <w:pPr>
            <w:pStyle w:val="6"/>
            <w:numPr>
              <w:ilvl w:val="0"/>
              <w:numId w:val="14"/>
            </w:numPr>
            <w:tabs>
              <w:tab w:val="left" w:pos="360"/>
            </w:tabs>
            <w:spacing w:before="0" w:after="0" w:line="360" w:lineRule="auto"/>
            <w:ind w:left="0" w:firstLine="0"/>
            <w:rPr>
              <w:rFonts w:ascii="宋体" w:hAnsi="宋体" w:cs="宋体"/>
              <w:kern w:val="0"/>
              <w:szCs w:val="21"/>
            </w:rPr>
          </w:pPr>
          <w:r>
            <w:rPr>
              <w:rFonts w:hint="eastAsia" w:ascii="宋体" w:hAnsi="宋体" w:cs="宋体"/>
              <w:kern w:val="0"/>
              <w:szCs w:val="21"/>
            </w:rPr>
            <w:t>报告期内重大资产重组整合的具体进展情况</w:t>
          </w:r>
        </w:p>
        <w:sdt>
          <w:sdtPr>
            <w:alias w:val="是否适用：报告期内重大资产重组整合的具体进展情况[双击切换]"/>
            <w:tag w:val="_GBC_c52695d1957b4fa89b0b7326da1f5a10"/>
            <w:id w:val="-1629930292"/>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sdt>
      <w:sdtPr>
        <w:rPr>
          <w:rFonts w:hint="eastAsia" w:ascii="宋体" w:hAnsi="宋体" w:cs="宋体"/>
          <w:b w:val="0"/>
          <w:bCs w:val="0"/>
          <w:kern w:val="0"/>
          <w:szCs w:val="21"/>
        </w:rPr>
        <w:alias w:val="模块:重大资产和股权出售"/>
        <w:tag w:val="_SEC_2dc2a25f5b0947db8d19ad5178673ac9"/>
        <w:id w:val="1252471936"/>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spacing w:before="0" w:after="0" w:line="360" w:lineRule="auto"/>
            <w:rPr>
              <w:szCs w:val="21"/>
            </w:rPr>
          </w:pPr>
          <w:r>
            <w:rPr>
              <w:rFonts w:hint="eastAsia"/>
              <w:szCs w:val="21"/>
            </w:rPr>
            <w:t>重大资产和股权出售</w:t>
          </w:r>
        </w:p>
        <w:sdt>
          <w:sdtPr>
            <w:rPr>
              <w:rFonts w:hint="eastAsia"/>
              <w:szCs w:val="21"/>
            </w:rPr>
            <w:alias w:val="是否适用：重大资产和股权出售[双击切换]"/>
            <w:tag w:val="_GBC_949dc5a581604be69ba935fceadc4b1d"/>
            <w:id w:val="2024123682"/>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ascii="宋体" w:hAnsi="宋体" w:cs="宋体"/>
          <w:b w:val="0"/>
          <w:bCs w:val="0"/>
          <w:kern w:val="0"/>
          <w:sz w:val="24"/>
          <w:szCs w:val="21"/>
        </w:rPr>
        <w:alias w:val="模块:主要子公司、参股公司分析"/>
        <w:tag w:val="_SEC_f2f24fd9b9b742fda50064b5b8b90edf"/>
        <w:id w:val="786632366"/>
        <w:lock w:val="sdtLocked"/>
        <w:placeholder>
          <w:docPart w:val="GBC22222222222222222222222222222"/>
        </w:placeholder>
      </w:sdtPr>
      <w:sdtEndPr>
        <w:rPr>
          <w:rFonts w:hint="eastAsia" w:ascii="宋体" w:hAnsi="宋体" w:cs="宋体"/>
          <w:b w:val="0"/>
          <w:bCs w:val="0"/>
          <w:kern w:val="0"/>
          <w:sz w:val="21"/>
          <w:szCs w:val="21"/>
        </w:rPr>
      </w:sdtEndPr>
      <w:sdtContent>
        <w:p>
          <w:pPr>
            <w:pStyle w:val="4"/>
            <w:numPr>
              <w:ilvl w:val="0"/>
              <w:numId w:val="8"/>
            </w:numPr>
            <w:spacing w:before="0" w:after="0" w:line="360" w:lineRule="auto"/>
          </w:pPr>
          <w:r>
            <w:rPr>
              <w:rFonts w:hint="eastAsia"/>
              <w:szCs w:val="21"/>
            </w:rPr>
            <w:t>主要控股参股公司分析</w:t>
          </w:r>
        </w:p>
        <w:sdt>
          <w:sdtPr>
            <w:rPr>
              <w:rFonts w:hint="eastAsia"/>
              <w:szCs w:val="21"/>
            </w:rPr>
            <w:alias w:val="是否适用：主要控股参股公司分析[双击切换]"/>
            <w:tag w:val="_GBC_aec86f2481734c53a2a2b022c83d4449"/>
            <w:id w:val="1735655033"/>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主要子公司、参股公司分析"/>
            <w:tag w:val="_GBC_7bf13fe6d2e94f23a67acf0193f14a86"/>
            <w:id w:val="-659076208"/>
            <w:lock w:val="sdtLocked"/>
            <w:placeholder>
              <w:docPart w:val="GBC22222222222222222222222222222"/>
            </w:placeholder>
          </w:sdtPr>
          <w:sdtEndPr>
            <w:rPr>
              <w:rFonts w:hint="eastAsia"/>
              <w:szCs w:val="21"/>
            </w:rPr>
          </w:sdtEndPr>
          <w:sdtContent>
            <w:p>
              <w:pPr>
                <w:spacing w:line="360" w:lineRule="auto"/>
                <w:rPr>
                  <w:szCs w:val="21"/>
                </w:rPr>
              </w:pPr>
              <w:r>
                <w:rPr>
                  <w:rFonts w:hint="eastAsia"/>
                  <w:szCs w:val="21"/>
                </w:rPr>
                <w:t>详见第十节财务报告、九“在其他主体中的权益”。</w:t>
              </w:r>
            </w:p>
          </w:sdtContent>
        </w:sdt>
        <w:p>
          <w:pPr>
            <w:spacing w:line="360" w:lineRule="auto"/>
            <w:rPr>
              <w:szCs w:val="21"/>
            </w:rPr>
          </w:pPr>
        </w:p>
      </w:sdtContent>
    </w:sdt>
    <w:sdt>
      <w:sdtPr>
        <w:rPr>
          <w:rFonts w:ascii="宋体" w:hAnsi="宋体" w:cs="宋体"/>
          <w:b w:val="0"/>
          <w:bCs w:val="0"/>
          <w:kern w:val="0"/>
          <w:szCs w:val="21"/>
        </w:rPr>
        <w:alias w:val="模块:公司控制的结构化主体情况"/>
        <w:tag w:val="_SEC_9484614c8eb4420fbc64d1a31f33de49"/>
        <w:id w:val="155410897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8"/>
            </w:numPr>
            <w:spacing w:before="0" w:after="0" w:line="360" w:lineRule="auto"/>
            <w:ind w:hangingChars="200"/>
            <w:rPr>
              <w:szCs w:val="21"/>
            </w:rPr>
          </w:pPr>
          <w:r>
            <w:rPr>
              <w:szCs w:val="21"/>
            </w:rPr>
            <w:t>公司控制的</w:t>
          </w:r>
          <w:r>
            <w:rPr>
              <w:rFonts w:hint="eastAsia"/>
              <w:szCs w:val="21"/>
            </w:rPr>
            <w:t>结构化</w:t>
          </w:r>
          <w:r>
            <w:rPr>
              <w:szCs w:val="21"/>
            </w:rPr>
            <w:t>主体情况</w:t>
          </w:r>
        </w:p>
        <w:sdt>
          <w:sdtPr>
            <w:rPr>
              <w:rFonts w:hint="eastAsia"/>
              <w:szCs w:val="21"/>
            </w:rPr>
            <w:alias w:val="是否适用：公司控制的结构化主体情况[双击切换]"/>
            <w:tag w:val="_GBC_844e5a5ece8c488e933f7fbfd0650339"/>
            <w:id w:val="-2118060854"/>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p>
      <w:pPr>
        <w:pStyle w:val="3"/>
        <w:numPr>
          <w:ilvl w:val="0"/>
          <w:numId w:val="7"/>
        </w:numPr>
        <w:spacing w:before="0" w:after="0" w:line="360" w:lineRule="auto"/>
        <w:ind w:left="422" w:hanging="422" w:hangingChars="200"/>
      </w:pPr>
      <w:r>
        <w:rPr>
          <w:rFonts w:hint="eastAsia"/>
        </w:rPr>
        <w:t>公司</w:t>
      </w:r>
      <w:r>
        <w:t>关于公司未来发展的讨论与分析</w:t>
      </w:r>
    </w:p>
    <w:sdt>
      <w:sdtPr>
        <w:rPr>
          <w:rFonts w:ascii="宋体" w:hAnsi="宋体" w:cs="宋体"/>
          <w:b w:val="0"/>
          <w:bCs w:val="0"/>
          <w:kern w:val="0"/>
          <w:szCs w:val="21"/>
        </w:rPr>
        <w:alias w:val="模块:行业格局和趋势"/>
        <w:tag w:val="_SEC_976db14dc0c94659822643e3f19cce9e"/>
        <w:id w:val="195281835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15"/>
            </w:numPr>
            <w:spacing w:before="0" w:after="0" w:line="360" w:lineRule="auto"/>
            <w:ind w:left="420" w:hangingChars="200"/>
            <w:rPr>
              <w:szCs w:val="21"/>
            </w:rPr>
          </w:pPr>
          <w:r>
            <w:rPr>
              <w:szCs w:val="21"/>
            </w:rPr>
            <w:t>行业格局和趋势</w:t>
          </w:r>
        </w:p>
        <w:sdt>
          <w:sdtPr>
            <w:rPr>
              <w:rFonts w:hint="eastAsia"/>
              <w:szCs w:val="21"/>
            </w:rPr>
            <w:alias w:val="是否适用：行业格局和趋势[双击切换]"/>
            <w:tag w:val="_GBC_da53e2a4423f4116b5d03ba76b630af9"/>
            <w:id w:val="1060836791"/>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行业竞争格局和发展趋势"/>
            <w:tag w:val="_GBC_c38788dc300c4c4592543c5db64e9308"/>
            <w:id w:val="1200743172"/>
            <w:lock w:val="sdtLocked"/>
            <w:placeholder>
              <w:docPart w:val="GBC22222222222222222222222222222"/>
            </w:placeholder>
          </w:sdtPr>
          <w:sdtEndPr>
            <w:rPr>
              <w:rFonts w:hint="eastAsia"/>
              <w:szCs w:val="21"/>
            </w:rPr>
          </w:sdtEndPr>
          <w:sdtContent>
            <w:p>
              <w:pPr>
                <w:spacing w:line="360" w:lineRule="auto"/>
                <w:ind w:firstLine="420" w:firstLineChars="200"/>
                <w:rPr>
                  <w:rFonts w:asciiTheme="minorEastAsia" w:hAnsiTheme="minorEastAsia" w:eastAsiaTheme="minorEastAsia"/>
                  <w:b/>
                  <w:szCs w:val="21"/>
                </w:rPr>
              </w:pPr>
              <w:r>
                <w:rPr>
                  <w:rFonts w:hint="eastAsia" w:asciiTheme="minorEastAsia" w:hAnsiTheme="minorEastAsia" w:eastAsiaTheme="minorEastAsia"/>
                  <w:b/>
                  <w:szCs w:val="21"/>
                </w:rPr>
                <w:t>1、新能源汽车行业</w:t>
              </w:r>
            </w:p>
            <w:p>
              <w:pPr>
                <w:numPr>
                  <w:ilvl w:val="255"/>
                  <w:numId w:val="0"/>
                </w:num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shd w:val="clear" w:color="auto" w:fill="FFFFFF"/>
                </w:rPr>
                <w:t>2020年，国务院办公厅印发的《新能源汽车产业发展规划（2021—2035年）》提出，到2025年我国新能源汽车新车销售量达到汽车新车销售总量的20%左右。</w:t>
              </w:r>
              <w:r>
                <w:rPr>
                  <w:rFonts w:hint="eastAsia" w:asciiTheme="minorEastAsia" w:hAnsiTheme="minorEastAsia" w:eastAsiaTheme="minorEastAsia"/>
                  <w:szCs w:val="21"/>
                </w:rPr>
                <w:t>根据中国汽车工业协会预计，2022年国内新能源汽车销量将达到500万辆，同比增长47%，随着智能网联汽车技术的加持、商业模式的创新，有效促进了新能源汽车的多赛道发展及消费者的购买欲望,</w:t>
              </w:r>
              <w:r>
                <w:rPr>
                  <w:rFonts w:hint="eastAsia" w:asciiTheme="minorEastAsia" w:hAnsiTheme="minorEastAsia" w:eastAsiaTheme="minorEastAsia"/>
                  <w:szCs w:val="21"/>
                  <w:shd w:val="clear" w:color="auto" w:fill="FFFFFF"/>
                </w:rPr>
                <w:t>新能源汽车将迎来新一轮发展机遇</w:t>
              </w:r>
              <w:r>
                <w:rPr>
                  <w:rFonts w:hint="eastAsia" w:asciiTheme="minorEastAsia" w:hAnsiTheme="minorEastAsia" w:eastAsiaTheme="minorEastAsia"/>
                  <w:szCs w:val="21"/>
                </w:rPr>
                <w:t>。</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color w:val="000000" w:themeColor="text1"/>
                  <w:szCs w:val="21"/>
                </w:rPr>
                <w:t>2021年，随着新生代用户人群的增加和消费结构的升级，出行领域正在经历前所未有的变革，</w:t>
              </w:r>
              <w:r>
                <w:rPr>
                  <w:rFonts w:hint="eastAsia" w:asciiTheme="minorEastAsia" w:hAnsiTheme="minorEastAsia" w:eastAsiaTheme="minorEastAsia"/>
                  <w:szCs w:val="21"/>
                </w:rPr>
                <w:t>B端出行代表出租车和网约车成为公共交通的重要组成部分。在各地积极启动换电出租车辆运营试点的背景下，换电车型拥有的采购成本低、补能时间短、使用寿命长等特点天然适配出行市场，出租车和网约车将成为换电模式重点应用领域。2021年10月，国家工信部启动新能源换电模式应用试点工作，目标为推广换电车辆10+万辆，换电站1000+座，其中重庆市经济和信息化委员会预计到2023年，重庆市将累计建成200座换电站，服务3+万辆换电出租车，同时，为加速换电站建设速度，部分城市陆续出台了换电站补贴政策。</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综上，从政策驱动、技术升级到换电车型逐步被消费者所认可及价值显现，预计国内新能源汽车及换电市场将在“十四五”期间实现快速发展。</w:t>
              </w:r>
            </w:p>
            <w:p>
              <w:pPr>
                <w:spacing w:line="360" w:lineRule="auto"/>
                <w:ind w:firstLine="422" w:firstLineChars="200"/>
                <w:rPr>
                  <w:rFonts w:asciiTheme="minorEastAsia" w:hAnsiTheme="minorEastAsia" w:eastAsiaTheme="minorEastAsia"/>
                  <w:b/>
                  <w:bCs/>
                  <w:szCs w:val="21"/>
                </w:rPr>
              </w:pPr>
              <w:r>
                <w:rPr>
                  <w:rFonts w:hint="eastAsia" w:asciiTheme="minorEastAsia" w:hAnsiTheme="minorEastAsia" w:eastAsiaTheme="minorEastAsia"/>
                  <w:b/>
                  <w:bCs/>
                  <w:szCs w:val="21"/>
                </w:rPr>
                <w:t>2、摩托车行业</w:t>
              </w:r>
            </w:p>
            <w:p>
              <w:pPr>
                <w:spacing w:line="360" w:lineRule="auto"/>
                <w:ind w:firstLine="420" w:firstLineChars="200"/>
                <w:rPr>
                  <w:szCs w:val="21"/>
                </w:rPr>
              </w:pPr>
              <w:r>
                <w:rPr>
                  <w:rFonts w:hint="eastAsia"/>
                  <w:szCs w:val="21"/>
                </w:rPr>
                <w:t>国际市场，全球摩托车呈现休闲娱乐及通勤类市场保持上升、产品迭代加速双态势，随着中国摩企逐渐加大研发投入，未来大排量产品有望参与并分享国际市场。受疫情及通胀的影响，预计国际市场对工具类、通勤类车型需求增加、中高端消费需求短期内会被抑制。在各国推出 “碳中和”、新税规及更严格的排放法规等政策的背景下，将推动技术及产品更迭。</w:t>
              </w:r>
            </w:p>
            <w:p>
              <w:pPr>
                <w:spacing w:line="360" w:lineRule="auto"/>
                <w:ind w:firstLine="420" w:firstLineChars="200"/>
                <w:rPr>
                  <w:szCs w:val="21"/>
                </w:rPr>
              </w:pPr>
              <w:r>
                <w:rPr>
                  <w:rFonts w:hint="eastAsia"/>
                  <w:szCs w:val="21"/>
                </w:rPr>
                <w:t>国内市场，我国电动两轮保有量超3亿辆，在新国标的要求下，其中1亿辆需替换，预计电动摩托车未来产销规模将进一步扩大。</w:t>
              </w:r>
            </w:p>
          </w:sdtContent>
        </w:sdt>
        <w:p>
          <w:pPr>
            <w:rPr>
              <w:szCs w:val="21"/>
            </w:rPr>
          </w:pPr>
        </w:p>
      </w:sdtContent>
    </w:sdt>
    <w:sdt>
      <w:sdtPr>
        <w:rPr>
          <w:rFonts w:ascii="宋体" w:hAnsi="宋体" w:cs="宋体"/>
          <w:b w:val="0"/>
          <w:bCs w:val="0"/>
          <w:kern w:val="0"/>
          <w:szCs w:val="21"/>
        </w:rPr>
        <w:alias w:val="模块:公司发展战略"/>
        <w:tag w:val="_SEC_ddbac632a621498c889e331b6e21fcc6"/>
        <w:id w:val="1021358271"/>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15"/>
            </w:numPr>
            <w:spacing w:before="0" w:after="0" w:line="360" w:lineRule="auto"/>
            <w:ind w:left="420" w:hangingChars="200"/>
            <w:rPr>
              <w:szCs w:val="21"/>
            </w:rPr>
          </w:pPr>
          <w:r>
            <w:rPr>
              <w:szCs w:val="21"/>
            </w:rPr>
            <w:t>公司发展战略</w:t>
          </w:r>
        </w:p>
        <w:sdt>
          <w:sdtPr>
            <w:rPr>
              <w:rFonts w:hint="eastAsia"/>
              <w:szCs w:val="21"/>
            </w:rPr>
            <w:alias w:val="是否适用：公司发展战略[双击切换]"/>
            <w:tag w:val="_GBC_5cdf4718a6044c1fbf76e22df729f9b7"/>
            <w:id w:val="-1256432089"/>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发展战略"/>
            <w:tag w:val="_GBC_afe9ed534944441fae5223f90c2521f1"/>
            <w:id w:val="1656495229"/>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以用户为中心构建新能源汽车换电生态、摩托车生活生态圈，以创新为动力，加快新品上市、渠道建设及新品牌营销，同步设计满足不同客户需求的解决方案，加快公司持续向科技化及互联网化全面转型。</w:t>
              </w:r>
            </w:p>
            <w:p>
              <w:pPr>
                <w:spacing w:line="360" w:lineRule="auto"/>
                <w:ind w:firstLine="420" w:firstLineChars="200"/>
                <w:rPr>
                  <w:szCs w:val="21"/>
                </w:rPr>
              </w:pPr>
              <w:r>
                <w:rPr>
                  <w:szCs w:val="21"/>
                </w:rPr>
                <w:t>1、新能源汽车方面</w:t>
              </w:r>
            </w:p>
            <w:p>
              <w:pPr>
                <w:spacing w:line="360" w:lineRule="auto"/>
                <w:ind w:firstLine="420" w:firstLineChars="200"/>
                <w:rPr>
                  <w:szCs w:val="21"/>
                </w:rPr>
              </w:pPr>
              <w:r>
                <w:rPr>
                  <w:rFonts w:hint="eastAsia"/>
                  <w:szCs w:val="21"/>
                </w:rPr>
                <w:t>公司以换电新能源生态为内核，建设从“购车到用车”“产品到生活”的闭合圈，与产业投资人共同打造</w:t>
              </w:r>
              <w:r>
                <w:rPr>
                  <w:szCs w:val="21"/>
                </w:rPr>
                <w:t xml:space="preserve"> “车、电、站、云”四位一体的换电出行生态，建立并完善汽车品牌与换电品牌架构。</w:t>
              </w:r>
            </w:p>
            <w:p>
              <w:pPr>
                <w:spacing w:line="360" w:lineRule="auto"/>
                <w:ind w:firstLine="420" w:firstLineChars="200"/>
                <w:rPr>
                  <w:szCs w:val="21"/>
                </w:rPr>
              </w:pPr>
              <w:r>
                <w:rPr>
                  <w:rFonts w:hint="eastAsia"/>
                  <w:szCs w:val="21"/>
                </w:rPr>
                <w:t>合资公司睿蓝汽车以“新势能”塑造入局姿态，将“倡导换电出行生活方式，为行业创造新价值和改变”设为目标，以期为用户出行的进步与更迭带来积极的改变。未来，睿蓝汽车将有步骤、分阶段，实现产品跃升，旗下车型会涉及多个品类，在锚定充换电新能源市场的同时，快速覆盖细分市场，建立品牌知名度，颠覆市场竞争格局。</w:t>
              </w:r>
            </w:p>
            <w:p>
              <w:pPr>
                <w:spacing w:line="360" w:lineRule="auto"/>
                <w:ind w:firstLine="420" w:firstLineChars="200"/>
                <w:rPr>
                  <w:szCs w:val="21"/>
                </w:rPr>
              </w:pPr>
              <w:r>
                <w:rPr>
                  <w:szCs w:val="21"/>
                </w:rPr>
                <w:t>2、摩托车方面</w:t>
              </w:r>
            </w:p>
            <w:p>
              <w:pPr>
                <w:spacing w:line="360" w:lineRule="auto"/>
                <w:ind w:firstLine="420" w:firstLineChars="200"/>
              </w:pPr>
              <w:r>
                <w:rPr>
                  <w:rFonts w:hint="eastAsia"/>
                  <w:szCs w:val="21"/>
                </w:rPr>
                <w:t>摩托车产业将持续加大“智能化、电动化”战略转型为主线；公司产品线重点规划</w:t>
              </w:r>
              <w:r>
                <w:rPr>
                  <w:szCs w:val="21"/>
                </w:rPr>
                <w:t>V缸、踏板车、中小排量高性能化、高性能电动化；打造新数字营销模式，以用户体验为中心，为用户提供年轻化、智能化、定制私享化机车产品和全周期服务。</w:t>
              </w:r>
            </w:p>
          </w:sdtContent>
        </w:sdt>
        <w:p>
          <w:pPr>
            <w:rPr>
              <w:szCs w:val="21"/>
            </w:rPr>
          </w:pPr>
        </w:p>
      </w:sdtContent>
    </w:sdt>
    <w:sdt>
      <w:sdtPr>
        <w:rPr>
          <w:rFonts w:ascii="宋体" w:hAnsi="宋体" w:cs="宋体"/>
          <w:b w:val="0"/>
          <w:bCs w:val="0"/>
          <w:kern w:val="0"/>
          <w:szCs w:val="21"/>
        </w:rPr>
        <w:alias w:val="模块:经营计划"/>
        <w:tag w:val="_SEC_e5dfae5745e046e6a8ba223752a1dccc"/>
        <w:id w:val="1555269456"/>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15"/>
            </w:numPr>
            <w:spacing w:before="0" w:after="0" w:line="360" w:lineRule="auto"/>
            <w:ind w:left="420" w:hangingChars="200"/>
            <w:rPr>
              <w:szCs w:val="21"/>
            </w:rPr>
          </w:pPr>
          <w:r>
            <w:rPr>
              <w:szCs w:val="21"/>
            </w:rPr>
            <w:t>经营计划</w:t>
          </w:r>
        </w:p>
        <w:sdt>
          <w:sdtPr>
            <w:rPr>
              <w:rFonts w:hint="eastAsia"/>
              <w:szCs w:val="21"/>
            </w:rPr>
            <w:alias w:val="是否适用：经营计划[双击切换]"/>
            <w:tag w:val="_GBC_871dbf3fc5a0422cadcc3452003278de"/>
            <w:id w:val="-246498504"/>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经营计划"/>
            <w:tag w:val="_GBC_3f9bf7d7a36444cab37005d22ebc798c"/>
            <w:id w:val="-1180272591"/>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为实现</w:t>
              </w:r>
              <w:r>
                <w:rPr>
                  <w:szCs w:val="21"/>
                </w:rPr>
                <w:t>2022年经营目标，公司将重点做好以下几个方面工作：</w:t>
              </w:r>
            </w:p>
            <w:p>
              <w:pPr>
                <w:spacing w:line="360" w:lineRule="auto"/>
                <w:ind w:firstLine="420" w:firstLineChars="200"/>
                <w:rPr>
                  <w:szCs w:val="21"/>
                </w:rPr>
              </w:pPr>
              <w:r>
                <w:rPr>
                  <w:szCs w:val="21"/>
                </w:rPr>
                <w:t>1、汽车业务</w:t>
              </w:r>
            </w:p>
            <w:p>
              <w:pPr>
                <w:spacing w:line="360" w:lineRule="auto"/>
                <w:ind w:firstLine="420" w:firstLineChars="200"/>
                <w:rPr>
                  <w:szCs w:val="21"/>
                  <w:highlight w:val="none"/>
                </w:rPr>
              </w:pPr>
              <w:r>
                <w:rPr>
                  <w:rFonts w:hint="eastAsia"/>
                  <w:szCs w:val="21"/>
                </w:rPr>
                <w:t>（</w:t>
              </w:r>
              <w:r>
                <w:rPr>
                  <w:szCs w:val="21"/>
                </w:rPr>
                <w:t>1）技术方</w:t>
              </w:r>
              <w:r>
                <w:rPr>
                  <w:szCs w:val="21"/>
                  <w:highlight w:val="none"/>
                </w:rPr>
                <w:t>面，全面统筹智能化、标准化</w:t>
              </w:r>
              <w:r>
                <w:rPr>
                  <w:rFonts w:hint="eastAsia"/>
                  <w:szCs w:val="21"/>
                  <w:highlight w:val="none"/>
                </w:rPr>
                <w:t>、平台化的</w:t>
              </w:r>
              <w:r>
                <w:rPr>
                  <w:szCs w:val="21"/>
                  <w:highlight w:val="none"/>
                </w:rPr>
                <w:t>换电技术及架构，推出全新两大模块化可扩展平台，助力推动试点城市换电技术标准推广应用，加强动力电池技术、智能驾驶、智能驾舱、架构、能量流仿真、热泵技术的开发。</w:t>
              </w:r>
            </w:p>
            <w:p>
              <w:pPr>
                <w:spacing w:line="360" w:lineRule="auto"/>
                <w:ind w:firstLine="420" w:firstLineChars="200"/>
                <w:rPr>
                  <w:szCs w:val="21"/>
                  <w:highlight w:val="none"/>
                </w:rPr>
              </w:pPr>
              <w:r>
                <w:rPr>
                  <w:rFonts w:hint="eastAsia"/>
                  <w:szCs w:val="21"/>
                  <w:highlight w:val="none"/>
                </w:rPr>
                <w:t>（</w:t>
              </w:r>
              <w:r>
                <w:rPr>
                  <w:szCs w:val="21"/>
                  <w:highlight w:val="none"/>
                </w:rPr>
                <w:t>2）营销方面，将由传统 “新零售”向“新运营”</w:t>
              </w:r>
              <w:r>
                <w:rPr>
                  <w:rFonts w:hint="eastAsia"/>
                  <w:szCs w:val="21"/>
                  <w:highlight w:val="none"/>
                </w:rPr>
                <w:t>转变</w:t>
              </w:r>
              <w:r>
                <w:rPr>
                  <w:szCs w:val="21"/>
                  <w:highlight w:val="none"/>
                </w:rPr>
                <w:t>，抓住并解决用户痛点，搭建C端经销商体系，完善B端市场的推广及投放，制定售后权益及解决方案，打造覆盖用户全生命周期的流量生态圈。</w:t>
              </w:r>
            </w:p>
            <w:p>
              <w:pPr>
                <w:spacing w:line="360" w:lineRule="auto"/>
                <w:ind w:firstLine="420" w:firstLineChars="200"/>
                <w:rPr>
                  <w:szCs w:val="21"/>
                </w:rPr>
              </w:pPr>
              <w:r>
                <w:rPr>
                  <w:rFonts w:hint="eastAsia"/>
                  <w:szCs w:val="21"/>
                  <w:highlight w:val="none"/>
                </w:rPr>
                <w:t>（</w:t>
              </w:r>
              <w:r>
                <w:rPr>
                  <w:szCs w:val="21"/>
                  <w:highlight w:val="none"/>
                </w:rPr>
                <w:t>3）整合资源方面，</w:t>
              </w:r>
              <w:r>
                <w:rPr>
                  <w:rFonts w:hint="eastAsia"/>
                  <w:szCs w:val="21"/>
                  <w:highlight w:val="none"/>
                </w:rPr>
                <w:t>2</w:t>
              </w:r>
              <w:r>
                <w:rPr>
                  <w:szCs w:val="21"/>
                  <w:highlight w:val="none"/>
                </w:rPr>
                <w:t>022</w:t>
              </w:r>
              <w:r>
                <w:rPr>
                  <w:rFonts w:hint="eastAsia"/>
                  <w:szCs w:val="21"/>
                  <w:highlight w:val="none"/>
                </w:rPr>
                <w:t>年将陆续推出6</w:t>
              </w:r>
              <w:r>
                <w:rPr>
                  <w:szCs w:val="21"/>
                  <w:highlight w:val="none"/>
                </w:rPr>
                <w:t>0S</w:t>
              </w:r>
              <w:r>
                <w:rPr>
                  <w:rFonts w:hint="eastAsia"/>
                  <w:szCs w:val="21"/>
                  <w:highlight w:val="none"/>
                </w:rPr>
                <w:t>、X3pro、8</w:t>
              </w:r>
              <w:r>
                <w:rPr>
                  <w:szCs w:val="21"/>
                  <w:highlight w:val="none"/>
                </w:rPr>
                <w:t>0X</w:t>
              </w:r>
              <w:r>
                <w:rPr>
                  <w:rFonts w:hint="eastAsia"/>
                  <w:szCs w:val="21"/>
                  <w:highlight w:val="none"/>
                </w:rPr>
                <w:t>、NS11等车型，</w:t>
              </w:r>
              <w:r>
                <w:rPr>
                  <w:szCs w:val="21"/>
                  <w:highlight w:val="none"/>
                </w:rPr>
                <w:t>协</w:t>
              </w:r>
              <w:r>
                <w:rPr>
                  <w:szCs w:val="21"/>
                </w:rPr>
                <w:t>同产业投资人增强换电业务中车、站、出行平台和资产管理的融合，与换电站营运商共同构建覆盖研发、制造、营销、运营等全价值链的数智化转型体系，促进业务更高效运转。</w:t>
              </w:r>
            </w:p>
            <w:p>
              <w:pPr>
                <w:spacing w:line="360" w:lineRule="auto"/>
                <w:ind w:firstLine="420" w:firstLineChars="200"/>
                <w:rPr>
                  <w:szCs w:val="21"/>
                </w:rPr>
              </w:pPr>
              <w:r>
                <w:rPr>
                  <w:szCs w:val="21"/>
                </w:rPr>
                <w:t>2、摩托车业务</w:t>
              </w:r>
            </w:p>
            <w:p>
              <w:pPr>
                <w:spacing w:line="360" w:lineRule="auto"/>
                <w:ind w:firstLine="420" w:firstLineChars="200"/>
                <w:rPr>
                  <w:szCs w:val="21"/>
                </w:rPr>
              </w:pPr>
              <w:r>
                <w:rPr>
                  <w:rFonts w:hint="eastAsia"/>
                  <w:szCs w:val="21"/>
                </w:rPr>
                <w:t>（</w:t>
              </w:r>
              <w:r>
                <w:rPr>
                  <w:szCs w:val="21"/>
                </w:rPr>
                <w:t>1）产品方面，加大中小排量高性能研发，强化电喷系统的自主开发向多缸延伸核心优势；加大“智能化、电动化”技术应用。电动化方面开展整车轻量化研究，优化电池组总成能量密度、电机功率密度。研究电池热管理技术，快充技术，兼容汽车交、直流充电桩，实现充电快捷与便利性。智能化应用方面，一是智能仪表（自动光感、胎压监测及报警、手机互联、娱乐体验），二是智能中控系统（仪表逻辑运算及显示驱动、多媒体影音处理及显示驱动、T-BOX智能车载网络终端、车辆控制、手机互联）。</w:t>
              </w:r>
            </w:p>
            <w:p>
              <w:pPr>
                <w:spacing w:line="360" w:lineRule="auto"/>
                <w:ind w:firstLine="420" w:firstLineChars="200"/>
              </w:pPr>
              <w:r>
                <w:rPr>
                  <w:rFonts w:hint="eastAsia"/>
                  <w:szCs w:val="21"/>
                </w:rPr>
                <w:t>（</w:t>
              </w:r>
              <w:r>
                <w:rPr>
                  <w:szCs w:val="21"/>
                </w:rPr>
                <w:t>2）营销方面，国内采取双品牌策略，围绕用户直达、数据驱动、生态衍生三项核心内容打造新数字营销模式。2022年计划在国内新增网点300家，重点突破二线城市市场，确保出口市场的重点投入、交货周期；国际市场入门级中小排量的产品如踏板车的跟进及上量，加大欧美市场电动车推广，持续改善产品结构。</w:t>
              </w:r>
            </w:p>
          </w:sdtContent>
        </w:sdt>
      </w:sdtContent>
    </w:sdt>
    <w:sdt>
      <w:sdtPr>
        <w:rPr>
          <w:rFonts w:ascii="宋体" w:hAnsi="宋体" w:cs="宋体"/>
          <w:b w:val="0"/>
          <w:bCs w:val="0"/>
          <w:kern w:val="0"/>
          <w:szCs w:val="21"/>
        </w:rPr>
        <w:alias w:val="模块:可能面对的风险"/>
        <w:tag w:val="_SEC_22da638766f04cb497f13857cff3dfee"/>
        <w:id w:val="471257087"/>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15"/>
            </w:numPr>
            <w:spacing w:before="0" w:after="0" w:line="360" w:lineRule="auto"/>
            <w:ind w:left="420" w:hangingChars="200"/>
            <w:rPr>
              <w:szCs w:val="21"/>
            </w:rPr>
          </w:pPr>
          <w:r>
            <w:rPr>
              <w:szCs w:val="21"/>
            </w:rPr>
            <w:t>可能面对的风险</w:t>
          </w:r>
        </w:p>
        <w:sdt>
          <w:sdtPr>
            <w:rPr>
              <w:rFonts w:hint="eastAsia"/>
              <w:szCs w:val="21"/>
            </w:rPr>
            <w:alias w:val="是否适用：可能面对的风险[双击切换]"/>
            <w:tag w:val="_GBC_1b74f2e1039c4fe9acc819e860071020"/>
            <w:id w:val="1458288907"/>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可能面对的风险"/>
            <w:tag w:val="_GBC_c62723d12603412ba692148cd4961de5"/>
            <w:id w:val="919371771"/>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szCs w:val="21"/>
                </w:rPr>
                <w:t>1、国家和地缘性政策风险</w:t>
              </w:r>
            </w:p>
            <w:p>
              <w:pPr>
                <w:spacing w:line="360" w:lineRule="auto"/>
                <w:ind w:firstLine="420" w:firstLineChars="200"/>
                <w:rPr>
                  <w:szCs w:val="21"/>
                </w:rPr>
              </w:pPr>
              <w:r>
                <w:rPr>
                  <w:rFonts w:hint="eastAsia"/>
                  <w:szCs w:val="21"/>
                </w:rPr>
                <w:t>新能源汽车换电行业发展仍处于推广应用阶段，尚未形成统一、通用标准，加之定义标准与补贴方式方法等细节政策上仍处于摸索、试点阶段，有待逐步规范；摩托车业务受疫情及俄乌战争的影响，将导致相关区域的前景无法预测，国内各地禁限摩长期存在迫使摩托车产品向电动化、运动化转型。</w:t>
              </w:r>
            </w:p>
            <w:p>
              <w:pPr>
                <w:spacing w:line="360" w:lineRule="auto"/>
                <w:ind w:firstLine="420" w:firstLineChars="200"/>
                <w:rPr>
                  <w:szCs w:val="21"/>
                </w:rPr>
              </w:pPr>
              <w:r>
                <w:rPr>
                  <w:szCs w:val="21"/>
                </w:rPr>
                <w:t>2、供应链风险</w:t>
              </w:r>
            </w:p>
            <w:p>
              <w:pPr>
                <w:spacing w:line="360" w:lineRule="auto"/>
                <w:ind w:firstLine="420" w:firstLineChars="200"/>
                <w:rPr>
                  <w:szCs w:val="21"/>
                </w:rPr>
              </w:pPr>
              <w:r>
                <w:rPr>
                  <w:rFonts w:hint="eastAsia"/>
                  <w:szCs w:val="21"/>
                </w:rPr>
                <w:t>目前，受疫情影响导致供应链产能持续波动，“电池荒”、“缺芯少屏”常态化，原材料、运输成本持续高位运行是制约新能源汽车销量提升的重要环节之一，尤其是对换电车的影响较大。</w:t>
              </w:r>
            </w:p>
            <w:p>
              <w:pPr>
                <w:spacing w:line="360" w:lineRule="auto"/>
                <w:ind w:firstLine="420" w:firstLineChars="200"/>
                <w:rPr>
                  <w:szCs w:val="21"/>
                </w:rPr>
              </w:pPr>
              <w:r>
                <w:rPr>
                  <w:szCs w:val="21"/>
                </w:rPr>
                <w:t>3.汇率风险</w:t>
              </w:r>
            </w:p>
            <w:p>
              <w:pPr>
                <w:spacing w:line="360" w:lineRule="auto"/>
                <w:ind w:firstLine="420" w:firstLineChars="200"/>
                <w:rPr>
                  <w:szCs w:val="21"/>
                </w:rPr>
              </w:pPr>
              <w:r>
                <w:rPr>
                  <w:rFonts w:hint="eastAsia"/>
                  <w:szCs w:val="21"/>
                </w:rPr>
                <w:t>公司历年来摩托车业务积极开拓国外市场，出口收入占比较高，面对出口国家地区的当地货币汇率的大幅波动，将可能对公司造成产品出口的不利影响和汇兑损失，从而增加财务成本。</w:t>
              </w:r>
            </w:p>
            <w:p>
              <w:pPr>
                <w:spacing w:line="360" w:lineRule="auto"/>
                <w:ind w:firstLine="420" w:firstLineChars="200"/>
                <w:rPr>
                  <w:szCs w:val="21"/>
                </w:rPr>
              </w:pPr>
              <w:r>
                <w:rPr>
                  <w:rFonts w:hint="eastAsia"/>
                  <w:szCs w:val="21"/>
                </w:rPr>
                <w:t>对上述风险，公司将积极采取商务降本、扩大供应链资源、合理规划库存等措施妥善化解风险。</w:t>
              </w:r>
            </w:p>
          </w:sdtContent>
        </w:sdt>
        <w:p>
          <w:pPr>
            <w:rPr>
              <w:szCs w:val="21"/>
            </w:rPr>
          </w:pPr>
        </w:p>
      </w:sdtContent>
    </w:sdt>
    <w:sdt>
      <w:sdtPr>
        <w:rPr>
          <w:rFonts w:ascii="宋体" w:hAnsi="宋体" w:cs="宋体"/>
          <w:b w:val="0"/>
          <w:bCs w:val="0"/>
          <w:kern w:val="0"/>
          <w:szCs w:val="21"/>
        </w:rPr>
        <w:alias w:val="模块:其他"/>
        <w:tag w:val="_SEC_449f92267bc945658d04ffaf693010b1"/>
        <w:id w:val="-1757118845"/>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3"/>
              <w:numId w:val="15"/>
            </w:numPr>
            <w:spacing w:before="0" w:after="0" w:line="360" w:lineRule="auto"/>
            <w:ind w:left="420" w:hangingChars="200"/>
            <w:rPr>
              <w:szCs w:val="21"/>
            </w:rPr>
          </w:pPr>
          <w:r>
            <w:rPr>
              <w:szCs w:val="21"/>
            </w:rPr>
            <w:t>其他</w:t>
          </w:r>
        </w:p>
        <w:sdt>
          <w:sdtPr>
            <w:rPr>
              <w:rFonts w:hint="eastAsia"/>
              <w:szCs w:val="21"/>
            </w:rPr>
            <w:alias w:val="是否适用：公司其他未来发展的讨论和分析[双击切换]"/>
            <w:tag w:val="_GBC_aad5c59ba9344d37bc5cc7a8eba5f048"/>
            <w:id w:val="-814641544"/>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hint="eastAsia" w:ascii="Cambria" w:hAnsi="Cambria" w:cs="宋体"/>
          <w:b w:val="0"/>
          <w:bCs w:val="0"/>
          <w:kern w:val="0"/>
          <w:szCs w:val="24"/>
        </w:rPr>
        <w:alias w:val="模块:公司因不适用准则规定国家秘密、商业秘密等或特殊原因，未按准则披露的情况和原因说明"/>
        <w:tag w:val="_SEC_14765587b8824a0d969811c87d3f8cd6"/>
        <w:id w:val="-129960469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7"/>
            </w:numPr>
            <w:spacing w:before="0" w:after="0" w:line="360" w:lineRule="auto"/>
            <w:rPr>
              <w:rFonts w:ascii="Cambria" w:hAnsi="Cambria"/>
            </w:rPr>
          </w:pPr>
          <w:r>
            <w:rPr>
              <w:rFonts w:hint="eastAsia" w:ascii="Cambria" w:hAnsi="Cambria"/>
            </w:rPr>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976991264"/>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2"/>
        <w:numPr>
          <w:ilvl w:val="0"/>
          <w:numId w:val="2"/>
        </w:numPr>
        <w:spacing w:before="0" w:after="0"/>
        <w:jc w:val="left"/>
        <w:rPr>
          <w:bCs w:val="0"/>
        </w:rPr>
      </w:pPr>
      <w:bookmarkStart w:id="42" w:name="_Toc437440716"/>
      <w:bookmarkStart w:id="43" w:name="_Toc89790251"/>
      <w:bookmarkStart w:id="44" w:name="_Toc409437610"/>
      <w:r>
        <w:rPr>
          <w:bCs w:val="0"/>
        </w:rPr>
        <w:t>公司治理</w:t>
      </w:r>
      <w:bookmarkEnd w:id="42"/>
      <w:bookmarkEnd w:id="43"/>
      <w:bookmarkEnd w:id="44"/>
    </w:p>
    <w:sdt>
      <w:sdtPr>
        <w:rPr>
          <w:rFonts w:ascii="宋体" w:hAnsi="宋体" w:cs="宋体"/>
          <w:b w:val="0"/>
          <w:bCs w:val="0"/>
          <w:kern w:val="0"/>
          <w:szCs w:val="24"/>
        </w:rPr>
        <w:alias w:val="模块:公司治理相关情况说明"/>
        <w:tag w:val="_SEC_0164dfaf2ef04d3a93f24cb4cdc06581"/>
        <w:id w:val="-476461313"/>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6"/>
            </w:numPr>
            <w:spacing w:before="0" w:after="0" w:line="360" w:lineRule="auto"/>
          </w:pPr>
          <w:r>
            <w:t>公司治理相关情况说明</w:t>
          </w:r>
        </w:p>
        <w:sdt>
          <w:sdtPr>
            <w:rPr>
              <w:rFonts w:hint="eastAsia"/>
              <w:szCs w:val="21"/>
            </w:rPr>
            <w:alias w:val="是否适用：公司治理相关情况说明[双击切换]"/>
            <w:tag w:val="_GBC_fcded3e74c5842408b5da723b3a757fa"/>
            <w:id w:val="-1582055384"/>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治理相关情况说明"/>
            <w:tag w:val="_GBC_b4d29a30dc2b4ea6b942196a3b52c2d0"/>
            <w:id w:val="324171664"/>
            <w:lock w:val="sdtLocked"/>
            <w:placeholder>
              <w:docPart w:val="GBC22222222222222222222222222222"/>
            </w:placeholder>
          </w:sdtPr>
          <w:sdtEndPr>
            <w:rPr>
              <w:szCs w:val="21"/>
            </w:rPr>
          </w:sdtEndPr>
          <w:sdtContent>
            <w:p>
              <w:pPr>
                <w:spacing w:line="360" w:lineRule="auto"/>
                <w:ind w:firstLine="424" w:firstLineChars="202"/>
                <w:rPr>
                  <w:szCs w:val="21"/>
                </w:rPr>
              </w:pPr>
              <w:r>
                <w:rPr>
                  <w:rFonts w:hint="eastAsia"/>
                </w:rPr>
                <w:t>报告期内，公司严格按照《公司法》《证券法》和中国证监会有关法律、法规要求，建立现代企业制度，规范股东大会、董事会、监事会的运行，不断完善公司法人治理结构建设，加强信息披露工作，做好投资者关系管理工作。具体公司治理情况如下：</w:t>
              </w:r>
            </w:p>
            <w:p>
              <w:pPr>
                <w:spacing w:line="360" w:lineRule="auto"/>
                <w:ind w:firstLine="424" w:firstLineChars="202"/>
              </w:pPr>
              <w:r>
                <w:rPr>
                  <w:rFonts w:hint="eastAsia"/>
                </w:rPr>
                <w:t>1、股东与股东大会：报告期内，公司召开了4次股东大会。公司确保所有股东，特别是中小股东充分享有和行使自己的权利。公司严格按照《公司章程》和《股东大会议事规则》的要求召集、召开股东大会，使股东能充分行使表决权；股东大会聘请了律师出席并进行见证；关联交易遵循公平合理的原则，关联股东回避表决。</w:t>
              </w:r>
            </w:p>
            <w:p>
              <w:pPr>
                <w:spacing w:line="360" w:lineRule="auto"/>
                <w:ind w:firstLine="424" w:firstLineChars="202"/>
              </w:pPr>
              <w:r>
                <w:rPr>
                  <w:rFonts w:hint="eastAsia"/>
                </w:rPr>
                <w:t>2、董事与董事会：报告期内，公司召开了8次董事会。董事会人数和人员构成符合法律法规和《公司章程》的要求。董事会按照《董事会议事规则》开展工作，各位董事认真负责，诚信勤勉地履行职责，未出现越权行使股东大会权力的行为，也未出现越权干预监事会运作和经营管理层的行为；全体董事积极参加监管机构组织的培训，了解董事的权利、义务和责任，正确行使权利。</w:t>
              </w:r>
            </w:p>
            <w:p>
              <w:pPr>
                <w:spacing w:line="360" w:lineRule="auto"/>
                <w:ind w:firstLine="424" w:firstLineChars="202"/>
              </w:pPr>
              <w:r>
                <w:rPr>
                  <w:rFonts w:hint="eastAsia"/>
                </w:rPr>
                <w:t>3、监事与监事会：报告期内，公司召开了7次监事会。公司监事会人数和人员构成符合法律法规和《公司章程》的要求。监事会按照《公司章程》和《监事会议事规则》的要求，本着为股东负责的态度，对公司重大事项、关联交易、财务状况及董事、高级管理人员履职的合法性、合规性进行有效监督，认真履行监督职能，维护公司和全体股东利益。</w:t>
              </w:r>
            </w:p>
            <w:p>
              <w:pPr>
                <w:spacing w:line="360" w:lineRule="auto"/>
                <w:ind w:firstLine="424" w:firstLineChars="202"/>
              </w:pPr>
              <w:r>
                <w:rPr>
                  <w:rFonts w:hint="eastAsia"/>
                </w:rPr>
                <w:t>4、治理制度：报告期内，公司结合监管要求与经营管理实际需要不断优化制度体系，修订了《公司章程》《股东会议事规则》《董事会议事规则》《监事会议事规则》《独立董事工作制度》《审计委员会实施细则》《薪酬与考核委员会实施细则》《战略委员会实施细则》《提名委员会实施细则》《内幕信息知情人管理制度》以及《信息披露管理制度》，并不断调整完善业务流程，持续强化内控。</w:t>
              </w:r>
            </w:p>
            <w:p>
              <w:pPr>
                <w:spacing w:line="360" w:lineRule="auto"/>
                <w:ind w:firstLine="424" w:firstLineChars="202"/>
              </w:pPr>
              <w:r>
                <w:rPr>
                  <w:rFonts w:hint="eastAsia"/>
                </w:rPr>
                <w:t>5、公司经营班子的工作勤勉尽责，并定期向董事会、监事会报告工作。</w:t>
              </w:r>
            </w:p>
            <w:p>
              <w:pPr>
                <w:spacing w:line="360" w:lineRule="auto"/>
                <w:ind w:firstLine="424" w:firstLineChars="202"/>
              </w:pPr>
              <w:r>
                <w:rPr>
                  <w:rFonts w:hint="eastAsia"/>
                </w:rPr>
                <w:t>6、信息披露与透明度：公司高度重视信息披露工作，严格执行信息披露的法律法规及有关规定，明确信息披露的主体和权限，做到了真实、及时、准确地披露相关信息和向证监会派出机构、上海证券交易所报告有关情况，确保所有股东有平等机会获得信息，并进一步加强与投资者之间的沟通。</w:t>
              </w:r>
            </w:p>
          </w:sdtContent>
        </w:sdt>
        <w:p>
          <w:pPr>
            <w:spacing w:line="360" w:lineRule="auto"/>
            <w:rPr>
              <w:szCs w:val="21"/>
            </w:rPr>
          </w:pPr>
        </w:p>
        <w:p>
          <w:pPr>
            <w:spacing w:line="360" w:lineRule="auto"/>
            <w:rPr>
              <w:szCs w:val="21"/>
            </w:rPr>
          </w:pPr>
          <w:r>
            <w:rPr>
              <w:szCs w:val="21"/>
            </w:rPr>
            <w:t>公司治理</w:t>
          </w:r>
          <w:r>
            <w:rPr>
              <w:rFonts w:hint="eastAsia"/>
              <w:szCs w:val="21"/>
            </w:rPr>
            <w:t>与法律、行政法规和中国证监会关于上市公司治理的规定</w:t>
          </w:r>
          <w:r>
            <w:rPr>
              <w:szCs w:val="21"/>
            </w:rPr>
            <w:t>是否存在</w:t>
          </w:r>
          <w:r>
            <w:rPr>
              <w:rFonts w:hint="eastAsia"/>
              <w:szCs w:val="21"/>
            </w:rPr>
            <w:t>重大</w:t>
          </w:r>
          <w:r>
            <w:rPr>
              <w:szCs w:val="21"/>
            </w:rPr>
            <w:t>差异；如有</w:t>
          </w:r>
          <w:r>
            <w:rPr>
              <w:rFonts w:hint="eastAsia"/>
              <w:szCs w:val="21"/>
            </w:rPr>
            <w:t>重大</w:t>
          </w:r>
          <w:r>
            <w:rPr>
              <w:szCs w:val="21"/>
            </w:rPr>
            <w:t>差异，应当说明原因</w:t>
          </w:r>
        </w:p>
        <w:sdt>
          <w:sdtPr>
            <w:rPr>
              <w:szCs w:val="21"/>
            </w:rPr>
            <w:alias w:val="是否适用：公司治理与中国证监会相关规定的要求是否存在重大差异[双击切换]"/>
            <w:tag w:val="_GBC_19571e68abe346ceb8159aac5aa1b941"/>
            <w:id w:val="448973953"/>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cs="宋体"/>
          <w:b w:val="0"/>
          <w:bCs w:val="0"/>
          <w:kern w:val="0"/>
          <w:szCs w:val="24"/>
        </w:rPr>
        <w:alias w:val="模块:公司就其与控股股东在业务、人员、资产、机构、财务等方面存在的..."/>
        <w:tag w:val="_SEC_688f9e7a19b8440896b6ff6f165a1948"/>
        <w:id w:val="312916051"/>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6"/>
            </w:numPr>
            <w:spacing w:before="0" w:after="0" w:line="360" w:lineRule="auto"/>
            <w:ind w:left="450" w:hanging="45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szCs w:val="21"/>
            </w:rPr>
            <w:alias w:val="是否适用：公司就其与控股股东在业务、人员、资产、机构、财务等方面存在的不能保证独立性、不能保持自主经营能力的情况说明[双击切换]"/>
            <w:tag w:val="_GBC_50c3f410fb5f41fcb5dafe7e6ee9876f"/>
            <w:id w:val="2058271700"/>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p>
          <w:pPr>
            <w:spacing w:line="360" w:lineRule="auto"/>
            <w:rPr>
              <w:szCs w:val="21"/>
            </w:rPr>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szCs w:val="21"/>
            </w:rPr>
            <w:alias w:val="是否适用：存在同业竞争的，公司相应的解决措施、工作进度及后续工作计划[双击切换]"/>
            <w:tag w:val="_GBC_1883b6583caa4429822c73ae5e75f9f4"/>
            <w:id w:val="-554858688"/>
            <w:lock w:val="sdtLocked"/>
            <w:placeholder>
              <w:docPart w:val="GBC22222222222222222222222222222"/>
            </w:placeholder>
          </w:sdtPr>
          <w:sdtEndPr>
            <w:rPr>
              <w:rFonts w:hint="eastAsia"/>
              <w:szCs w:val="21"/>
            </w:rPr>
          </w:sdtEndPr>
          <w:sdtContent>
            <w:p>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ascii="宋体" w:hAnsi="宋体" w:cs="宋体"/>
          <w:b w:val="0"/>
          <w:bCs w:val="0"/>
          <w:kern w:val="0"/>
          <w:szCs w:val="24"/>
        </w:rPr>
        <w:alias w:val="模块:股东大会情况简介会议届次召开日期决议刊登的指定网站的查询索..."/>
        <w:tag w:val="_SEC_af05829cba9b45f78c11b18af8edc52f"/>
        <w:id w:val="538163864"/>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6"/>
            </w:numPr>
          </w:pPr>
          <w:r>
            <w:t>股东大会情况简介</w:t>
          </w:r>
        </w:p>
        <w:tbl>
          <w:tblPr>
            <w:tblStyle w:val="37"/>
            <w:tblW w:w="5207"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862"/>
            <w:gridCol w:w="1815"/>
            <w:gridCol w:w="1870"/>
            <w:gridCol w:w="2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ca305564151a412a8452996542c336c8"/>
                <w:id w:val="-1526631833"/>
                <w:lock w:val="sdtLocked"/>
              </w:sdtPr>
              <w:sdtContent>
                <w:tc>
                  <w:tcPr>
                    <w:tcW w:w="725" w:type="pct"/>
                    <w:vAlign w:val="center"/>
                  </w:tcPr>
                  <w:p>
                    <w:pPr>
                      <w:widowControl w:val="0"/>
                      <w:jc w:val="center"/>
                      <w:rPr>
                        <w:szCs w:val="21"/>
                      </w:rPr>
                    </w:pPr>
                    <w:r>
                      <w:rPr>
                        <w:szCs w:val="21"/>
                      </w:rPr>
                      <w:t>会议届次</w:t>
                    </w:r>
                  </w:p>
                </w:tc>
              </w:sdtContent>
            </w:sdt>
            <w:sdt>
              <w:sdtPr>
                <w:tag w:val="_PLD_339c8451b8064684a85c81b08813156b"/>
                <w:id w:val="704676495"/>
                <w:lock w:val="sdtLocked"/>
              </w:sdtPr>
              <w:sdtContent>
                <w:tc>
                  <w:tcPr>
                    <w:tcW w:w="988" w:type="pct"/>
                    <w:vAlign w:val="center"/>
                  </w:tcPr>
                  <w:p>
                    <w:pPr>
                      <w:widowControl w:val="0"/>
                      <w:jc w:val="center"/>
                      <w:rPr>
                        <w:szCs w:val="21"/>
                      </w:rPr>
                    </w:pPr>
                    <w:r>
                      <w:rPr>
                        <w:szCs w:val="21"/>
                      </w:rPr>
                      <w:t>召开日期</w:t>
                    </w:r>
                  </w:p>
                </w:tc>
              </w:sdtContent>
            </w:sdt>
            <w:sdt>
              <w:sdtPr>
                <w:tag w:val="_PLD_7b97e84dc8f648a0b4bd3bbd757797d1"/>
                <w:id w:val="-97877451"/>
                <w:lock w:val="sdtLocked"/>
              </w:sdtPr>
              <w:sdtContent>
                <w:tc>
                  <w:tcPr>
                    <w:tcW w:w="963" w:type="pct"/>
                    <w:vAlign w:val="center"/>
                  </w:tcPr>
                  <w:p>
                    <w:pPr>
                      <w:widowControl w:val="0"/>
                      <w:jc w:val="center"/>
                      <w:rPr>
                        <w:szCs w:val="21"/>
                      </w:rPr>
                    </w:pPr>
                    <w:r>
                      <w:rPr>
                        <w:szCs w:val="21"/>
                      </w:rPr>
                      <w:t>决议刊登的指定网站的查询索引</w:t>
                    </w:r>
                  </w:p>
                </w:tc>
              </w:sdtContent>
            </w:sdt>
            <w:sdt>
              <w:sdtPr>
                <w:tag w:val="_PLD_e175ad3c6edc4dc8a87f046a04fe2d07"/>
                <w:id w:val="-1934586991"/>
                <w:lock w:val="sdtLocked"/>
              </w:sdtPr>
              <w:sdtContent>
                <w:tc>
                  <w:tcPr>
                    <w:tcW w:w="992" w:type="pct"/>
                    <w:vAlign w:val="center"/>
                  </w:tcPr>
                  <w:p>
                    <w:pPr>
                      <w:widowControl w:val="0"/>
                      <w:jc w:val="center"/>
                      <w:rPr>
                        <w:szCs w:val="21"/>
                      </w:rPr>
                    </w:pPr>
                    <w:r>
                      <w:rPr>
                        <w:szCs w:val="21"/>
                      </w:rPr>
                      <w:t>决议刊登的披露日期</w:t>
                    </w:r>
                  </w:p>
                </w:tc>
              </w:sdtContent>
            </w:sdt>
            <w:sdt>
              <w:sdtPr>
                <w:rPr>
                  <w:rFonts w:hint="eastAsia" w:ascii="Times New Roman" w:hAnsi="Times New Roman"/>
                </w:rPr>
                <w:tag w:val="_PLD_23fd9aa41f9444b4a6b91c96589bb344"/>
                <w:id w:val="-2026320538"/>
                <w:lock w:val="sdtLocked"/>
              </w:sdtPr>
              <w:sdtEndPr>
                <w:rPr>
                  <w:rFonts w:hint="eastAsia" w:ascii="Times New Roman" w:hAnsi="Times New Roman"/>
                </w:rPr>
              </w:sdtEndPr>
              <w:sdtContent>
                <w:tc>
                  <w:tcPr>
                    <w:tcW w:w="1332" w:type="pct"/>
                    <w:vAlign w:val="center"/>
                  </w:tcPr>
                  <w:p>
                    <w:pPr>
                      <w:widowControl w:val="0"/>
                      <w:jc w:val="center"/>
                    </w:pPr>
                    <w:r>
                      <w:rPr>
                        <w:rFonts w:hint="eastAsia"/>
                      </w:rPr>
                      <w:t>会议决议</w:t>
                    </w:r>
                  </w:p>
                </w:tc>
              </w:sdtContent>
            </w:sdt>
          </w:tr>
          <w:sdt>
            <w:sdtPr>
              <w:rPr>
                <w:rFonts w:hint="eastAsia" w:asciiTheme="minorHAnsi" w:hAnsiTheme="minorHAnsi" w:eastAsiaTheme="minorEastAsia" w:cstheme="minorBidi"/>
                <w:kern w:val="2"/>
                <w:szCs w:val="21"/>
              </w:rPr>
              <w:alias w:val="股东大会情况"/>
              <w:tag w:val="_TUP_f464ecce01e34e8aacd508c84a88313d"/>
              <w:id w:val="660194744"/>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5" w:type="pct"/>
                    <w:vAlign w:val="center"/>
                  </w:tcPr>
                  <w:p>
                    <w:pPr>
                      <w:widowControl w:val="0"/>
                      <w:jc w:val="center"/>
                      <w:rPr>
                        <w:szCs w:val="21"/>
                      </w:rPr>
                    </w:pPr>
                    <w:r>
                      <w:rPr>
                        <w:szCs w:val="21"/>
                      </w:rPr>
                      <w:t>2021年第一次临时股东大会</w:t>
                    </w:r>
                  </w:p>
                </w:tc>
                <w:tc>
                  <w:tcPr>
                    <w:tcW w:w="988" w:type="pct"/>
                    <w:vAlign w:val="center"/>
                  </w:tcPr>
                  <w:p>
                    <w:pPr>
                      <w:widowControl w:val="0"/>
                      <w:jc w:val="center"/>
                      <w:rPr>
                        <w:szCs w:val="21"/>
                      </w:rPr>
                    </w:pPr>
                    <w:r>
                      <w:rPr>
                        <w:szCs w:val="21"/>
                      </w:rPr>
                      <w:t>2021年1月22日</w:t>
                    </w:r>
                  </w:p>
                </w:tc>
                <w:tc>
                  <w:tcPr>
                    <w:tcW w:w="963" w:type="pct"/>
                    <w:vAlign w:val="center"/>
                  </w:tcPr>
                  <w:p>
                    <w:pPr>
                      <w:widowControl w:val="0"/>
                      <w:jc w:val="center"/>
                      <w:rPr>
                        <w:szCs w:val="21"/>
                      </w:rPr>
                    </w:pPr>
                    <w:r>
                      <w:rPr>
                        <w:szCs w:val="21"/>
                      </w:rPr>
                      <w:t>上海证券交易所网站www.sse.com.cn</w:t>
                    </w:r>
                  </w:p>
                </w:tc>
                <w:tc>
                  <w:tcPr>
                    <w:tcW w:w="992" w:type="pct"/>
                    <w:vAlign w:val="center"/>
                  </w:tcPr>
                  <w:p>
                    <w:pPr>
                      <w:widowControl w:val="0"/>
                      <w:jc w:val="center"/>
                      <w:rPr>
                        <w:szCs w:val="21"/>
                      </w:rPr>
                    </w:pPr>
                    <w:r>
                      <w:rPr>
                        <w:szCs w:val="21"/>
                      </w:rPr>
                      <w:t>2021年1月23日</w:t>
                    </w:r>
                  </w:p>
                </w:tc>
                <w:tc>
                  <w:tcPr>
                    <w:tcW w:w="1332" w:type="pct"/>
                  </w:tcPr>
                  <w:p>
                    <w:pPr>
                      <w:widowControl w:val="0"/>
                      <w:jc w:val="left"/>
                      <w:rPr>
                        <w:szCs w:val="21"/>
                      </w:rPr>
                    </w:pPr>
                    <w:r>
                      <w:rPr>
                        <w:szCs w:val="21"/>
                      </w:rPr>
                      <w:t>《力帆实业（集团）股份有限公司2021年第一次临时股东大会决议公告》（公告编号：临2021-009）</w:t>
                    </w:r>
                  </w:p>
                </w:tc>
              </w:tr>
            </w:sdtContent>
          </w:sdt>
          <w:sdt>
            <w:sdtPr>
              <w:rPr>
                <w:rFonts w:hint="eastAsia" w:asciiTheme="minorHAnsi" w:hAnsiTheme="minorHAnsi" w:eastAsiaTheme="minorEastAsia" w:cstheme="minorBidi"/>
                <w:kern w:val="2"/>
                <w:szCs w:val="21"/>
              </w:rPr>
              <w:alias w:val="股东大会情况"/>
              <w:tag w:val="_TUP_f464ecce01e34e8aacd508c84a88313d"/>
              <w:id w:val="204547983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5" w:type="pct"/>
                    <w:vAlign w:val="center"/>
                  </w:tcPr>
                  <w:p>
                    <w:pPr>
                      <w:widowControl w:val="0"/>
                      <w:jc w:val="center"/>
                      <w:rPr>
                        <w:szCs w:val="21"/>
                      </w:rPr>
                    </w:pPr>
                    <w:r>
                      <w:rPr>
                        <w:szCs w:val="21"/>
                      </w:rPr>
                      <w:t>2021年第二次临时股东大会</w:t>
                    </w:r>
                  </w:p>
                </w:tc>
                <w:tc>
                  <w:tcPr>
                    <w:tcW w:w="988" w:type="pct"/>
                    <w:vAlign w:val="center"/>
                  </w:tcPr>
                  <w:p>
                    <w:pPr>
                      <w:widowControl w:val="0"/>
                      <w:jc w:val="center"/>
                      <w:rPr>
                        <w:szCs w:val="21"/>
                      </w:rPr>
                    </w:pPr>
                    <w:r>
                      <w:rPr>
                        <w:szCs w:val="21"/>
                      </w:rPr>
                      <w:t>2021年2月8日</w:t>
                    </w:r>
                  </w:p>
                </w:tc>
                <w:tc>
                  <w:tcPr>
                    <w:tcW w:w="963" w:type="pct"/>
                    <w:vAlign w:val="center"/>
                  </w:tcPr>
                  <w:p>
                    <w:pPr>
                      <w:widowControl w:val="0"/>
                      <w:jc w:val="center"/>
                      <w:rPr>
                        <w:szCs w:val="21"/>
                      </w:rPr>
                    </w:pPr>
                    <w:r>
                      <w:rPr>
                        <w:szCs w:val="21"/>
                      </w:rPr>
                      <w:t>上海证券交易所网站www.sse.com.cn</w:t>
                    </w:r>
                  </w:p>
                </w:tc>
                <w:tc>
                  <w:tcPr>
                    <w:tcW w:w="992" w:type="pct"/>
                    <w:vAlign w:val="center"/>
                  </w:tcPr>
                  <w:p>
                    <w:pPr>
                      <w:widowControl w:val="0"/>
                      <w:jc w:val="center"/>
                      <w:rPr>
                        <w:szCs w:val="21"/>
                      </w:rPr>
                    </w:pPr>
                    <w:r>
                      <w:rPr>
                        <w:szCs w:val="21"/>
                      </w:rPr>
                      <w:t>2021年2月9日</w:t>
                    </w:r>
                  </w:p>
                </w:tc>
                <w:tc>
                  <w:tcPr>
                    <w:tcW w:w="1332" w:type="pct"/>
                  </w:tcPr>
                  <w:p>
                    <w:pPr>
                      <w:widowControl w:val="0"/>
                      <w:jc w:val="left"/>
                      <w:rPr>
                        <w:szCs w:val="21"/>
                      </w:rPr>
                    </w:pPr>
                    <w:r>
                      <w:rPr>
                        <w:szCs w:val="21"/>
                      </w:rPr>
                      <w:t>《力帆实业（集团）股份有限公司2021年第二次临时股东大会决议公告》（公告编号：临2021-018）</w:t>
                    </w:r>
                  </w:p>
                </w:tc>
              </w:tr>
            </w:sdtContent>
          </w:sdt>
          <w:sdt>
            <w:sdtPr>
              <w:rPr>
                <w:rFonts w:hint="eastAsia" w:asciiTheme="minorHAnsi" w:hAnsiTheme="minorHAnsi" w:eastAsiaTheme="minorEastAsia" w:cstheme="minorBidi"/>
                <w:kern w:val="2"/>
                <w:szCs w:val="21"/>
              </w:rPr>
              <w:alias w:val="股东大会情况"/>
              <w:tag w:val="_TUP_f464ecce01e34e8aacd508c84a88313d"/>
              <w:id w:val="11009071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5" w:type="pct"/>
                    <w:vAlign w:val="center"/>
                  </w:tcPr>
                  <w:p>
                    <w:pPr>
                      <w:widowControl w:val="0"/>
                      <w:jc w:val="center"/>
                      <w:rPr>
                        <w:rFonts w:asciiTheme="minorHAnsi" w:hAnsiTheme="minorHAnsi" w:eastAsiaTheme="minorEastAsia" w:cstheme="minorBidi"/>
                        <w:kern w:val="2"/>
                        <w:szCs w:val="21"/>
                      </w:rPr>
                    </w:pPr>
                    <w:r>
                      <w:rPr>
                        <w:szCs w:val="21"/>
                      </w:rPr>
                      <w:t>2020年年度股东大会</w:t>
                    </w:r>
                  </w:p>
                </w:tc>
                <w:tc>
                  <w:tcPr>
                    <w:tcW w:w="988" w:type="pct"/>
                    <w:vAlign w:val="center"/>
                  </w:tcPr>
                  <w:p>
                    <w:pPr>
                      <w:widowControl w:val="0"/>
                      <w:jc w:val="center"/>
                      <w:rPr>
                        <w:szCs w:val="21"/>
                      </w:rPr>
                    </w:pPr>
                    <w:r>
                      <w:rPr>
                        <w:szCs w:val="21"/>
                      </w:rPr>
                      <w:t>2021年4月30日</w:t>
                    </w:r>
                  </w:p>
                </w:tc>
                <w:tc>
                  <w:tcPr>
                    <w:tcW w:w="963" w:type="pct"/>
                    <w:vAlign w:val="center"/>
                  </w:tcPr>
                  <w:p>
                    <w:pPr>
                      <w:widowControl w:val="0"/>
                      <w:jc w:val="center"/>
                      <w:rPr>
                        <w:szCs w:val="21"/>
                      </w:rPr>
                    </w:pPr>
                    <w:r>
                      <w:rPr>
                        <w:szCs w:val="21"/>
                      </w:rPr>
                      <w:t>上海证券交易所网站www.sse.com.cn</w:t>
                    </w:r>
                  </w:p>
                </w:tc>
                <w:tc>
                  <w:tcPr>
                    <w:tcW w:w="992" w:type="pct"/>
                    <w:vAlign w:val="center"/>
                  </w:tcPr>
                  <w:p>
                    <w:pPr>
                      <w:widowControl w:val="0"/>
                      <w:jc w:val="center"/>
                      <w:rPr>
                        <w:szCs w:val="21"/>
                      </w:rPr>
                    </w:pPr>
                    <w:r>
                      <w:rPr>
                        <w:szCs w:val="21"/>
                      </w:rPr>
                      <w:t>2021年5月1日</w:t>
                    </w:r>
                  </w:p>
                </w:tc>
                <w:tc>
                  <w:tcPr>
                    <w:tcW w:w="1332" w:type="pct"/>
                  </w:tcPr>
                  <w:p>
                    <w:pPr>
                      <w:widowControl w:val="0"/>
                      <w:jc w:val="left"/>
                      <w:rPr>
                        <w:rFonts w:asciiTheme="minorHAnsi" w:hAnsiTheme="minorHAnsi" w:eastAsiaTheme="minorEastAsia" w:cstheme="minorBidi"/>
                        <w:kern w:val="2"/>
                        <w:szCs w:val="21"/>
                      </w:rPr>
                    </w:pPr>
                    <w:r>
                      <w:rPr>
                        <w:szCs w:val="21"/>
                      </w:rPr>
                      <w:t>《力帆科技（集团）股份有限公司2020年年度股东大会决议公告》（公告编号：临2021-044）  </w:t>
                    </w:r>
                  </w:p>
                </w:tc>
              </w:tr>
            </w:sdtContent>
          </w:sdt>
          <w:sdt>
            <w:sdtPr>
              <w:rPr>
                <w:rFonts w:hint="eastAsia" w:asciiTheme="minorHAnsi" w:hAnsiTheme="minorHAnsi" w:eastAsiaTheme="minorEastAsia" w:cstheme="minorBidi"/>
                <w:kern w:val="2"/>
                <w:szCs w:val="21"/>
              </w:rPr>
              <w:alias w:val="股东大会情况"/>
              <w:tag w:val="_TUP_f464ecce01e34e8aacd508c84a88313d"/>
              <w:id w:val="453750809"/>
              <w:lock w:val="sdtLocked"/>
            </w:sdtPr>
            <w:sdtEndPr>
              <w:rPr>
                <w:rFonts w:hint="default" w:ascii="宋体" w:hAnsi="宋体" w:eastAsia="宋体" w:cs="宋体"/>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725" w:type="pct"/>
                    <w:vAlign w:val="center"/>
                  </w:tcPr>
                  <w:p>
                    <w:pPr>
                      <w:widowControl w:val="0"/>
                      <w:jc w:val="center"/>
                      <w:rPr>
                        <w:rFonts w:asciiTheme="minorHAnsi" w:hAnsiTheme="minorHAnsi" w:eastAsiaTheme="minorEastAsia" w:cstheme="minorBidi"/>
                        <w:kern w:val="2"/>
                        <w:szCs w:val="21"/>
                      </w:rPr>
                    </w:pPr>
                    <w:r>
                      <w:rPr>
                        <w:szCs w:val="21"/>
                      </w:rPr>
                      <w:t>2021年第</w:t>
                    </w:r>
                    <w:r>
                      <w:rPr>
                        <w:rFonts w:hint="eastAsia"/>
                        <w:szCs w:val="21"/>
                      </w:rPr>
                      <w:t>三</w:t>
                    </w:r>
                    <w:r>
                      <w:rPr>
                        <w:szCs w:val="21"/>
                      </w:rPr>
                      <w:t>次临时股东大会</w:t>
                    </w:r>
                  </w:p>
                </w:tc>
                <w:tc>
                  <w:tcPr>
                    <w:tcW w:w="988" w:type="pct"/>
                    <w:vAlign w:val="center"/>
                  </w:tcPr>
                  <w:p>
                    <w:pPr>
                      <w:widowControl w:val="0"/>
                      <w:jc w:val="center"/>
                      <w:rPr>
                        <w:szCs w:val="21"/>
                      </w:rPr>
                    </w:pPr>
                    <w:r>
                      <w:rPr>
                        <w:szCs w:val="21"/>
                      </w:rPr>
                      <w:t>2021年</w:t>
                    </w:r>
                    <w:r>
                      <w:rPr>
                        <w:rFonts w:hint="eastAsia"/>
                        <w:szCs w:val="21"/>
                      </w:rPr>
                      <w:t>1</w:t>
                    </w:r>
                    <w:r>
                      <w:rPr>
                        <w:szCs w:val="21"/>
                      </w:rPr>
                      <w:t>2月</w:t>
                    </w:r>
                    <w:r>
                      <w:rPr>
                        <w:rFonts w:hint="eastAsia"/>
                        <w:szCs w:val="21"/>
                      </w:rPr>
                      <w:t>29</w:t>
                    </w:r>
                    <w:r>
                      <w:rPr>
                        <w:szCs w:val="21"/>
                      </w:rPr>
                      <w:t>日</w:t>
                    </w:r>
                  </w:p>
                </w:tc>
                <w:tc>
                  <w:tcPr>
                    <w:tcW w:w="963" w:type="pct"/>
                    <w:vAlign w:val="center"/>
                  </w:tcPr>
                  <w:p>
                    <w:pPr>
                      <w:widowControl w:val="0"/>
                      <w:jc w:val="center"/>
                      <w:rPr>
                        <w:szCs w:val="21"/>
                      </w:rPr>
                    </w:pPr>
                    <w:r>
                      <w:rPr>
                        <w:szCs w:val="21"/>
                      </w:rPr>
                      <w:t>上海证券交易所网站www.sse.com.cn</w:t>
                    </w:r>
                  </w:p>
                </w:tc>
                <w:tc>
                  <w:tcPr>
                    <w:tcW w:w="992" w:type="pct"/>
                    <w:vAlign w:val="center"/>
                  </w:tcPr>
                  <w:p>
                    <w:pPr>
                      <w:widowControl w:val="0"/>
                      <w:jc w:val="center"/>
                      <w:rPr>
                        <w:szCs w:val="21"/>
                      </w:rPr>
                    </w:pPr>
                    <w:r>
                      <w:rPr>
                        <w:szCs w:val="21"/>
                      </w:rPr>
                      <w:t>2021年</w:t>
                    </w:r>
                    <w:r>
                      <w:rPr>
                        <w:rFonts w:hint="eastAsia"/>
                        <w:szCs w:val="21"/>
                      </w:rPr>
                      <w:t>1</w:t>
                    </w:r>
                    <w:r>
                      <w:rPr>
                        <w:szCs w:val="21"/>
                      </w:rPr>
                      <w:t>2月</w:t>
                    </w:r>
                    <w:r>
                      <w:rPr>
                        <w:rFonts w:hint="eastAsia"/>
                        <w:szCs w:val="21"/>
                      </w:rPr>
                      <w:t>3</w:t>
                    </w:r>
                    <w:r>
                      <w:rPr>
                        <w:szCs w:val="21"/>
                      </w:rPr>
                      <w:t>0日</w:t>
                    </w:r>
                  </w:p>
                </w:tc>
                <w:tc>
                  <w:tcPr>
                    <w:tcW w:w="1332" w:type="pct"/>
                  </w:tcPr>
                  <w:p>
                    <w:pPr>
                      <w:widowControl w:val="0"/>
                      <w:jc w:val="left"/>
                      <w:rPr>
                        <w:szCs w:val="21"/>
                      </w:rPr>
                    </w:pPr>
                    <w:r>
                      <w:rPr>
                        <w:szCs w:val="21"/>
                      </w:rPr>
                      <w:t>《力帆</w:t>
                    </w:r>
                    <w:r>
                      <w:rPr>
                        <w:rFonts w:hint="eastAsia"/>
                        <w:szCs w:val="21"/>
                      </w:rPr>
                      <w:t>科技</w:t>
                    </w:r>
                    <w:r>
                      <w:rPr>
                        <w:szCs w:val="21"/>
                      </w:rPr>
                      <w:t>（集团）股份有限公司2021年第</w:t>
                    </w:r>
                    <w:r>
                      <w:rPr>
                        <w:rFonts w:hint="eastAsia"/>
                        <w:szCs w:val="21"/>
                      </w:rPr>
                      <w:t>三</w:t>
                    </w:r>
                    <w:r>
                      <w:rPr>
                        <w:szCs w:val="21"/>
                      </w:rPr>
                      <w:t>次临时股东大会决议公告》（公告编号：临2021-067）</w:t>
                    </w:r>
                  </w:p>
                </w:tc>
              </w:tr>
            </w:sdtContent>
          </w:sdt>
        </w:tbl>
        <w:p/>
      </w:sdtContent>
    </w:sdt>
    <w:sdt>
      <w:sdtPr>
        <w:rPr>
          <w:rFonts w:hint="eastAsia"/>
          <w:b/>
        </w:rPr>
        <w:alias w:val="模块:表决权恢复的优先股股东请求召开临时股东大会 "/>
        <w:tag w:val="_SEC_003224e3799f4defba565ac26b82f20e"/>
        <w:id w:val="196441790"/>
        <w:lock w:val="sdtLocked"/>
        <w:placeholder>
          <w:docPart w:val="GBC22222222222222222222222222222"/>
        </w:placeholder>
      </w:sdtPr>
      <w:sdtEndPr>
        <w:rPr>
          <w:rFonts w:hint="eastAsia"/>
          <w:b w:val="0"/>
          <w:color w:val="333399"/>
        </w:rPr>
      </w:sdtEndPr>
      <w:sdtContent>
        <w:p>
          <w:pPr>
            <w:spacing w:line="360" w:lineRule="auto"/>
            <w:rPr>
              <w:bCs/>
            </w:rPr>
          </w:pPr>
          <w:bookmarkStart w:id="45" w:name="_Hlk41294309"/>
          <w:bookmarkStart w:id="46" w:name="_Hlk89178901"/>
          <w:r>
            <w:rPr>
              <w:rFonts w:hint="eastAsia"/>
              <w:bCs/>
            </w:rPr>
            <w:t>表决权恢复的优先股股东请求召开临时股东大会</w:t>
          </w:r>
        </w:p>
        <w:sdt>
          <w:sdtPr>
            <w:alias w:val="是否适用：表决权恢复的优先股股东请求召开临时股东大会[双击切换]"/>
            <w:tag w:val="_GBC_daa6d818841c4c078ecf082b84efd616"/>
            <w:id w:val="-1344163809"/>
            <w:lock w:val="sdtLocked"/>
            <w:placeholder>
              <w:docPart w:val="GBC22222222222222222222222222222"/>
            </w:placeholder>
          </w:sdtPr>
          <w:sdtContent>
            <w:p>
              <w:pPr>
                <w:spacing w:line="360" w:lineRule="auto"/>
                <w:rPr>
                  <w:color w:val="333399"/>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45"/>
    <w:bookmarkEnd w:id="46"/>
    <w:p>
      <w:pPr>
        <w:spacing w:line="360" w:lineRule="auto"/>
        <w:rPr>
          <w:szCs w:val="21"/>
        </w:rPr>
      </w:pPr>
    </w:p>
    <w:sdt>
      <w:sdtPr>
        <w:rPr>
          <w:szCs w:val="21"/>
        </w:rPr>
        <w:alias w:val="模块:股东大会情况说明  "/>
        <w:tag w:val="_SEC_7cd092daeff04a9f9d7112f4a233db29"/>
        <w:id w:val="2061831964"/>
        <w:lock w:val="sdtLocked"/>
        <w:placeholder>
          <w:docPart w:val="GBC22222222222222222222222222222"/>
        </w:placeholder>
      </w:sdtPr>
      <w:sdtEndPr>
        <w:rPr>
          <w:szCs w:val="21"/>
        </w:rPr>
      </w:sdtEndPr>
      <w:sdtContent>
        <w:p>
          <w:pPr>
            <w:spacing w:line="360" w:lineRule="auto"/>
            <w:rPr>
              <w:szCs w:val="21"/>
            </w:rPr>
          </w:pPr>
          <w:r>
            <w:rPr>
              <w:szCs w:val="21"/>
            </w:rPr>
            <w:t>股东大会情况说明</w:t>
          </w:r>
        </w:p>
        <w:sdt>
          <w:sdtPr>
            <w:rPr>
              <w:szCs w:val="21"/>
            </w:rPr>
            <w:alias w:val="是否适用：股东大会情况说明[双击切换]"/>
            <w:tag w:val="_GBC_417d33555ab14709b5640c8830ff5a67"/>
            <w:id w:val="-1054534830"/>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rPr>
          <w:szCs w:val="21"/>
        </w:rPr>
        <w:sectPr>
          <w:pgSz w:w="11906" w:h="16838"/>
          <w:pgMar w:top="1525" w:right="1276" w:bottom="1440" w:left="1797" w:header="855" w:footer="992" w:gutter="0"/>
          <w:cols w:space="425" w:num="1"/>
          <w:docGrid w:linePitch="312" w:charSpace="0"/>
        </w:sectPr>
      </w:pPr>
    </w:p>
    <w:p>
      <w:pPr>
        <w:pStyle w:val="3"/>
        <w:numPr>
          <w:ilvl w:val="0"/>
          <w:numId w:val="16"/>
        </w:numPr>
        <w:ind w:left="450" w:hanging="450"/>
      </w:pPr>
      <w:r>
        <w:t>董事、监事和高级管理人员的情况</w:t>
      </w:r>
    </w:p>
    <w:p>
      <w:pPr>
        <w:pStyle w:val="4"/>
        <w:numPr>
          <w:ilvl w:val="0"/>
          <w:numId w:val="17"/>
        </w:numPr>
        <w:ind w:left="0" w:firstLine="0"/>
      </w:pPr>
      <w:r>
        <w:t>现任及报告期内离任董事</w:t>
      </w:r>
      <w:r>
        <w:rPr>
          <w:rFonts w:hint="eastAsia"/>
        </w:rPr>
        <w:t>、监事和</w:t>
      </w:r>
      <w:r>
        <w:t>高级管理人员持股变动及报酬情况</w:t>
      </w:r>
    </w:p>
    <w:sdt>
      <w:sdtPr>
        <w:rPr>
          <w:rFonts w:ascii="Calibri" w:hAnsi="Calibri" w:cs="Times New Roman"/>
          <w:b/>
          <w:bCs/>
          <w:kern w:val="2"/>
          <w:sz w:val="24"/>
          <w:szCs w:val="21"/>
        </w:rPr>
        <w:alias w:val="模块:现任及报告期内离任董事、监事和高级管理人员持股变动及报酬情况"/>
        <w:tag w:val="_SEC_4509c61a676b4e7992f75f7d5016736a"/>
        <w:id w:val="1294802251"/>
        <w:lock w:val="sdtLocked"/>
        <w:placeholder>
          <w:docPart w:val="GBC22222222222222222222222222222"/>
        </w:placeholder>
      </w:sdtPr>
      <w:sdtEndPr>
        <w:rPr>
          <w:rFonts w:ascii="宋体" w:hAnsi="宋体" w:cs="宋体"/>
          <w:b w:val="0"/>
          <w:bCs w:val="0"/>
          <w:kern w:val="0"/>
          <w:sz w:val="21"/>
          <w:szCs w:val="24"/>
        </w:rPr>
      </w:sdtEndPr>
      <w:sdtContent>
        <w:sdt>
          <w:sdtPr>
            <w:alias w:val="是否适用：董事、监事和高级管理人员持股变动[双击切换]"/>
            <w:tag w:val="_GBC_336639f5f1254c87a3d81a366e432afd"/>
            <w:id w:val="-466588439"/>
            <w:lock w:val="sdtLocked"/>
          </w:sdtPr>
          <w:sdtContent>
            <w:p>
              <w:bookmarkStart w:id="47" w:name="_Hlk89179934"/>
              <w:r>
                <w:fldChar w:fldCharType="begin"/>
              </w:r>
              <w:r>
                <w:rPr>
                  <w:rFonts w:hint="eastAsia"/>
                </w:rPr>
                <w:instrText xml:space="preserve">MACROBUTTON SnrToggleCheckbox √适用 </w:instrText>
              </w:r>
              <w:r>
                <w:fldChar w:fldCharType="end"/>
              </w:r>
              <w:r>
                <w:fldChar w:fldCharType="begin"/>
              </w:r>
              <w:r>
                <w:instrText xml:space="preserve">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董事、监事、高级管理人员基本情况"/>
              <w:tag w:val="_GBC_3851936d51d842bf9f2c82131d0787cc"/>
              <w:id w:val="-2074041459"/>
              <w:lock w:val="sdtLocked"/>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37"/>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310"/>
            <w:gridCol w:w="997"/>
            <w:gridCol w:w="706"/>
            <w:gridCol w:w="1699"/>
            <w:gridCol w:w="1701"/>
            <w:gridCol w:w="1152"/>
            <w:gridCol w:w="1138"/>
            <w:gridCol w:w="1363"/>
            <w:gridCol w:w="1591"/>
            <w:gridCol w:w="1352"/>
            <w:gridCol w:w="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sdt>
              <w:sdtPr>
                <w:tag w:val="_PLD_3e935958e5b542f38f53ca8a2618690d"/>
                <w:id w:val="-1271622469"/>
                <w:lock w:val="sdtLocked"/>
              </w:sdtPr>
              <w:sdtContent>
                <w:tc>
                  <w:tcPr>
                    <w:tcW w:w="817" w:type="dxa"/>
                    <w:vAlign w:val="center"/>
                  </w:tcPr>
                  <w:p>
                    <w:pPr>
                      <w:widowControl w:val="0"/>
                      <w:jc w:val="center"/>
                      <w:rPr>
                        <w:szCs w:val="21"/>
                      </w:rPr>
                    </w:pPr>
                    <w:r>
                      <w:rPr>
                        <w:szCs w:val="21"/>
                      </w:rPr>
                      <w:t>姓名</w:t>
                    </w:r>
                  </w:p>
                </w:tc>
              </w:sdtContent>
            </w:sdt>
            <w:sdt>
              <w:sdtPr>
                <w:tag w:val="_PLD_5ecaa59058dd4312acb6ebb4d88eb6c8"/>
                <w:id w:val="387615644"/>
                <w:lock w:val="sdtLocked"/>
              </w:sdtPr>
              <w:sdtContent>
                <w:tc>
                  <w:tcPr>
                    <w:tcW w:w="1310" w:type="dxa"/>
                    <w:vAlign w:val="center"/>
                  </w:tcPr>
                  <w:p>
                    <w:pPr>
                      <w:widowControl w:val="0"/>
                      <w:jc w:val="center"/>
                      <w:rPr>
                        <w:szCs w:val="21"/>
                      </w:rPr>
                    </w:pPr>
                    <w:r>
                      <w:rPr>
                        <w:szCs w:val="21"/>
                      </w:rPr>
                      <w:t>职务(注)</w:t>
                    </w:r>
                  </w:p>
                </w:tc>
              </w:sdtContent>
            </w:sdt>
            <w:sdt>
              <w:sdtPr>
                <w:tag w:val="_PLD_f907f9c5cdf94b2ba9e217c0aaaf2c60"/>
                <w:id w:val="1186324221"/>
                <w:lock w:val="sdtLocked"/>
              </w:sdtPr>
              <w:sdtContent>
                <w:tc>
                  <w:tcPr>
                    <w:tcW w:w="997" w:type="dxa"/>
                    <w:vAlign w:val="center"/>
                  </w:tcPr>
                  <w:p>
                    <w:pPr>
                      <w:widowControl w:val="0"/>
                      <w:jc w:val="center"/>
                      <w:rPr>
                        <w:szCs w:val="21"/>
                      </w:rPr>
                    </w:pPr>
                    <w:r>
                      <w:rPr>
                        <w:szCs w:val="21"/>
                      </w:rPr>
                      <w:t>性别</w:t>
                    </w:r>
                  </w:p>
                </w:tc>
              </w:sdtContent>
            </w:sdt>
            <w:sdt>
              <w:sdtPr>
                <w:tag w:val="_PLD_9b2689bca35f4a3ebc7adf135b295bd6"/>
                <w:id w:val="-354040614"/>
                <w:lock w:val="sdtLocked"/>
              </w:sdtPr>
              <w:sdtContent>
                <w:tc>
                  <w:tcPr>
                    <w:tcW w:w="706" w:type="dxa"/>
                    <w:vAlign w:val="center"/>
                  </w:tcPr>
                  <w:p>
                    <w:pPr>
                      <w:widowControl w:val="0"/>
                      <w:jc w:val="center"/>
                      <w:rPr>
                        <w:szCs w:val="21"/>
                      </w:rPr>
                    </w:pPr>
                    <w:r>
                      <w:rPr>
                        <w:szCs w:val="21"/>
                      </w:rPr>
                      <w:t>年龄</w:t>
                    </w:r>
                  </w:p>
                </w:tc>
              </w:sdtContent>
            </w:sdt>
            <w:sdt>
              <w:sdtPr>
                <w:tag w:val="_PLD_3844eb481c79444fba199a9d3c3b8bf7"/>
                <w:id w:val="117957163"/>
                <w:lock w:val="sdtLocked"/>
              </w:sdtPr>
              <w:sdtContent>
                <w:tc>
                  <w:tcPr>
                    <w:tcW w:w="1699" w:type="dxa"/>
                    <w:vAlign w:val="center"/>
                  </w:tcPr>
                  <w:p>
                    <w:pPr>
                      <w:widowControl w:val="0"/>
                      <w:jc w:val="center"/>
                      <w:rPr>
                        <w:szCs w:val="21"/>
                      </w:rPr>
                    </w:pPr>
                    <w:r>
                      <w:rPr>
                        <w:szCs w:val="21"/>
                      </w:rPr>
                      <w:t>任期起始日期</w:t>
                    </w:r>
                  </w:p>
                </w:tc>
              </w:sdtContent>
            </w:sdt>
            <w:sdt>
              <w:sdtPr>
                <w:tag w:val="_PLD_94806df607544b4b97b389da94daaf66"/>
                <w:id w:val="-40985458"/>
                <w:lock w:val="sdtLocked"/>
              </w:sdtPr>
              <w:sdtContent>
                <w:tc>
                  <w:tcPr>
                    <w:tcW w:w="1701" w:type="dxa"/>
                    <w:vAlign w:val="center"/>
                  </w:tcPr>
                  <w:p>
                    <w:pPr>
                      <w:widowControl w:val="0"/>
                      <w:jc w:val="center"/>
                      <w:rPr>
                        <w:szCs w:val="21"/>
                      </w:rPr>
                    </w:pPr>
                    <w:r>
                      <w:rPr>
                        <w:szCs w:val="21"/>
                      </w:rPr>
                      <w:t>任期终止日期</w:t>
                    </w:r>
                  </w:p>
                </w:tc>
              </w:sdtContent>
            </w:sdt>
            <w:sdt>
              <w:sdtPr>
                <w:tag w:val="_PLD_5e35d588fd7f4cb3af49fcbd9e313ac2"/>
                <w:id w:val="1492530837"/>
                <w:lock w:val="sdtLocked"/>
              </w:sdtPr>
              <w:sdtContent>
                <w:tc>
                  <w:tcPr>
                    <w:tcW w:w="1152" w:type="dxa"/>
                    <w:vAlign w:val="center"/>
                  </w:tcPr>
                  <w:p>
                    <w:pPr>
                      <w:widowControl w:val="0"/>
                      <w:jc w:val="center"/>
                      <w:rPr>
                        <w:szCs w:val="21"/>
                      </w:rPr>
                    </w:pPr>
                    <w:r>
                      <w:rPr>
                        <w:szCs w:val="21"/>
                      </w:rPr>
                      <w:t>年初</w:t>
                    </w:r>
                  </w:p>
                  <w:p>
                    <w:pPr>
                      <w:widowControl w:val="0"/>
                      <w:jc w:val="center"/>
                      <w:rPr>
                        <w:szCs w:val="21"/>
                      </w:rPr>
                    </w:pPr>
                    <w:r>
                      <w:rPr>
                        <w:szCs w:val="21"/>
                      </w:rPr>
                      <w:t>持股数</w:t>
                    </w:r>
                  </w:p>
                </w:tc>
              </w:sdtContent>
            </w:sdt>
            <w:sdt>
              <w:sdtPr>
                <w:tag w:val="_PLD_af0cabd7e3f44b95b26464bc652333c2"/>
                <w:id w:val="1183789254"/>
                <w:lock w:val="sdtLocked"/>
              </w:sdtPr>
              <w:sdtContent>
                <w:tc>
                  <w:tcPr>
                    <w:tcW w:w="1138" w:type="dxa"/>
                    <w:vAlign w:val="center"/>
                  </w:tcPr>
                  <w:p>
                    <w:pPr>
                      <w:widowControl w:val="0"/>
                      <w:jc w:val="center"/>
                      <w:rPr>
                        <w:szCs w:val="21"/>
                      </w:rPr>
                    </w:pPr>
                    <w:r>
                      <w:rPr>
                        <w:szCs w:val="21"/>
                      </w:rPr>
                      <w:t>年末</w:t>
                    </w:r>
                  </w:p>
                  <w:p>
                    <w:pPr>
                      <w:widowControl w:val="0"/>
                      <w:jc w:val="center"/>
                      <w:rPr>
                        <w:szCs w:val="21"/>
                      </w:rPr>
                    </w:pPr>
                    <w:r>
                      <w:rPr>
                        <w:szCs w:val="21"/>
                      </w:rPr>
                      <w:t>持股数</w:t>
                    </w:r>
                  </w:p>
                </w:tc>
              </w:sdtContent>
            </w:sdt>
            <w:sdt>
              <w:sdtPr>
                <w:tag w:val="_PLD_0b9453da77b34ba68718efe69463399a"/>
                <w:id w:val="1515186922"/>
                <w:lock w:val="sdtLocked"/>
              </w:sdtPr>
              <w:sdtContent>
                <w:tc>
                  <w:tcPr>
                    <w:tcW w:w="1363" w:type="dxa"/>
                    <w:vAlign w:val="center"/>
                  </w:tcPr>
                  <w:p>
                    <w:pPr>
                      <w:widowControl w:val="0"/>
                      <w:jc w:val="center"/>
                      <w:rPr>
                        <w:szCs w:val="21"/>
                      </w:rPr>
                    </w:pPr>
                    <w:r>
                      <w:rPr>
                        <w:szCs w:val="21"/>
                      </w:rPr>
                      <w:t>年度内股份增减变动量</w:t>
                    </w:r>
                  </w:p>
                </w:tc>
              </w:sdtContent>
            </w:sdt>
            <w:sdt>
              <w:sdtPr>
                <w:tag w:val="_PLD_32c045d1529e42b7999b1f0c6b6e43a6"/>
                <w:id w:val="2099823308"/>
                <w:lock w:val="sdtLocked"/>
              </w:sdtPr>
              <w:sdtContent>
                <w:tc>
                  <w:tcPr>
                    <w:tcW w:w="1591" w:type="dxa"/>
                    <w:vAlign w:val="center"/>
                  </w:tcPr>
                  <w:p>
                    <w:pPr>
                      <w:widowControl w:val="0"/>
                      <w:jc w:val="center"/>
                      <w:rPr>
                        <w:szCs w:val="21"/>
                      </w:rPr>
                    </w:pPr>
                    <w:r>
                      <w:rPr>
                        <w:szCs w:val="21"/>
                      </w:rPr>
                      <w:t>增减变动原因</w:t>
                    </w:r>
                  </w:p>
                </w:tc>
              </w:sdtContent>
            </w:sdt>
            <w:sdt>
              <w:sdtPr>
                <w:tag w:val="_PLD_09536647069c4489b48834060518f161"/>
                <w:id w:val="72100010"/>
                <w:lock w:val="sdtLocked"/>
              </w:sdtPr>
              <w:sdtContent>
                <w:tc>
                  <w:tcPr>
                    <w:tcW w:w="1352" w:type="dxa"/>
                  </w:tcPr>
                  <w:p>
                    <w:pPr>
                      <w:widowControl w:val="0"/>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w:t>
                    </w:r>
                    <w:sdt>
                      <w:sdtPr>
                        <w:rPr>
                          <w:szCs w:val="21"/>
                        </w:rPr>
                        <w:alias w:val="单位：报告期内从公司获得的税前报酬总额"/>
                        <w:tag w:val="_GBC_c9d92b58218143f3affe68ae40871394"/>
                        <w:id w:val="2007084173"/>
                        <w:lock w:val="sdtContentLocked"/>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万元</w:t>
                        </w:r>
                      </w:sdtContent>
                    </w:sdt>
                    <w:r>
                      <w:rPr>
                        <w:szCs w:val="21"/>
                      </w:rPr>
                      <w:t>）</w:t>
                    </w:r>
                  </w:p>
                </w:tc>
              </w:sdtContent>
            </w:sdt>
            <w:sdt>
              <w:sdtPr>
                <w:tag w:val="_PLD_67216ec8c81445dcb8db4f1a03416887"/>
                <w:id w:val="1554814639"/>
                <w:lock w:val="sdtLocked"/>
              </w:sdtPr>
              <w:sdtContent>
                <w:tc>
                  <w:tcPr>
                    <w:tcW w:w="917" w:type="dxa"/>
                  </w:tcPr>
                  <w:p>
                    <w:pPr>
                      <w:widowControl w:val="0"/>
                      <w:jc w:val="center"/>
                      <w:rPr>
                        <w:szCs w:val="21"/>
                      </w:rPr>
                    </w:pPr>
                    <w:r>
                      <w:rPr>
                        <w:rFonts w:hint="eastAsia"/>
                        <w:szCs w:val="21"/>
                      </w:rPr>
                      <w:t>是否在公司关联方获取报酬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徐志豪</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董事长</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45</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208530524"/>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朱军</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副董事长</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50</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517620064"/>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杨健</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59</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1413269536"/>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钟弦</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44</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868521883"/>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王梦麟</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37</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988442497"/>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周充</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40</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64532724"/>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肖翔</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独立董事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52</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sdt>
              <w:sdtPr>
                <w:rPr>
                  <w:rFonts w:asciiTheme="minorEastAsia" w:hAnsiTheme="minorEastAsia" w:eastAsiaTheme="minorEastAsia"/>
                  <w:sz w:val="18"/>
                  <w:szCs w:val="18"/>
                </w:rPr>
                <w:alias w:val="董事、监事、高级管理人员是否在公司关联方获取报酬"/>
                <w:tag w:val="_GBC_1fc30a06011d4603820ff653031666f0"/>
                <w:id w:val="-581066397"/>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窦军生</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独立董事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41</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sdt>
              <w:sdtPr>
                <w:rPr>
                  <w:rFonts w:asciiTheme="minorEastAsia" w:hAnsiTheme="minorEastAsia" w:eastAsiaTheme="minorEastAsia"/>
                  <w:sz w:val="18"/>
                  <w:szCs w:val="18"/>
                </w:rPr>
                <w:alias w:val="董事、监事、高级管理人员是否在公司关联方获取报酬"/>
                <w:tag w:val="_GBC_1fc30a06011d4603820ff653031666f0"/>
                <w:id w:val="-1533492233"/>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任晓常</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独立董事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65</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15</w:t>
                </w:r>
              </w:p>
            </w:tc>
            <w:sdt>
              <w:sdtPr>
                <w:rPr>
                  <w:rFonts w:asciiTheme="minorEastAsia" w:hAnsiTheme="minorEastAsia" w:eastAsiaTheme="minorEastAsia"/>
                  <w:sz w:val="18"/>
                  <w:szCs w:val="18"/>
                </w:rPr>
                <w:alias w:val="董事、监事、高级管理人员是否在公司关联方获取报酬"/>
                <w:tag w:val="_GBC_1fc30a06011d4603820ff653031666f0"/>
                <w:id w:val="834722484"/>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龙珍珠</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监事会主席</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35</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2041570435"/>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彭家虎</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监事</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36</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826819653"/>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王颖</w:t>
                </w:r>
              </w:p>
            </w:tc>
            <w:tc>
              <w:tcPr>
                <w:tcW w:w="1310" w:type="dxa"/>
                <w:vAlign w:val="center"/>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职工监事</w:t>
                </w:r>
              </w:p>
            </w:tc>
            <w:tc>
              <w:tcPr>
                <w:tcW w:w="997"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48</w:t>
                </w:r>
              </w:p>
            </w:tc>
            <w:tc>
              <w:tcPr>
                <w:tcW w:w="1699"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45,000</w:t>
                </w:r>
              </w:p>
            </w:tc>
            <w:tc>
              <w:tcPr>
                <w:tcW w:w="1138"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-45,000</w:t>
                </w:r>
              </w:p>
            </w:tc>
            <w:tc>
              <w:tcPr>
                <w:tcW w:w="1591"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股权激励限制性股票回购注销</w:t>
                </w:r>
              </w:p>
            </w:tc>
            <w:tc>
              <w:tcPr>
                <w:tcW w:w="1352"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9</w:t>
                </w:r>
                <w:r>
                  <w:rPr>
                    <w:rFonts w:hint="eastAsia" w:asciiTheme="minorEastAsia" w:hAnsiTheme="minorEastAsia" w:eastAsiaTheme="minorEastAsia"/>
                    <w:sz w:val="18"/>
                    <w:szCs w:val="18"/>
                  </w:rPr>
                  <w:t>.5</w:t>
                </w:r>
                <w:r>
                  <w:rPr>
                    <w:rFonts w:asciiTheme="minorEastAsia" w:hAnsiTheme="minorEastAsia" w:eastAsiaTheme="minorEastAsia"/>
                    <w:sz w:val="18"/>
                    <w:szCs w:val="18"/>
                  </w:rPr>
                  <w:t>9</w:t>
                </w:r>
              </w:p>
            </w:tc>
            <w:sdt>
              <w:sdtPr>
                <w:rPr>
                  <w:rFonts w:asciiTheme="minorEastAsia" w:hAnsiTheme="minorEastAsia" w:eastAsiaTheme="minorEastAsia"/>
                  <w:sz w:val="18"/>
                  <w:szCs w:val="18"/>
                </w:rPr>
                <w:alias w:val="董事、监事、高级管理人员是否在公司关联方获取报酬"/>
                <w:tag w:val="_GBC_1fc30a06011d4603820ff653031666f0"/>
                <w:id w:val="1195496857"/>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杨波</w:t>
                </w:r>
              </w:p>
            </w:tc>
            <w:tc>
              <w:tcPr>
                <w:tcW w:w="1310" w:type="dxa"/>
                <w:vAlign w:val="center"/>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总裁</w:t>
                </w:r>
              </w:p>
            </w:tc>
            <w:tc>
              <w:tcPr>
                <w:tcW w:w="997"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49</w:t>
                </w:r>
              </w:p>
            </w:tc>
            <w:tc>
              <w:tcPr>
                <w:tcW w:w="1699"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w:t>
                </w:r>
                <w:r>
                  <w:rPr>
                    <w:rFonts w:hint="eastAsia" w:asciiTheme="minorEastAsia" w:hAnsiTheme="minorEastAsia" w:eastAsiaTheme="minorEastAsia"/>
                    <w:sz w:val="18"/>
                    <w:szCs w:val="18"/>
                  </w:rPr>
                  <w:t>19</w:t>
                </w:r>
                <w:r>
                  <w:rPr>
                    <w:rFonts w:asciiTheme="minorEastAsia" w:hAnsiTheme="minorEastAsia" w:eastAsiaTheme="minorEastAsia"/>
                    <w:sz w:val="18"/>
                    <w:szCs w:val="18"/>
                  </w:rPr>
                  <w:t>年</w:t>
                </w:r>
                <w:r>
                  <w:rPr>
                    <w:rFonts w:hint="eastAsia" w:asciiTheme="minorEastAsia" w:hAnsiTheme="minorEastAsia" w:eastAsiaTheme="minorEastAsia"/>
                    <w:sz w:val="18"/>
                    <w:szCs w:val="18"/>
                  </w:rPr>
                  <w:t>8</w:t>
                </w:r>
                <w:r>
                  <w:rPr>
                    <w:rFonts w:asciiTheme="minorEastAsia" w:hAnsiTheme="minorEastAsia" w:eastAsiaTheme="minorEastAsia"/>
                    <w:sz w:val="18"/>
                    <w:szCs w:val="18"/>
                  </w:rPr>
                  <w:t>月22日</w:t>
                </w:r>
              </w:p>
            </w:tc>
            <w:tc>
              <w:tcPr>
                <w:tcW w:w="1701"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2,436,000</w:t>
                </w:r>
              </w:p>
            </w:tc>
            <w:tc>
              <w:tcPr>
                <w:tcW w:w="1138"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980</w:t>
                </w:r>
                <w:r>
                  <w:rPr>
                    <w:rFonts w:asciiTheme="minorEastAsia" w:hAnsiTheme="minorEastAsia" w:eastAsiaTheme="minorEastAsia"/>
                    <w:sz w:val="18"/>
                    <w:szCs w:val="18"/>
                  </w:rPr>
                  <w:t>,0</w:t>
                </w:r>
                <w:r>
                  <w:rPr>
                    <w:rFonts w:hint="eastAsia" w:asciiTheme="minorEastAsia" w:hAnsiTheme="minorEastAsia" w:eastAsiaTheme="minorEastAsia"/>
                    <w:sz w:val="18"/>
                    <w:szCs w:val="18"/>
                  </w:rPr>
                  <w:t>00</w:t>
                </w:r>
              </w:p>
            </w:tc>
            <w:tc>
              <w:tcPr>
                <w:tcW w:w="1363"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456</w:t>
                </w:r>
                <w:r>
                  <w:rPr>
                    <w:rFonts w:asciiTheme="minorEastAsia" w:hAnsiTheme="minorEastAsia" w:eastAsiaTheme="minorEastAsia"/>
                    <w:sz w:val="18"/>
                    <w:szCs w:val="18"/>
                  </w:rPr>
                  <w:t>,000</w:t>
                </w:r>
              </w:p>
            </w:tc>
            <w:tc>
              <w:tcPr>
                <w:tcW w:w="1591"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股权激励限制性股票回购注销</w:t>
                </w:r>
              </w:p>
            </w:tc>
            <w:tc>
              <w:tcPr>
                <w:tcW w:w="1352"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98.92</w:t>
                </w:r>
              </w:p>
            </w:tc>
            <w:sdt>
              <w:sdtPr>
                <w:rPr>
                  <w:rFonts w:asciiTheme="minorEastAsia" w:hAnsiTheme="minorEastAsia" w:eastAsiaTheme="minorEastAsia"/>
                  <w:sz w:val="18"/>
                  <w:szCs w:val="18"/>
                </w:rPr>
                <w:alias w:val="董事、监事、高级管理人员是否在公司关联方获取报酬"/>
                <w:tag w:val="_GBC_1fc30a06011d4603820ff653031666f0"/>
                <w:id w:val="-1196236463"/>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娄源发</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联席总裁</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46</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2021年12月1</w:t>
                </w:r>
                <w:r>
                  <w:rPr>
                    <w:rFonts w:hint="eastAsia" w:asciiTheme="minorEastAsia" w:hAnsiTheme="minorEastAsia" w:eastAsiaTheme="minorEastAsia"/>
                    <w:sz w:val="18"/>
                    <w:szCs w:val="18"/>
                  </w:rPr>
                  <w:t>3</w:t>
                </w:r>
                <w:r>
                  <w:rPr>
                    <w:rFonts w:asciiTheme="minorEastAsia" w:hAnsiTheme="minorEastAsia" w:eastAsiaTheme="minorEastAsia"/>
                    <w:sz w:val="18"/>
                    <w:szCs w:val="18"/>
                  </w:rPr>
                  <w:t>日</w:t>
                </w:r>
              </w:p>
            </w:tc>
            <w:tc>
              <w:tcPr>
                <w:tcW w:w="1701" w:type="dxa"/>
              </w:tcPr>
              <w:p>
                <w:pPr>
                  <w:widowControl w:val="0"/>
                  <w:jc w:val="both"/>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1095433062"/>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周强</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副总裁</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48</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2021年12月1</w:t>
                </w:r>
                <w:r>
                  <w:rPr>
                    <w:rFonts w:hint="eastAsia" w:asciiTheme="minorEastAsia" w:hAnsiTheme="minorEastAsia" w:eastAsiaTheme="minorEastAsia"/>
                    <w:sz w:val="18"/>
                    <w:szCs w:val="18"/>
                  </w:rPr>
                  <w:t>3</w:t>
                </w:r>
                <w:r>
                  <w:rPr>
                    <w:rFonts w:asciiTheme="minorEastAsia" w:hAnsiTheme="minorEastAsia" w:eastAsiaTheme="minorEastAsia"/>
                    <w:sz w:val="18"/>
                    <w:szCs w:val="18"/>
                  </w:rPr>
                  <w:t>日</w:t>
                </w:r>
              </w:p>
            </w:tc>
            <w:tc>
              <w:tcPr>
                <w:tcW w:w="1701" w:type="dxa"/>
              </w:tcPr>
              <w:p>
                <w:pPr>
                  <w:widowControl w:val="0"/>
                  <w:jc w:val="both"/>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sdt>
              <w:sdtPr>
                <w:rPr>
                  <w:rFonts w:asciiTheme="minorEastAsia" w:hAnsiTheme="minorEastAsia" w:eastAsiaTheme="minorEastAsia"/>
                  <w:sz w:val="18"/>
                  <w:szCs w:val="18"/>
                </w:rPr>
                <w:alias w:val="董事、监事、高级管理人员是否在公司关联方获取报酬"/>
                <w:tag w:val="_GBC_1fc30a06011d4603820ff653031666f0"/>
                <w:id w:val="-586305460"/>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张琳斌</w:t>
                </w:r>
              </w:p>
            </w:tc>
            <w:tc>
              <w:tcPr>
                <w:tcW w:w="1310" w:type="dxa"/>
              </w:tcPr>
              <w:p>
                <w:pPr>
                  <w:widowControl w:val="0"/>
                  <w:jc w:val="center"/>
                  <w:rPr>
                    <w:rFonts w:asciiTheme="minorEastAsia" w:hAnsiTheme="minorEastAsia" w:eastAsiaTheme="minorEastAsia"/>
                    <w:color w:val="FF0000"/>
                    <w:sz w:val="18"/>
                    <w:szCs w:val="18"/>
                  </w:rPr>
                </w:pPr>
                <w:r>
                  <w:rPr>
                    <w:rStyle w:val="70"/>
                    <w:rFonts w:hint="eastAsia" w:asciiTheme="minorEastAsia" w:hAnsiTheme="minorEastAsia" w:eastAsiaTheme="minorEastAsia"/>
                    <w:sz w:val="18"/>
                    <w:szCs w:val="18"/>
                  </w:rPr>
                  <w:t>财务负责人</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女</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39</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2021年12月1</w:t>
                </w:r>
                <w:r>
                  <w:rPr>
                    <w:rFonts w:hint="eastAsia" w:asciiTheme="minorEastAsia" w:hAnsiTheme="minorEastAsia" w:eastAsiaTheme="minorEastAsia"/>
                    <w:sz w:val="18"/>
                    <w:szCs w:val="18"/>
                  </w:rPr>
                  <w:t>3</w:t>
                </w:r>
                <w:r>
                  <w:rPr>
                    <w:rFonts w:asciiTheme="minorEastAsia" w:hAnsiTheme="minorEastAsia" w:eastAsiaTheme="minorEastAsia"/>
                    <w:sz w:val="18"/>
                    <w:szCs w:val="18"/>
                  </w:rPr>
                  <w:t>日</w:t>
                </w:r>
              </w:p>
            </w:tc>
            <w:tc>
              <w:tcPr>
                <w:tcW w:w="1701" w:type="dxa"/>
              </w:tcPr>
              <w:p>
                <w:pPr>
                  <w:widowControl w:val="0"/>
                  <w:jc w:val="both"/>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62</w:t>
                </w:r>
              </w:p>
            </w:tc>
            <w:sdt>
              <w:sdtPr>
                <w:rPr>
                  <w:rFonts w:asciiTheme="minorEastAsia" w:hAnsiTheme="minorEastAsia" w:eastAsiaTheme="minorEastAsia"/>
                  <w:sz w:val="18"/>
                  <w:szCs w:val="18"/>
                </w:rPr>
                <w:alias w:val="董事、监事、高级管理人员是否在公司关联方获取报酬"/>
                <w:tag w:val="_GBC_1fc30a06011d4603820ff653031666f0"/>
                <w:id w:val="-1281566916"/>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伍定军</w:t>
                </w:r>
              </w:p>
            </w:tc>
            <w:tc>
              <w:tcPr>
                <w:tcW w:w="1310" w:type="dxa"/>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董事会秘书</w:t>
                </w:r>
              </w:p>
            </w:tc>
            <w:tc>
              <w:tcPr>
                <w:tcW w:w="99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49</w:t>
                </w:r>
              </w:p>
            </w:tc>
            <w:tc>
              <w:tcPr>
                <w:tcW w:w="1699"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2021年1月22日</w:t>
                </w:r>
              </w:p>
            </w:tc>
            <w:tc>
              <w:tcPr>
                <w:tcW w:w="170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2024年1月21日</w:t>
                </w:r>
              </w:p>
            </w:tc>
            <w:tc>
              <w:tcPr>
                <w:tcW w:w="11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138"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591"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无</w:t>
                </w:r>
              </w:p>
            </w:tc>
            <w:tc>
              <w:tcPr>
                <w:tcW w:w="1352"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57.02</w:t>
                </w:r>
              </w:p>
            </w:tc>
            <w:sdt>
              <w:sdtPr>
                <w:rPr>
                  <w:rFonts w:asciiTheme="minorEastAsia" w:hAnsiTheme="minorEastAsia" w:eastAsiaTheme="minorEastAsia"/>
                  <w:sz w:val="18"/>
                  <w:szCs w:val="18"/>
                </w:rPr>
                <w:alias w:val="董事、监事、高级管理人员是否在公司关联方获取报酬"/>
                <w:tag w:val="_GBC_1fc30a06011d4603820ff653031666f0"/>
                <w:id w:val="-1932185786"/>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817"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叶长春</w:t>
                </w:r>
              </w:p>
            </w:tc>
            <w:tc>
              <w:tcPr>
                <w:tcW w:w="1310" w:type="dxa"/>
                <w:vAlign w:val="center"/>
              </w:tcPr>
              <w:p>
                <w:pPr>
                  <w:widowControl w:val="0"/>
                  <w:jc w:val="center"/>
                  <w:rPr>
                    <w:rFonts w:asciiTheme="minorEastAsia" w:hAnsiTheme="minorEastAsia" w:eastAsiaTheme="minorEastAsia"/>
                    <w:sz w:val="18"/>
                    <w:szCs w:val="18"/>
                  </w:rPr>
                </w:pPr>
                <w:r>
                  <w:rPr>
                    <w:rStyle w:val="70"/>
                    <w:rFonts w:hint="eastAsia" w:asciiTheme="minorEastAsia" w:hAnsiTheme="minorEastAsia" w:eastAsiaTheme="minorEastAsia"/>
                    <w:sz w:val="18"/>
                    <w:szCs w:val="18"/>
                  </w:rPr>
                  <w:t>原财务负责人</w:t>
                </w:r>
              </w:p>
            </w:tc>
            <w:tc>
              <w:tcPr>
                <w:tcW w:w="997"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男</w:t>
                </w:r>
              </w:p>
            </w:tc>
            <w:tc>
              <w:tcPr>
                <w:tcW w:w="706"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48</w:t>
                </w:r>
              </w:p>
            </w:tc>
            <w:tc>
              <w:tcPr>
                <w:tcW w:w="1699"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w:t>
                </w:r>
                <w:r>
                  <w:rPr>
                    <w:rFonts w:hint="eastAsia" w:asciiTheme="minorEastAsia" w:hAnsiTheme="minorEastAsia" w:eastAsiaTheme="minorEastAsia"/>
                    <w:sz w:val="18"/>
                    <w:szCs w:val="18"/>
                  </w:rPr>
                  <w:t>17</w:t>
                </w:r>
                <w:r>
                  <w:rPr>
                    <w:rFonts w:asciiTheme="minorEastAsia" w:hAnsiTheme="minorEastAsia" w:eastAsiaTheme="minorEastAsia"/>
                    <w:sz w:val="18"/>
                    <w:szCs w:val="18"/>
                  </w:rPr>
                  <w:t>年1</w:t>
                </w:r>
                <w:r>
                  <w:rPr>
                    <w:rFonts w:hint="eastAsia" w:asciiTheme="minorEastAsia" w:hAnsiTheme="minorEastAsia" w:eastAsiaTheme="minorEastAsia"/>
                    <w:sz w:val="18"/>
                    <w:szCs w:val="18"/>
                  </w:rPr>
                  <w:t>0</w:t>
                </w:r>
                <w:r>
                  <w:rPr>
                    <w:rFonts w:asciiTheme="minorEastAsia" w:hAnsiTheme="minorEastAsia" w:eastAsiaTheme="minorEastAsia"/>
                    <w:sz w:val="18"/>
                    <w:szCs w:val="18"/>
                  </w:rPr>
                  <w:t>月</w:t>
                </w:r>
                <w:r>
                  <w:rPr>
                    <w:rFonts w:hint="eastAsia" w:asciiTheme="minorEastAsia" w:hAnsiTheme="minorEastAsia" w:eastAsiaTheme="minorEastAsia"/>
                    <w:sz w:val="18"/>
                    <w:szCs w:val="18"/>
                  </w:rPr>
                  <w:t>30</w:t>
                </w:r>
                <w:r>
                  <w:rPr>
                    <w:rFonts w:asciiTheme="minorEastAsia" w:hAnsiTheme="minorEastAsia" w:eastAsiaTheme="minorEastAsia"/>
                    <w:sz w:val="18"/>
                    <w:szCs w:val="18"/>
                  </w:rPr>
                  <w:t>日</w:t>
                </w:r>
              </w:p>
            </w:tc>
            <w:tc>
              <w:tcPr>
                <w:tcW w:w="1701"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2021年12月1</w:t>
                </w:r>
                <w:r>
                  <w:rPr>
                    <w:rFonts w:hint="eastAsia" w:asciiTheme="minorEastAsia" w:hAnsiTheme="minorEastAsia" w:eastAsiaTheme="minorEastAsia"/>
                    <w:sz w:val="18"/>
                    <w:szCs w:val="18"/>
                  </w:rPr>
                  <w:t>3</w:t>
                </w:r>
                <w:r>
                  <w:rPr>
                    <w:rFonts w:asciiTheme="minorEastAsia" w:hAnsiTheme="minorEastAsia" w:eastAsiaTheme="minorEastAsia"/>
                    <w:sz w:val="18"/>
                    <w:szCs w:val="18"/>
                  </w:rPr>
                  <w:t>日</w:t>
                </w:r>
              </w:p>
            </w:tc>
            <w:tc>
              <w:tcPr>
                <w:tcW w:w="1152"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456,000</w:t>
                </w:r>
              </w:p>
            </w:tc>
            <w:tc>
              <w:tcPr>
                <w:tcW w:w="1138"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1363"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-456,000</w:t>
                </w:r>
              </w:p>
            </w:tc>
            <w:tc>
              <w:tcPr>
                <w:tcW w:w="1591" w:type="dxa"/>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股权激励限制性股票回购注销</w:t>
                </w:r>
              </w:p>
            </w:tc>
            <w:tc>
              <w:tcPr>
                <w:tcW w:w="1352"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80.54</w:t>
                </w:r>
              </w:p>
            </w:tc>
            <w:sdt>
              <w:sdtPr>
                <w:rPr>
                  <w:rFonts w:asciiTheme="minorEastAsia" w:hAnsiTheme="minorEastAsia" w:eastAsiaTheme="minorEastAsia"/>
                  <w:sz w:val="18"/>
                  <w:szCs w:val="18"/>
                </w:rPr>
                <w:alias w:val="董事、监事、高级管理人员是否在公司关联方获取报酬"/>
                <w:tag w:val="_GBC_1fc30a06011d4603820ff653031666f0"/>
                <w:id w:val="-429820706"/>
                <w:lock w:val="sdtLocked"/>
                <w:comboBox>
                  <w:listItem w:displayText="是" w:value="true"/>
                  <w:listItem w:displayText="否" w:value="false"/>
                </w:comboBox>
              </w:sdtPr>
              <w:sdtEndPr>
                <w:rPr>
                  <w:rFonts w:asciiTheme="minorEastAsia" w:hAnsiTheme="minorEastAsia" w:eastAsiaTheme="minorEastAsia"/>
                  <w:sz w:val="18"/>
                  <w:szCs w:val="18"/>
                </w:rPr>
              </w:sdtEndPr>
              <w:sdtContent>
                <w:tc>
                  <w:tcPr>
                    <w:tcW w:w="917" w:type="dxa"/>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817"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1310"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997"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706"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699"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701"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152"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r>
                  <w:rPr>
                    <w:rFonts w:asciiTheme="minorEastAsia" w:hAnsiTheme="minorEastAsia" w:eastAsiaTheme="minorEastAsia"/>
                    <w:sz w:val="18"/>
                    <w:szCs w:val="18"/>
                  </w:rPr>
                  <w:t>,</w:t>
                </w:r>
                <w:r>
                  <w:rPr>
                    <w:rFonts w:hint="eastAsia" w:asciiTheme="minorEastAsia" w:hAnsiTheme="minorEastAsia" w:eastAsiaTheme="minorEastAsia"/>
                    <w:sz w:val="18"/>
                    <w:szCs w:val="18"/>
                  </w:rPr>
                  <w:t>937</w:t>
                </w:r>
                <w:r>
                  <w:rPr>
                    <w:rFonts w:asciiTheme="minorEastAsia" w:hAnsiTheme="minorEastAsia" w:eastAsiaTheme="minorEastAsia"/>
                    <w:sz w:val="18"/>
                    <w:szCs w:val="18"/>
                  </w:rPr>
                  <w:t>,</w:t>
                </w:r>
                <w:r>
                  <w:rPr>
                    <w:rFonts w:hint="eastAsia" w:asciiTheme="minorEastAsia" w:hAnsiTheme="minorEastAsia" w:eastAsiaTheme="minorEastAsia"/>
                    <w:sz w:val="18"/>
                    <w:szCs w:val="18"/>
                  </w:rPr>
                  <w:t>000</w:t>
                </w:r>
              </w:p>
            </w:tc>
            <w:tc>
              <w:tcPr>
                <w:tcW w:w="1138"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1,980,000</w:t>
                </w:r>
              </w:p>
            </w:tc>
            <w:tc>
              <w:tcPr>
                <w:tcW w:w="1363"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asciiTheme="minorEastAsia" w:hAnsiTheme="minorEastAsia" w:eastAsiaTheme="minorEastAsia"/>
                    <w:sz w:val="18"/>
                    <w:szCs w:val="18"/>
                  </w:rPr>
                  <w:t>-</w:t>
                </w:r>
                <w:r>
                  <w:rPr>
                    <w:rFonts w:hint="eastAsia" w:asciiTheme="minorEastAsia" w:hAnsiTheme="minorEastAsia" w:eastAsiaTheme="minorEastAsia"/>
                    <w:sz w:val="18"/>
                    <w:szCs w:val="18"/>
                  </w:rPr>
                  <w:t>957</w:t>
                </w:r>
                <w:r>
                  <w:rPr>
                    <w:rFonts w:asciiTheme="minorEastAsia" w:hAnsiTheme="minorEastAsia" w:eastAsiaTheme="minorEastAsia"/>
                    <w:sz w:val="18"/>
                    <w:szCs w:val="18"/>
                  </w:rPr>
                  <w:t>,0</w:t>
                </w:r>
                <w:r>
                  <w:rPr>
                    <w:rFonts w:hint="eastAsia" w:asciiTheme="minorEastAsia" w:hAnsiTheme="minorEastAsia" w:eastAsiaTheme="minorEastAsia"/>
                    <w:sz w:val="18"/>
                    <w:szCs w:val="18"/>
                  </w:rPr>
                  <w:t>00</w:t>
                </w:r>
              </w:p>
            </w:tc>
            <w:tc>
              <w:tcPr>
                <w:tcW w:w="1591"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c>
              <w:tcPr>
                <w:tcW w:w="1352"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373.0</w:t>
                </w:r>
                <w:r>
                  <w:rPr>
                    <w:rFonts w:asciiTheme="minorEastAsia" w:hAnsiTheme="minorEastAsia" w:eastAsiaTheme="minorEastAsia"/>
                    <w:sz w:val="18"/>
                    <w:szCs w:val="18"/>
                  </w:rPr>
                  <w:t>7</w:t>
                </w:r>
              </w:p>
            </w:tc>
            <w:tc>
              <w:tcPr>
                <w:tcW w:w="917" w:type="dxa"/>
                <w:tcBorders>
                  <w:bottom w:val="single" w:color="auto" w:sz="4" w:space="0"/>
                </w:tcBorders>
                <w:vAlign w:val="center"/>
              </w:tcPr>
              <w:p>
                <w:pPr>
                  <w:widowControl w:val="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bl>
        <w:p>
          <w:pPr>
            <w:spacing w:line="360" w:lineRule="auto"/>
          </w:pPr>
          <w:r>
            <w:rPr>
              <w:rFonts w:hint="eastAsia"/>
            </w:rPr>
            <w:t>说明：1、2</w:t>
          </w:r>
          <w:r>
            <w:t>021</w:t>
          </w:r>
          <w:r>
            <w:rPr>
              <w:rFonts w:hint="eastAsia"/>
            </w:rPr>
            <w:t>年1</w:t>
          </w:r>
          <w:r>
            <w:t>2</w:t>
          </w:r>
          <w:r>
            <w:rPr>
              <w:rFonts w:hint="eastAsia"/>
            </w:rPr>
            <w:t>月1</w:t>
          </w:r>
          <w:r>
            <w:t>3</w:t>
          </w:r>
          <w:r>
            <w:rPr>
              <w:rFonts w:hint="eastAsia"/>
            </w:rPr>
            <w:t>日经公司第五届董事会第七次会议审议通过聘任公司联席总裁、副总裁，报告期内劳动关系未转入，2</w:t>
          </w:r>
          <w:r>
            <w:t>021</w:t>
          </w:r>
          <w:r>
            <w:rPr>
              <w:rFonts w:hint="eastAsia"/>
            </w:rPr>
            <w:t>年在关联方领薪；</w:t>
          </w:r>
        </w:p>
        <w:p>
          <w:pPr>
            <w:spacing w:line="360" w:lineRule="auto"/>
          </w:pPr>
          <w:r>
            <w:t xml:space="preserve"> </w:t>
          </w:r>
          <w:r>
            <w:rPr>
              <w:rFonts w:hint="eastAsia"/>
            </w:rPr>
            <w:t xml:space="preserve">     </w:t>
          </w:r>
          <w:r>
            <w:t>2</w:t>
          </w:r>
          <w:r>
            <w:rPr>
              <w:rFonts w:hint="eastAsia"/>
            </w:rPr>
            <w:t>、上述董监高人员未含2</w:t>
          </w:r>
          <w:r>
            <w:t>021</w:t>
          </w:r>
          <w:r>
            <w:rPr>
              <w:rFonts w:hint="eastAsia"/>
            </w:rPr>
            <w:t>年1月2</w:t>
          </w:r>
          <w:r>
            <w:t>2</w:t>
          </w:r>
          <w:r>
            <w:rPr>
              <w:rFonts w:hint="eastAsia"/>
            </w:rPr>
            <w:t>日换届离任的上届董监高人员。</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3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525b90cb0c248978acb54a7f361f6a2"/>
                <w:id w:val="-886650690"/>
                <w:lock w:val="sdtLocked"/>
              </w:sdtPr>
              <w:sdtContent>
                <w:tc>
                  <w:tcPr>
                    <w:tcW w:w="959" w:type="dxa"/>
                    <w:vAlign w:val="center"/>
                  </w:tcPr>
                  <w:p>
                    <w:pPr>
                      <w:widowControl w:val="0"/>
                      <w:jc w:val="center"/>
                      <w:rPr>
                        <w:szCs w:val="21"/>
                      </w:rPr>
                    </w:pPr>
                    <w:r>
                      <w:rPr>
                        <w:rFonts w:hint="eastAsia"/>
                        <w:szCs w:val="21"/>
                      </w:rPr>
                      <w:t>姓名</w:t>
                    </w:r>
                  </w:p>
                </w:tc>
              </w:sdtContent>
            </w:sdt>
            <w:sdt>
              <w:sdtPr>
                <w:tag w:val="_PLD_61b466aae87d4dac813a38c2c8e6a492"/>
                <w:id w:val="2131362625"/>
                <w:lock w:val="sdtLocked"/>
              </w:sdtPr>
              <w:sdtContent>
                <w:tc>
                  <w:tcPr>
                    <w:tcW w:w="13130" w:type="dxa"/>
                    <w:vAlign w:val="center"/>
                  </w:tcPr>
                  <w:p>
                    <w:pPr>
                      <w:widowControl w:val="0"/>
                      <w:jc w:val="center"/>
                      <w:rPr>
                        <w:szCs w:val="21"/>
                      </w:rPr>
                    </w:pPr>
                    <w:r>
                      <w:rPr>
                        <w:szCs w:val="21"/>
                      </w:rPr>
                      <w:t>主要工作经历</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徐志豪</w:t>
                </w:r>
              </w:p>
            </w:tc>
            <w:tc>
              <w:tcPr>
                <w:tcW w:w="13130" w:type="dxa"/>
                <w:vAlign w:val="center"/>
              </w:tcPr>
              <w:p>
                <w:pPr>
                  <w:widowControl w:val="0"/>
                  <w:jc w:val="both"/>
                  <w:rPr>
                    <w:szCs w:val="21"/>
                  </w:rPr>
                </w:pPr>
                <w:r>
                  <w:rPr>
                    <w:rFonts w:hint="eastAsia"/>
                  </w:rPr>
                  <w:t>吉利科技集团首席执行官（</w:t>
                </w:r>
                <w:r>
                  <w:t>CEO），同时担任力帆科技（601777.SH）董事长、钱江摩托（000913.SZ）董事长，兼任古井贡酒（000596.SZ）独立董事、铭泰集团董事长。“广西五一劳动奖章”称号获得者，赣州市人民政府策略咨询顾问。本科毕业于中国人民大学，清华五道口金融学院研究生，目前为浙江大学与新加坡管理大学在读博士，具有基金从业资格证和证券从业资格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朱军</w:t>
                </w:r>
              </w:p>
            </w:tc>
            <w:tc>
              <w:tcPr>
                <w:tcW w:w="13130" w:type="dxa"/>
                <w:vAlign w:val="center"/>
              </w:tcPr>
              <w:p>
                <w:pPr>
                  <w:widowControl w:val="0"/>
                  <w:jc w:val="both"/>
                  <w:rPr>
                    <w:szCs w:val="21"/>
                  </w:rPr>
                </w:pPr>
                <w:r>
                  <w:rPr>
                    <w:rFonts w:hint="eastAsia"/>
                  </w:rPr>
                  <w:t>女，1971年5月出生，现任重庆两江新区产业发展集团有限公司党委副书记、董事、总经理，兼任重庆两江股权投资基金管理有限公司执行董事、总经理，力帆科技副董事长。高级经济师，重庆市财政会计咨询专家。曾在党政机关任职数十年，曾担任两江新区财政局（国资局）局长、两江新区财政局（金融办）副局长、沙坪坝区财政局副局长、沙坪坝区金融办副局长、沙坪坝区国资局副局长，并曾兼任重庆两江金融发展有限公司执行董事、重庆两江航空航天产业投资集团有限公司执行董事。主导并参与了多个省级大型招商、并购、投资、融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Align w:val="center"/>
              </w:tcPr>
              <w:p>
                <w:pPr>
                  <w:widowControl w:val="0"/>
                  <w:jc w:val="center"/>
                  <w:rPr>
                    <w:szCs w:val="21"/>
                  </w:rPr>
                </w:pPr>
                <w:r>
                  <w:rPr>
                    <w:rFonts w:hint="eastAsia"/>
                  </w:rPr>
                  <w:t>杨健</w:t>
                </w:r>
              </w:p>
            </w:tc>
            <w:tc>
              <w:tcPr>
                <w:tcW w:w="13130" w:type="dxa"/>
                <w:vAlign w:val="center"/>
              </w:tcPr>
              <w:p>
                <w:pPr>
                  <w:widowControl w:val="0"/>
                  <w:jc w:val="both"/>
                  <w:rPr>
                    <w:szCs w:val="21"/>
                  </w:rPr>
                </w:pPr>
                <w:r>
                  <w:rPr>
                    <w:rFonts w:hint="eastAsia"/>
                    <w:szCs w:val="21"/>
                  </w:rPr>
                  <w:t>男，</w:t>
                </w:r>
                <w:r>
                  <w:rPr>
                    <w:szCs w:val="21"/>
                  </w:rPr>
                  <w:t>1962年4月出生，毕业于浙江广播电视大学管理工程专业，持有高级经济师及高级工程师资格。1996年加入吉利集团，先后担任多项要职，其中包括吉利汽车研究院院长，浙江吉利控股集团常务副总裁，浙江吉利控股集团总裁等职务。杨健先生自2012年以来至今担任浙江吉利控股集团有限公司董事局副主席，副董事长，负责集团年度经营战略，考核目标制定，企业规划，新能源业务，前瞻技术研究，经营管理绩效考核等核心工作，现兼任钱江摩托副董事长、力帆科技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钟弦</w:t>
                </w:r>
              </w:p>
            </w:tc>
            <w:tc>
              <w:tcPr>
                <w:tcW w:w="13130" w:type="dxa"/>
                <w:vAlign w:val="center"/>
              </w:tcPr>
              <w:p>
                <w:pPr>
                  <w:widowControl w:val="0"/>
                  <w:jc w:val="both"/>
                  <w:rPr>
                    <w:szCs w:val="21"/>
                  </w:rPr>
                </w:pPr>
                <w:r>
                  <w:rPr>
                    <w:rFonts w:hint="eastAsia"/>
                  </w:rPr>
                  <w:t>女，</w:t>
                </w:r>
                <w:r>
                  <w:t>1977年6月出生，曾任深圳科力远新能源股权投资基金合伙企业(有限合伙)总经理，湖南科力远新能源股份有限公司投资总监、董事会秘书，现任吉利科技集团有限公司副总裁，力帆科技董事，重庆银行非执行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王梦麟</w:t>
                </w:r>
              </w:p>
            </w:tc>
            <w:tc>
              <w:tcPr>
                <w:tcW w:w="13130" w:type="dxa"/>
                <w:vAlign w:val="center"/>
              </w:tcPr>
              <w:p>
                <w:pPr>
                  <w:widowControl w:val="0"/>
                  <w:jc w:val="both"/>
                  <w:rPr>
                    <w:szCs w:val="21"/>
                  </w:rPr>
                </w:pPr>
                <w:r>
                  <w:rPr>
                    <w:rFonts w:hint="eastAsia"/>
                  </w:rPr>
                  <w:t>女，1984年4月出生，中级经济师，硕士研究生，现任两江基金公司副总经理，力帆科技董事。兼任两江产业集团数字经济产业部经理、重庆保税港区股份公司董事、重庆渝高科技公司董事。曾任两江产业集团投资部经理、重庆广泰投资集团投资运营部副部长，原北部新区国资办5年借调工作，在经济、投资等领域有丰富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周充</w:t>
                </w:r>
              </w:p>
            </w:tc>
            <w:tc>
              <w:tcPr>
                <w:tcW w:w="13130" w:type="dxa"/>
                <w:vAlign w:val="center"/>
              </w:tcPr>
              <w:p>
                <w:pPr>
                  <w:widowControl w:val="0"/>
                  <w:jc w:val="both"/>
                  <w:rPr>
                    <w:szCs w:val="21"/>
                  </w:rPr>
                </w:pPr>
                <w:r>
                  <w:rPr>
                    <w:rFonts w:hint="eastAsia"/>
                  </w:rPr>
                  <w:t>男，1982年8月出生，中级经济师，毕业于西南财经大学，税收学硕士学位，金融学博士研究生，现任两江基金公司副</w:t>
                </w:r>
                <w:r>
                  <w:t>总</w:t>
                </w:r>
                <w:r>
                  <w:rPr>
                    <w:rFonts w:hint="eastAsia"/>
                  </w:rPr>
                  <w:t>经理，力帆科技董事，兼职西南大学、重庆工商大学研究生导师，曾就职于重庆工商大学、重庆海关、平安银行重庆分行，兼具高校、政府机关综合部门及市场化金融机构从业背景。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color w:val="FF0000"/>
                    <w:szCs w:val="21"/>
                  </w:rPr>
                </w:pPr>
                <w:r>
                  <w:rPr>
                    <w:rFonts w:hint="eastAsia"/>
                  </w:rPr>
                  <w:t>肖翔</w:t>
                </w:r>
              </w:p>
            </w:tc>
            <w:tc>
              <w:tcPr>
                <w:tcW w:w="13130" w:type="dxa"/>
                <w:vAlign w:val="center"/>
              </w:tcPr>
              <w:p>
                <w:pPr>
                  <w:widowControl w:val="0"/>
                  <w:jc w:val="both"/>
                  <w:rPr>
                    <w:szCs w:val="21"/>
                  </w:rPr>
                </w:pPr>
                <w:r>
                  <w:rPr>
                    <w:rFonts w:hint="eastAsia"/>
                  </w:rPr>
                  <w:t>女，1970年3月出生，教授，博士研究生，注册会计师。现任北京交通大学经管学院会计系书记、副主任，北京交通大学中国企业竞争力研究中心副主任，北京交通大学中东欧研究中心主任，唐山港集团股份有限公司独立董事，力帆科技独立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color w:val="FF0000"/>
                    <w:szCs w:val="21"/>
                  </w:rPr>
                </w:pPr>
                <w:r>
                  <w:rPr>
                    <w:rFonts w:hint="eastAsia"/>
                  </w:rPr>
                  <w:t>窦军生</w:t>
                </w:r>
              </w:p>
            </w:tc>
            <w:tc>
              <w:tcPr>
                <w:tcW w:w="13130" w:type="dxa"/>
                <w:vAlign w:val="center"/>
              </w:tcPr>
              <w:p>
                <w:pPr>
                  <w:widowControl w:val="0"/>
                  <w:jc w:val="both"/>
                  <w:rPr>
                    <w:szCs w:val="21"/>
                  </w:rPr>
                </w:pPr>
                <w:r>
                  <w:rPr>
                    <w:rFonts w:hint="eastAsia"/>
                  </w:rPr>
                  <w:t>男，1980年11月出生，博士研究生学历，浙江大学管理学院创新创业与战略学系教授，博士生导师，浙江大学管理学院副院长，浙江大学全球创业研究中心副主任，浙江大学管理学院家族企业研究所所长，浙江大学管理学院科技创业中心(ZTVP)联合创始人，英国兰卡斯特大学管理学院访问学者，力帆科技独立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color w:val="FF0000"/>
                    <w:szCs w:val="21"/>
                  </w:rPr>
                </w:pPr>
                <w:r>
                  <w:rPr>
                    <w:rFonts w:hint="eastAsia"/>
                  </w:rPr>
                  <w:t>任晓常</w:t>
                </w:r>
              </w:p>
            </w:tc>
            <w:tc>
              <w:tcPr>
                <w:tcW w:w="13130" w:type="dxa"/>
                <w:vAlign w:val="center"/>
              </w:tcPr>
              <w:p>
                <w:pPr>
                  <w:widowControl w:val="0"/>
                  <w:jc w:val="both"/>
                  <w:rPr>
                    <w:szCs w:val="21"/>
                  </w:rPr>
                </w:pPr>
                <w:r>
                  <w:rPr>
                    <w:rFonts w:hint="eastAsia"/>
                  </w:rPr>
                  <w:t>男，1956年5月出生，工学学士，研究员级高级工程师，曾任重庆汽车研究所副所长、所长，中国汽车工程研究院股份有限公司总经理、副董事长，中国汽车工程研究院股份有限公司董事长。现任重庆机电股份有限公司独立董事、重庆长安汽车股份有限公司独立董事、重庆宗申动力机械股份有限公司独立董事、北京海博思创科技股份有限公司独立董事以及力帆科技独立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龙珍珠</w:t>
                </w:r>
              </w:p>
            </w:tc>
            <w:tc>
              <w:tcPr>
                <w:tcW w:w="13130" w:type="dxa"/>
                <w:vAlign w:val="center"/>
              </w:tcPr>
              <w:p>
                <w:pPr>
                  <w:widowControl w:val="0"/>
                  <w:jc w:val="both"/>
                  <w:rPr>
                    <w:szCs w:val="21"/>
                  </w:rPr>
                </w:pPr>
                <w:r>
                  <w:rPr>
                    <w:rFonts w:hint="eastAsia"/>
                  </w:rPr>
                  <w:t>女，1986年12月出生，毕业于复旦大学法学专业。现任重庆两江股权投资基金管理有限公司投资部经理，力帆科技监事会主席。龙珍珠女士曾就职于北京国枫凯文律师事务所、北京市中伦律师事务所，参与了多宗IPO、并购重组、再融资、PE/VC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彭家虎</w:t>
                </w:r>
              </w:p>
            </w:tc>
            <w:tc>
              <w:tcPr>
                <w:tcW w:w="13130" w:type="dxa"/>
                <w:vAlign w:val="center"/>
              </w:tcPr>
              <w:p>
                <w:pPr>
                  <w:widowControl w:val="0"/>
                  <w:jc w:val="both"/>
                  <w:rPr>
                    <w:szCs w:val="21"/>
                  </w:rPr>
                </w:pPr>
                <w:r>
                  <w:rPr>
                    <w:rFonts w:hint="eastAsia"/>
                  </w:rPr>
                  <w:t>男，</w:t>
                </w:r>
                <w:r>
                  <w:t>1985年12月出生，毕业于西南政法大学法学专业。2010年至今就职于浙江吉利控股集团有限公司法律事务部。现任吉利科技集团有限公司总裁助理兼法务合规部总经理，力帆科技监事，科力远、钱江摩托监事。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王颖</w:t>
                </w:r>
              </w:p>
            </w:tc>
            <w:tc>
              <w:tcPr>
                <w:tcW w:w="13130" w:type="dxa"/>
                <w:vAlign w:val="center"/>
              </w:tcPr>
              <w:p>
                <w:pPr>
                  <w:widowControl w:val="0"/>
                  <w:jc w:val="both"/>
                  <w:rPr>
                    <w:szCs w:val="21"/>
                  </w:rPr>
                </w:pPr>
                <w:r>
                  <w:rPr>
                    <w:rFonts w:hint="eastAsia"/>
                  </w:rPr>
                  <w:t>女，1973年11月出生，专科学历，1999年7月加入公司。曾任中国海洋石油总公司广州分公司财务人员，重庆高新技进出口有限公司外贸单证员，力帆进出口公司后勤部员工、物流部副部长，公司摩托车海外业部物流部部长、业务后勤部部长。2013年至今任本公司摩托车海外事业部总经理助理,现还任力帆科技职工监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杨波</w:t>
                </w:r>
              </w:p>
            </w:tc>
            <w:tc>
              <w:tcPr>
                <w:tcW w:w="13130" w:type="dxa"/>
                <w:vAlign w:val="center"/>
              </w:tcPr>
              <w:p>
                <w:pPr>
                  <w:widowControl w:val="0"/>
                  <w:jc w:val="both"/>
                  <w:rPr>
                    <w:szCs w:val="21"/>
                  </w:rPr>
                </w:pPr>
                <w:r>
                  <w:rPr>
                    <w:rFonts w:hint="eastAsia"/>
                  </w:rPr>
                  <w:t>男，1972年7月出生，本科学历。曾任重庆特殊钢（集团）有限责任公司进口装备项目负责人，力帆进出口公司业务部长、总经理助理、副总经理。现任力帆科技总裁，力帆进出口公司执行董事，重庆力帆速骓进出口贸易有限公司总经理，重庆力帆三轮摩托车有限公司董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娄源发</w:t>
                </w:r>
              </w:p>
            </w:tc>
            <w:tc>
              <w:tcPr>
                <w:tcW w:w="13130" w:type="dxa"/>
                <w:vAlign w:val="center"/>
              </w:tcPr>
              <w:p>
                <w:pPr>
                  <w:widowControl w:val="0"/>
                  <w:jc w:val="both"/>
                  <w:rPr>
                    <w:szCs w:val="21"/>
                  </w:rPr>
                </w:pPr>
                <w:r>
                  <w:rPr>
                    <w:rFonts w:hint="eastAsia"/>
                  </w:rPr>
                  <w:t>男，1976 年出生。历任河南省汽车制动器有限公司副部长，万安集团有限公司项目经理，浙江吉利汽车有限公司技术部室主任、技术部部长、海外支持部部长，浙江吉利汽车有限公司宁波杭州湾工厂副总经理、总经理，吉利汽车集团有限公司副总裁，枫盛汽车科技集团有限公司 COO，现任力帆科技联席总裁。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周强</w:t>
                </w:r>
              </w:p>
            </w:tc>
            <w:tc>
              <w:tcPr>
                <w:tcW w:w="13130" w:type="dxa"/>
                <w:vAlign w:val="center"/>
              </w:tcPr>
              <w:p>
                <w:pPr>
                  <w:widowControl w:val="0"/>
                  <w:jc w:val="both"/>
                  <w:rPr>
                    <w:szCs w:val="21"/>
                  </w:rPr>
                </w:pPr>
                <w:r>
                  <w:rPr>
                    <w:rFonts w:hint="eastAsia"/>
                  </w:rPr>
                  <w:t>男，1974 年 5 月出生。历任浙江豪情汽车制造有限公司财务部长，浙江吉利控股集团有限公司高级总监，枫盛汽车科技集团有限公司 CFO，现任力帆科技副总裁。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张琳斌</w:t>
                </w:r>
              </w:p>
            </w:tc>
            <w:tc>
              <w:tcPr>
                <w:tcW w:w="13130" w:type="dxa"/>
                <w:vAlign w:val="center"/>
              </w:tcPr>
              <w:p>
                <w:pPr>
                  <w:widowControl w:val="0"/>
                  <w:jc w:val="both"/>
                  <w:rPr>
                    <w:szCs w:val="21"/>
                  </w:rPr>
                </w:pPr>
                <w:r>
                  <w:rPr>
                    <w:rFonts w:hint="eastAsia"/>
                  </w:rPr>
                  <w:t>女，1982年10月出生。加拿大注册会计师（CPA,CGA），美国特许金融分析师(CFA)，毕业于南开大学国际会计专业，本科学历。历任德勤会计师事务所天津分所审计员、圣凯(天津)工业有限公司财务总监、重庆西山科技股份有限公司财务总监、重庆东赢恒康企业(集团)有限公司财务总监。2020年12月加入力帆科技(集团)股份有限公司，现任力帆科技财务总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伍定军</w:t>
                </w:r>
              </w:p>
            </w:tc>
            <w:tc>
              <w:tcPr>
                <w:tcW w:w="13130" w:type="dxa"/>
                <w:vAlign w:val="center"/>
              </w:tcPr>
              <w:p>
                <w:pPr>
                  <w:widowControl w:val="0"/>
                  <w:jc w:val="both"/>
                  <w:rPr>
                    <w:szCs w:val="21"/>
                  </w:rPr>
                </w:pPr>
                <w:r>
                  <w:rPr>
                    <w:rFonts w:hint="eastAsia"/>
                  </w:rPr>
                  <w:t>男，1972年5月出生，研究生学历。曾在湖南金信化工有限公司、湖南科力远新能源股份有限公司工作，历任证券事务代表、董事会秘书。现任世邦通信股份有限公司独立董事，力帆科技董事会秘书。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pPr>
                  <w:widowControl w:val="0"/>
                  <w:jc w:val="center"/>
                  <w:rPr>
                    <w:szCs w:val="21"/>
                  </w:rPr>
                </w:pPr>
                <w:r>
                  <w:rPr>
                    <w:rFonts w:hint="eastAsia"/>
                  </w:rPr>
                  <w:t>叶长春</w:t>
                </w:r>
              </w:p>
            </w:tc>
            <w:tc>
              <w:tcPr>
                <w:tcW w:w="13130" w:type="dxa"/>
                <w:vAlign w:val="center"/>
              </w:tcPr>
              <w:p>
                <w:pPr>
                  <w:widowControl w:val="0"/>
                  <w:jc w:val="both"/>
                  <w:rPr>
                    <w:szCs w:val="21"/>
                  </w:rPr>
                </w:pPr>
                <w:r>
                  <w:rPr>
                    <w:rFonts w:hint="eastAsia"/>
                  </w:rPr>
                  <w:t>男，1974年1月出生，研究生学历，工商管理硕士，正高级会计师。曾任重庆力帆摩托车有限公司财务部副主任、主任，重庆新感觉摩托车有限公司财务部主任，重庆力帆摩托车产销有限公司财务部主任，重庆万光新能源科技有限公司财务部部长，江门气派摩托车有限公司财务总监，力帆股份财务负责人，重庆力帆财务有限公司监事。</w:t>
                </w:r>
              </w:p>
            </w:tc>
          </w:tr>
        </w:tbl>
        <w:p/>
        <w:p>
          <w:pPr>
            <w:spacing w:line="360" w:lineRule="auto"/>
            <w:rPr>
              <w:szCs w:val="21"/>
            </w:rPr>
          </w:pPr>
          <w:r>
            <w:rPr>
              <w:szCs w:val="21"/>
            </w:rPr>
            <w:t>其它情况说明</w:t>
          </w:r>
        </w:p>
        <w:sdt>
          <w:sdtPr>
            <w:rPr>
              <w:szCs w:val="21"/>
            </w:rPr>
            <w:alias w:val="是否适用：董事、监事 和高级管理人员持股变动及报酬情况其他情况说明[双击切换]"/>
            <w:tag w:val="_GBC_9b04f21816b544bc9606e29c2556c9ba"/>
            <w:id w:val="561142647"/>
            <w:lock w:val="sdtLocked"/>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MACROBUTTON  SnrToggleCheckbox □不适用 </w:instrText>
              </w:r>
              <w:r>
                <w:rPr>
                  <w:szCs w:val="21"/>
                </w:rPr>
                <w:fldChar w:fldCharType="end"/>
              </w:r>
            </w:p>
          </w:sdtContent>
        </w:sdt>
        <w:sdt>
          <w:sdtPr>
            <w:rPr>
              <w:rFonts w:ascii="Calibri" w:hAnsi="Calibri" w:cs="Times New Roman"/>
              <w:kern w:val="2"/>
              <w:szCs w:val="21"/>
            </w:rPr>
            <w:alias w:val="董事、监事和高级管理人员持股变动及报酬其他情况说明"/>
            <w:tag w:val="_GBC_557fdbc21d794629ab786dcecc519b1c"/>
            <w:id w:val="960768517"/>
            <w:lock w:val="sdtLocked"/>
          </w:sdtPr>
          <w:sdtEndPr>
            <w:rPr>
              <w:rFonts w:ascii="宋体" w:hAnsi="宋体" w:cs="宋体"/>
              <w:kern w:val="0"/>
              <w:szCs w:val="24"/>
            </w:rPr>
          </w:sdtEndPr>
          <w:sdtContent>
            <w:p>
              <w:pPr>
                <w:spacing w:line="360" w:lineRule="auto"/>
                <w:ind w:firstLine="420" w:firstLineChars="200"/>
              </w:pPr>
              <w:r>
                <w:rPr>
                  <w:rFonts w:asciiTheme="minorEastAsia" w:hAnsiTheme="minorEastAsia" w:eastAsiaTheme="minorEastAsia"/>
                  <w:szCs w:val="21"/>
                </w:rPr>
                <w:t>公司于202</w:t>
              </w:r>
              <w:r>
                <w:rPr>
                  <w:rFonts w:hint="eastAsia" w:asciiTheme="minorEastAsia" w:hAnsiTheme="minorEastAsia" w:eastAsiaTheme="minorEastAsia"/>
                  <w:szCs w:val="21"/>
                </w:rPr>
                <w:t>2</w:t>
              </w:r>
              <w:r>
                <w:rPr>
                  <w:rFonts w:asciiTheme="minorEastAsia" w:hAnsiTheme="minorEastAsia" w:eastAsiaTheme="minorEastAsia"/>
                  <w:szCs w:val="21"/>
                </w:rPr>
                <w:t>年1月22日召开2021年第一次临时股东大会并审议通过第五届董事会董事、独立董事、股东代表监事换届选举的议案，2021年1月22日召开第五届董事会第一次会议并审议通过选举第五届董事会董事长、副董事长和聘任总裁、董事会秘书及证券事务代表的议案，2021年1月8日召开公司工会委员会（扩大）会议选举产生第五届监事会职工监事。内容详见公司2021年1月23 日刊登于《中国证券报》《上海证券报》《证券时报》《证券日报》及上海证券交易所网站 www.sse.com.cn 的《公司2021年第一次临时股东大会决议公告》《公司第五届董事会第一会议决议公告》及《公司</w:t>
              </w:r>
              <w:r>
                <w:rPr>
                  <w:rFonts w:hint="eastAsia" w:asciiTheme="minorEastAsia" w:hAnsiTheme="minorEastAsia" w:eastAsiaTheme="minorEastAsia"/>
                  <w:szCs w:val="21"/>
                </w:rPr>
                <w:t>第五届监事会第一次会议决议公告》。</w:t>
              </w:r>
            </w:p>
            <w:p>
              <w:pPr>
                <w:spacing w:line="360" w:lineRule="auto"/>
                <w:ind w:firstLine="420" w:firstLineChars="200"/>
                <w:sectPr>
                  <w:pgSz w:w="16838" w:h="11906" w:orient="landscape"/>
                  <w:pgMar w:top="1797" w:right="1525" w:bottom="1276" w:left="1440" w:header="855" w:footer="992" w:gutter="0"/>
                  <w:cols w:space="425" w:num="1"/>
                  <w:docGrid w:linePitch="312" w:charSpace="0"/>
                </w:sectPr>
              </w:pPr>
              <w:r>
                <w:rPr>
                  <w:rFonts w:hint="eastAsia" w:asciiTheme="minorEastAsia" w:hAnsiTheme="minorEastAsia" w:eastAsiaTheme="minorEastAsia"/>
                  <w:szCs w:val="21"/>
                </w:rPr>
                <w:t>公司于</w:t>
              </w:r>
              <w:r>
                <w:rPr>
                  <w:rFonts w:asciiTheme="minorEastAsia" w:hAnsiTheme="minorEastAsia" w:eastAsiaTheme="minorEastAsia"/>
                  <w:szCs w:val="21"/>
                </w:rPr>
                <w:t>2021年12月1</w:t>
              </w:r>
              <w:r>
                <w:rPr>
                  <w:rFonts w:hint="eastAsia" w:asciiTheme="minorEastAsia" w:hAnsiTheme="minorEastAsia" w:eastAsiaTheme="minorEastAsia"/>
                  <w:szCs w:val="21"/>
                </w:rPr>
                <w:t>3</w:t>
              </w:r>
              <w:r>
                <w:rPr>
                  <w:rFonts w:asciiTheme="minorEastAsia" w:hAnsiTheme="minorEastAsia" w:eastAsiaTheme="minorEastAsia"/>
                  <w:szCs w:val="21"/>
                </w:rPr>
                <w:t>日召开第五届董事会第七次会议审议通过</w:t>
              </w:r>
              <w:r>
                <w:rPr>
                  <w:rFonts w:hint="eastAsia" w:asciiTheme="minorEastAsia" w:hAnsiTheme="minorEastAsia" w:eastAsiaTheme="minorEastAsia"/>
                  <w:szCs w:val="21"/>
                </w:rPr>
                <w:t>《关于解聘财务负责人的议案》及《关于聘任高级管理人员的议案》，同意</w:t>
              </w:r>
              <w:r>
                <w:rPr>
                  <w:rFonts w:asciiTheme="minorEastAsia" w:hAnsiTheme="minorEastAsia" w:eastAsiaTheme="minorEastAsia"/>
                  <w:szCs w:val="21"/>
                </w:rPr>
                <w:t>解聘</w:t>
              </w:r>
              <w:r>
                <w:rPr>
                  <w:rFonts w:hint="eastAsia" w:asciiTheme="minorEastAsia" w:hAnsiTheme="minorEastAsia" w:eastAsiaTheme="minorEastAsia"/>
                  <w:szCs w:val="21"/>
                </w:rPr>
                <w:t>原</w:t>
              </w:r>
              <w:r>
                <w:rPr>
                  <w:rFonts w:asciiTheme="minorEastAsia" w:hAnsiTheme="minorEastAsia" w:eastAsiaTheme="minorEastAsia"/>
                  <w:szCs w:val="21"/>
                </w:rPr>
                <w:t>财务负责人，</w:t>
              </w:r>
              <w:r>
                <w:rPr>
                  <w:rFonts w:hint="eastAsia" w:asciiTheme="minorEastAsia" w:hAnsiTheme="minorEastAsia" w:eastAsiaTheme="minorEastAsia"/>
                  <w:szCs w:val="21"/>
                </w:rPr>
                <w:t>并</w:t>
              </w:r>
              <w:r>
                <w:rPr>
                  <w:rFonts w:asciiTheme="minorEastAsia" w:hAnsiTheme="minorEastAsia" w:eastAsiaTheme="minorEastAsia"/>
                  <w:szCs w:val="21"/>
                </w:rPr>
                <w:t>聘任联席总裁、副总裁、财务负责人</w:t>
              </w:r>
              <w:r>
                <w:rPr>
                  <w:rFonts w:hint="eastAsia" w:asciiTheme="minorEastAsia" w:hAnsiTheme="minorEastAsia" w:eastAsiaTheme="minorEastAsia"/>
                  <w:szCs w:val="21"/>
                </w:rPr>
                <w:t>，</w:t>
              </w:r>
              <w:r>
                <w:rPr>
                  <w:rFonts w:asciiTheme="minorEastAsia" w:hAnsiTheme="minorEastAsia" w:eastAsiaTheme="minorEastAsia"/>
                  <w:szCs w:val="21"/>
                </w:rPr>
                <w:t>任期自董事会审议通过之日起至本届董事会届满为止</w:t>
              </w:r>
              <w:r>
                <w:rPr>
                  <w:rFonts w:hint="eastAsia" w:asciiTheme="minorEastAsia" w:hAnsiTheme="minorEastAsia" w:eastAsiaTheme="minorEastAsia"/>
                  <w:szCs w:val="21"/>
                </w:rPr>
                <w:t>。</w:t>
              </w:r>
              <w:r>
                <w:rPr>
                  <w:rFonts w:asciiTheme="minorEastAsia" w:hAnsiTheme="minorEastAsia" w:eastAsiaTheme="minorEastAsia"/>
                  <w:szCs w:val="21"/>
                </w:rPr>
                <w:t>内容详见公司2021年</w:t>
              </w:r>
              <w:r>
                <w:rPr>
                  <w:rFonts w:hint="eastAsia" w:asciiTheme="minorEastAsia" w:hAnsiTheme="minorEastAsia" w:eastAsiaTheme="minorEastAsia"/>
                  <w:szCs w:val="21"/>
                </w:rPr>
                <w:t>12</w:t>
              </w:r>
              <w:r>
                <w:rPr>
                  <w:rFonts w:asciiTheme="minorEastAsia" w:hAnsiTheme="minorEastAsia" w:eastAsiaTheme="minorEastAsia"/>
                  <w:szCs w:val="21"/>
                </w:rPr>
                <w:t>月</w:t>
              </w:r>
              <w:r>
                <w:rPr>
                  <w:rFonts w:hint="eastAsia" w:asciiTheme="minorEastAsia" w:hAnsiTheme="minorEastAsia" w:eastAsiaTheme="minorEastAsia"/>
                  <w:szCs w:val="21"/>
                </w:rPr>
                <w:t>14</w:t>
              </w:r>
              <w:r>
                <w:rPr>
                  <w:rFonts w:asciiTheme="minorEastAsia" w:hAnsiTheme="minorEastAsia" w:eastAsiaTheme="minorEastAsia"/>
                  <w:szCs w:val="21"/>
                </w:rPr>
                <w:t>日刊登于《中国证券报》《上海证券报》《证券时报》《证券日报》及上海证券交易所网站 www.sse.com.cn 的《公司第五届董事会第</w:t>
              </w:r>
              <w:r>
                <w:rPr>
                  <w:rFonts w:hint="eastAsia" w:asciiTheme="minorEastAsia" w:hAnsiTheme="minorEastAsia" w:eastAsiaTheme="minorEastAsia"/>
                  <w:szCs w:val="21"/>
                </w:rPr>
                <w:t>七</w:t>
              </w:r>
              <w:r>
                <w:rPr>
                  <w:rFonts w:asciiTheme="minorEastAsia" w:hAnsiTheme="minorEastAsia" w:eastAsiaTheme="minorEastAsia"/>
                  <w:szCs w:val="21"/>
                </w:rPr>
                <w:t>会议决议公告》</w:t>
              </w:r>
              <w:r>
                <w:rPr>
                  <w:rFonts w:hint="eastAsia" w:asciiTheme="minorEastAsia" w:hAnsiTheme="minorEastAsia" w:eastAsiaTheme="minorEastAsia"/>
                  <w:szCs w:val="21"/>
                </w:rPr>
                <w:t>。</w:t>
              </w:r>
            </w:p>
          </w:sdtContent>
        </w:sdt>
      </w:sdtContent>
    </w:sdt>
    <w:bookmarkEnd w:id="47"/>
    <w:p>
      <w:pPr>
        <w:pStyle w:val="4"/>
        <w:numPr>
          <w:ilvl w:val="0"/>
          <w:numId w:val="17"/>
        </w:numPr>
        <w:ind w:left="0" w:firstLine="0"/>
      </w:pPr>
      <w:r>
        <w:rPr>
          <w:rFonts w:hint="eastAsia"/>
        </w:rPr>
        <w:t>现任及报告期内离任董事、监事和高级管理人员的任职情况</w:t>
      </w:r>
    </w:p>
    <w:sdt>
      <w:sdtPr>
        <w:rPr>
          <w:rFonts w:ascii="宋体" w:hAnsi="宋体" w:cs="宋体"/>
          <w:b/>
          <w:bCs/>
          <w:kern w:val="0"/>
          <w:szCs w:val="24"/>
        </w:rPr>
        <w:alias w:val="模块:在股东单位任职情况"/>
        <w:tag w:val="_SEC_71174076095e4b3299192300e2845511"/>
        <w:id w:val="-1981761900"/>
        <w:lock w:val="sdtLocked"/>
        <w:placeholder>
          <w:docPart w:val="GBC22222222222222222222222222222"/>
        </w:placeholder>
      </w:sdtPr>
      <w:sdtEndPr>
        <w:rPr>
          <w:rFonts w:ascii="宋体" w:hAnsi="宋体" w:cs="宋体"/>
          <w:b w:val="0"/>
          <w:bCs w:val="0"/>
          <w:kern w:val="0"/>
          <w:szCs w:val="21"/>
        </w:rPr>
      </w:sdtEndPr>
      <w:sdtContent>
        <w:p>
          <w:pPr>
            <w:pStyle w:val="55"/>
            <w:numPr>
              <w:ilvl w:val="0"/>
              <w:numId w:val="18"/>
            </w:numPr>
            <w:ind w:firstLineChars="0"/>
            <w:rPr>
              <w:b/>
              <w:bCs/>
            </w:rPr>
          </w:pPr>
          <w:r>
            <w:rPr>
              <w:b/>
              <w:bCs/>
            </w:rPr>
            <w:t>在股东单位任职情况</w:t>
          </w:r>
        </w:p>
        <w:sdt>
          <w:sdtPr>
            <w:rPr>
              <w:szCs w:val="21"/>
            </w:rPr>
            <w:alias w:val="是否适用：在股东单位任职情况[双击切换]"/>
            <w:tag w:val="_GBC_c450b54d9ea443cf85cc614c8528526b"/>
            <w:id w:val="47395636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7"/>
            <w:tblW w:w="87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02"/>
            <w:gridCol w:w="3402"/>
            <w:gridCol w:w="2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sdt>
              <w:sdtPr>
                <w:tag w:val="_PLD_11f45a37b8cb4cfd8d25787f0979b6e9"/>
                <w:id w:val="1872572447"/>
                <w:lock w:val="sdtLocked"/>
              </w:sdtPr>
              <w:sdtContent>
                <w:tc>
                  <w:tcPr>
                    <w:tcW w:w="2802" w:type="dxa"/>
                    <w:vAlign w:val="center"/>
                  </w:tcPr>
                  <w:p>
                    <w:pPr>
                      <w:widowControl w:val="0"/>
                      <w:jc w:val="center"/>
                      <w:rPr>
                        <w:szCs w:val="21"/>
                      </w:rPr>
                    </w:pPr>
                    <w:r>
                      <w:rPr>
                        <w:szCs w:val="21"/>
                      </w:rPr>
                      <w:t>任职人员姓名</w:t>
                    </w:r>
                  </w:p>
                </w:tc>
              </w:sdtContent>
            </w:sdt>
            <w:sdt>
              <w:sdtPr>
                <w:tag w:val="_PLD_174ff645994f420ea5626aa7d6f5ddb5"/>
                <w:id w:val="1859390086"/>
                <w:lock w:val="sdtLocked"/>
              </w:sdtPr>
              <w:sdtContent>
                <w:tc>
                  <w:tcPr>
                    <w:tcW w:w="3402" w:type="dxa"/>
                    <w:vAlign w:val="center"/>
                  </w:tcPr>
                  <w:p>
                    <w:pPr>
                      <w:widowControl w:val="0"/>
                      <w:jc w:val="center"/>
                      <w:rPr>
                        <w:szCs w:val="21"/>
                      </w:rPr>
                    </w:pPr>
                    <w:r>
                      <w:rPr>
                        <w:szCs w:val="21"/>
                      </w:rPr>
                      <w:t>股东单位名称</w:t>
                    </w:r>
                  </w:p>
                </w:tc>
              </w:sdtContent>
            </w:sdt>
            <w:sdt>
              <w:sdtPr>
                <w:tag w:val="_PLD_c5b9ccac06314dc19400d1f75f51ed76"/>
                <w:id w:val="-147975040"/>
                <w:lock w:val="sdtLocked"/>
              </w:sdtPr>
              <w:sdtContent>
                <w:tc>
                  <w:tcPr>
                    <w:tcW w:w="2548" w:type="dxa"/>
                    <w:vAlign w:val="center"/>
                  </w:tcPr>
                  <w:p>
                    <w:pPr>
                      <w:widowControl w:val="0"/>
                      <w:jc w:val="center"/>
                      <w:rPr>
                        <w:szCs w:val="21"/>
                      </w:rPr>
                    </w:pPr>
                    <w:r>
                      <w:rPr>
                        <w:szCs w:val="21"/>
                      </w:rPr>
                      <w:t>在股东单位担任的职务</w:t>
                    </w:r>
                  </w:p>
                </w:tc>
              </w:sdtContent>
            </w:sdt>
          </w:tr>
          <w:sdt>
            <w:sdtPr>
              <w:rPr>
                <w:rFonts w:hint="eastAsia" w:asciiTheme="minorHAnsi" w:hAnsiTheme="minorHAnsi" w:eastAsiaTheme="minorEastAsia" w:cstheme="minorBidi"/>
                <w:kern w:val="2"/>
                <w:szCs w:val="21"/>
              </w:rPr>
              <w:alias w:val="董事、监事、高级管理人员在股东单位任职情况"/>
              <w:tag w:val="_TUP_6fadbebda8f14f00acfb087a1f629834"/>
              <w:id w:val="-947769674"/>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02" w:type="dxa"/>
                  </w:tcPr>
                  <w:p>
                    <w:pPr>
                      <w:widowControl w:val="0"/>
                      <w:jc w:val="center"/>
                      <w:rPr>
                        <w:szCs w:val="21"/>
                      </w:rPr>
                    </w:pPr>
                    <w:r>
                      <w:t>徐志豪</w:t>
                    </w:r>
                  </w:p>
                </w:tc>
                <w:tc>
                  <w:tcPr>
                    <w:tcW w:w="3402" w:type="dxa"/>
                  </w:tcPr>
                  <w:p>
                    <w:pPr>
                      <w:widowControl w:val="0"/>
                      <w:jc w:val="center"/>
                      <w:rPr>
                        <w:szCs w:val="21"/>
                      </w:rPr>
                    </w:pPr>
                    <w:r>
                      <w:t>重庆江河汇企业管理有限责任公司</w:t>
                    </w:r>
                  </w:p>
                </w:tc>
                <w:tc>
                  <w:tcPr>
                    <w:tcW w:w="2548" w:type="dxa"/>
                    <w:vAlign w:val="center"/>
                  </w:tcPr>
                  <w:p>
                    <w:pPr>
                      <w:widowControl w:val="0"/>
                      <w:jc w:val="center"/>
                      <w:rPr>
                        <w:sz w:val="24"/>
                      </w:rPr>
                    </w:pPr>
                    <w:r>
                      <w:t>执行董事兼经理</w:t>
                    </w:r>
                  </w:p>
                </w:tc>
              </w:tr>
            </w:sdtContent>
          </w:sdt>
          <w:sdt>
            <w:sdtPr>
              <w:rPr>
                <w:rFonts w:hint="eastAsia" w:asciiTheme="minorHAnsi" w:hAnsiTheme="minorHAnsi" w:eastAsiaTheme="minorEastAsia" w:cstheme="minorBidi"/>
                <w:kern w:val="2"/>
                <w:szCs w:val="21"/>
              </w:rPr>
              <w:alias w:val="董事、监事、高级管理人员在股东单位任职情况"/>
              <w:tag w:val="_TUP_6fadbebda8f14f00acfb087a1f629834"/>
              <w:id w:val="1411427964"/>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802" w:type="dxa"/>
                  </w:tcPr>
                  <w:p>
                    <w:pPr>
                      <w:widowControl w:val="0"/>
                      <w:jc w:val="center"/>
                      <w:rPr>
                        <w:szCs w:val="21"/>
                      </w:rPr>
                    </w:pPr>
                    <w:r>
                      <w:t>彭家虎</w:t>
                    </w:r>
                  </w:p>
                </w:tc>
                <w:tc>
                  <w:tcPr>
                    <w:tcW w:w="3402" w:type="dxa"/>
                  </w:tcPr>
                  <w:p>
                    <w:pPr>
                      <w:widowControl w:val="0"/>
                      <w:jc w:val="center"/>
                      <w:rPr>
                        <w:szCs w:val="21"/>
                      </w:rPr>
                    </w:pPr>
                    <w:r>
                      <w:t>重庆江河汇企业管理有限责任公司</w:t>
                    </w:r>
                  </w:p>
                </w:tc>
                <w:tc>
                  <w:tcPr>
                    <w:tcW w:w="2548" w:type="dxa"/>
                    <w:vAlign w:val="center"/>
                  </w:tcPr>
                  <w:p>
                    <w:pPr>
                      <w:widowControl w:val="0"/>
                      <w:jc w:val="center"/>
                    </w:pPr>
                    <w:r>
                      <w:t>监事</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6e127d6c1c09490d96af47be507aa181"/>
                <w:id w:val="825401124"/>
                <w:lock w:val="sdtLocked"/>
              </w:sdtPr>
              <w:sdtContent>
                <w:tc>
                  <w:tcPr>
                    <w:tcW w:w="2802" w:type="dxa"/>
                  </w:tcPr>
                  <w:p>
                    <w:pPr>
                      <w:widowControl w:val="0"/>
                      <w:jc w:val="both"/>
                      <w:rPr>
                        <w:szCs w:val="21"/>
                      </w:rPr>
                    </w:pPr>
                    <w:r>
                      <w:rPr>
                        <w:szCs w:val="21"/>
                      </w:rPr>
                      <w:t>在股东单位任职情况的说明</w:t>
                    </w:r>
                  </w:p>
                </w:tc>
              </w:sdtContent>
            </w:sdt>
            <w:tc>
              <w:tcPr>
                <w:tcW w:w="5950" w:type="dxa"/>
                <w:gridSpan w:val="2"/>
                <w:vAlign w:val="center"/>
              </w:tcPr>
              <w:p>
                <w:pPr>
                  <w:widowControl w:val="0"/>
                  <w:jc w:val="center"/>
                  <w:rPr>
                    <w:szCs w:val="21"/>
                  </w:rPr>
                </w:pPr>
                <w:r>
                  <w:rPr>
                    <w:rFonts w:hint="eastAsia"/>
                    <w:szCs w:val="21"/>
                  </w:rPr>
                  <w:t>无</w:t>
                </w:r>
              </w:p>
            </w:tc>
          </w:tr>
        </w:tbl>
        <w:p/>
        <w:p>
          <w:pPr>
            <w:rPr>
              <w:szCs w:val="21"/>
            </w:rPr>
          </w:pPr>
        </w:p>
      </w:sdtContent>
    </w:sdt>
    <w:sdt>
      <w:sdtPr>
        <w:rPr>
          <w:rFonts w:ascii="宋体" w:hAnsi="宋体" w:cs="宋体"/>
          <w:b/>
          <w:bCs/>
          <w:kern w:val="0"/>
          <w:szCs w:val="24"/>
        </w:rPr>
        <w:alias w:val="模块:在其他单位任职情况"/>
        <w:tag w:val="_SEC_5561131e80ff45818592dc8d1f605cb5"/>
        <w:id w:val="996072778"/>
        <w:lock w:val="sdtLocked"/>
        <w:placeholder>
          <w:docPart w:val="GBC22222222222222222222222222222"/>
        </w:placeholder>
      </w:sdtPr>
      <w:sdtEndPr>
        <w:rPr>
          <w:rFonts w:ascii="宋体" w:hAnsi="宋体" w:cs="宋体"/>
          <w:b w:val="0"/>
          <w:bCs w:val="0"/>
          <w:kern w:val="0"/>
          <w:szCs w:val="21"/>
        </w:rPr>
      </w:sdtEndPr>
      <w:sdtContent>
        <w:p>
          <w:pPr>
            <w:pStyle w:val="55"/>
            <w:numPr>
              <w:ilvl w:val="0"/>
              <w:numId w:val="18"/>
            </w:numPr>
            <w:ind w:firstLineChars="0"/>
            <w:rPr>
              <w:b/>
              <w:bCs/>
            </w:rPr>
          </w:pPr>
          <w:r>
            <w:rPr>
              <w:b/>
              <w:bCs/>
            </w:rPr>
            <w:t>在其他单位任职情况</w:t>
          </w:r>
        </w:p>
        <w:sdt>
          <w:sdtPr>
            <w:rPr>
              <w:szCs w:val="21"/>
            </w:rPr>
            <w:alias w:val="是否适用：在其他单位任职情况[双击切换]"/>
            <w:tag w:val="_GBC_31c17de709bb42fdb7ba137e843fe054"/>
            <w:id w:val="-157049430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37"/>
            <w:tblW w:w="93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2"/>
            <w:gridCol w:w="438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sdt>
              <w:sdtPr>
                <w:tag w:val="_PLD_84cb4ce7fc4643b1be607267619a4b88"/>
                <w:id w:val="-693691318"/>
                <w:lock w:val="sdtLocked"/>
              </w:sdtPr>
              <w:sdtContent>
                <w:tc>
                  <w:tcPr>
                    <w:tcW w:w="2242" w:type="dxa"/>
                    <w:vAlign w:val="center"/>
                  </w:tcPr>
                  <w:p>
                    <w:pPr>
                      <w:widowControl w:val="0"/>
                      <w:jc w:val="center"/>
                      <w:rPr>
                        <w:szCs w:val="21"/>
                      </w:rPr>
                    </w:pPr>
                    <w:r>
                      <w:rPr>
                        <w:szCs w:val="21"/>
                      </w:rPr>
                      <w:t>任职人员姓名</w:t>
                    </w:r>
                  </w:p>
                </w:tc>
              </w:sdtContent>
            </w:sdt>
            <w:sdt>
              <w:sdtPr>
                <w:tag w:val="_PLD_9c5aac001d5a4c2eb3cc0bf1e1f66afe"/>
                <w:id w:val="-2028634929"/>
                <w:lock w:val="sdtLocked"/>
              </w:sdtPr>
              <w:sdtContent>
                <w:tc>
                  <w:tcPr>
                    <w:tcW w:w="4387" w:type="dxa"/>
                    <w:vAlign w:val="center"/>
                  </w:tcPr>
                  <w:p>
                    <w:pPr>
                      <w:widowControl w:val="0"/>
                      <w:jc w:val="center"/>
                      <w:rPr>
                        <w:szCs w:val="21"/>
                      </w:rPr>
                    </w:pPr>
                    <w:r>
                      <w:rPr>
                        <w:szCs w:val="21"/>
                      </w:rPr>
                      <w:t>其他单位名称</w:t>
                    </w:r>
                  </w:p>
                </w:tc>
              </w:sdtContent>
            </w:sdt>
            <w:sdt>
              <w:sdtPr>
                <w:tag w:val="_PLD_a3a2822cc76542afbd1a58b94268af1d"/>
                <w:id w:val="1913966176"/>
                <w:lock w:val="sdtLocked"/>
              </w:sdtPr>
              <w:sdtContent>
                <w:tc>
                  <w:tcPr>
                    <w:tcW w:w="2693" w:type="dxa"/>
                    <w:vAlign w:val="center"/>
                  </w:tcPr>
                  <w:p>
                    <w:pPr>
                      <w:widowControl w:val="0"/>
                      <w:jc w:val="center"/>
                      <w:rPr>
                        <w:szCs w:val="21"/>
                      </w:rPr>
                    </w:pPr>
                    <w:r>
                      <w:rPr>
                        <w:szCs w:val="21"/>
                      </w:rPr>
                      <w:t>在其他单位担任的职务</w:t>
                    </w:r>
                  </w:p>
                </w:tc>
              </w:sdtContent>
            </w:sdt>
          </w:tr>
          <w:sdt>
            <w:sdtPr>
              <w:rPr>
                <w:rFonts w:hint="eastAsia" w:asciiTheme="minorHAnsi" w:hAnsiTheme="minorHAnsi" w:eastAsiaTheme="minorEastAsia" w:cstheme="minorBidi"/>
                <w:color w:val="FF0000"/>
                <w:kern w:val="2"/>
                <w:szCs w:val="21"/>
              </w:rPr>
              <w:alias w:val="董事、监事、高级管理人员在其他单位任职情况"/>
              <w:tag w:val="_TUP_f450538eb53748eeac8de5eae75c8a7f"/>
              <w:id w:val="-1637637972"/>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FF0000"/>
                        <w:szCs w:val="21"/>
                      </w:rPr>
                    </w:pPr>
                    <w:r>
                      <w:t>徐志豪</w:t>
                    </w:r>
                  </w:p>
                </w:tc>
                <w:tc>
                  <w:tcPr>
                    <w:tcW w:w="4387" w:type="dxa"/>
                  </w:tcPr>
                  <w:p>
                    <w:pPr>
                      <w:widowControl w:val="0"/>
                      <w:jc w:val="center"/>
                      <w:rPr>
                        <w:szCs w:val="21"/>
                      </w:rPr>
                    </w:pPr>
                    <w:r>
                      <w:t>吉利科技集团有限公司</w:t>
                    </w:r>
                  </w:p>
                </w:tc>
                <w:tc>
                  <w:tcPr>
                    <w:tcW w:w="2693" w:type="dxa"/>
                  </w:tcPr>
                  <w:p>
                    <w:pPr>
                      <w:widowControl w:val="0"/>
                      <w:jc w:val="center"/>
                      <w:rPr>
                        <w:szCs w:val="21"/>
                      </w:rPr>
                    </w:pPr>
                    <w:r>
                      <w:t>首席执行官（CEO）</w:t>
                    </w:r>
                  </w:p>
                </w:tc>
              </w:tr>
            </w:sdtContent>
          </w:sdt>
          <w:sdt>
            <w:sdtPr>
              <w:rPr>
                <w:rFonts w:hint="eastAsia" w:asciiTheme="minorHAnsi" w:hAnsiTheme="minorHAnsi" w:eastAsiaTheme="minorEastAsia" w:cstheme="minorBidi"/>
                <w:color w:val="FF0000"/>
                <w:kern w:val="2"/>
                <w:szCs w:val="21"/>
              </w:rPr>
              <w:alias w:val="董事、监事、高级管理人员在其他单位任职情况"/>
              <w:tag w:val="_TUP_f450538eb53748eeac8de5eae75c8a7f"/>
              <w:id w:val="945418976"/>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FF0000"/>
                        <w:szCs w:val="21"/>
                      </w:rPr>
                    </w:pPr>
                    <w:r>
                      <w:rPr>
                        <w:rFonts w:hint="eastAsia" w:asciiTheme="minorHAnsi" w:hAnsiTheme="minorHAnsi" w:eastAsiaTheme="minorEastAsia" w:cstheme="minorBidi"/>
                        <w:kern w:val="2"/>
                        <w:szCs w:val="21"/>
                      </w:rPr>
                      <w:t>徐志豪</w:t>
                    </w:r>
                  </w:p>
                </w:tc>
                <w:tc>
                  <w:tcPr>
                    <w:tcW w:w="4387" w:type="dxa"/>
                  </w:tcPr>
                  <w:p>
                    <w:pPr>
                      <w:widowControl w:val="0"/>
                      <w:jc w:val="center"/>
                      <w:rPr>
                        <w:szCs w:val="21"/>
                      </w:rPr>
                    </w:pPr>
                    <w:r>
                      <w:rPr>
                        <w:rFonts w:hint="eastAsia"/>
                        <w:szCs w:val="21"/>
                      </w:rPr>
                      <w:t>铭泰投资发展集团有限公司</w:t>
                    </w:r>
                  </w:p>
                </w:tc>
                <w:tc>
                  <w:tcPr>
                    <w:tcW w:w="2693" w:type="dxa"/>
                  </w:tcPr>
                  <w:p>
                    <w:pPr>
                      <w:widowControl w:val="0"/>
                      <w:jc w:val="center"/>
                      <w:rPr>
                        <w:szCs w:val="21"/>
                      </w:rPr>
                    </w:pPr>
                    <w:r>
                      <w:rPr>
                        <w:rFonts w:hint="eastAsia"/>
                        <w:szCs w:val="21"/>
                      </w:rPr>
                      <w:t>董事长</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398975925"/>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徐志豪</w:t>
                    </w:r>
                  </w:p>
                </w:tc>
                <w:tc>
                  <w:tcPr>
                    <w:tcW w:w="4387" w:type="dxa"/>
                  </w:tcPr>
                  <w:p>
                    <w:pPr>
                      <w:widowControl w:val="0"/>
                      <w:jc w:val="center"/>
                      <w:rPr>
                        <w:szCs w:val="21"/>
                      </w:rPr>
                    </w:pPr>
                    <w:r>
                      <w:t>浙江钱江摩托股份有限公司</w:t>
                    </w:r>
                  </w:p>
                </w:tc>
                <w:tc>
                  <w:tcPr>
                    <w:tcW w:w="2693" w:type="dxa"/>
                  </w:tcPr>
                  <w:p>
                    <w:pPr>
                      <w:widowControl w:val="0"/>
                      <w:jc w:val="center"/>
                      <w:rPr>
                        <w:szCs w:val="21"/>
                      </w:rPr>
                    </w:pPr>
                    <w:r>
                      <w:t>董事长</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283494474"/>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徐志豪</w:t>
                    </w:r>
                  </w:p>
                </w:tc>
                <w:tc>
                  <w:tcPr>
                    <w:tcW w:w="4387" w:type="dxa"/>
                  </w:tcPr>
                  <w:p>
                    <w:pPr>
                      <w:widowControl w:val="0"/>
                      <w:jc w:val="center"/>
                      <w:rPr>
                        <w:szCs w:val="21"/>
                      </w:rPr>
                    </w:pPr>
                    <w:r>
                      <w:t>安徽古井贡酒股份有限公司</w:t>
                    </w:r>
                  </w:p>
                </w:tc>
                <w:tc>
                  <w:tcPr>
                    <w:tcW w:w="2693" w:type="dxa"/>
                  </w:tcPr>
                  <w:p>
                    <w:pPr>
                      <w:widowControl w:val="0"/>
                      <w:jc w:val="center"/>
                      <w:rPr>
                        <w:szCs w:val="21"/>
                      </w:rPr>
                    </w:pPr>
                    <w:r>
                      <w:t>独立董事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820002539"/>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朱军</w:t>
                    </w:r>
                  </w:p>
                </w:tc>
                <w:tc>
                  <w:tcPr>
                    <w:tcW w:w="4387" w:type="dxa"/>
                  </w:tcPr>
                  <w:p>
                    <w:pPr>
                      <w:widowControl w:val="0"/>
                      <w:jc w:val="center"/>
                      <w:rPr>
                        <w:szCs w:val="21"/>
                      </w:rPr>
                    </w:pPr>
                    <w:r>
                      <w:t>重庆两江新区产业发展集团有限公司</w:t>
                    </w:r>
                  </w:p>
                </w:tc>
                <w:tc>
                  <w:tcPr>
                    <w:tcW w:w="2693" w:type="dxa"/>
                  </w:tcPr>
                  <w:p>
                    <w:pPr>
                      <w:widowControl w:val="0"/>
                      <w:jc w:val="center"/>
                      <w:rPr>
                        <w:szCs w:val="21"/>
                      </w:rPr>
                    </w:pPr>
                    <w:r>
                      <w:t>党委副书记、董事、总经理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1274861"/>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朱军</w:t>
                    </w:r>
                  </w:p>
                </w:tc>
                <w:tc>
                  <w:tcPr>
                    <w:tcW w:w="4387" w:type="dxa"/>
                  </w:tcPr>
                  <w:p>
                    <w:pPr>
                      <w:widowControl w:val="0"/>
                      <w:jc w:val="center"/>
                      <w:rPr>
                        <w:szCs w:val="21"/>
                      </w:rPr>
                    </w:pPr>
                    <w:r>
                      <w:t>重庆两江股权投资基金管理有限公司</w:t>
                    </w:r>
                  </w:p>
                </w:tc>
                <w:tc>
                  <w:tcPr>
                    <w:tcW w:w="2693" w:type="dxa"/>
                  </w:tcPr>
                  <w:p>
                    <w:pPr>
                      <w:widowControl w:val="0"/>
                      <w:jc w:val="center"/>
                      <w:rPr>
                        <w:szCs w:val="21"/>
                      </w:rPr>
                    </w:pPr>
                    <w:r>
                      <w:t>执行董事、总经理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065913501"/>
              <w:lock w:val="sdtLocked"/>
            </w:sdtPr>
            <w:sdtEndPr>
              <w:rPr>
                <w:rFonts w:hint="eastAsia" w:asciiTheme="minorHAnsi" w:hAnsiTheme="minorHAnsi" w:eastAsiaTheme="minorEastAsia" w:cstheme="minorBidi"/>
                <w:color w:val="auto"/>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rFonts w:hint="eastAsia" w:asciiTheme="minorHAnsi" w:hAnsiTheme="minorHAnsi" w:eastAsiaTheme="minorEastAsia" w:cstheme="minorBidi"/>
                        <w:color w:val="000000" w:themeColor="text1"/>
                        <w:kern w:val="2"/>
                        <w:szCs w:val="21"/>
                      </w:rPr>
                      <w:t>朱军</w:t>
                    </w:r>
                  </w:p>
                </w:tc>
                <w:tc>
                  <w:tcPr>
                    <w:tcW w:w="4387" w:type="dxa"/>
                  </w:tcPr>
                  <w:p>
                    <w:pPr>
                      <w:widowControl w:val="0"/>
                      <w:jc w:val="center"/>
                      <w:rPr>
                        <w:szCs w:val="21"/>
                      </w:rPr>
                    </w:pPr>
                    <w:r>
                      <w:rPr>
                        <w:rFonts w:hint="eastAsia"/>
                        <w:szCs w:val="21"/>
                      </w:rPr>
                      <w:t>重庆长安新能源汽车科技有限公司</w:t>
                    </w:r>
                  </w:p>
                </w:tc>
                <w:tc>
                  <w:tcPr>
                    <w:tcW w:w="2693" w:type="dxa"/>
                  </w:tcPr>
                  <w:p>
                    <w:pPr>
                      <w:widowControl w:val="0"/>
                      <w:jc w:val="center"/>
                      <w:rPr>
                        <w:szCs w:val="21"/>
                      </w:rPr>
                    </w:pPr>
                    <w:r>
                      <w:rPr>
                        <w:rFonts w:hint="eastAsia"/>
                        <w:szCs w:val="21"/>
                      </w:rPr>
                      <w:t>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175650344"/>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杨健</w:t>
                    </w:r>
                  </w:p>
                </w:tc>
                <w:tc>
                  <w:tcPr>
                    <w:tcW w:w="4387" w:type="dxa"/>
                  </w:tcPr>
                  <w:p>
                    <w:pPr>
                      <w:widowControl w:val="0"/>
                      <w:jc w:val="center"/>
                      <w:rPr>
                        <w:color w:val="000000" w:themeColor="text1"/>
                        <w:szCs w:val="21"/>
                      </w:rPr>
                    </w:pPr>
                    <w:r>
                      <w:rPr>
                        <w:color w:val="000000" w:themeColor="text1"/>
                      </w:rPr>
                      <w:t>浙江吉利控股集团有限公司</w:t>
                    </w:r>
                  </w:p>
                </w:tc>
                <w:tc>
                  <w:tcPr>
                    <w:tcW w:w="2693" w:type="dxa"/>
                  </w:tcPr>
                  <w:p>
                    <w:pPr>
                      <w:widowControl w:val="0"/>
                      <w:jc w:val="center"/>
                      <w:rPr>
                        <w:color w:val="000000" w:themeColor="text1"/>
                        <w:szCs w:val="21"/>
                      </w:rPr>
                    </w:pPr>
                    <w:r>
                      <w:rPr>
                        <w:color w:val="000000" w:themeColor="text1"/>
                      </w:rPr>
                      <w:t>董事局副主席，副董事长</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2120865739"/>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杨健</w:t>
                    </w:r>
                  </w:p>
                </w:tc>
                <w:tc>
                  <w:tcPr>
                    <w:tcW w:w="4387" w:type="dxa"/>
                  </w:tcPr>
                  <w:p>
                    <w:pPr>
                      <w:widowControl w:val="0"/>
                      <w:jc w:val="center"/>
                      <w:rPr>
                        <w:color w:val="000000" w:themeColor="text1"/>
                        <w:szCs w:val="21"/>
                      </w:rPr>
                    </w:pPr>
                    <w:r>
                      <w:rPr>
                        <w:color w:val="000000" w:themeColor="text1"/>
                      </w:rPr>
                      <w:t>浙江钱江摩托股份有限公司</w:t>
                    </w:r>
                  </w:p>
                </w:tc>
                <w:tc>
                  <w:tcPr>
                    <w:tcW w:w="2693" w:type="dxa"/>
                  </w:tcPr>
                  <w:p>
                    <w:pPr>
                      <w:widowControl w:val="0"/>
                      <w:jc w:val="center"/>
                      <w:rPr>
                        <w:color w:val="000000" w:themeColor="text1"/>
                        <w:szCs w:val="21"/>
                      </w:rPr>
                    </w:pPr>
                    <w:r>
                      <w:rPr>
                        <w:color w:val="000000" w:themeColor="text1"/>
                      </w:rPr>
                      <w:t>副董事长</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237331345"/>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杨健</w:t>
                    </w:r>
                  </w:p>
                </w:tc>
                <w:tc>
                  <w:tcPr>
                    <w:tcW w:w="4387" w:type="dxa"/>
                  </w:tcPr>
                  <w:p>
                    <w:pPr>
                      <w:widowControl w:val="0"/>
                      <w:jc w:val="center"/>
                      <w:rPr>
                        <w:color w:val="000000" w:themeColor="text1"/>
                        <w:szCs w:val="21"/>
                      </w:rPr>
                    </w:pPr>
                    <w:r>
                      <w:rPr>
                        <w:color w:val="000000" w:themeColor="text1"/>
                      </w:rPr>
                      <w:t>吉利汽车控股有限公司</w:t>
                    </w:r>
                  </w:p>
                </w:tc>
                <w:tc>
                  <w:tcPr>
                    <w:tcW w:w="2693" w:type="dxa"/>
                  </w:tcPr>
                  <w:p>
                    <w:pPr>
                      <w:widowControl w:val="0"/>
                      <w:jc w:val="center"/>
                      <w:rPr>
                        <w:color w:val="000000" w:themeColor="text1"/>
                        <w:szCs w:val="21"/>
                      </w:rPr>
                    </w:pPr>
                    <w:r>
                      <w:rPr>
                        <w:color w:val="000000" w:themeColor="text1"/>
                      </w:rPr>
                      <w:t>副主席</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513676912"/>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钟弦</w:t>
                    </w:r>
                  </w:p>
                </w:tc>
                <w:tc>
                  <w:tcPr>
                    <w:tcW w:w="4387" w:type="dxa"/>
                  </w:tcPr>
                  <w:p>
                    <w:pPr>
                      <w:widowControl w:val="0"/>
                      <w:jc w:val="center"/>
                      <w:rPr>
                        <w:color w:val="000000" w:themeColor="text1"/>
                        <w:szCs w:val="21"/>
                      </w:rPr>
                    </w:pPr>
                    <w:r>
                      <w:rPr>
                        <w:color w:val="000000" w:themeColor="text1"/>
                      </w:rPr>
                      <w:t>吉利科技集团有限公司</w:t>
                    </w:r>
                  </w:p>
                </w:tc>
                <w:tc>
                  <w:tcPr>
                    <w:tcW w:w="2693" w:type="dxa"/>
                  </w:tcPr>
                  <w:p>
                    <w:pPr>
                      <w:widowControl w:val="0"/>
                      <w:jc w:val="center"/>
                      <w:rPr>
                        <w:color w:val="000000" w:themeColor="text1"/>
                        <w:szCs w:val="21"/>
                      </w:rPr>
                    </w:pPr>
                    <w:r>
                      <w:rPr>
                        <w:color w:val="000000" w:themeColor="text1"/>
                      </w:rPr>
                      <w:t>副总裁</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843139225"/>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钟弦</w:t>
                    </w:r>
                  </w:p>
                </w:tc>
                <w:tc>
                  <w:tcPr>
                    <w:tcW w:w="4387" w:type="dxa"/>
                  </w:tcPr>
                  <w:p>
                    <w:pPr>
                      <w:widowControl w:val="0"/>
                      <w:jc w:val="center"/>
                      <w:rPr>
                        <w:color w:val="000000" w:themeColor="text1"/>
                        <w:szCs w:val="21"/>
                      </w:rPr>
                    </w:pPr>
                    <w:r>
                      <w:rPr>
                        <w:color w:val="000000" w:themeColor="text1"/>
                      </w:rPr>
                      <w:t>重庆银行股份有限公司</w:t>
                    </w:r>
                  </w:p>
                </w:tc>
                <w:tc>
                  <w:tcPr>
                    <w:tcW w:w="2693" w:type="dxa"/>
                  </w:tcPr>
                  <w:p>
                    <w:pPr>
                      <w:widowControl w:val="0"/>
                      <w:jc w:val="center"/>
                      <w:rPr>
                        <w:color w:val="000000" w:themeColor="text1"/>
                        <w:szCs w:val="21"/>
                      </w:rPr>
                    </w:pPr>
                    <w:r>
                      <w:rPr>
                        <w:color w:val="000000" w:themeColor="text1"/>
                      </w:rPr>
                      <w:t>非执行董事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871182163"/>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王梦麟</w:t>
                    </w:r>
                  </w:p>
                </w:tc>
                <w:tc>
                  <w:tcPr>
                    <w:tcW w:w="4387" w:type="dxa"/>
                  </w:tcPr>
                  <w:p>
                    <w:pPr>
                      <w:widowControl w:val="0"/>
                      <w:jc w:val="center"/>
                      <w:rPr>
                        <w:color w:val="000000" w:themeColor="text1"/>
                        <w:szCs w:val="21"/>
                      </w:rPr>
                    </w:pPr>
                    <w:r>
                      <w:rPr>
                        <w:color w:val="000000" w:themeColor="text1"/>
                      </w:rPr>
                      <w:t>重庆两江股权投资基金管理有限公司</w:t>
                    </w:r>
                  </w:p>
                </w:tc>
                <w:tc>
                  <w:tcPr>
                    <w:tcW w:w="2693" w:type="dxa"/>
                  </w:tcPr>
                  <w:p>
                    <w:pPr>
                      <w:widowControl w:val="0"/>
                      <w:jc w:val="center"/>
                      <w:rPr>
                        <w:color w:val="000000" w:themeColor="text1"/>
                        <w:szCs w:val="21"/>
                      </w:rPr>
                    </w:pPr>
                    <w:r>
                      <w:rPr>
                        <w:color w:val="000000" w:themeColor="text1"/>
                      </w:rPr>
                      <w:t>副总经理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165206661"/>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王梦麟</w:t>
                    </w:r>
                  </w:p>
                </w:tc>
                <w:tc>
                  <w:tcPr>
                    <w:tcW w:w="4387" w:type="dxa"/>
                  </w:tcPr>
                  <w:p>
                    <w:pPr>
                      <w:widowControl w:val="0"/>
                      <w:jc w:val="center"/>
                      <w:rPr>
                        <w:color w:val="000000" w:themeColor="text1"/>
                        <w:szCs w:val="21"/>
                      </w:rPr>
                    </w:pPr>
                    <w:r>
                      <w:rPr>
                        <w:color w:val="000000" w:themeColor="text1"/>
                      </w:rPr>
                      <w:t>两江产业集团数字经济产业部</w:t>
                    </w:r>
                  </w:p>
                </w:tc>
                <w:tc>
                  <w:tcPr>
                    <w:tcW w:w="2693" w:type="dxa"/>
                  </w:tcPr>
                  <w:p>
                    <w:pPr>
                      <w:widowControl w:val="0"/>
                      <w:jc w:val="center"/>
                      <w:rPr>
                        <w:color w:val="000000" w:themeColor="text1"/>
                        <w:szCs w:val="21"/>
                      </w:rPr>
                    </w:pPr>
                    <w:r>
                      <w:rPr>
                        <w:color w:val="000000" w:themeColor="text1"/>
                      </w:rPr>
                      <w:t>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550147097"/>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王梦麟</w:t>
                    </w:r>
                  </w:p>
                </w:tc>
                <w:tc>
                  <w:tcPr>
                    <w:tcW w:w="4387" w:type="dxa"/>
                  </w:tcPr>
                  <w:p>
                    <w:pPr>
                      <w:widowControl w:val="0"/>
                      <w:jc w:val="center"/>
                      <w:rPr>
                        <w:color w:val="000000" w:themeColor="text1"/>
                        <w:szCs w:val="21"/>
                      </w:rPr>
                    </w:pPr>
                    <w:r>
                      <w:rPr>
                        <w:color w:val="000000" w:themeColor="text1"/>
                      </w:rPr>
                      <w:t>重庆保税港区股份公司</w:t>
                    </w:r>
                  </w:p>
                </w:tc>
                <w:tc>
                  <w:tcPr>
                    <w:tcW w:w="2693" w:type="dxa"/>
                  </w:tcPr>
                  <w:p>
                    <w:pPr>
                      <w:widowControl w:val="0"/>
                      <w:jc w:val="center"/>
                      <w:rPr>
                        <w:color w:val="000000" w:themeColor="text1"/>
                        <w:szCs w:val="21"/>
                      </w:rPr>
                    </w:pPr>
                    <w:r>
                      <w:rPr>
                        <w:color w:val="000000" w:themeColor="text1"/>
                      </w:rPr>
                      <w:t>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716737587"/>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王梦麟</w:t>
                    </w:r>
                  </w:p>
                </w:tc>
                <w:tc>
                  <w:tcPr>
                    <w:tcW w:w="4387" w:type="dxa"/>
                  </w:tcPr>
                  <w:p>
                    <w:pPr>
                      <w:widowControl w:val="0"/>
                      <w:jc w:val="center"/>
                      <w:rPr>
                        <w:color w:val="000000" w:themeColor="text1"/>
                        <w:szCs w:val="21"/>
                      </w:rPr>
                    </w:pPr>
                    <w:r>
                      <w:rPr>
                        <w:color w:val="000000" w:themeColor="text1"/>
                      </w:rPr>
                      <w:t>重庆渝高科技公司</w:t>
                    </w:r>
                  </w:p>
                </w:tc>
                <w:tc>
                  <w:tcPr>
                    <w:tcW w:w="2693" w:type="dxa"/>
                  </w:tcPr>
                  <w:p>
                    <w:pPr>
                      <w:widowControl w:val="0"/>
                      <w:jc w:val="center"/>
                      <w:rPr>
                        <w:color w:val="000000" w:themeColor="text1"/>
                        <w:szCs w:val="21"/>
                      </w:rPr>
                    </w:pPr>
                    <w:r>
                      <w:rPr>
                        <w:color w:val="000000" w:themeColor="text1"/>
                      </w:rPr>
                      <w:t>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806857881"/>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周充</w:t>
                    </w:r>
                  </w:p>
                </w:tc>
                <w:tc>
                  <w:tcPr>
                    <w:tcW w:w="4387" w:type="dxa"/>
                  </w:tcPr>
                  <w:p>
                    <w:pPr>
                      <w:widowControl w:val="0"/>
                      <w:jc w:val="center"/>
                      <w:rPr>
                        <w:color w:val="000000" w:themeColor="text1"/>
                        <w:szCs w:val="21"/>
                      </w:rPr>
                    </w:pPr>
                    <w:r>
                      <w:rPr>
                        <w:color w:val="000000" w:themeColor="text1"/>
                      </w:rPr>
                      <w:t>重庆两江股权投资基金管理有限公司</w:t>
                    </w:r>
                  </w:p>
                </w:tc>
                <w:tc>
                  <w:tcPr>
                    <w:tcW w:w="2693" w:type="dxa"/>
                  </w:tcPr>
                  <w:p>
                    <w:pPr>
                      <w:widowControl w:val="0"/>
                      <w:jc w:val="center"/>
                      <w:rPr>
                        <w:color w:val="000000" w:themeColor="text1"/>
                        <w:szCs w:val="21"/>
                      </w:rPr>
                    </w:pPr>
                    <w:r>
                      <w:rPr>
                        <w:rFonts w:hint="eastAsia"/>
                        <w:color w:val="000000" w:themeColor="text1"/>
                      </w:rPr>
                      <w:t>副总经理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68186407"/>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周充</w:t>
                    </w:r>
                  </w:p>
                </w:tc>
                <w:tc>
                  <w:tcPr>
                    <w:tcW w:w="4387" w:type="dxa"/>
                  </w:tcPr>
                  <w:p>
                    <w:pPr>
                      <w:widowControl w:val="0"/>
                      <w:jc w:val="center"/>
                      <w:rPr>
                        <w:color w:val="000000" w:themeColor="text1"/>
                        <w:szCs w:val="21"/>
                      </w:rPr>
                    </w:pPr>
                    <w:r>
                      <w:rPr>
                        <w:color w:val="000000" w:themeColor="text1"/>
                      </w:rPr>
                      <w:t>西南大学</w:t>
                    </w:r>
                  </w:p>
                </w:tc>
                <w:tc>
                  <w:tcPr>
                    <w:tcW w:w="2693" w:type="dxa"/>
                  </w:tcPr>
                  <w:p>
                    <w:pPr>
                      <w:widowControl w:val="0"/>
                      <w:jc w:val="center"/>
                      <w:rPr>
                        <w:color w:val="000000" w:themeColor="text1"/>
                        <w:szCs w:val="21"/>
                      </w:rPr>
                    </w:pPr>
                    <w:r>
                      <w:rPr>
                        <w:color w:val="000000" w:themeColor="text1"/>
                      </w:rPr>
                      <w:t>研究生导师</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014608611"/>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周充</w:t>
                    </w:r>
                  </w:p>
                </w:tc>
                <w:tc>
                  <w:tcPr>
                    <w:tcW w:w="4387" w:type="dxa"/>
                  </w:tcPr>
                  <w:p>
                    <w:pPr>
                      <w:widowControl w:val="0"/>
                      <w:jc w:val="center"/>
                      <w:rPr>
                        <w:color w:val="000000" w:themeColor="text1"/>
                        <w:szCs w:val="21"/>
                      </w:rPr>
                    </w:pPr>
                    <w:r>
                      <w:rPr>
                        <w:color w:val="000000" w:themeColor="text1"/>
                      </w:rPr>
                      <w:t>重庆工商大学</w:t>
                    </w:r>
                  </w:p>
                </w:tc>
                <w:tc>
                  <w:tcPr>
                    <w:tcW w:w="2693" w:type="dxa"/>
                  </w:tcPr>
                  <w:p>
                    <w:pPr>
                      <w:widowControl w:val="0"/>
                      <w:jc w:val="center"/>
                      <w:rPr>
                        <w:color w:val="000000" w:themeColor="text1"/>
                        <w:szCs w:val="21"/>
                      </w:rPr>
                    </w:pPr>
                    <w:r>
                      <w:rPr>
                        <w:color w:val="000000" w:themeColor="text1"/>
                      </w:rPr>
                      <w:t>研究生导师</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713563899"/>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肖翔</w:t>
                    </w:r>
                  </w:p>
                </w:tc>
                <w:tc>
                  <w:tcPr>
                    <w:tcW w:w="4387" w:type="dxa"/>
                  </w:tcPr>
                  <w:p>
                    <w:pPr>
                      <w:widowControl w:val="0"/>
                      <w:jc w:val="center"/>
                      <w:rPr>
                        <w:color w:val="000000" w:themeColor="text1"/>
                        <w:szCs w:val="21"/>
                      </w:rPr>
                    </w:pPr>
                    <w:r>
                      <w:rPr>
                        <w:color w:val="000000" w:themeColor="text1"/>
                      </w:rPr>
                      <w:t>北京交通大学经管学院会计系</w:t>
                    </w:r>
                  </w:p>
                </w:tc>
                <w:tc>
                  <w:tcPr>
                    <w:tcW w:w="2693" w:type="dxa"/>
                  </w:tcPr>
                  <w:p>
                    <w:pPr>
                      <w:widowControl w:val="0"/>
                      <w:jc w:val="center"/>
                      <w:rPr>
                        <w:color w:val="000000" w:themeColor="text1"/>
                        <w:szCs w:val="21"/>
                      </w:rPr>
                    </w:pPr>
                    <w:r>
                      <w:rPr>
                        <w:color w:val="000000" w:themeColor="text1"/>
                      </w:rPr>
                      <w:t>书记、副主任</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472481011"/>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肖翔</w:t>
                    </w:r>
                  </w:p>
                </w:tc>
                <w:tc>
                  <w:tcPr>
                    <w:tcW w:w="4387" w:type="dxa"/>
                  </w:tcPr>
                  <w:p>
                    <w:pPr>
                      <w:widowControl w:val="0"/>
                      <w:jc w:val="center"/>
                      <w:rPr>
                        <w:color w:val="000000" w:themeColor="text1"/>
                        <w:szCs w:val="21"/>
                      </w:rPr>
                    </w:pPr>
                    <w:r>
                      <w:rPr>
                        <w:color w:val="000000" w:themeColor="text1"/>
                      </w:rPr>
                      <w:t>北京交通大学中国企业竞争力研究中心</w:t>
                    </w:r>
                  </w:p>
                </w:tc>
                <w:tc>
                  <w:tcPr>
                    <w:tcW w:w="2693" w:type="dxa"/>
                  </w:tcPr>
                  <w:p>
                    <w:pPr>
                      <w:widowControl w:val="0"/>
                      <w:jc w:val="center"/>
                      <w:rPr>
                        <w:color w:val="000000" w:themeColor="text1"/>
                        <w:szCs w:val="21"/>
                      </w:rPr>
                    </w:pPr>
                    <w:r>
                      <w:rPr>
                        <w:color w:val="000000" w:themeColor="text1"/>
                      </w:rPr>
                      <w:t>副主任</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586895840"/>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rFonts w:hint="eastAsia" w:asciiTheme="minorHAnsi" w:hAnsiTheme="minorHAnsi" w:eastAsiaTheme="minorEastAsia" w:cstheme="minorBidi"/>
                        <w:color w:val="000000" w:themeColor="text1"/>
                        <w:kern w:val="2"/>
                        <w:szCs w:val="21"/>
                      </w:rPr>
                      <w:t>肖翔</w:t>
                    </w:r>
                  </w:p>
                </w:tc>
                <w:tc>
                  <w:tcPr>
                    <w:tcW w:w="4387" w:type="dxa"/>
                  </w:tcPr>
                  <w:p>
                    <w:pPr>
                      <w:widowControl w:val="0"/>
                      <w:jc w:val="center"/>
                      <w:rPr>
                        <w:color w:val="000000" w:themeColor="text1"/>
                        <w:szCs w:val="21"/>
                      </w:rPr>
                    </w:pPr>
                    <w:r>
                      <w:rPr>
                        <w:rFonts w:hint="eastAsia"/>
                        <w:color w:val="000000" w:themeColor="text1"/>
                        <w:szCs w:val="21"/>
                      </w:rPr>
                      <w:t>北京交通大学中东欧研究中心</w:t>
                    </w:r>
                  </w:p>
                </w:tc>
                <w:tc>
                  <w:tcPr>
                    <w:tcW w:w="2693" w:type="dxa"/>
                  </w:tcPr>
                  <w:p>
                    <w:pPr>
                      <w:widowControl w:val="0"/>
                      <w:jc w:val="center"/>
                      <w:rPr>
                        <w:color w:val="000000" w:themeColor="text1"/>
                        <w:szCs w:val="21"/>
                      </w:rPr>
                    </w:pPr>
                    <w:r>
                      <w:rPr>
                        <w:rFonts w:hint="eastAsia"/>
                        <w:color w:val="000000" w:themeColor="text1"/>
                        <w:szCs w:val="21"/>
                      </w:rPr>
                      <w:t>主任</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639917372"/>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肖翔</w:t>
                    </w:r>
                  </w:p>
                </w:tc>
                <w:tc>
                  <w:tcPr>
                    <w:tcW w:w="4387" w:type="dxa"/>
                  </w:tcPr>
                  <w:p>
                    <w:pPr>
                      <w:widowControl w:val="0"/>
                      <w:jc w:val="center"/>
                      <w:rPr>
                        <w:color w:val="000000" w:themeColor="text1"/>
                        <w:szCs w:val="21"/>
                      </w:rPr>
                    </w:pPr>
                    <w:r>
                      <w:rPr>
                        <w:color w:val="000000" w:themeColor="text1"/>
                      </w:rPr>
                      <w:t>唐山港集团股份有限公司</w:t>
                    </w:r>
                  </w:p>
                </w:tc>
                <w:tc>
                  <w:tcPr>
                    <w:tcW w:w="2693" w:type="dxa"/>
                  </w:tcPr>
                  <w:p>
                    <w:pPr>
                      <w:widowControl w:val="0"/>
                      <w:jc w:val="center"/>
                      <w:rPr>
                        <w:color w:val="000000" w:themeColor="text1"/>
                        <w:szCs w:val="21"/>
                      </w:rPr>
                    </w:pPr>
                    <w:r>
                      <w:rPr>
                        <w:color w:val="000000" w:themeColor="text1"/>
                      </w:rPr>
                      <w:t>独立董事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2063595103"/>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窦军生</w:t>
                    </w:r>
                  </w:p>
                </w:tc>
                <w:tc>
                  <w:tcPr>
                    <w:tcW w:w="4387" w:type="dxa"/>
                  </w:tcPr>
                  <w:p>
                    <w:pPr>
                      <w:widowControl w:val="0"/>
                      <w:jc w:val="center"/>
                      <w:rPr>
                        <w:color w:val="000000" w:themeColor="text1"/>
                        <w:szCs w:val="21"/>
                      </w:rPr>
                    </w:pPr>
                    <w:r>
                      <w:rPr>
                        <w:color w:val="000000" w:themeColor="text1"/>
                      </w:rPr>
                      <w:t>浙江大学管理学院</w:t>
                    </w:r>
                  </w:p>
                </w:tc>
                <w:tc>
                  <w:tcPr>
                    <w:tcW w:w="2693" w:type="dxa"/>
                  </w:tcPr>
                  <w:p>
                    <w:pPr>
                      <w:widowControl w:val="0"/>
                      <w:jc w:val="center"/>
                      <w:rPr>
                        <w:color w:val="000000" w:themeColor="text1"/>
                        <w:szCs w:val="21"/>
                      </w:rPr>
                    </w:pPr>
                    <w:r>
                      <w:rPr>
                        <w:color w:val="000000" w:themeColor="text1"/>
                      </w:rPr>
                      <w:t>副院长、教授、博士生导师</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62416114"/>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任晓常</w:t>
                    </w:r>
                  </w:p>
                </w:tc>
                <w:tc>
                  <w:tcPr>
                    <w:tcW w:w="4387" w:type="dxa"/>
                  </w:tcPr>
                  <w:p>
                    <w:pPr>
                      <w:widowControl w:val="0"/>
                      <w:jc w:val="center"/>
                      <w:rPr>
                        <w:color w:val="000000" w:themeColor="text1"/>
                        <w:szCs w:val="21"/>
                      </w:rPr>
                    </w:pPr>
                    <w:r>
                      <w:rPr>
                        <w:color w:val="000000" w:themeColor="text1"/>
                      </w:rPr>
                      <w:t>重庆机电股份有限公司</w:t>
                    </w:r>
                  </w:p>
                </w:tc>
                <w:tc>
                  <w:tcPr>
                    <w:tcW w:w="2693" w:type="dxa"/>
                  </w:tcPr>
                  <w:p>
                    <w:pPr>
                      <w:widowControl w:val="0"/>
                      <w:jc w:val="center"/>
                      <w:rPr>
                        <w:color w:val="000000" w:themeColor="text1"/>
                        <w:szCs w:val="21"/>
                      </w:rPr>
                    </w:pPr>
                    <w:r>
                      <w:rPr>
                        <w:color w:val="000000" w:themeColor="text1"/>
                      </w:rPr>
                      <w:t>独立董事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216968947"/>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任晓常</w:t>
                    </w:r>
                  </w:p>
                </w:tc>
                <w:tc>
                  <w:tcPr>
                    <w:tcW w:w="4387" w:type="dxa"/>
                  </w:tcPr>
                  <w:p>
                    <w:pPr>
                      <w:widowControl w:val="0"/>
                      <w:jc w:val="center"/>
                      <w:rPr>
                        <w:color w:val="000000" w:themeColor="text1"/>
                        <w:szCs w:val="21"/>
                      </w:rPr>
                    </w:pPr>
                    <w:r>
                      <w:rPr>
                        <w:color w:val="000000" w:themeColor="text1"/>
                      </w:rPr>
                      <w:t>重庆长安汽车股份有限公司</w:t>
                    </w:r>
                  </w:p>
                </w:tc>
                <w:tc>
                  <w:tcPr>
                    <w:tcW w:w="2693" w:type="dxa"/>
                  </w:tcPr>
                  <w:p>
                    <w:pPr>
                      <w:widowControl w:val="0"/>
                      <w:jc w:val="center"/>
                      <w:rPr>
                        <w:color w:val="000000" w:themeColor="text1"/>
                        <w:szCs w:val="21"/>
                      </w:rPr>
                    </w:pPr>
                    <w:r>
                      <w:rPr>
                        <w:color w:val="000000" w:themeColor="text1"/>
                      </w:rPr>
                      <w:t>独立董事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691717595"/>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任晓常</w:t>
                    </w:r>
                  </w:p>
                </w:tc>
                <w:tc>
                  <w:tcPr>
                    <w:tcW w:w="4387" w:type="dxa"/>
                  </w:tcPr>
                  <w:p>
                    <w:pPr>
                      <w:widowControl w:val="0"/>
                      <w:jc w:val="center"/>
                      <w:rPr>
                        <w:color w:val="000000" w:themeColor="text1"/>
                        <w:szCs w:val="21"/>
                      </w:rPr>
                    </w:pPr>
                    <w:r>
                      <w:rPr>
                        <w:color w:val="000000" w:themeColor="text1"/>
                      </w:rPr>
                      <w:t>重庆宗申动力机械股份有限公司</w:t>
                    </w:r>
                  </w:p>
                </w:tc>
                <w:tc>
                  <w:tcPr>
                    <w:tcW w:w="2693" w:type="dxa"/>
                  </w:tcPr>
                  <w:p>
                    <w:pPr>
                      <w:widowControl w:val="0"/>
                      <w:jc w:val="center"/>
                      <w:rPr>
                        <w:color w:val="000000" w:themeColor="text1"/>
                        <w:szCs w:val="21"/>
                      </w:rPr>
                    </w:pPr>
                    <w:r>
                      <w:rPr>
                        <w:color w:val="000000" w:themeColor="text1"/>
                      </w:rPr>
                      <w:t>独立董事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55584788"/>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rFonts w:hint="eastAsia" w:asciiTheme="minorHAnsi" w:hAnsiTheme="minorHAnsi" w:eastAsiaTheme="minorEastAsia" w:cstheme="minorBidi"/>
                        <w:color w:val="000000" w:themeColor="text1"/>
                        <w:kern w:val="2"/>
                        <w:szCs w:val="21"/>
                      </w:rPr>
                      <w:t>任晓常</w:t>
                    </w:r>
                  </w:p>
                </w:tc>
                <w:tc>
                  <w:tcPr>
                    <w:tcW w:w="4387" w:type="dxa"/>
                  </w:tcPr>
                  <w:p>
                    <w:pPr>
                      <w:widowControl w:val="0"/>
                      <w:jc w:val="center"/>
                      <w:rPr>
                        <w:color w:val="000000" w:themeColor="text1"/>
                        <w:szCs w:val="21"/>
                      </w:rPr>
                    </w:pPr>
                    <w:r>
                      <w:rPr>
                        <w:rFonts w:hint="eastAsia"/>
                        <w:color w:val="000000" w:themeColor="text1"/>
                        <w:szCs w:val="21"/>
                      </w:rPr>
                      <w:t>北京海博思创科技股份有限公司</w:t>
                    </w:r>
                  </w:p>
                </w:tc>
                <w:tc>
                  <w:tcPr>
                    <w:tcW w:w="2693" w:type="dxa"/>
                  </w:tcPr>
                  <w:p>
                    <w:pPr>
                      <w:widowControl w:val="0"/>
                      <w:jc w:val="center"/>
                      <w:rPr>
                        <w:color w:val="000000" w:themeColor="text1"/>
                        <w:szCs w:val="21"/>
                      </w:rPr>
                    </w:pPr>
                    <w:r>
                      <w:rPr>
                        <w:rFonts w:hint="eastAsia"/>
                        <w:color w:val="000000" w:themeColor="text1"/>
                        <w:szCs w:val="21"/>
                      </w:rPr>
                      <w:t>独立董事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2107998173"/>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龙珍珠</w:t>
                    </w:r>
                  </w:p>
                </w:tc>
                <w:tc>
                  <w:tcPr>
                    <w:tcW w:w="4387" w:type="dxa"/>
                  </w:tcPr>
                  <w:p>
                    <w:pPr>
                      <w:widowControl w:val="0"/>
                      <w:jc w:val="center"/>
                      <w:rPr>
                        <w:color w:val="000000" w:themeColor="text1"/>
                        <w:szCs w:val="21"/>
                      </w:rPr>
                    </w:pPr>
                    <w:r>
                      <w:rPr>
                        <w:color w:val="000000" w:themeColor="text1"/>
                      </w:rPr>
                      <w:t>重庆两江股权投资基金管理有限公司</w:t>
                    </w:r>
                  </w:p>
                </w:tc>
                <w:tc>
                  <w:tcPr>
                    <w:tcW w:w="2693" w:type="dxa"/>
                  </w:tcPr>
                  <w:p>
                    <w:pPr>
                      <w:widowControl w:val="0"/>
                      <w:jc w:val="center"/>
                      <w:rPr>
                        <w:color w:val="000000" w:themeColor="text1"/>
                        <w:szCs w:val="21"/>
                      </w:rPr>
                    </w:pPr>
                    <w:r>
                      <w:rPr>
                        <w:rFonts w:hint="eastAsia"/>
                        <w:color w:val="000000" w:themeColor="text1"/>
                      </w:rPr>
                      <w:t>投资部经理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732756529"/>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vAlign w:val="center"/>
                  </w:tcPr>
                  <w:p>
                    <w:pPr>
                      <w:widowControl w:val="0"/>
                      <w:jc w:val="center"/>
                      <w:rPr>
                        <w:color w:val="000000" w:themeColor="text1"/>
                        <w:szCs w:val="21"/>
                      </w:rPr>
                    </w:pPr>
                    <w:r>
                      <w:rPr>
                        <w:color w:val="000000" w:themeColor="text1"/>
                      </w:rPr>
                      <w:t>彭家虎</w:t>
                    </w:r>
                  </w:p>
                </w:tc>
                <w:tc>
                  <w:tcPr>
                    <w:tcW w:w="4387" w:type="dxa"/>
                    <w:vAlign w:val="center"/>
                  </w:tcPr>
                  <w:p>
                    <w:pPr>
                      <w:widowControl w:val="0"/>
                      <w:jc w:val="center"/>
                      <w:rPr>
                        <w:color w:val="000000" w:themeColor="text1"/>
                        <w:szCs w:val="21"/>
                      </w:rPr>
                    </w:pPr>
                    <w:r>
                      <w:rPr>
                        <w:color w:val="000000" w:themeColor="text1"/>
                      </w:rPr>
                      <w:t>吉利科技集团有限公司</w:t>
                    </w:r>
                  </w:p>
                </w:tc>
                <w:tc>
                  <w:tcPr>
                    <w:tcW w:w="2693" w:type="dxa"/>
                    <w:vAlign w:val="center"/>
                  </w:tcPr>
                  <w:p>
                    <w:pPr>
                      <w:widowControl w:val="0"/>
                      <w:jc w:val="center"/>
                      <w:rPr>
                        <w:color w:val="000000" w:themeColor="text1"/>
                        <w:szCs w:val="21"/>
                      </w:rPr>
                    </w:pPr>
                    <w:r>
                      <w:rPr>
                        <w:rFonts w:hint="eastAsia"/>
                        <w:color w:val="000000" w:themeColor="text1"/>
                      </w:rPr>
                      <w:t>总裁助理兼</w:t>
                    </w:r>
                    <w:r>
                      <w:rPr>
                        <w:color w:val="000000" w:themeColor="text1"/>
                      </w:rPr>
                      <w:t>法务合规部总经理</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1013456800"/>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彭家虎</w:t>
                    </w:r>
                  </w:p>
                </w:tc>
                <w:tc>
                  <w:tcPr>
                    <w:tcW w:w="4387" w:type="dxa"/>
                  </w:tcPr>
                  <w:p>
                    <w:pPr>
                      <w:widowControl w:val="0"/>
                      <w:jc w:val="center"/>
                      <w:rPr>
                        <w:color w:val="000000" w:themeColor="text1"/>
                        <w:szCs w:val="21"/>
                      </w:rPr>
                    </w:pPr>
                    <w:r>
                      <w:rPr>
                        <w:color w:val="000000" w:themeColor="text1"/>
                      </w:rPr>
                      <w:t>湖南科力远新能源股份有限公司</w:t>
                    </w:r>
                  </w:p>
                </w:tc>
                <w:tc>
                  <w:tcPr>
                    <w:tcW w:w="2693" w:type="dxa"/>
                  </w:tcPr>
                  <w:p>
                    <w:pPr>
                      <w:widowControl w:val="0"/>
                      <w:jc w:val="center"/>
                      <w:rPr>
                        <w:color w:val="000000" w:themeColor="text1"/>
                        <w:szCs w:val="21"/>
                      </w:rPr>
                    </w:pPr>
                    <w:r>
                      <w:rPr>
                        <w:color w:val="000000" w:themeColor="text1"/>
                      </w:rPr>
                      <w:t>监事</w:t>
                    </w:r>
                  </w:p>
                </w:tc>
              </w:tr>
            </w:sdtContent>
          </w:sdt>
          <w:sdt>
            <w:sdtPr>
              <w:rPr>
                <w:rFonts w:hint="eastAsia" w:asciiTheme="minorHAnsi" w:hAnsiTheme="minorHAnsi" w:eastAsiaTheme="minorEastAsia" w:cstheme="minorBidi"/>
                <w:color w:val="000000" w:themeColor="text1"/>
                <w:kern w:val="2"/>
                <w:szCs w:val="21"/>
              </w:rPr>
              <w:alias w:val="董事、监事、高级管理人员在其他单位任职情况"/>
              <w:tag w:val="_TUP_f450538eb53748eeac8de5eae75c8a7f"/>
              <w:id w:val="759793490"/>
              <w:lock w:val="sdtLocked"/>
            </w:sdtPr>
            <w:sdtEndPr>
              <w:rPr>
                <w:rFonts w:hint="eastAsia" w:asciiTheme="minorHAnsi" w:hAnsiTheme="minorHAnsi" w:eastAsiaTheme="minorEastAsia" w:cstheme="minorBidi"/>
                <w:color w:val="000000" w:themeColor="text1"/>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color w:val="000000" w:themeColor="text1"/>
                        <w:szCs w:val="21"/>
                      </w:rPr>
                    </w:pPr>
                    <w:r>
                      <w:rPr>
                        <w:color w:val="000000" w:themeColor="text1"/>
                      </w:rPr>
                      <w:t>彭家虎</w:t>
                    </w:r>
                  </w:p>
                </w:tc>
                <w:tc>
                  <w:tcPr>
                    <w:tcW w:w="4387" w:type="dxa"/>
                  </w:tcPr>
                  <w:p>
                    <w:pPr>
                      <w:widowControl w:val="0"/>
                      <w:jc w:val="center"/>
                      <w:rPr>
                        <w:color w:val="000000" w:themeColor="text1"/>
                        <w:szCs w:val="21"/>
                      </w:rPr>
                    </w:pPr>
                    <w:r>
                      <w:rPr>
                        <w:color w:val="000000" w:themeColor="text1"/>
                      </w:rPr>
                      <w:t>浙江钱江摩托股份有限公司</w:t>
                    </w:r>
                  </w:p>
                </w:tc>
                <w:tc>
                  <w:tcPr>
                    <w:tcW w:w="2693" w:type="dxa"/>
                  </w:tcPr>
                  <w:p>
                    <w:pPr>
                      <w:widowControl w:val="0"/>
                      <w:jc w:val="center"/>
                      <w:rPr>
                        <w:color w:val="000000" w:themeColor="text1"/>
                        <w:szCs w:val="21"/>
                      </w:rPr>
                    </w:pPr>
                    <w:r>
                      <w:rPr>
                        <w:color w:val="000000" w:themeColor="text1"/>
                      </w:rPr>
                      <w:t>监事</w:t>
                    </w:r>
                  </w:p>
                </w:tc>
              </w:tr>
            </w:sdtContent>
          </w:sdt>
          <w:sdt>
            <w:sdtPr>
              <w:rPr>
                <w:rFonts w:hint="eastAsia" w:asciiTheme="minorHAnsi" w:hAnsiTheme="minorHAnsi" w:eastAsiaTheme="minorEastAsia" w:cstheme="minorBidi"/>
                <w:kern w:val="2"/>
                <w:szCs w:val="21"/>
              </w:rPr>
              <w:alias w:val="董事、监事、高级管理人员在其他单位任职情况"/>
              <w:tag w:val="_TUP_f450538eb53748eeac8de5eae75c8a7f"/>
              <w:id w:val="-1271931887"/>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szCs w:val="21"/>
                      </w:rPr>
                    </w:pPr>
                    <w:r>
                      <w:t>杨波</w:t>
                    </w:r>
                  </w:p>
                </w:tc>
                <w:tc>
                  <w:tcPr>
                    <w:tcW w:w="4387" w:type="dxa"/>
                  </w:tcPr>
                  <w:p>
                    <w:pPr>
                      <w:widowControl w:val="0"/>
                      <w:jc w:val="center"/>
                      <w:rPr>
                        <w:szCs w:val="21"/>
                      </w:rPr>
                    </w:pPr>
                    <w:r>
                      <w:t>重庆力帆实业（集团）进出口有限公司</w:t>
                    </w:r>
                  </w:p>
                </w:tc>
                <w:tc>
                  <w:tcPr>
                    <w:tcW w:w="2693" w:type="dxa"/>
                  </w:tcPr>
                  <w:p>
                    <w:pPr>
                      <w:widowControl w:val="0"/>
                      <w:jc w:val="center"/>
                      <w:rPr>
                        <w:szCs w:val="21"/>
                      </w:rPr>
                    </w:pPr>
                    <w:r>
                      <w:t>执行董事</w:t>
                    </w:r>
                  </w:p>
                </w:tc>
              </w:tr>
            </w:sdtContent>
          </w:sdt>
          <w:sdt>
            <w:sdtPr>
              <w:rPr>
                <w:rFonts w:hint="eastAsia" w:asciiTheme="minorHAnsi" w:hAnsiTheme="minorHAnsi" w:eastAsiaTheme="minorEastAsia" w:cstheme="minorBidi"/>
                <w:kern w:val="2"/>
                <w:szCs w:val="21"/>
              </w:rPr>
              <w:alias w:val="董事、监事、高级管理人员在其他单位任职情况"/>
              <w:tag w:val="_TUP_f450538eb53748eeac8de5eae75c8a7f"/>
              <w:id w:val="-399599147"/>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szCs w:val="21"/>
                      </w:rPr>
                    </w:pPr>
                    <w:r>
                      <w:t>伍定军</w:t>
                    </w:r>
                  </w:p>
                </w:tc>
                <w:tc>
                  <w:tcPr>
                    <w:tcW w:w="4387" w:type="dxa"/>
                  </w:tcPr>
                  <w:p>
                    <w:pPr>
                      <w:widowControl w:val="0"/>
                      <w:jc w:val="center"/>
                      <w:rPr>
                        <w:szCs w:val="21"/>
                      </w:rPr>
                    </w:pPr>
                    <w:r>
                      <w:t>世邦通信股份有限公司</w:t>
                    </w:r>
                  </w:p>
                </w:tc>
                <w:tc>
                  <w:tcPr>
                    <w:tcW w:w="2693" w:type="dxa"/>
                  </w:tcPr>
                  <w:p>
                    <w:pPr>
                      <w:widowControl w:val="0"/>
                      <w:jc w:val="center"/>
                      <w:rPr>
                        <w:szCs w:val="21"/>
                      </w:rPr>
                    </w:pPr>
                    <w:r>
                      <w:t>独立董事</w:t>
                    </w:r>
                  </w:p>
                </w:tc>
              </w:tr>
            </w:sdtContent>
          </w:sdt>
          <w:sdt>
            <w:sdtPr>
              <w:rPr>
                <w:rFonts w:hint="eastAsia" w:asciiTheme="minorHAnsi" w:hAnsiTheme="minorHAnsi" w:eastAsiaTheme="minorEastAsia" w:cstheme="minorBidi"/>
                <w:kern w:val="2"/>
                <w:szCs w:val="21"/>
              </w:rPr>
              <w:alias w:val="董事、监事、高级管理人员在其他单位任职情况"/>
              <w:tag w:val="_TUP_f450538eb53748eeac8de5eae75c8a7f"/>
              <w:id w:val="-543754737"/>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242" w:type="dxa"/>
                  </w:tcPr>
                  <w:p>
                    <w:pPr>
                      <w:widowControl w:val="0"/>
                      <w:jc w:val="center"/>
                      <w:rPr>
                        <w:szCs w:val="21"/>
                      </w:rPr>
                    </w:pPr>
                    <w:r>
                      <w:t>叶长春</w:t>
                    </w:r>
                  </w:p>
                </w:tc>
                <w:tc>
                  <w:tcPr>
                    <w:tcW w:w="4387" w:type="dxa"/>
                  </w:tcPr>
                  <w:p>
                    <w:pPr>
                      <w:widowControl w:val="0"/>
                      <w:jc w:val="center"/>
                      <w:rPr>
                        <w:szCs w:val="21"/>
                      </w:rPr>
                    </w:pPr>
                    <w:r>
                      <w:t>重庆力帆财务有限公司</w:t>
                    </w:r>
                  </w:p>
                </w:tc>
                <w:tc>
                  <w:tcPr>
                    <w:tcW w:w="2693" w:type="dxa"/>
                  </w:tcPr>
                  <w:p>
                    <w:pPr>
                      <w:widowControl w:val="0"/>
                      <w:jc w:val="center"/>
                      <w:rPr>
                        <w:szCs w:val="21"/>
                      </w:rPr>
                    </w:pPr>
                    <w:r>
                      <w:t>监事</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e128a4d638134f30bcc8e77e343261be"/>
                <w:id w:val="1991287919"/>
                <w:lock w:val="sdtLocked"/>
              </w:sdtPr>
              <w:sdtContent>
                <w:tc>
                  <w:tcPr>
                    <w:tcW w:w="2242" w:type="dxa"/>
                  </w:tcPr>
                  <w:p>
                    <w:pPr>
                      <w:widowControl w:val="0"/>
                      <w:jc w:val="center"/>
                      <w:rPr>
                        <w:szCs w:val="21"/>
                      </w:rPr>
                    </w:pPr>
                    <w:r>
                      <w:rPr>
                        <w:rFonts w:hint="eastAsia"/>
                        <w:szCs w:val="21"/>
                      </w:rPr>
                      <w:t>在其他单位任职情况的说明</w:t>
                    </w:r>
                  </w:p>
                </w:tc>
              </w:sdtContent>
            </w:sdt>
            <w:tc>
              <w:tcPr>
                <w:tcW w:w="7080" w:type="dxa"/>
                <w:gridSpan w:val="2"/>
                <w:vAlign w:val="center"/>
              </w:tcPr>
              <w:p>
                <w:pPr>
                  <w:widowControl w:val="0"/>
                  <w:jc w:val="center"/>
                  <w:rPr>
                    <w:szCs w:val="21"/>
                  </w:rPr>
                </w:pPr>
                <w:r>
                  <w:rPr>
                    <w:rFonts w:hint="eastAsia"/>
                    <w:szCs w:val="21"/>
                  </w:rPr>
                  <w:t>无</w:t>
                </w:r>
              </w:p>
            </w:tc>
          </w:tr>
        </w:tbl>
        <w:p>
          <w:pPr>
            <w:rPr>
              <w:szCs w:val="21"/>
            </w:rPr>
          </w:pPr>
        </w:p>
      </w:sdtContent>
    </w:sdt>
    <w:sdt>
      <w:sdtPr>
        <w:rPr>
          <w:rFonts w:ascii="宋体" w:hAnsi="宋体" w:cs="宋体"/>
          <w:b w:val="0"/>
          <w:bCs w:val="0"/>
          <w:kern w:val="0"/>
          <w:szCs w:val="24"/>
        </w:rPr>
        <w:alias w:val="模块:董事、监事、高级管理人员报酬情况"/>
        <w:tag w:val="_SEC_d6c0d4e5fc754556abc8ba20fd435248"/>
        <w:id w:val="-731395563"/>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17"/>
            </w:numPr>
            <w:ind w:left="0" w:firstLine="0"/>
          </w:pPr>
          <w:r>
            <w:t>董事、监事、高级管理人员报酬情况</w:t>
          </w:r>
        </w:p>
        <w:sdt>
          <w:sdtPr>
            <w:alias w:val="是否适用：董事、监事、高级管理人员报酬情况[双击切换]"/>
            <w:tag w:val="_GBC_670a12b9c1e34498888f2aafd9509848"/>
            <w:id w:val="-59077841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2"/>
            <w:gridCol w:w="61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9e63d19b4bb64b9f8ebbe91d33a629c4"/>
                <w:id w:val="-1772315912"/>
                <w:lock w:val="sdtLocked"/>
              </w:sdtPr>
              <w:sdtContent>
                <w:tc>
                  <w:tcPr>
                    <w:tcW w:w="2942" w:type="dxa"/>
                    <w:vAlign w:val="center"/>
                  </w:tcPr>
                  <w:p>
                    <w:pPr>
                      <w:widowControl w:val="0"/>
                      <w:jc w:val="both"/>
                      <w:rPr>
                        <w:szCs w:val="21"/>
                      </w:rPr>
                    </w:pPr>
                    <w:r>
                      <w:rPr>
                        <w:szCs w:val="21"/>
                      </w:rPr>
                      <w:t>董事、监事、高级管理人员报酬的决策程序</w:t>
                    </w:r>
                  </w:p>
                </w:tc>
              </w:sdtContent>
            </w:sdt>
            <w:sdt>
              <w:sdtPr>
                <w:rPr>
                  <w:rFonts w:hint="eastAsia" w:ascii="Times New Roman" w:hAnsi="Times New Roman"/>
                  <w:szCs w:val="21"/>
                </w:rPr>
                <w:alias w:val="董事、监事、高级管理人员报酬的决策程序"/>
                <w:tag w:val="_GBC_bf64cad6b5d7435388a8e69e2c05dea2"/>
                <w:id w:val="2133595030"/>
                <w:lock w:val="sdtLocked"/>
              </w:sdtPr>
              <w:sdtEndPr>
                <w:rPr>
                  <w:rFonts w:hint="eastAsia" w:ascii="Times New Roman" w:hAnsi="Times New Roman"/>
                  <w:szCs w:val="21"/>
                </w:rPr>
              </w:sdtEndPr>
              <w:sdtContent>
                <w:tc>
                  <w:tcPr>
                    <w:tcW w:w="6107" w:type="dxa"/>
                  </w:tcPr>
                  <w:p>
                    <w:pPr>
                      <w:widowControl w:val="0"/>
                      <w:jc w:val="both"/>
                      <w:rPr>
                        <w:szCs w:val="21"/>
                      </w:rPr>
                    </w:pPr>
                    <w:r>
                      <w:rPr>
                        <w:rFonts w:hint="eastAsia"/>
                        <w:szCs w:val="21"/>
                      </w:rPr>
                      <w:t>董事和高级管理人员的薪酬实行年薪制；职工代表监事按工资标准执行；独立董事津贴由董事会审议通过后报股东大会批准执行。</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a1d35038246146c0a95c36f146481091"/>
                <w:id w:val="-1067265585"/>
                <w:lock w:val="sdtLocked"/>
              </w:sdtPr>
              <w:sdtContent>
                <w:tc>
                  <w:tcPr>
                    <w:tcW w:w="2942" w:type="dxa"/>
                    <w:vAlign w:val="center"/>
                  </w:tcPr>
                  <w:p>
                    <w:pPr>
                      <w:widowControl w:val="0"/>
                      <w:jc w:val="both"/>
                      <w:rPr>
                        <w:szCs w:val="21"/>
                      </w:rPr>
                    </w:pPr>
                    <w:r>
                      <w:rPr>
                        <w:szCs w:val="21"/>
                      </w:rPr>
                      <w:t>董事、监事、高级管理人员报酬确定依据</w:t>
                    </w:r>
                  </w:p>
                </w:tc>
              </w:sdtContent>
            </w:sdt>
            <w:tc>
              <w:tcPr>
                <w:tcW w:w="6107" w:type="dxa"/>
                <w:vAlign w:val="center"/>
              </w:tcPr>
              <w:p>
                <w:pPr>
                  <w:widowControl w:val="0"/>
                  <w:jc w:val="both"/>
                  <w:rPr>
                    <w:sz w:val="24"/>
                  </w:rPr>
                </w:pPr>
                <w:r>
                  <w:t>董事按照所在任职岗位确定相应报酬；高级管理人员报酬确定的依据为年度经营指标完成情况，在经营业绩和绩效考核的基础上核定上年度绩效年薪及本年度基本月薪基数；监事按照任职岗位确定相应的报酬。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3ba8e874dcd84394a94e693e06b2269b"/>
                <w:id w:val="1576005763"/>
                <w:lock w:val="sdtLocked"/>
              </w:sdtPr>
              <w:sdtContent>
                <w:tc>
                  <w:tcPr>
                    <w:tcW w:w="2942" w:type="dxa"/>
                    <w:vAlign w:val="center"/>
                  </w:tcPr>
                  <w:p>
                    <w:pPr>
                      <w:widowControl w:val="0"/>
                      <w:jc w:val="both"/>
                      <w:rPr>
                        <w:szCs w:val="21"/>
                      </w:rPr>
                    </w:pPr>
                    <w:r>
                      <w:rPr>
                        <w:szCs w:val="21"/>
                      </w:rPr>
                      <w:t>董事、监事和高级管理人员报酬的</w:t>
                    </w:r>
                    <w:r>
                      <w:rPr>
                        <w:rFonts w:hint="eastAsia"/>
                        <w:szCs w:val="21"/>
                      </w:rPr>
                      <w:t>实际支付</w:t>
                    </w:r>
                    <w:r>
                      <w:rPr>
                        <w:szCs w:val="21"/>
                      </w:rPr>
                      <w:t>情况</w:t>
                    </w:r>
                  </w:p>
                </w:tc>
              </w:sdtContent>
            </w:sdt>
            <w:tc>
              <w:tcPr>
                <w:tcW w:w="6107" w:type="dxa"/>
                <w:vAlign w:val="center"/>
              </w:tcPr>
              <w:p>
                <w:pPr>
                  <w:widowControl w:val="0"/>
                  <w:jc w:val="both"/>
                </w:pPr>
                <w:r>
                  <w:t>按上述原则执行，具体支付金额见本节（一）“现任及报告期内离任董事、监事和高级管理人员持股变动及报酬情况”表。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2942" w:type="dxa"/>
                <w:vAlign w:val="center"/>
              </w:tcPr>
              <w:sdt>
                <w:sdtPr>
                  <w:rPr>
                    <w:rFonts w:ascii="Times New Roman" w:hAnsi="Times New Roman"/>
                    <w:szCs w:val="21"/>
                  </w:rPr>
                  <w:tag w:val="_PLD_3506ff73678e423b9d58c6066ded1f49"/>
                  <w:id w:val="993984281"/>
                  <w:lock w:val="sdtLocked"/>
                </w:sdtPr>
                <w:sdtEndPr>
                  <w:rPr>
                    <w:rFonts w:ascii="Times New Roman" w:hAnsi="Times New Roman"/>
                    <w:szCs w:val="21"/>
                  </w:rPr>
                </w:sdtEndPr>
                <w:sdtContent>
                  <w:p>
                    <w:pPr>
                      <w:widowControl w:val="0"/>
                      <w:jc w:val="both"/>
                      <w:rPr>
                        <w:szCs w:val="21"/>
                      </w:rPr>
                    </w:pPr>
                    <w:r>
                      <w:rPr>
                        <w:szCs w:val="21"/>
                      </w:rPr>
                      <w:t>报告期末全体董事、监事和高级管理人员实际获得的报酬合计</w:t>
                    </w:r>
                  </w:p>
                </w:sdtContent>
              </w:sdt>
            </w:tc>
            <w:tc>
              <w:tcPr>
                <w:tcW w:w="6107" w:type="dxa"/>
                <w:vAlign w:val="center"/>
              </w:tcPr>
              <w:p>
                <w:pPr>
                  <w:widowControl w:val="0"/>
                  <w:jc w:val="both"/>
                </w:pPr>
                <w:r>
                  <w:t>报告期末，全体董事、监事和高级管理人员在公司获得的报酬435.57万元。</w:t>
                </w:r>
              </w:p>
            </w:tc>
          </w:tr>
        </w:tbl>
        <w:p/>
      </w:sdtContent>
    </w:sdt>
    <w:p>
      <w:pPr>
        <w:pStyle w:val="4"/>
        <w:numPr>
          <w:ilvl w:val="0"/>
          <w:numId w:val="17"/>
        </w:numPr>
        <w:ind w:left="0" w:firstLine="0"/>
      </w:pPr>
      <w:r>
        <w:t>公司董事、监事、高级管理人员变动情况</w:t>
      </w:r>
    </w:p>
    <w:sdt>
      <w:sdtPr>
        <w:rPr>
          <w:b/>
          <w:bCs/>
          <w:sz w:val="24"/>
        </w:rPr>
        <w:alias w:val="模块:公司董事、监事、高级管理人员变动情况"/>
        <w:tag w:val="_SEC_f15939bc34a34b809f1af6823e6f7771"/>
        <w:id w:val="-1598549469"/>
        <w:lock w:val="sdtLocked"/>
        <w:placeholder>
          <w:docPart w:val="GBC22222222222222222222222222222"/>
        </w:placeholder>
      </w:sdtPr>
      <w:sdtEndPr>
        <w:rPr>
          <w:b w:val="0"/>
          <w:bCs w:val="0"/>
          <w:sz w:val="21"/>
        </w:rPr>
      </w:sdtEndPr>
      <w:sdtContent>
        <w:sdt>
          <w:sdtPr>
            <w:alias w:val="是否适用：公司董事、监事、高级管理人员变动情况[双击切换]"/>
            <w:tag w:val="_GBC_a00df019796e4666a1adff20d55baa46"/>
            <w:id w:val="-42449875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1"/>
            <w:gridCol w:w="2261"/>
            <w:gridCol w:w="2265"/>
            <w:gridCol w:w="2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sdt>
              <w:sdtPr>
                <w:tag w:val="_PLD_10c0965136c84bf6abfceaef8557ae99"/>
                <w:id w:val="-1769763089"/>
                <w:lock w:val="sdtLocked"/>
              </w:sdtPr>
              <w:sdtContent>
                <w:tc>
                  <w:tcPr>
                    <w:tcW w:w="3522" w:type="dxa"/>
                    <w:vAlign w:val="center"/>
                  </w:tcPr>
                  <w:p>
                    <w:pPr>
                      <w:widowControl w:val="0"/>
                      <w:jc w:val="center"/>
                      <w:rPr>
                        <w:szCs w:val="21"/>
                      </w:rPr>
                    </w:pPr>
                    <w:r>
                      <w:rPr>
                        <w:szCs w:val="21"/>
                      </w:rPr>
                      <w:t>姓名</w:t>
                    </w:r>
                  </w:p>
                </w:tc>
              </w:sdtContent>
            </w:sdt>
            <w:sdt>
              <w:sdtPr>
                <w:tag w:val="_PLD_b53cc0c0661e4cffa4f7fa4f6423187d"/>
                <w:id w:val="-920409649"/>
                <w:lock w:val="sdtLocked"/>
              </w:sdtPr>
              <w:sdtContent>
                <w:tc>
                  <w:tcPr>
                    <w:tcW w:w="3522" w:type="dxa"/>
                    <w:vAlign w:val="center"/>
                  </w:tcPr>
                  <w:p>
                    <w:pPr>
                      <w:widowControl w:val="0"/>
                      <w:jc w:val="center"/>
                      <w:rPr>
                        <w:szCs w:val="21"/>
                      </w:rPr>
                    </w:pPr>
                    <w:r>
                      <w:rPr>
                        <w:szCs w:val="21"/>
                      </w:rPr>
                      <w:t>担任的职务</w:t>
                    </w:r>
                  </w:p>
                </w:tc>
              </w:sdtContent>
            </w:sdt>
            <w:sdt>
              <w:sdtPr>
                <w:tag w:val="_PLD_012859f523ec430da1dfc6a86c6dde35"/>
                <w:id w:val="-800222534"/>
                <w:lock w:val="sdtLocked"/>
              </w:sdtPr>
              <w:sdtContent>
                <w:tc>
                  <w:tcPr>
                    <w:tcW w:w="3522" w:type="dxa"/>
                    <w:vAlign w:val="center"/>
                  </w:tcPr>
                  <w:p>
                    <w:pPr>
                      <w:widowControl w:val="0"/>
                      <w:jc w:val="center"/>
                      <w:rPr>
                        <w:szCs w:val="21"/>
                      </w:rPr>
                    </w:pPr>
                    <w:r>
                      <w:rPr>
                        <w:szCs w:val="21"/>
                      </w:rPr>
                      <w:t>变动情形</w:t>
                    </w:r>
                  </w:p>
                </w:tc>
              </w:sdtContent>
            </w:sdt>
            <w:sdt>
              <w:sdtPr>
                <w:tag w:val="_PLD_bf76757c55de435a9638407bd56b5199"/>
                <w:id w:val="979585244"/>
                <w:lock w:val="sdtLocked"/>
              </w:sdtPr>
              <w:sdtContent>
                <w:tc>
                  <w:tcPr>
                    <w:tcW w:w="3523" w:type="dxa"/>
                    <w:vAlign w:val="center"/>
                  </w:tcPr>
                  <w:p>
                    <w:pPr>
                      <w:widowControl w:val="0"/>
                      <w:jc w:val="center"/>
                      <w:rPr>
                        <w:szCs w:val="21"/>
                      </w:rPr>
                    </w:pPr>
                    <w:r>
                      <w:rPr>
                        <w:szCs w:val="21"/>
                      </w:rPr>
                      <w:t>变动原因</w:t>
                    </w:r>
                  </w:p>
                </w:tc>
              </w:sdtContent>
            </w:sdt>
          </w:tr>
          <w:sdt>
            <w:sdtPr>
              <w:rPr>
                <w:rFonts w:asciiTheme="minorHAnsi" w:hAnsiTheme="minorHAnsi" w:eastAsiaTheme="minorEastAsia" w:cstheme="minorBidi"/>
                <w:kern w:val="2"/>
                <w:szCs w:val="21"/>
              </w:rPr>
              <w:alias w:val="在报告期内公司董事、监事、高级管理人员变动情况"/>
              <w:tag w:val="_TUP_a555fc40054b4d6a94d6a1901fa38c91"/>
              <w:id w:val="-128911732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徐志豪</w:t>
                    </w:r>
                  </w:p>
                </w:tc>
                <w:tc>
                  <w:tcPr>
                    <w:tcW w:w="3522" w:type="dxa"/>
                  </w:tcPr>
                  <w:p>
                    <w:pPr>
                      <w:widowControl w:val="0"/>
                      <w:jc w:val="center"/>
                      <w:rPr>
                        <w:szCs w:val="21"/>
                      </w:rPr>
                    </w:pPr>
                    <w:r>
                      <w:t>董事长</w:t>
                    </w:r>
                  </w:p>
                </w:tc>
                <w:sdt>
                  <w:sdtPr>
                    <w:rPr>
                      <w:rFonts w:ascii="Times New Roman" w:hAnsi="Times New Roman"/>
                      <w:szCs w:val="21"/>
                    </w:rPr>
                    <w:alias w:val="公司董事、监事、高级管理人员的变动情形"/>
                    <w:tag w:val="_GBC_258f9ad482344d5fbc1587e6faf0ed7b"/>
                    <w:id w:val="-2067634546"/>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66613533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朱军</w:t>
                    </w:r>
                  </w:p>
                </w:tc>
                <w:tc>
                  <w:tcPr>
                    <w:tcW w:w="3522" w:type="dxa"/>
                  </w:tcPr>
                  <w:p>
                    <w:pPr>
                      <w:widowControl w:val="0"/>
                      <w:jc w:val="center"/>
                      <w:rPr>
                        <w:szCs w:val="21"/>
                      </w:rPr>
                    </w:pPr>
                    <w:r>
                      <w:t>副董事长</w:t>
                    </w:r>
                  </w:p>
                </w:tc>
                <w:sdt>
                  <w:sdtPr>
                    <w:rPr>
                      <w:rFonts w:ascii="Times New Roman" w:hAnsi="Times New Roman"/>
                      <w:szCs w:val="21"/>
                    </w:rPr>
                    <w:alias w:val="公司董事、监事、高级管理人员的变动情形"/>
                    <w:tag w:val="_GBC_258f9ad482344d5fbc1587e6faf0ed7b"/>
                    <w:id w:val="-80969698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99613808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杨健</w:t>
                    </w:r>
                  </w:p>
                </w:tc>
                <w:tc>
                  <w:tcPr>
                    <w:tcW w:w="3522" w:type="dxa"/>
                  </w:tcPr>
                  <w:p>
                    <w:pPr>
                      <w:widowControl w:val="0"/>
                      <w:jc w:val="center"/>
                      <w:rPr>
                        <w:szCs w:val="21"/>
                      </w:rPr>
                    </w:pPr>
                    <w:r>
                      <w:t>董事</w:t>
                    </w:r>
                  </w:p>
                </w:tc>
                <w:sdt>
                  <w:sdtPr>
                    <w:rPr>
                      <w:rFonts w:ascii="Times New Roman" w:hAnsi="Times New Roman"/>
                      <w:szCs w:val="21"/>
                    </w:rPr>
                    <w:alias w:val="公司董事、监事、高级管理人员的变动情形"/>
                    <w:tag w:val="_GBC_258f9ad482344d5fbc1587e6faf0ed7b"/>
                    <w:id w:val="-138061981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860648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钟弦</w:t>
                    </w:r>
                  </w:p>
                </w:tc>
                <w:tc>
                  <w:tcPr>
                    <w:tcW w:w="3522" w:type="dxa"/>
                  </w:tcPr>
                  <w:p>
                    <w:pPr>
                      <w:widowControl w:val="0"/>
                      <w:jc w:val="center"/>
                      <w:rPr>
                        <w:szCs w:val="21"/>
                      </w:rPr>
                    </w:pPr>
                    <w:r>
                      <w:t>董事</w:t>
                    </w:r>
                  </w:p>
                </w:tc>
                <w:sdt>
                  <w:sdtPr>
                    <w:rPr>
                      <w:rFonts w:ascii="Times New Roman" w:hAnsi="Times New Roman"/>
                      <w:szCs w:val="21"/>
                    </w:rPr>
                    <w:alias w:val="公司董事、监事、高级管理人员的变动情形"/>
                    <w:tag w:val="_GBC_258f9ad482344d5fbc1587e6faf0ed7b"/>
                    <w:id w:val="92161009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4406361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王梦麟</w:t>
                    </w:r>
                  </w:p>
                </w:tc>
                <w:tc>
                  <w:tcPr>
                    <w:tcW w:w="3522" w:type="dxa"/>
                  </w:tcPr>
                  <w:p>
                    <w:pPr>
                      <w:widowControl w:val="0"/>
                      <w:jc w:val="center"/>
                      <w:rPr>
                        <w:szCs w:val="21"/>
                      </w:rPr>
                    </w:pPr>
                    <w:r>
                      <w:t>董事</w:t>
                    </w:r>
                  </w:p>
                </w:tc>
                <w:sdt>
                  <w:sdtPr>
                    <w:rPr>
                      <w:rFonts w:ascii="Times New Roman" w:hAnsi="Times New Roman"/>
                      <w:szCs w:val="21"/>
                    </w:rPr>
                    <w:alias w:val="公司董事、监事、高级管理人员的变动情形"/>
                    <w:tag w:val="_GBC_258f9ad482344d5fbc1587e6faf0ed7b"/>
                    <w:id w:val="142852622"/>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75440462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周充</w:t>
                    </w:r>
                  </w:p>
                </w:tc>
                <w:tc>
                  <w:tcPr>
                    <w:tcW w:w="3522" w:type="dxa"/>
                  </w:tcPr>
                  <w:p>
                    <w:pPr>
                      <w:widowControl w:val="0"/>
                      <w:jc w:val="center"/>
                      <w:rPr>
                        <w:szCs w:val="21"/>
                      </w:rPr>
                    </w:pPr>
                    <w:r>
                      <w:t>董事</w:t>
                    </w:r>
                  </w:p>
                </w:tc>
                <w:sdt>
                  <w:sdtPr>
                    <w:rPr>
                      <w:rFonts w:ascii="Times New Roman" w:hAnsi="Times New Roman"/>
                      <w:szCs w:val="21"/>
                    </w:rPr>
                    <w:alias w:val="公司董事、监事、高级管理人员的变动情形"/>
                    <w:tag w:val="_GBC_258f9ad482344d5fbc1587e6faf0ed7b"/>
                    <w:id w:val="-63841684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45761584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肖翔</w:t>
                    </w:r>
                  </w:p>
                </w:tc>
                <w:tc>
                  <w:tcPr>
                    <w:tcW w:w="3522" w:type="dxa"/>
                  </w:tcPr>
                  <w:p>
                    <w:pPr>
                      <w:widowControl w:val="0"/>
                      <w:jc w:val="center"/>
                      <w:rPr>
                        <w:szCs w:val="21"/>
                      </w:rPr>
                    </w:pPr>
                    <w:r>
                      <w:t>独立董事</w:t>
                    </w:r>
                  </w:p>
                </w:tc>
                <w:sdt>
                  <w:sdtPr>
                    <w:rPr>
                      <w:rFonts w:ascii="Times New Roman" w:hAnsi="Times New Roman"/>
                      <w:szCs w:val="21"/>
                    </w:rPr>
                    <w:alias w:val="公司董事、监事、高级管理人员的变动情形"/>
                    <w:tag w:val="_GBC_258f9ad482344d5fbc1587e6faf0ed7b"/>
                    <w:id w:val="177528741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22498437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窦军生</w:t>
                    </w:r>
                  </w:p>
                </w:tc>
                <w:tc>
                  <w:tcPr>
                    <w:tcW w:w="3522" w:type="dxa"/>
                  </w:tcPr>
                  <w:p>
                    <w:pPr>
                      <w:widowControl w:val="0"/>
                      <w:jc w:val="center"/>
                      <w:rPr>
                        <w:szCs w:val="21"/>
                      </w:rPr>
                    </w:pPr>
                    <w:r>
                      <w:t>独立董事</w:t>
                    </w:r>
                  </w:p>
                </w:tc>
                <w:sdt>
                  <w:sdtPr>
                    <w:rPr>
                      <w:rFonts w:ascii="Times New Roman" w:hAnsi="Times New Roman"/>
                      <w:szCs w:val="21"/>
                    </w:rPr>
                    <w:alias w:val="公司董事、监事、高级管理人员的变动情形"/>
                    <w:tag w:val="_GBC_258f9ad482344d5fbc1587e6faf0ed7b"/>
                    <w:id w:val="-1534340695"/>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82401166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任晓常</w:t>
                    </w:r>
                  </w:p>
                </w:tc>
                <w:tc>
                  <w:tcPr>
                    <w:tcW w:w="3522" w:type="dxa"/>
                  </w:tcPr>
                  <w:p>
                    <w:pPr>
                      <w:widowControl w:val="0"/>
                      <w:jc w:val="center"/>
                      <w:rPr>
                        <w:szCs w:val="21"/>
                      </w:rPr>
                    </w:pPr>
                    <w:r>
                      <w:t>独立董事</w:t>
                    </w:r>
                  </w:p>
                </w:tc>
                <w:sdt>
                  <w:sdtPr>
                    <w:rPr>
                      <w:rFonts w:ascii="Times New Roman" w:hAnsi="Times New Roman"/>
                      <w:szCs w:val="21"/>
                    </w:rPr>
                    <w:alias w:val="公司董事、监事、高级管理人员的变动情形"/>
                    <w:tag w:val="_GBC_258f9ad482344d5fbc1587e6faf0ed7b"/>
                    <w:id w:val="1153022098"/>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58097654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龙珍珠</w:t>
                    </w:r>
                  </w:p>
                </w:tc>
                <w:tc>
                  <w:tcPr>
                    <w:tcW w:w="3522" w:type="dxa"/>
                  </w:tcPr>
                  <w:p>
                    <w:pPr>
                      <w:widowControl w:val="0"/>
                      <w:jc w:val="center"/>
                      <w:rPr>
                        <w:szCs w:val="21"/>
                      </w:rPr>
                    </w:pPr>
                    <w:r>
                      <w:t>监事会主席</w:t>
                    </w:r>
                  </w:p>
                </w:tc>
                <w:sdt>
                  <w:sdtPr>
                    <w:rPr>
                      <w:rFonts w:ascii="Times New Roman" w:hAnsi="Times New Roman"/>
                      <w:szCs w:val="21"/>
                    </w:rPr>
                    <w:alias w:val="公司董事、监事、高级管理人员的变动情形"/>
                    <w:tag w:val="_GBC_258f9ad482344d5fbc1587e6faf0ed7b"/>
                    <w:id w:val="-1983997143"/>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64103787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彭家虎</w:t>
                    </w:r>
                  </w:p>
                </w:tc>
                <w:tc>
                  <w:tcPr>
                    <w:tcW w:w="3522" w:type="dxa"/>
                  </w:tcPr>
                  <w:p>
                    <w:pPr>
                      <w:widowControl w:val="0"/>
                      <w:jc w:val="center"/>
                      <w:rPr>
                        <w:szCs w:val="21"/>
                      </w:rPr>
                    </w:pPr>
                    <w:r>
                      <w:t>监事</w:t>
                    </w:r>
                  </w:p>
                </w:tc>
                <w:sdt>
                  <w:sdtPr>
                    <w:rPr>
                      <w:rFonts w:ascii="Times New Roman" w:hAnsi="Times New Roman"/>
                      <w:szCs w:val="21"/>
                    </w:rPr>
                    <w:alias w:val="公司董事、监事、高级管理人员的变动情形"/>
                    <w:tag w:val="_GBC_258f9ad482344d5fbc1587e6faf0ed7b"/>
                    <w:id w:val="138729481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295172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王颖</w:t>
                    </w:r>
                  </w:p>
                </w:tc>
                <w:tc>
                  <w:tcPr>
                    <w:tcW w:w="3522" w:type="dxa"/>
                  </w:tcPr>
                  <w:p>
                    <w:pPr>
                      <w:widowControl w:val="0"/>
                      <w:jc w:val="center"/>
                      <w:rPr>
                        <w:szCs w:val="21"/>
                      </w:rPr>
                    </w:pPr>
                    <w:r>
                      <w:t>职工监事</w:t>
                    </w:r>
                  </w:p>
                </w:tc>
                <w:sdt>
                  <w:sdtPr>
                    <w:rPr>
                      <w:rFonts w:ascii="Times New Roman" w:hAnsi="Times New Roman"/>
                      <w:szCs w:val="21"/>
                    </w:rPr>
                    <w:alias w:val="公司董事、监事、高级管理人员的变动情形"/>
                    <w:tag w:val="_GBC_258f9ad482344d5fbc1587e6faf0ed7b"/>
                    <w:id w:val="-132913738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选举</w:t>
                        </w:r>
                      </w:p>
                    </w:tc>
                  </w:sdtContent>
                </w:sdt>
                <w:tc>
                  <w:tcPr>
                    <w:tcW w:w="3523" w:type="dxa"/>
                  </w:tcPr>
                  <w:p>
                    <w:pPr>
                      <w:widowControl w:val="0"/>
                      <w:jc w:val="center"/>
                      <w:rPr>
                        <w:szCs w:val="21"/>
                      </w:rPr>
                    </w:pPr>
                    <w:r>
                      <w:t>换届选举</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650022366"/>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asciiTheme="minorHAnsi" w:hAnsiTheme="minorHAnsi" w:eastAsiaTheme="minorEastAsia" w:cstheme="minorBidi"/>
                        <w:kern w:val="2"/>
                        <w:szCs w:val="21"/>
                      </w:rPr>
                      <w:t>杨波</w:t>
                    </w:r>
                  </w:p>
                </w:tc>
                <w:tc>
                  <w:tcPr>
                    <w:tcW w:w="3522" w:type="dxa"/>
                  </w:tcPr>
                  <w:p>
                    <w:pPr>
                      <w:widowControl w:val="0"/>
                      <w:jc w:val="center"/>
                      <w:rPr>
                        <w:szCs w:val="21"/>
                      </w:rPr>
                    </w:pPr>
                    <w:r>
                      <w:rPr>
                        <w:szCs w:val="21"/>
                      </w:rPr>
                      <w:t>总裁</w:t>
                    </w:r>
                  </w:p>
                </w:tc>
                <w:sdt>
                  <w:sdtPr>
                    <w:rPr>
                      <w:rFonts w:ascii="Times New Roman" w:hAnsi="Times New Roman"/>
                      <w:kern w:val="2"/>
                      <w:sz w:val="22"/>
                      <w:szCs w:val="22"/>
                    </w:rPr>
                    <w:alias w:val="公司董事、监事、高级管理人员的变动情形"/>
                    <w:tag w:val="_GBC_258f9ad482344d5fbc1587e6faf0ed7b"/>
                    <w:id w:val="-172419698"/>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聘任</w:t>
                        </w:r>
                      </w:p>
                    </w:tc>
                  </w:sdtContent>
                </w:sdt>
                <w:tc>
                  <w:tcPr>
                    <w:tcW w:w="3523" w:type="dxa"/>
                  </w:tcPr>
                  <w:p>
                    <w:pPr>
                      <w:widowControl w:val="0"/>
                      <w:jc w:val="center"/>
                      <w:rPr>
                        <w:szCs w:val="21"/>
                      </w:rPr>
                    </w:pPr>
                    <w:r>
                      <w:t>董事会聘任</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26222521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rPr>
                      <w:t>娄源发</w:t>
                    </w:r>
                  </w:p>
                </w:tc>
                <w:tc>
                  <w:tcPr>
                    <w:tcW w:w="3522" w:type="dxa"/>
                  </w:tcPr>
                  <w:p>
                    <w:pPr>
                      <w:widowControl w:val="0"/>
                      <w:jc w:val="center"/>
                      <w:rPr>
                        <w:szCs w:val="21"/>
                      </w:rPr>
                    </w:pPr>
                    <w:r>
                      <w:rPr>
                        <w:rFonts w:hint="eastAsia"/>
                      </w:rPr>
                      <w:t>联席</w:t>
                    </w:r>
                    <w:r>
                      <w:t>总裁</w:t>
                    </w:r>
                  </w:p>
                </w:tc>
                <w:sdt>
                  <w:sdtPr>
                    <w:rPr>
                      <w:rFonts w:ascii="Times New Roman" w:hAnsi="Times New Roman"/>
                      <w:kern w:val="2"/>
                      <w:sz w:val="22"/>
                      <w:szCs w:val="22"/>
                    </w:rPr>
                    <w:alias w:val="公司董事、监事、高级管理人员的变动情形"/>
                    <w:tag w:val="_GBC_258f9ad482344d5fbc1587e6faf0ed7b"/>
                    <w:id w:val="-654989884"/>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聘任</w:t>
                        </w:r>
                      </w:p>
                    </w:tc>
                  </w:sdtContent>
                </w:sdt>
                <w:tc>
                  <w:tcPr>
                    <w:tcW w:w="3523" w:type="dxa"/>
                  </w:tcPr>
                  <w:p>
                    <w:pPr>
                      <w:widowControl w:val="0"/>
                      <w:jc w:val="center"/>
                      <w:rPr>
                        <w:szCs w:val="21"/>
                      </w:rPr>
                    </w:pPr>
                    <w:r>
                      <w:t>董事会聘任</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64335239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asciiTheme="minorHAnsi" w:hAnsiTheme="minorHAnsi" w:eastAsiaTheme="minorEastAsia" w:cstheme="minorBidi"/>
                        <w:kern w:val="2"/>
                        <w:szCs w:val="21"/>
                      </w:rPr>
                      <w:t>周强</w:t>
                    </w:r>
                  </w:p>
                </w:tc>
                <w:tc>
                  <w:tcPr>
                    <w:tcW w:w="3522" w:type="dxa"/>
                  </w:tcPr>
                  <w:p>
                    <w:pPr>
                      <w:widowControl w:val="0"/>
                      <w:jc w:val="center"/>
                      <w:rPr>
                        <w:szCs w:val="21"/>
                      </w:rPr>
                    </w:pPr>
                    <w:r>
                      <w:rPr>
                        <w:rFonts w:hint="eastAsia"/>
                        <w:szCs w:val="21"/>
                      </w:rPr>
                      <w:t>副总裁</w:t>
                    </w:r>
                  </w:p>
                </w:tc>
                <w:sdt>
                  <w:sdtPr>
                    <w:rPr>
                      <w:rFonts w:ascii="Times New Roman" w:hAnsi="Times New Roman"/>
                      <w:kern w:val="2"/>
                      <w:sz w:val="22"/>
                      <w:szCs w:val="22"/>
                    </w:rPr>
                    <w:alias w:val="公司董事、监事、高级管理人员的变动情形"/>
                    <w:tag w:val="_GBC_258f9ad482344d5fbc1587e6faf0ed7b"/>
                    <w:id w:val="6808379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聘任</w:t>
                        </w:r>
                      </w:p>
                    </w:tc>
                  </w:sdtContent>
                </w:sdt>
                <w:tc>
                  <w:tcPr>
                    <w:tcW w:w="3523" w:type="dxa"/>
                  </w:tcPr>
                  <w:p>
                    <w:pPr>
                      <w:widowControl w:val="0"/>
                      <w:jc w:val="center"/>
                      <w:rPr>
                        <w:szCs w:val="21"/>
                      </w:rPr>
                    </w:pPr>
                    <w:r>
                      <w:t>董事会聘任</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72217469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asciiTheme="minorHAnsi" w:hAnsiTheme="minorHAnsi" w:eastAsiaTheme="minorEastAsia" w:cstheme="minorBidi"/>
                        <w:kern w:val="2"/>
                        <w:szCs w:val="21"/>
                      </w:rPr>
                      <w:t>张琳斌</w:t>
                    </w:r>
                  </w:p>
                </w:tc>
                <w:tc>
                  <w:tcPr>
                    <w:tcW w:w="3522" w:type="dxa"/>
                  </w:tcPr>
                  <w:p>
                    <w:pPr>
                      <w:widowControl w:val="0"/>
                      <w:jc w:val="center"/>
                      <w:rPr>
                        <w:szCs w:val="21"/>
                      </w:rPr>
                    </w:pPr>
                    <w:r>
                      <w:rPr>
                        <w:rFonts w:hint="eastAsia"/>
                        <w:szCs w:val="21"/>
                      </w:rPr>
                      <w:t>财务</w:t>
                    </w:r>
                    <w:r>
                      <w:rPr>
                        <w:szCs w:val="21"/>
                      </w:rPr>
                      <w:t>负责人</w:t>
                    </w:r>
                  </w:p>
                </w:tc>
                <w:sdt>
                  <w:sdtPr>
                    <w:rPr>
                      <w:rFonts w:ascii="Times New Roman" w:hAnsi="Times New Roman"/>
                      <w:kern w:val="2"/>
                      <w:sz w:val="22"/>
                      <w:szCs w:val="22"/>
                    </w:rPr>
                    <w:alias w:val="公司董事、监事、高级管理人员的变动情形"/>
                    <w:tag w:val="_GBC_258f9ad482344d5fbc1587e6faf0ed7b"/>
                    <w:id w:val="-1818642558"/>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聘任</w:t>
                        </w:r>
                      </w:p>
                    </w:tc>
                  </w:sdtContent>
                </w:sdt>
                <w:tc>
                  <w:tcPr>
                    <w:tcW w:w="3523" w:type="dxa"/>
                  </w:tcPr>
                  <w:p>
                    <w:pPr>
                      <w:widowControl w:val="0"/>
                      <w:jc w:val="center"/>
                      <w:rPr>
                        <w:szCs w:val="21"/>
                      </w:rPr>
                    </w:pPr>
                    <w:r>
                      <w:t>董事会聘任</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02097529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伍定军</w:t>
                    </w:r>
                  </w:p>
                </w:tc>
                <w:tc>
                  <w:tcPr>
                    <w:tcW w:w="3522" w:type="dxa"/>
                  </w:tcPr>
                  <w:p>
                    <w:pPr>
                      <w:widowControl w:val="0"/>
                      <w:jc w:val="center"/>
                      <w:rPr>
                        <w:szCs w:val="21"/>
                      </w:rPr>
                    </w:pPr>
                    <w:r>
                      <w:t>董事会秘书</w:t>
                    </w:r>
                  </w:p>
                </w:tc>
                <w:sdt>
                  <w:sdtPr>
                    <w:rPr>
                      <w:rFonts w:ascii="Times New Roman" w:hAnsi="Times New Roman"/>
                      <w:kern w:val="2"/>
                      <w:sz w:val="22"/>
                      <w:szCs w:val="22"/>
                    </w:rPr>
                    <w:alias w:val="公司董事、监事、高级管理人员的变动情形"/>
                    <w:tag w:val="_GBC_258f9ad482344d5fbc1587e6faf0ed7b"/>
                    <w:id w:val="1103147601"/>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聘任</w:t>
                        </w:r>
                      </w:p>
                    </w:tc>
                  </w:sdtContent>
                </w:sdt>
                <w:tc>
                  <w:tcPr>
                    <w:tcW w:w="3523" w:type="dxa"/>
                  </w:tcPr>
                  <w:p>
                    <w:pPr>
                      <w:widowControl w:val="0"/>
                      <w:jc w:val="center"/>
                      <w:rPr>
                        <w:szCs w:val="21"/>
                      </w:rPr>
                    </w:pPr>
                    <w:r>
                      <w:rPr>
                        <w:rFonts w:hint="eastAsia"/>
                      </w:rPr>
                      <w:t>董</w:t>
                    </w:r>
                    <w:r>
                      <w:t>事会聘任</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857644536"/>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牟刚</w:t>
                    </w:r>
                  </w:p>
                </w:tc>
                <w:tc>
                  <w:tcPr>
                    <w:tcW w:w="3522" w:type="dxa"/>
                  </w:tcPr>
                  <w:p>
                    <w:pPr>
                      <w:widowControl w:val="0"/>
                      <w:jc w:val="center"/>
                      <w:rPr>
                        <w:szCs w:val="21"/>
                      </w:rPr>
                    </w:pPr>
                    <w:r>
                      <w:t>原董事长</w:t>
                    </w:r>
                  </w:p>
                </w:tc>
                <w:sdt>
                  <w:sdtPr>
                    <w:rPr>
                      <w:rFonts w:ascii="Times New Roman" w:hAnsi="Times New Roman"/>
                      <w:kern w:val="2"/>
                      <w:sz w:val="22"/>
                      <w:szCs w:val="22"/>
                    </w:rPr>
                    <w:alias w:val="公司董事、监事、高级管理人员的变动情形"/>
                    <w:tag w:val="_GBC_258f9ad482344d5fbc1587e6faf0ed7b"/>
                    <w:id w:val="8735226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76768685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王延辉</w:t>
                    </w:r>
                  </w:p>
                </w:tc>
                <w:tc>
                  <w:tcPr>
                    <w:tcW w:w="3522" w:type="dxa"/>
                  </w:tcPr>
                  <w:p>
                    <w:pPr>
                      <w:widowControl w:val="0"/>
                      <w:jc w:val="center"/>
                      <w:rPr>
                        <w:szCs w:val="21"/>
                      </w:rPr>
                    </w:pPr>
                    <w:r>
                      <w:t>原副董事长</w:t>
                    </w:r>
                  </w:p>
                </w:tc>
                <w:sdt>
                  <w:sdtPr>
                    <w:rPr>
                      <w:rFonts w:ascii="Times New Roman" w:hAnsi="Times New Roman"/>
                      <w:kern w:val="2"/>
                      <w:sz w:val="22"/>
                      <w:szCs w:val="22"/>
                    </w:rPr>
                    <w:alias w:val="公司董事、监事、高级管理人员的变动情形"/>
                    <w:tag w:val="_GBC_258f9ad482344d5fbc1587e6faf0ed7b"/>
                    <w:id w:val="-660933822"/>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22066595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尹明善</w:t>
                    </w:r>
                  </w:p>
                </w:tc>
                <w:tc>
                  <w:tcPr>
                    <w:tcW w:w="3522" w:type="dxa"/>
                  </w:tcPr>
                  <w:p>
                    <w:pPr>
                      <w:widowControl w:val="0"/>
                      <w:jc w:val="center"/>
                      <w:rPr>
                        <w:szCs w:val="21"/>
                      </w:rPr>
                    </w:pPr>
                    <w:r>
                      <w:t>原董事</w:t>
                    </w:r>
                  </w:p>
                </w:tc>
                <w:sdt>
                  <w:sdtPr>
                    <w:rPr>
                      <w:rFonts w:ascii="Times New Roman" w:hAnsi="Times New Roman"/>
                      <w:kern w:val="2"/>
                      <w:sz w:val="22"/>
                      <w:szCs w:val="22"/>
                    </w:rPr>
                    <w:alias w:val="公司董事、监事、高级管理人员的变动情形"/>
                    <w:tag w:val="_GBC_258f9ad482344d5fbc1587e6faf0ed7b"/>
                    <w:id w:val="81761078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kern w:val="2"/>
                      <w:sz w:val="22"/>
                      <w:szCs w:val="22"/>
                    </w:rPr>
                  </w:sdtEndPr>
                  <w:sdtContent>
                    <w:tc>
                      <w:tcPr>
                        <w:tcW w:w="3522" w:type="dxa"/>
                      </w:tcPr>
                      <w:p>
                        <w:pPr>
                          <w:widowControl w:val="0"/>
                          <w:jc w:val="center"/>
                          <w:rPr>
                            <w:szCs w:val="21"/>
                          </w:rPr>
                        </w:pPr>
                        <w:r>
                          <w:rPr>
                            <w:rFonts w:hint="eastAsia"/>
                            <w:kern w:val="2"/>
                            <w:sz w:val="22"/>
                            <w:szCs w:val="22"/>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34169630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陈巧凤</w:t>
                    </w:r>
                  </w:p>
                </w:tc>
                <w:tc>
                  <w:tcPr>
                    <w:tcW w:w="3522" w:type="dxa"/>
                  </w:tcPr>
                  <w:p>
                    <w:pPr>
                      <w:widowControl w:val="0"/>
                      <w:jc w:val="center"/>
                      <w:rPr>
                        <w:szCs w:val="21"/>
                      </w:rPr>
                    </w:pPr>
                    <w:r>
                      <w:t>原董事</w:t>
                    </w:r>
                  </w:p>
                </w:tc>
                <w:sdt>
                  <w:sdtPr>
                    <w:rPr>
                      <w:rFonts w:ascii="Times New Roman" w:hAnsi="Times New Roman"/>
                      <w:szCs w:val="21"/>
                    </w:rPr>
                    <w:alias w:val="公司董事、监事、高级管理人员的变动情形"/>
                    <w:tag w:val="_GBC_258f9ad482344d5fbc1587e6faf0ed7b"/>
                    <w:id w:val="11275891"/>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18566101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尹喜地</w:t>
                    </w:r>
                  </w:p>
                </w:tc>
                <w:tc>
                  <w:tcPr>
                    <w:tcW w:w="3522" w:type="dxa"/>
                  </w:tcPr>
                  <w:p>
                    <w:pPr>
                      <w:widowControl w:val="0"/>
                      <w:jc w:val="center"/>
                      <w:rPr>
                        <w:szCs w:val="21"/>
                      </w:rPr>
                    </w:pPr>
                    <w:r>
                      <w:t>原董事</w:t>
                    </w:r>
                  </w:p>
                </w:tc>
                <w:sdt>
                  <w:sdtPr>
                    <w:rPr>
                      <w:rFonts w:ascii="Times New Roman" w:hAnsi="Times New Roman"/>
                      <w:szCs w:val="21"/>
                    </w:rPr>
                    <w:alias w:val="公司董事、监事、高级管理人员的变动情形"/>
                    <w:tag w:val="_GBC_258f9ad482344d5fbc1587e6faf0ed7b"/>
                    <w:id w:val="-1821566050"/>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96240693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尹索微</w:t>
                    </w:r>
                  </w:p>
                </w:tc>
                <w:tc>
                  <w:tcPr>
                    <w:tcW w:w="3522" w:type="dxa"/>
                  </w:tcPr>
                  <w:p>
                    <w:pPr>
                      <w:widowControl w:val="0"/>
                      <w:jc w:val="center"/>
                      <w:rPr>
                        <w:szCs w:val="21"/>
                      </w:rPr>
                    </w:pPr>
                    <w:r>
                      <w:t>原董事</w:t>
                    </w:r>
                  </w:p>
                </w:tc>
                <w:sdt>
                  <w:sdtPr>
                    <w:rPr>
                      <w:rFonts w:ascii="Times New Roman" w:hAnsi="Times New Roman"/>
                      <w:szCs w:val="21"/>
                    </w:rPr>
                    <w:alias w:val="公司董事、监事、高级管理人员的变动情形"/>
                    <w:tag w:val="_GBC_258f9ad482344d5fbc1587e6faf0ed7b"/>
                    <w:id w:val="-1738161820"/>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16158472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陈雪松</w:t>
                    </w:r>
                  </w:p>
                </w:tc>
                <w:tc>
                  <w:tcPr>
                    <w:tcW w:w="3522" w:type="dxa"/>
                  </w:tcPr>
                  <w:p>
                    <w:pPr>
                      <w:widowControl w:val="0"/>
                      <w:jc w:val="center"/>
                      <w:rPr>
                        <w:szCs w:val="21"/>
                      </w:rPr>
                    </w:pPr>
                    <w:r>
                      <w:t>原董事</w:t>
                    </w:r>
                  </w:p>
                </w:tc>
                <w:sdt>
                  <w:sdtPr>
                    <w:rPr>
                      <w:rFonts w:ascii="Times New Roman" w:hAnsi="Times New Roman"/>
                      <w:szCs w:val="21"/>
                    </w:rPr>
                    <w:alias w:val="公司董事、监事、高级管理人员的变动情形"/>
                    <w:tag w:val="_GBC_258f9ad482344d5fbc1587e6faf0ed7b"/>
                    <w:id w:val="-465047187"/>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36853580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谭冲</w:t>
                    </w:r>
                  </w:p>
                </w:tc>
                <w:tc>
                  <w:tcPr>
                    <w:tcW w:w="3522" w:type="dxa"/>
                  </w:tcPr>
                  <w:p>
                    <w:pPr>
                      <w:widowControl w:val="0"/>
                      <w:jc w:val="center"/>
                      <w:rPr>
                        <w:szCs w:val="21"/>
                      </w:rPr>
                    </w:pPr>
                    <w:r>
                      <w:t>原董事</w:t>
                    </w:r>
                  </w:p>
                </w:tc>
                <w:sdt>
                  <w:sdtPr>
                    <w:rPr>
                      <w:rFonts w:ascii="Times New Roman" w:hAnsi="Times New Roman"/>
                      <w:szCs w:val="21"/>
                    </w:rPr>
                    <w:alias w:val="公司董事、监事、高级管理人员的变动情形"/>
                    <w:tag w:val="_GBC_258f9ad482344d5fbc1587e6faf0ed7b"/>
                    <w:id w:val="2088655586"/>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31661980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汤晓东</w:t>
                    </w:r>
                  </w:p>
                </w:tc>
                <w:tc>
                  <w:tcPr>
                    <w:tcW w:w="3522" w:type="dxa"/>
                  </w:tcPr>
                  <w:p>
                    <w:pPr>
                      <w:widowControl w:val="0"/>
                      <w:jc w:val="center"/>
                      <w:rPr>
                        <w:szCs w:val="21"/>
                      </w:rPr>
                    </w:pPr>
                    <w:r>
                      <w:t>原董事</w:t>
                    </w:r>
                  </w:p>
                </w:tc>
                <w:sdt>
                  <w:sdtPr>
                    <w:rPr>
                      <w:rFonts w:ascii="Times New Roman" w:hAnsi="Times New Roman"/>
                      <w:szCs w:val="21"/>
                    </w:rPr>
                    <w:alias w:val="公司董事、监事、高级管理人员的变动情形"/>
                    <w:tag w:val="_GBC_258f9ad482344d5fbc1587e6faf0ed7b"/>
                    <w:id w:val="1569611283"/>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73003328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徐世伟</w:t>
                    </w:r>
                  </w:p>
                </w:tc>
                <w:tc>
                  <w:tcPr>
                    <w:tcW w:w="3522" w:type="dxa"/>
                  </w:tcPr>
                  <w:p>
                    <w:pPr>
                      <w:widowControl w:val="0"/>
                      <w:jc w:val="center"/>
                      <w:rPr>
                        <w:szCs w:val="21"/>
                      </w:rPr>
                    </w:pPr>
                    <w:r>
                      <w:t>原独立董事</w:t>
                    </w:r>
                  </w:p>
                </w:tc>
                <w:sdt>
                  <w:sdtPr>
                    <w:rPr>
                      <w:rFonts w:ascii="Times New Roman" w:hAnsi="Times New Roman"/>
                      <w:szCs w:val="21"/>
                    </w:rPr>
                    <w:alias w:val="公司董事、监事、高级管理人员的变动情形"/>
                    <w:tag w:val="_GBC_258f9ad482344d5fbc1587e6faf0ed7b"/>
                    <w:id w:val="655413878"/>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94018874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陈煦江</w:t>
                    </w:r>
                  </w:p>
                </w:tc>
                <w:tc>
                  <w:tcPr>
                    <w:tcW w:w="3522" w:type="dxa"/>
                  </w:tcPr>
                  <w:p>
                    <w:pPr>
                      <w:widowControl w:val="0"/>
                      <w:jc w:val="center"/>
                      <w:rPr>
                        <w:szCs w:val="21"/>
                      </w:rPr>
                    </w:pPr>
                    <w:r>
                      <w:t>原独立董事</w:t>
                    </w:r>
                  </w:p>
                </w:tc>
                <w:sdt>
                  <w:sdtPr>
                    <w:rPr>
                      <w:rFonts w:ascii="Times New Roman" w:hAnsi="Times New Roman"/>
                      <w:szCs w:val="21"/>
                    </w:rPr>
                    <w:alias w:val="公司董事、监事、高级管理人员的变动情形"/>
                    <w:tag w:val="_GBC_258f9ad482344d5fbc1587e6faf0ed7b"/>
                    <w:id w:val="-38587925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56321455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谢非</w:t>
                    </w:r>
                  </w:p>
                </w:tc>
                <w:tc>
                  <w:tcPr>
                    <w:tcW w:w="3522" w:type="dxa"/>
                  </w:tcPr>
                  <w:p>
                    <w:pPr>
                      <w:widowControl w:val="0"/>
                      <w:jc w:val="center"/>
                      <w:rPr>
                        <w:szCs w:val="21"/>
                      </w:rPr>
                    </w:pPr>
                    <w:r>
                      <w:t>原独立董事</w:t>
                    </w:r>
                  </w:p>
                </w:tc>
                <w:sdt>
                  <w:sdtPr>
                    <w:rPr>
                      <w:rFonts w:ascii="Times New Roman" w:hAnsi="Times New Roman"/>
                      <w:szCs w:val="21"/>
                    </w:rPr>
                    <w:alias w:val="公司董事、监事、高级管理人员的变动情形"/>
                    <w:tag w:val="_GBC_258f9ad482344d5fbc1587e6faf0ed7b"/>
                    <w:id w:val="-843784288"/>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39408824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李明</w:t>
                    </w:r>
                  </w:p>
                </w:tc>
                <w:tc>
                  <w:tcPr>
                    <w:tcW w:w="3522" w:type="dxa"/>
                  </w:tcPr>
                  <w:p>
                    <w:pPr>
                      <w:widowControl w:val="0"/>
                      <w:jc w:val="center"/>
                      <w:rPr>
                        <w:szCs w:val="21"/>
                      </w:rPr>
                    </w:pPr>
                    <w:r>
                      <w:t>原独立董事</w:t>
                    </w:r>
                  </w:p>
                </w:tc>
                <w:sdt>
                  <w:sdtPr>
                    <w:rPr>
                      <w:rFonts w:ascii="Times New Roman" w:hAnsi="Times New Roman"/>
                      <w:szCs w:val="21"/>
                    </w:rPr>
                    <w:alias w:val="公司董事、监事、高级管理人员的变动情形"/>
                    <w:tag w:val="_GBC_258f9ad482344d5fbc1587e6faf0ed7b"/>
                    <w:id w:val="-225831264"/>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38139758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刘颖</w:t>
                    </w:r>
                  </w:p>
                </w:tc>
                <w:tc>
                  <w:tcPr>
                    <w:tcW w:w="3522" w:type="dxa"/>
                  </w:tcPr>
                  <w:p>
                    <w:pPr>
                      <w:widowControl w:val="0"/>
                      <w:jc w:val="center"/>
                      <w:rPr>
                        <w:szCs w:val="21"/>
                      </w:rPr>
                    </w:pPr>
                    <w:r>
                      <w:t>原独立董事</w:t>
                    </w:r>
                  </w:p>
                </w:tc>
                <w:sdt>
                  <w:sdtPr>
                    <w:rPr>
                      <w:rFonts w:ascii="Times New Roman" w:hAnsi="Times New Roman"/>
                      <w:szCs w:val="21"/>
                    </w:rPr>
                    <w:alias w:val="公司董事、监事、高级管理人员的变动情形"/>
                    <w:tag w:val="_GBC_258f9ad482344d5fbc1587e6faf0ed7b"/>
                    <w:id w:val="491298710"/>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70729998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庹永贵</w:t>
                    </w:r>
                  </w:p>
                </w:tc>
                <w:tc>
                  <w:tcPr>
                    <w:tcW w:w="3522" w:type="dxa"/>
                  </w:tcPr>
                  <w:p>
                    <w:pPr>
                      <w:widowControl w:val="0"/>
                      <w:jc w:val="center"/>
                      <w:rPr>
                        <w:szCs w:val="21"/>
                      </w:rPr>
                    </w:pPr>
                    <w:r>
                      <w:t>原监事会主席</w:t>
                    </w:r>
                  </w:p>
                </w:tc>
                <w:sdt>
                  <w:sdtPr>
                    <w:rPr>
                      <w:rFonts w:ascii="Times New Roman" w:hAnsi="Times New Roman"/>
                      <w:szCs w:val="21"/>
                    </w:rPr>
                    <w:alias w:val="公司董事、监事、高级管理人员的变动情形"/>
                    <w:tag w:val="_GBC_258f9ad482344d5fbc1587e6faf0ed7b"/>
                    <w:id w:val="160923236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33781158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魏琨</w:t>
                    </w:r>
                  </w:p>
                </w:tc>
                <w:tc>
                  <w:tcPr>
                    <w:tcW w:w="3522" w:type="dxa"/>
                  </w:tcPr>
                  <w:p>
                    <w:pPr>
                      <w:widowControl w:val="0"/>
                      <w:jc w:val="center"/>
                      <w:rPr>
                        <w:szCs w:val="21"/>
                      </w:rPr>
                    </w:pPr>
                    <w:r>
                      <w:t>原监事</w:t>
                    </w:r>
                  </w:p>
                </w:tc>
                <w:sdt>
                  <w:sdtPr>
                    <w:rPr>
                      <w:rFonts w:ascii="Times New Roman" w:hAnsi="Times New Roman"/>
                      <w:szCs w:val="21"/>
                    </w:rPr>
                    <w:alias w:val="公司董事、监事、高级管理人员的变动情形"/>
                    <w:tag w:val="_GBC_258f9ad482344d5fbc1587e6faf0ed7b"/>
                    <w:id w:val="787003998"/>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204394638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尹安妮</w:t>
                    </w:r>
                  </w:p>
                </w:tc>
                <w:tc>
                  <w:tcPr>
                    <w:tcW w:w="3522" w:type="dxa"/>
                  </w:tcPr>
                  <w:p>
                    <w:pPr>
                      <w:widowControl w:val="0"/>
                      <w:jc w:val="center"/>
                      <w:rPr>
                        <w:szCs w:val="21"/>
                      </w:rPr>
                    </w:pPr>
                    <w:r>
                      <w:t>原监事</w:t>
                    </w:r>
                  </w:p>
                </w:tc>
                <w:sdt>
                  <w:sdtPr>
                    <w:rPr>
                      <w:rFonts w:ascii="Times New Roman" w:hAnsi="Times New Roman"/>
                      <w:szCs w:val="21"/>
                    </w:rPr>
                    <w:alias w:val="公司董事、监事、高级管理人员的变动情形"/>
                    <w:tag w:val="_GBC_258f9ad482344d5fbc1587e6faf0ed7b"/>
                    <w:id w:val="1870725382"/>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92202697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宋浩蓉</w:t>
                    </w:r>
                  </w:p>
                </w:tc>
                <w:tc>
                  <w:tcPr>
                    <w:tcW w:w="3522" w:type="dxa"/>
                  </w:tcPr>
                  <w:p>
                    <w:pPr>
                      <w:widowControl w:val="0"/>
                      <w:jc w:val="center"/>
                      <w:rPr>
                        <w:szCs w:val="21"/>
                      </w:rPr>
                    </w:pPr>
                    <w:r>
                      <w:t>原监事</w:t>
                    </w:r>
                  </w:p>
                </w:tc>
                <w:sdt>
                  <w:sdtPr>
                    <w:rPr>
                      <w:rFonts w:ascii="Times New Roman" w:hAnsi="Times New Roman"/>
                      <w:szCs w:val="21"/>
                    </w:rPr>
                    <w:alias w:val="公司董事、监事、高级管理人员的变动情形"/>
                    <w:tag w:val="_GBC_258f9ad482344d5fbc1587e6faf0ed7b"/>
                    <w:id w:val="-12379341"/>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rPr>
                        <w:rFonts w:hint="eastAsia"/>
                        <w:szCs w:val="21"/>
                      </w:rPr>
                      <w:t>任期届满</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29742790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rPr>
                        <w:rFonts w:hint="eastAsia"/>
                      </w:rPr>
                      <w:t>叶长</w:t>
                    </w:r>
                    <w:r>
                      <w:t>春</w:t>
                    </w:r>
                  </w:p>
                </w:tc>
                <w:tc>
                  <w:tcPr>
                    <w:tcW w:w="3522" w:type="dxa"/>
                  </w:tcPr>
                  <w:p>
                    <w:pPr>
                      <w:widowControl w:val="0"/>
                      <w:jc w:val="center"/>
                      <w:rPr>
                        <w:szCs w:val="21"/>
                      </w:rPr>
                    </w:pPr>
                    <w:r>
                      <w:t>原</w:t>
                    </w:r>
                    <w:r>
                      <w:rPr>
                        <w:rFonts w:hint="eastAsia"/>
                      </w:rPr>
                      <w:t>财务</w:t>
                    </w:r>
                    <w:r>
                      <w:t>负责人</w:t>
                    </w:r>
                  </w:p>
                </w:tc>
                <w:sdt>
                  <w:sdtPr>
                    <w:rPr>
                      <w:rFonts w:ascii="Times New Roman" w:hAnsi="Times New Roman"/>
                      <w:szCs w:val="21"/>
                    </w:rPr>
                    <w:alias w:val="公司董事、监事、高级管理人员的变动情形"/>
                    <w:tag w:val="_GBC_258f9ad482344d5fbc1587e6faf0ed7b"/>
                    <w:id w:val="-1993632989"/>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szCs w:val="21"/>
                          </w:rPr>
                          <w:t>解聘</w:t>
                        </w:r>
                      </w:p>
                    </w:tc>
                  </w:sdtContent>
                </w:sdt>
                <w:tc>
                  <w:tcPr>
                    <w:tcW w:w="3523" w:type="dxa"/>
                  </w:tcPr>
                  <w:p>
                    <w:pPr>
                      <w:widowControl w:val="0"/>
                      <w:jc w:val="center"/>
                      <w:rPr>
                        <w:szCs w:val="21"/>
                      </w:rPr>
                    </w:pPr>
                    <w:r>
                      <w:rPr>
                        <w:rFonts w:hint="eastAsia"/>
                        <w:szCs w:val="21"/>
                      </w:rPr>
                      <w:t>解聘</w:t>
                    </w:r>
                  </w:p>
                </w:tc>
              </w:tr>
            </w:sdtContent>
          </w:sdt>
          <w:sdt>
            <w:sdtPr>
              <w:rPr>
                <w:rFonts w:asciiTheme="minorHAnsi" w:hAnsiTheme="minorHAnsi" w:eastAsiaTheme="minorEastAsia" w:cstheme="minorBidi"/>
                <w:kern w:val="2"/>
                <w:szCs w:val="21"/>
              </w:rPr>
              <w:alias w:val="在报告期内公司董事、监事、高级管理人员变动情况"/>
              <w:tag w:val="_TUP_a555fc40054b4d6a94d6a1901fa38c91"/>
              <w:id w:val="173166288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3522" w:type="dxa"/>
                  </w:tcPr>
                  <w:p>
                    <w:pPr>
                      <w:widowControl w:val="0"/>
                      <w:jc w:val="center"/>
                      <w:rPr>
                        <w:szCs w:val="21"/>
                      </w:rPr>
                    </w:pPr>
                    <w:r>
                      <w:t>郭剑锋</w:t>
                    </w:r>
                  </w:p>
                </w:tc>
                <w:tc>
                  <w:tcPr>
                    <w:tcW w:w="3522" w:type="dxa"/>
                  </w:tcPr>
                  <w:p>
                    <w:pPr>
                      <w:widowControl w:val="0"/>
                      <w:jc w:val="center"/>
                      <w:rPr>
                        <w:szCs w:val="21"/>
                      </w:rPr>
                    </w:pPr>
                    <w:r>
                      <w:t>原董事会秘书</w:t>
                    </w:r>
                  </w:p>
                </w:tc>
                <w:sdt>
                  <w:sdtPr>
                    <w:rPr>
                      <w:rFonts w:ascii="Times New Roman" w:hAnsi="Times New Roman"/>
                      <w:szCs w:val="21"/>
                    </w:rPr>
                    <w:alias w:val="公司董事、监事、高级管理人员的变动情形"/>
                    <w:tag w:val="_GBC_258f9ad482344d5fbc1587e6faf0ed7b"/>
                    <w:id w:val="-203792383"/>
                    <w:lock w:val="sdtLocked"/>
                    <w:comboBox>
                      <w:listItem w:displayText="选举" w:value="选举"/>
                      <w:listItem w:displayText="离任" w:value="离任"/>
                      <w:listItem w:displayText="聘任" w:value="聘任"/>
                      <w:listItem w:displayText="解聘" w:value="解聘"/>
                    </w:comboBox>
                  </w:sdtPr>
                  <w:sdtEndPr>
                    <w:rPr>
                      <w:rFonts w:ascii="Times New Roman" w:hAnsi="Times New Roman"/>
                      <w:szCs w:val="21"/>
                    </w:rPr>
                  </w:sdtEndPr>
                  <w:sdtContent>
                    <w:tc>
                      <w:tcPr>
                        <w:tcW w:w="3522" w:type="dxa"/>
                      </w:tcPr>
                      <w:p>
                        <w:pPr>
                          <w:widowControl w:val="0"/>
                          <w:jc w:val="center"/>
                          <w:rPr>
                            <w:szCs w:val="21"/>
                          </w:rPr>
                        </w:pPr>
                        <w:r>
                          <w:rPr>
                            <w:rFonts w:hint="eastAsia"/>
                            <w:szCs w:val="21"/>
                          </w:rPr>
                          <w:t>离任</w:t>
                        </w:r>
                      </w:p>
                    </w:tc>
                  </w:sdtContent>
                </w:sdt>
                <w:tc>
                  <w:tcPr>
                    <w:tcW w:w="3523" w:type="dxa"/>
                  </w:tcPr>
                  <w:p>
                    <w:pPr>
                      <w:widowControl w:val="0"/>
                      <w:jc w:val="center"/>
                      <w:rPr>
                        <w:szCs w:val="21"/>
                      </w:rPr>
                    </w:pPr>
                    <w:r>
                      <w:rPr>
                        <w:rFonts w:hint="eastAsia"/>
                        <w:szCs w:val="21"/>
                      </w:rPr>
                      <w:t>任期届满</w:t>
                    </w:r>
                  </w:p>
                </w:tc>
              </w:tr>
            </w:sdtContent>
          </w:sdt>
        </w:tbl>
        <w:p/>
      </w:sdtContent>
    </w:sdt>
    <w:sdt>
      <w:sdtPr>
        <w:rPr>
          <w:rFonts w:hint="eastAsia" w:ascii="宋体" w:hAnsi="宋体" w:cs="宋体"/>
          <w:b w:val="0"/>
          <w:bCs w:val="0"/>
          <w:kern w:val="0"/>
          <w:szCs w:val="24"/>
        </w:rPr>
        <w:alias w:val="模块:近三年受证券监管机构处罚的情况说明"/>
        <w:tag w:val="_SEC_875293df28e7452fbf15edc09d4ebaa5"/>
        <w:id w:val="-1339236282"/>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17"/>
            </w:numPr>
            <w:spacing w:before="0" w:after="0" w:line="360" w:lineRule="auto"/>
            <w:ind w:left="0" w:firstLine="0"/>
          </w:pPr>
          <w:r>
            <w:rPr>
              <w:rFonts w:hint="eastAsia"/>
            </w:rPr>
            <w:t>近三年受证券监管机构处罚的情况说明</w:t>
          </w:r>
        </w:p>
        <w:sdt>
          <w:sdtPr>
            <w:rPr>
              <w:szCs w:val="21"/>
            </w:rPr>
            <w:alias w:val="是否适用：近三年受证券监管机构处罚的情况说明[双击切换]"/>
            <w:tag w:val="_GBC_7955674a80d94ddc9e00915de353286e"/>
            <w:id w:val="114411781"/>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近三年受证券监管机构处罚的情况说明"/>
            <w:tag w:val="_GBC_423efec6eaae4d95bd4e6300d5a1e05e"/>
            <w:id w:val="579413855"/>
            <w:lock w:val="sdtLocked"/>
          </w:sdtPr>
          <w:sdtEndPr>
            <w:rPr>
              <w:rFonts w:hint="eastAsia"/>
            </w:rPr>
          </w:sdtEndPr>
          <w:sdtContent>
            <w:p>
              <w:pPr>
                <w:spacing w:line="360" w:lineRule="auto"/>
                <w:ind w:firstLine="420" w:firstLineChars="200"/>
                <w:rPr>
                  <w:szCs w:val="21"/>
                </w:rPr>
              </w:pPr>
              <w:r>
                <w:rPr>
                  <w:rFonts w:hint="eastAsia"/>
                </w:rPr>
                <w:t>公司原控股股东力帆控股及原实际控制人尹明善、陈巧凤、尹喜地、尹索微分别于2020年10月收到中国证监会下发的《调查通知书》，因力帆控股、尹明善、陈巧凤、尹喜地、尹索微涉嫌信息披露违法违规，中国证监会决定对其立案调查。2021年4月收到中国证监会重庆监管局下发的《行政监管措施决定书》决定对尹明善、陈巧凤、尹喜地、尹索微、汤晓东采取出具警示函的行政监管措施；并收到中国证监会下发的《结案告知书》，本案根据有关规定符合结案条件，决定结案。详见2021年4月30日披露的《力帆科技（集团）股份有限公司关于原控股股东及原实际控制人收到中国证券监督管理委员会&lt;行政监管措施决定书&gt;及&lt;结案告知书&gt;的公告》（公告编号：临2021-043）。</w:t>
              </w:r>
            </w:p>
            <w:p>
              <w:pPr>
                <w:spacing w:line="360" w:lineRule="auto"/>
                <w:ind w:firstLine="315" w:firstLineChars="150"/>
              </w:pPr>
              <w:r>
                <w:rPr>
                  <w:rFonts w:hint="eastAsia"/>
                </w:rPr>
                <w:t>上述事项发现后公司原控股股东及原实际控制人立即进行整改并已完成，且未对公司造成实际损失。公司重整完成后，公司控股股东、实际控制人已发生变更，并于2021年1月22日选举了新一届董事会、监事会成员。</w:t>
              </w:r>
            </w:p>
          </w:sdtContent>
        </w:sdt>
      </w:sdtContent>
    </w:sdt>
    <w:sdt>
      <w:sdtPr>
        <w:rPr>
          <w:rFonts w:hint="eastAsia" w:ascii="宋体" w:hAnsi="宋体" w:cs="宋体"/>
          <w:b w:val="0"/>
          <w:bCs w:val="0"/>
          <w:kern w:val="0"/>
          <w:sz w:val="24"/>
          <w:szCs w:val="22"/>
        </w:rPr>
        <w:alias w:val="模块:董事、监事、高级管理人员情况其他说明"/>
        <w:tag w:val="_SEC_7c52a48d2cd64b13b7d6772842750ace"/>
        <w:id w:val="-2027933967"/>
        <w:lock w:val="sdtLocked"/>
        <w:placeholder>
          <w:docPart w:val="GBC22222222222222222222222222222"/>
        </w:placeholder>
      </w:sdtPr>
      <w:sdtEndPr>
        <w:rPr>
          <w:rFonts w:hint="default" w:ascii="宋体" w:hAnsi="宋体" w:cs="宋体"/>
          <w:b w:val="0"/>
          <w:bCs w:val="0"/>
          <w:kern w:val="0"/>
          <w:sz w:val="21"/>
          <w:szCs w:val="21"/>
        </w:rPr>
      </w:sdtEndPr>
      <w:sdtContent>
        <w:p>
          <w:pPr>
            <w:pStyle w:val="4"/>
            <w:numPr>
              <w:ilvl w:val="0"/>
              <w:numId w:val="17"/>
            </w:numPr>
            <w:spacing w:before="0" w:after="0" w:line="360" w:lineRule="auto"/>
            <w:ind w:left="0" w:firstLine="0"/>
          </w:pPr>
          <w:bookmarkStart w:id="48" w:name="_Hlk89182759"/>
          <w:r>
            <w:rPr>
              <w:rFonts w:hint="eastAsia"/>
            </w:rPr>
            <w:t>其他</w:t>
          </w:r>
        </w:p>
        <w:sdt>
          <w:sdtPr>
            <w:rPr>
              <w:rFonts w:hint="eastAsia"/>
              <w:bCs/>
              <w:szCs w:val="21"/>
            </w:rPr>
            <w:alias w:val="是否适用：其他董事、监事、高级管理人员情况说明[双击切换]"/>
            <w:tag w:val="_GBC_6698e1cba7354d29b0fcdbb38e7287d6"/>
            <w:id w:val="960843837"/>
            <w:lock w:val="sdtLocked"/>
            <w:placeholder>
              <w:docPart w:val="GBC22222222222222222222222222222"/>
            </w:placeholder>
          </w:sdtPr>
          <w:sdtEndPr>
            <w:rPr>
              <w:rFonts w:hint="eastAsia"/>
              <w:bCs/>
              <w:szCs w:val="21"/>
            </w:rPr>
          </w:sdtEndPr>
          <w:sdtContent>
            <w:p>
              <w:pPr>
                <w:spacing w:line="360" w:lineRule="auto"/>
                <w:rPr>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sdtContent>
    </w:sdt>
    <w:bookmarkEnd w:id="48"/>
    <w:sdt>
      <w:sdtPr>
        <w:rPr>
          <w:rFonts w:ascii="宋体" w:hAnsi="宋体" w:cs="宋体"/>
          <w:b w:val="0"/>
          <w:bCs w:val="0"/>
          <w:kern w:val="0"/>
          <w:szCs w:val="24"/>
        </w:rPr>
        <w:alias w:val="模块:报告期内召开的董事会有关情况会议届次召开日期会议决议 ..."/>
        <w:tag w:val="_SEC_f26a891bf12b4933b3f1bfbbb495b260"/>
        <w:id w:val="1321549089"/>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6"/>
            </w:numPr>
            <w:spacing w:before="0" w:after="0" w:line="360" w:lineRule="auto"/>
            <w:ind w:left="450" w:hanging="450"/>
          </w:pPr>
          <w:bookmarkStart w:id="49" w:name="_Hlk89182953"/>
          <w:r>
            <w:t>报告期内召开的董事会有关情况</w:t>
          </w:r>
        </w:p>
        <w:tbl>
          <w:tblPr>
            <w:tblStyle w:val="108"/>
            <w:tblW w:w="53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9"/>
            <w:gridCol w:w="1925"/>
            <w:gridCol w:w="5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rPr>
                  <w:szCs w:val="21"/>
                </w:rPr>
                <w:tag w:val="_PLD_419815d8d7794e1c9b7ce587c2f61ac6"/>
                <w:id w:val="520368166"/>
                <w:lock w:val="sdtLocked"/>
              </w:sdtPr>
              <w:sdtEndPr>
                <w:rPr>
                  <w:szCs w:val="21"/>
                </w:rPr>
              </w:sdtEndPr>
              <w:sdtContent>
                <w:tc>
                  <w:tcPr>
                    <w:tcW w:w="972" w:type="pct"/>
                    <w:vAlign w:val="center"/>
                  </w:tcPr>
                  <w:p>
                    <w:pPr>
                      <w:jc w:val="center"/>
                      <w:rPr>
                        <w:szCs w:val="21"/>
                      </w:rPr>
                    </w:pPr>
                    <w:r>
                      <w:rPr>
                        <w:szCs w:val="21"/>
                      </w:rPr>
                      <w:t>会议届次</w:t>
                    </w:r>
                  </w:p>
                </w:tc>
              </w:sdtContent>
            </w:sdt>
            <w:sdt>
              <w:sdtPr>
                <w:rPr>
                  <w:szCs w:val="21"/>
                </w:rPr>
                <w:tag w:val="_PLD_ab185594a631433a8b0a8263eb8e554f"/>
                <w:id w:val="-2063401899"/>
                <w:lock w:val="sdtLocked"/>
              </w:sdtPr>
              <w:sdtEndPr>
                <w:rPr>
                  <w:szCs w:val="21"/>
                </w:rPr>
              </w:sdtEndPr>
              <w:sdtContent>
                <w:tc>
                  <w:tcPr>
                    <w:tcW w:w="1001" w:type="pct"/>
                    <w:vAlign w:val="center"/>
                  </w:tcPr>
                  <w:p>
                    <w:pPr>
                      <w:jc w:val="center"/>
                      <w:rPr>
                        <w:szCs w:val="21"/>
                      </w:rPr>
                    </w:pPr>
                    <w:r>
                      <w:rPr>
                        <w:szCs w:val="21"/>
                      </w:rPr>
                      <w:t>召开日期</w:t>
                    </w:r>
                  </w:p>
                </w:tc>
              </w:sdtContent>
            </w:sdt>
            <w:sdt>
              <w:sdtPr>
                <w:rPr>
                  <w:rFonts w:hint="eastAsia"/>
                  <w:szCs w:val="21"/>
                </w:rPr>
                <w:tag w:val="_PLD_12539db1b22e4f4592d7456feb9f22a6"/>
                <w:id w:val="-1320645815"/>
                <w:lock w:val="sdtLocked"/>
              </w:sdtPr>
              <w:sdtEndPr>
                <w:rPr>
                  <w:rFonts w:hint="eastAsia"/>
                  <w:szCs w:val="21"/>
                </w:rPr>
              </w:sdtEndPr>
              <w:sdtContent>
                <w:tc>
                  <w:tcPr>
                    <w:tcW w:w="3027" w:type="pct"/>
                    <w:vAlign w:val="center"/>
                  </w:tcPr>
                  <w:p>
                    <w:pPr>
                      <w:jc w:val="center"/>
                      <w:rPr>
                        <w:szCs w:val="21"/>
                      </w:rPr>
                    </w:pPr>
                    <w:r>
                      <w:rPr>
                        <w:rFonts w:hint="eastAsia"/>
                        <w:szCs w:val="21"/>
                      </w:rPr>
                      <w:t>会议决议</w:t>
                    </w:r>
                  </w:p>
                </w:tc>
              </w:sdtContent>
            </w:sdt>
          </w:tr>
          <w:sdt>
            <w:sdtPr>
              <w:rPr>
                <w:szCs w:val="21"/>
              </w:rPr>
              <w:alias w:val="报告期内召开的董事会有关情况明细"/>
              <w:tag w:val="_TUP_d2300a8afd5d45bcb80715a90b1a6cbc"/>
              <w:id w:val="-52316546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第四届董事会第三十六次会议</w:t>
                    </w:r>
                  </w:p>
                </w:tc>
                <w:tc>
                  <w:tcPr>
                    <w:tcW w:w="1001" w:type="pct"/>
                    <w:vAlign w:val="center"/>
                  </w:tcPr>
                  <w:p>
                    <w:pPr>
                      <w:tabs>
                        <w:tab w:val="left" w:pos="485"/>
                      </w:tabs>
                      <w:jc w:val="center"/>
                      <w:rPr>
                        <w:szCs w:val="21"/>
                      </w:rPr>
                    </w:pPr>
                    <w:r>
                      <w:rPr>
                        <w:szCs w:val="21"/>
                      </w:rPr>
                      <w:t>2021</w:t>
                    </w:r>
                    <w:r>
                      <w:rPr>
                        <w:rFonts w:hint="eastAsia"/>
                        <w:szCs w:val="21"/>
                      </w:rPr>
                      <w:t>年</w:t>
                    </w:r>
                    <w:r>
                      <w:rPr>
                        <w:szCs w:val="21"/>
                      </w:rPr>
                      <w:t>1</w:t>
                    </w:r>
                    <w:r>
                      <w:rPr>
                        <w:rFonts w:hint="eastAsia"/>
                        <w:szCs w:val="21"/>
                      </w:rPr>
                      <w:t>月</w:t>
                    </w:r>
                    <w:r>
                      <w:rPr>
                        <w:szCs w:val="21"/>
                      </w:rPr>
                      <w:t>6</w:t>
                    </w:r>
                    <w:r>
                      <w:rPr>
                        <w:rFonts w:hint="eastAsia"/>
                        <w:szCs w:val="21"/>
                      </w:rPr>
                      <w:t>日</w:t>
                    </w:r>
                  </w:p>
                </w:tc>
                <w:tc>
                  <w:tcPr>
                    <w:tcW w:w="3027" w:type="pct"/>
                    <w:vAlign w:val="center"/>
                  </w:tcPr>
                  <w:p>
                    <w:pPr>
                      <w:jc w:val="both"/>
                      <w:rPr>
                        <w:szCs w:val="21"/>
                      </w:rPr>
                    </w:pPr>
                    <w:r>
                      <w:rPr>
                        <w:rFonts w:hint="eastAsia"/>
                      </w:rPr>
                      <w:t>1.审议通过《关于修改&lt;公司章程&gt;的议案》</w:t>
                    </w:r>
                  </w:p>
                  <w:p>
                    <w:pPr>
                      <w:jc w:val="both"/>
                    </w:pPr>
                    <w:r>
                      <w:rPr>
                        <w:rFonts w:hint="eastAsia"/>
                      </w:rPr>
                      <w:t>2.审议通过《关于修改&lt;股东大会议事规则&gt;的议案》</w:t>
                    </w:r>
                  </w:p>
                  <w:p>
                    <w:pPr>
                      <w:jc w:val="both"/>
                    </w:pPr>
                    <w:r>
                      <w:rPr>
                        <w:rFonts w:hint="eastAsia"/>
                      </w:rPr>
                      <w:t>3.审议通过《关于修改&lt;董事会议事规则&gt;的议案》</w:t>
                    </w:r>
                  </w:p>
                  <w:p>
                    <w:pPr>
                      <w:jc w:val="both"/>
                    </w:pPr>
                    <w:r>
                      <w:rPr>
                        <w:rFonts w:hint="eastAsia"/>
                      </w:rPr>
                      <w:t>4.审议通过《关于力帆实业（集团）股份有限公司董事会非独立董事换届选举的议案》</w:t>
                    </w:r>
                  </w:p>
                  <w:p>
                    <w:pPr>
                      <w:jc w:val="both"/>
                    </w:pPr>
                    <w:r>
                      <w:rPr>
                        <w:rFonts w:hint="eastAsia"/>
                      </w:rPr>
                      <w:t>5.审议通过《关于力帆实业（集团）股份有限公司董事会独立董事换届选举的议案》</w:t>
                    </w:r>
                  </w:p>
                  <w:p>
                    <w:pPr>
                      <w:jc w:val="both"/>
                    </w:pPr>
                    <w:r>
                      <w:rPr>
                        <w:rFonts w:hint="eastAsia"/>
                      </w:rPr>
                      <w:t>6.审议通过《关于召开力帆实业（集团）股份有限公司2021年第一次临时股东大会的议案》</w:t>
                    </w:r>
                  </w:p>
                </w:tc>
              </w:tr>
            </w:sdtContent>
          </w:sdt>
          <w:sdt>
            <w:sdtPr>
              <w:rPr>
                <w:szCs w:val="21"/>
              </w:rPr>
              <w:alias w:val="报告期内召开的董事会有关情况明细"/>
              <w:tag w:val="_TUP_d2300a8afd5d45bcb80715a90b1a6cbc"/>
              <w:id w:val="-158667816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第五届董事会第一次会议</w:t>
                    </w:r>
                  </w:p>
                </w:tc>
                <w:tc>
                  <w:tcPr>
                    <w:tcW w:w="1001" w:type="pct"/>
                    <w:vAlign w:val="center"/>
                  </w:tcPr>
                  <w:p>
                    <w:pPr>
                      <w:tabs>
                        <w:tab w:val="left" w:pos="485"/>
                      </w:tabs>
                      <w:jc w:val="center"/>
                      <w:rPr>
                        <w:szCs w:val="21"/>
                      </w:rPr>
                    </w:pPr>
                    <w:r>
                      <w:rPr>
                        <w:szCs w:val="21"/>
                      </w:rPr>
                      <w:t>2021</w:t>
                    </w:r>
                    <w:r>
                      <w:rPr>
                        <w:rFonts w:hint="eastAsia"/>
                        <w:szCs w:val="21"/>
                      </w:rPr>
                      <w:t>年</w:t>
                    </w:r>
                    <w:r>
                      <w:rPr>
                        <w:szCs w:val="21"/>
                      </w:rPr>
                      <w:t>1</w:t>
                    </w:r>
                    <w:r>
                      <w:rPr>
                        <w:rFonts w:hint="eastAsia"/>
                        <w:szCs w:val="21"/>
                      </w:rPr>
                      <w:t>月</w:t>
                    </w:r>
                    <w:r>
                      <w:rPr>
                        <w:szCs w:val="21"/>
                      </w:rPr>
                      <w:t>22</w:t>
                    </w:r>
                    <w:r>
                      <w:rPr>
                        <w:rFonts w:hint="eastAsia"/>
                        <w:szCs w:val="21"/>
                      </w:rPr>
                      <w:t>日</w:t>
                    </w:r>
                  </w:p>
                </w:tc>
                <w:tc>
                  <w:tcPr>
                    <w:tcW w:w="3027" w:type="pct"/>
                    <w:vAlign w:val="center"/>
                  </w:tcPr>
                  <w:p>
                    <w:pPr>
                      <w:jc w:val="both"/>
                      <w:rPr>
                        <w:szCs w:val="21"/>
                      </w:rPr>
                    </w:pPr>
                    <w:r>
                      <w:rPr>
                        <w:rFonts w:hint="eastAsia"/>
                      </w:rPr>
                      <w:t>1.审议通过《关于选举第五届董事会董事长及副董事长的议案》</w:t>
                    </w:r>
                  </w:p>
                  <w:p>
                    <w:pPr>
                      <w:jc w:val="both"/>
                    </w:pPr>
                    <w:r>
                      <w:rPr>
                        <w:rFonts w:hint="eastAsia"/>
                      </w:rPr>
                      <w:t>2.审议通过《关于修改董事会专门委员会&lt;实施细则&gt;的议案》3.审议通过《关于选举第五届董事会专门委员会成员的议案》</w:t>
                    </w:r>
                  </w:p>
                  <w:p>
                    <w:pPr>
                      <w:jc w:val="both"/>
                    </w:pPr>
                    <w:r>
                      <w:rPr>
                        <w:rFonts w:hint="eastAsia"/>
                      </w:rPr>
                      <w:t>4.审议通过《关于聘任总裁的议案》</w:t>
                    </w:r>
                  </w:p>
                  <w:p>
                    <w:pPr>
                      <w:jc w:val="both"/>
                    </w:pPr>
                    <w:r>
                      <w:rPr>
                        <w:rFonts w:hint="eastAsia"/>
                      </w:rPr>
                      <w:t>5.审议通过《关于聘任财务负责人的议案》</w:t>
                    </w:r>
                  </w:p>
                  <w:p>
                    <w:pPr>
                      <w:jc w:val="both"/>
                    </w:pPr>
                    <w:r>
                      <w:rPr>
                        <w:rFonts w:hint="eastAsia"/>
                      </w:rPr>
                      <w:t>6.审议通过《关于聘任董事会秘书及证券事务代表的议案》</w:t>
                    </w:r>
                  </w:p>
                  <w:p>
                    <w:pPr>
                      <w:jc w:val="both"/>
                    </w:pPr>
                    <w:r>
                      <w:rPr>
                        <w:rFonts w:hint="eastAsia"/>
                      </w:rPr>
                      <w:t>7.审议通过《关于回购注销部分限制性股票的议案》</w:t>
                    </w:r>
                  </w:p>
                  <w:p>
                    <w:pPr>
                      <w:jc w:val="both"/>
                    </w:pPr>
                    <w:r>
                      <w:rPr>
                        <w:rFonts w:hint="eastAsia"/>
                      </w:rPr>
                      <w:t>8.审议通过《关于拟变更公司名称的议案》</w:t>
                    </w:r>
                  </w:p>
                  <w:p>
                    <w:pPr>
                      <w:jc w:val="both"/>
                    </w:pPr>
                    <w:r>
                      <w:rPr>
                        <w:rFonts w:hint="eastAsia"/>
                      </w:rPr>
                      <w:t>9.审议通过《关于修改&lt;公司章程&gt;的议案》</w:t>
                    </w:r>
                  </w:p>
                  <w:p>
                    <w:pPr>
                      <w:jc w:val="both"/>
                    </w:pPr>
                    <w:r>
                      <w:rPr>
                        <w:rFonts w:hint="eastAsia"/>
                      </w:rPr>
                      <w:t>10.审议通过《关于修改&lt;独立董事工作制度&gt;的议案》</w:t>
                    </w:r>
                  </w:p>
                  <w:p>
                    <w:pPr>
                      <w:jc w:val="both"/>
                    </w:pPr>
                    <w:r>
                      <w:rPr>
                        <w:rFonts w:hint="eastAsia"/>
                      </w:rPr>
                      <w:t>11.审议通过《关于召开力帆实业（集团）股份有限公司2021年第二次临时股东大会的议案》</w:t>
                    </w:r>
                  </w:p>
                </w:tc>
              </w:tr>
            </w:sdtContent>
          </w:sdt>
          <w:sdt>
            <w:sdtPr>
              <w:rPr>
                <w:szCs w:val="21"/>
              </w:rPr>
              <w:alias w:val="报告期内召开的董事会有关情况明细"/>
              <w:tag w:val="_TUP_d2300a8afd5d45bcb80715a90b1a6cbc"/>
              <w:id w:val="-206824916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第五届董事会第二次会议</w:t>
                    </w:r>
                  </w:p>
                </w:tc>
                <w:tc>
                  <w:tcPr>
                    <w:tcW w:w="1001" w:type="pct"/>
                    <w:vAlign w:val="center"/>
                  </w:tcPr>
                  <w:p>
                    <w:pPr>
                      <w:jc w:val="center"/>
                      <w:rPr>
                        <w:szCs w:val="21"/>
                      </w:rPr>
                    </w:pPr>
                    <w:r>
                      <w:rPr>
                        <w:szCs w:val="21"/>
                      </w:rPr>
                      <w:t>2021年</w:t>
                    </w:r>
                    <w:r>
                      <w:rPr>
                        <w:rFonts w:hint="eastAsia"/>
                        <w:szCs w:val="21"/>
                      </w:rPr>
                      <w:t>4</w:t>
                    </w:r>
                    <w:r>
                      <w:rPr>
                        <w:szCs w:val="21"/>
                      </w:rPr>
                      <w:t>月9日</w:t>
                    </w:r>
                  </w:p>
                </w:tc>
                <w:tc>
                  <w:tcPr>
                    <w:tcW w:w="3027" w:type="pct"/>
                    <w:vAlign w:val="center"/>
                  </w:tcPr>
                  <w:p>
                    <w:pPr>
                      <w:jc w:val="both"/>
                      <w:rPr>
                        <w:szCs w:val="21"/>
                      </w:rPr>
                    </w:pPr>
                    <w:r>
                      <w:rPr>
                        <w:rFonts w:hint="eastAsia"/>
                      </w:rPr>
                      <w:t>1.审议通过《关于2020年度董事会工作报告的议案》</w:t>
                    </w:r>
                  </w:p>
                  <w:p>
                    <w:pPr>
                      <w:jc w:val="both"/>
                    </w:pPr>
                    <w:r>
                      <w:rPr>
                        <w:rFonts w:hint="eastAsia"/>
                      </w:rPr>
                      <w:t>2.审议通过《关于2020年度总裁工作报告的议案》</w:t>
                    </w:r>
                  </w:p>
                  <w:p>
                    <w:pPr>
                      <w:jc w:val="both"/>
                    </w:pPr>
                    <w:r>
                      <w:rPr>
                        <w:rFonts w:hint="eastAsia"/>
                      </w:rPr>
                      <w:t>3.审议通过《关于2020年度财务决算报告的议案》</w:t>
                    </w:r>
                  </w:p>
                  <w:p>
                    <w:pPr>
                      <w:jc w:val="both"/>
                    </w:pPr>
                    <w:r>
                      <w:rPr>
                        <w:rFonts w:hint="eastAsia"/>
                      </w:rPr>
                      <w:t>4.审议通过《关于2020年年度报告正文及摘要的议案》</w:t>
                    </w:r>
                  </w:p>
                  <w:p>
                    <w:pPr>
                      <w:jc w:val="both"/>
                    </w:pPr>
                    <w:r>
                      <w:rPr>
                        <w:rFonts w:hint="eastAsia"/>
                      </w:rPr>
                      <w:t>5.审议通过《关于2020年度利润分配方案的议案》</w:t>
                    </w:r>
                  </w:p>
                  <w:p>
                    <w:pPr>
                      <w:jc w:val="both"/>
                    </w:pPr>
                    <w:r>
                      <w:rPr>
                        <w:rFonts w:hint="eastAsia"/>
                      </w:rPr>
                      <w:t>6.审议通过《关于募集资金投资项目终止并将节余募集资金永久补充流动资金的议案》</w:t>
                    </w:r>
                  </w:p>
                  <w:p>
                    <w:pPr>
                      <w:jc w:val="both"/>
                    </w:pPr>
                    <w:r>
                      <w:rPr>
                        <w:rFonts w:hint="eastAsia"/>
                      </w:rPr>
                      <w:t>7.审议通过《关于2020年度募集资金存放和使用情况专项报告的议案》</w:t>
                    </w:r>
                  </w:p>
                  <w:p>
                    <w:pPr>
                      <w:jc w:val="both"/>
                    </w:pPr>
                    <w:r>
                      <w:rPr>
                        <w:rFonts w:hint="eastAsia"/>
                      </w:rPr>
                      <w:t>8.审议通过《关于&lt;董事会审计委员会2020年度履职情况报告&gt;的议案》</w:t>
                    </w:r>
                  </w:p>
                  <w:p>
                    <w:pPr>
                      <w:jc w:val="both"/>
                    </w:pPr>
                    <w:r>
                      <w:rPr>
                        <w:rFonts w:hint="eastAsia"/>
                      </w:rPr>
                      <w:t>9.审议通过《关于&lt;2020年度独立董事述职报告&gt;的议案》</w:t>
                    </w:r>
                  </w:p>
                  <w:p>
                    <w:pPr>
                      <w:jc w:val="both"/>
                    </w:pPr>
                    <w:r>
                      <w:rPr>
                        <w:rFonts w:hint="eastAsia"/>
                      </w:rPr>
                      <w:t>10.审议通过《关于2020年度日常关联交易实施情况及2021年度日常关联交易计划的议案》</w:t>
                    </w:r>
                  </w:p>
                  <w:p>
                    <w:pPr>
                      <w:jc w:val="both"/>
                    </w:pPr>
                    <w:r>
                      <w:rPr>
                        <w:rFonts w:hint="eastAsia"/>
                      </w:rPr>
                      <w:t>11.审议通过《关于2020年度内部控制评价报告的议案》</w:t>
                    </w:r>
                  </w:p>
                  <w:p>
                    <w:pPr>
                      <w:jc w:val="both"/>
                    </w:pPr>
                    <w:r>
                      <w:rPr>
                        <w:rFonts w:hint="eastAsia"/>
                      </w:rPr>
                      <w:t>12.审议通过《关于续聘2021年度财务审计和内控审计机构的议案》</w:t>
                    </w:r>
                  </w:p>
                  <w:p>
                    <w:pPr>
                      <w:jc w:val="both"/>
                    </w:pPr>
                    <w:r>
                      <w:rPr>
                        <w:rFonts w:hint="eastAsia"/>
                      </w:rPr>
                      <w:t>13.审议通过《关于2020年度资产处置及计提资产减值准备的议案》</w:t>
                    </w:r>
                  </w:p>
                  <w:p>
                    <w:pPr>
                      <w:jc w:val="both"/>
                    </w:pPr>
                    <w:r>
                      <w:rPr>
                        <w:rFonts w:hint="eastAsia"/>
                      </w:rPr>
                      <w:t>14.审议通过《关于申请撤销公司股票其他风险警示的议案》</w:t>
                    </w:r>
                  </w:p>
                  <w:p>
                    <w:pPr>
                      <w:jc w:val="both"/>
                    </w:pPr>
                    <w:r>
                      <w:rPr>
                        <w:rFonts w:hint="eastAsia"/>
                      </w:rPr>
                      <w:t>15.审议通过《关于调整独立董事津贴的议案》</w:t>
                    </w:r>
                  </w:p>
                  <w:p>
                    <w:pPr>
                      <w:jc w:val="both"/>
                    </w:pPr>
                    <w:r>
                      <w:rPr>
                        <w:rFonts w:hint="eastAsia"/>
                      </w:rPr>
                      <w:t>16.审议通过《关于修改&lt;内幕信息知情人管理制度&gt;及&lt;信息披露管理制度&gt;的议案》</w:t>
                    </w:r>
                  </w:p>
                  <w:p>
                    <w:pPr>
                      <w:jc w:val="both"/>
                    </w:pPr>
                    <w:r>
                      <w:rPr>
                        <w:rFonts w:hint="eastAsia"/>
                      </w:rPr>
                      <w:t>17.审议通过《关于调整组织架构的议案》</w:t>
                    </w:r>
                  </w:p>
                  <w:p>
                    <w:pPr>
                      <w:jc w:val="both"/>
                    </w:pPr>
                    <w:r>
                      <w:rPr>
                        <w:rFonts w:hint="eastAsia"/>
                      </w:rPr>
                      <w:t>18.审议通过《关于拟变更证券简称的议案》</w:t>
                    </w:r>
                  </w:p>
                  <w:p>
                    <w:pPr>
                      <w:jc w:val="both"/>
                    </w:pPr>
                    <w:r>
                      <w:rPr>
                        <w:rFonts w:hint="eastAsia"/>
                      </w:rPr>
                      <w:t>19.审议通过《关于召开2020年年度股东大会的议案》</w:t>
                    </w:r>
                  </w:p>
                </w:tc>
              </w:tr>
            </w:sdtContent>
          </w:sdt>
          <w:sdt>
            <w:sdtPr>
              <w:rPr>
                <w:szCs w:val="21"/>
              </w:rPr>
              <w:alias w:val="报告期内召开的董事会有关情况明细"/>
              <w:tag w:val="_TUP_d2300a8afd5d45bcb80715a90b1a6cbc"/>
              <w:id w:val="-212160041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第五届董事会第三次会议</w:t>
                    </w:r>
                  </w:p>
                </w:tc>
                <w:tc>
                  <w:tcPr>
                    <w:tcW w:w="1001" w:type="pct"/>
                    <w:vAlign w:val="center"/>
                  </w:tcPr>
                  <w:p>
                    <w:pPr>
                      <w:jc w:val="center"/>
                      <w:rPr>
                        <w:szCs w:val="21"/>
                      </w:rPr>
                    </w:pPr>
                    <w:r>
                      <w:rPr>
                        <w:szCs w:val="21"/>
                      </w:rPr>
                      <w:t>2021年</w:t>
                    </w:r>
                    <w:r>
                      <w:rPr>
                        <w:rFonts w:hint="eastAsia"/>
                        <w:szCs w:val="21"/>
                      </w:rPr>
                      <w:t>4</w:t>
                    </w:r>
                    <w:r>
                      <w:rPr>
                        <w:szCs w:val="21"/>
                      </w:rPr>
                      <w:t>月28日</w:t>
                    </w:r>
                  </w:p>
                </w:tc>
                <w:tc>
                  <w:tcPr>
                    <w:tcW w:w="3027" w:type="pct"/>
                    <w:vAlign w:val="center"/>
                  </w:tcPr>
                  <w:p>
                    <w:pPr>
                      <w:jc w:val="both"/>
                      <w:rPr>
                        <w:szCs w:val="21"/>
                      </w:rPr>
                    </w:pPr>
                    <w:r>
                      <w:rPr>
                        <w:rFonts w:hint="eastAsia"/>
                      </w:rPr>
                      <w:t>1.审议通过《关于2021年第一季度报告的议案》</w:t>
                    </w:r>
                  </w:p>
                </w:tc>
              </w:tr>
            </w:sdtContent>
          </w:sdt>
          <w:sdt>
            <w:sdtPr>
              <w:rPr>
                <w:szCs w:val="21"/>
              </w:rPr>
              <w:alias w:val="报告期内召开的董事会有关情况明细"/>
              <w:tag w:val="_TUP_d2300a8afd5d45bcb80715a90b1a6cbc"/>
              <w:id w:val="189731305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t>第五届董事会第四次会议</w:t>
                    </w:r>
                  </w:p>
                </w:tc>
                <w:tc>
                  <w:tcPr>
                    <w:tcW w:w="1001" w:type="pct"/>
                    <w:vAlign w:val="center"/>
                  </w:tcPr>
                  <w:p>
                    <w:pPr>
                      <w:jc w:val="center"/>
                      <w:rPr>
                        <w:szCs w:val="21"/>
                      </w:rPr>
                    </w:pPr>
                    <w:r>
                      <w:rPr>
                        <w:szCs w:val="21"/>
                      </w:rPr>
                      <w:t>2021年</w:t>
                    </w:r>
                    <w:r>
                      <w:rPr>
                        <w:rFonts w:hint="eastAsia"/>
                        <w:szCs w:val="21"/>
                      </w:rPr>
                      <w:t>8</w:t>
                    </w:r>
                    <w:r>
                      <w:rPr>
                        <w:szCs w:val="21"/>
                      </w:rPr>
                      <w:t>月13日</w:t>
                    </w:r>
                  </w:p>
                </w:tc>
                <w:tc>
                  <w:tcPr>
                    <w:tcW w:w="3027" w:type="pct"/>
                    <w:vAlign w:val="center"/>
                  </w:tcPr>
                  <w:p>
                    <w:pPr>
                      <w:jc w:val="both"/>
                      <w:rPr>
                        <w:szCs w:val="21"/>
                      </w:rPr>
                    </w:pPr>
                    <w:r>
                      <w:rPr>
                        <w:rFonts w:hint="eastAsia"/>
                      </w:rPr>
                      <w:t>1.审议通过《关于2021年半年度报告正文及摘要的议案》</w:t>
                    </w:r>
                  </w:p>
                  <w:p>
                    <w:pPr>
                      <w:jc w:val="both"/>
                    </w:pPr>
                    <w:r>
                      <w:rPr>
                        <w:rFonts w:hint="eastAsia"/>
                      </w:rPr>
                      <w:t>2.审议通过《关于开展远期外汇交易业务的议案》</w:t>
                    </w:r>
                  </w:p>
                </w:tc>
              </w:tr>
            </w:sdtContent>
          </w:sdt>
          <w:sdt>
            <w:sdtPr>
              <w:rPr>
                <w:szCs w:val="21"/>
              </w:rPr>
              <w:alias w:val="报告期内召开的董事会有关情况明细"/>
              <w:tag w:val="_TUP_d2300a8afd5d45bcb80715a90b1a6cbc"/>
              <w:id w:val="9129691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第五届董事会第五次会议</w:t>
                    </w:r>
                  </w:p>
                </w:tc>
                <w:tc>
                  <w:tcPr>
                    <w:tcW w:w="1001" w:type="pct"/>
                    <w:vAlign w:val="center"/>
                  </w:tcPr>
                  <w:p>
                    <w:pPr>
                      <w:jc w:val="center"/>
                      <w:rPr>
                        <w:szCs w:val="21"/>
                      </w:rPr>
                    </w:pPr>
                    <w:r>
                      <w:rPr>
                        <w:szCs w:val="21"/>
                      </w:rPr>
                      <w:t>2021年</w:t>
                    </w:r>
                    <w:r>
                      <w:rPr>
                        <w:rFonts w:hint="eastAsia"/>
                        <w:szCs w:val="21"/>
                      </w:rPr>
                      <w:t>9</w:t>
                    </w:r>
                    <w:r>
                      <w:rPr>
                        <w:szCs w:val="21"/>
                      </w:rPr>
                      <w:t>月29日</w:t>
                    </w:r>
                  </w:p>
                </w:tc>
                <w:tc>
                  <w:tcPr>
                    <w:tcW w:w="3027" w:type="pct"/>
                    <w:vAlign w:val="center"/>
                  </w:tcPr>
                  <w:p>
                    <w:pPr>
                      <w:jc w:val="both"/>
                      <w:rPr>
                        <w:szCs w:val="21"/>
                      </w:rPr>
                    </w:pPr>
                    <w:r>
                      <w:rPr>
                        <w:rFonts w:hint="eastAsia"/>
                      </w:rPr>
                      <w:t>1.审议通过《关于向中国民生银行申请授信额度及提供担保的议案》</w:t>
                    </w:r>
                  </w:p>
                </w:tc>
              </w:tr>
            </w:sdtContent>
          </w:sdt>
          <w:sdt>
            <w:sdtPr>
              <w:rPr>
                <w:szCs w:val="21"/>
              </w:rPr>
              <w:alias w:val="报告期内召开的董事会有关情况明细"/>
              <w:tag w:val="_TUP_d2300a8afd5d45bcb80715a90b1a6cbc"/>
              <w:id w:val="2923630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第五届董事会第六次会议</w:t>
                    </w:r>
                  </w:p>
                </w:tc>
                <w:tc>
                  <w:tcPr>
                    <w:tcW w:w="1001" w:type="pct"/>
                    <w:vAlign w:val="center"/>
                  </w:tcPr>
                  <w:p>
                    <w:pPr>
                      <w:jc w:val="center"/>
                      <w:rPr>
                        <w:szCs w:val="21"/>
                      </w:rPr>
                    </w:pPr>
                    <w:r>
                      <w:rPr>
                        <w:szCs w:val="21"/>
                      </w:rPr>
                      <w:t>2021年10月29日</w:t>
                    </w:r>
                  </w:p>
                </w:tc>
                <w:tc>
                  <w:tcPr>
                    <w:tcW w:w="3027" w:type="pct"/>
                    <w:vAlign w:val="center"/>
                  </w:tcPr>
                  <w:p>
                    <w:pPr>
                      <w:jc w:val="both"/>
                      <w:rPr>
                        <w:szCs w:val="21"/>
                      </w:rPr>
                    </w:pPr>
                    <w:r>
                      <w:rPr>
                        <w:rFonts w:hint="eastAsia"/>
                      </w:rPr>
                      <w:t>1.审议通过《关于2021年第三季度报告的议案》</w:t>
                    </w:r>
                  </w:p>
                </w:tc>
              </w:tr>
            </w:sdtContent>
          </w:sdt>
          <w:sdt>
            <w:sdtPr>
              <w:rPr>
                <w:szCs w:val="21"/>
              </w:rPr>
              <w:alias w:val="报告期内召开的董事会有关情况明细"/>
              <w:tag w:val="_TUP_d2300a8afd5d45bcb80715a90b1a6cbc"/>
              <w:id w:val="-41008672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972" w:type="pct"/>
                    <w:vAlign w:val="center"/>
                  </w:tcPr>
                  <w:p>
                    <w:pPr>
                      <w:jc w:val="center"/>
                      <w:rPr>
                        <w:szCs w:val="21"/>
                      </w:rPr>
                    </w:pPr>
                    <w:r>
                      <w:rPr>
                        <w:rFonts w:hint="eastAsia"/>
                        <w:szCs w:val="21"/>
                      </w:rPr>
                      <w:t>第五届董事会第七次会议</w:t>
                    </w:r>
                  </w:p>
                </w:tc>
                <w:tc>
                  <w:tcPr>
                    <w:tcW w:w="1001" w:type="pct"/>
                    <w:vAlign w:val="center"/>
                  </w:tcPr>
                  <w:p>
                    <w:pPr>
                      <w:jc w:val="center"/>
                      <w:rPr>
                        <w:szCs w:val="21"/>
                      </w:rPr>
                    </w:pPr>
                    <w:r>
                      <w:rPr>
                        <w:szCs w:val="21"/>
                      </w:rPr>
                      <w:t>2021年12月13日</w:t>
                    </w:r>
                  </w:p>
                </w:tc>
                <w:tc>
                  <w:tcPr>
                    <w:tcW w:w="3027" w:type="pct"/>
                    <w:vAlign w:val="center"/>
                  </w:tcPr>
                  <w:p>
                    <w:pPr>
                      <w:jc w:val="both"/>
                      <w:rPr>
                        <w:szCs w:val="21"/>
                      </w:rPr>
                    </w:pPr>
                    <w:r>
                      <w:rPr>
                        <w:rFonts w:hint="eastAsia"/>
                      </w:rPr>
                      <w:t>1.审议通过《关于解聘财务负责人的议案》</w:t>
                    </w:r>
                  </w:p>
                  <w:p>
                    <w:pPr>
                      <w:jc w:val="both"/>
                    </w:pPr>
                    <w:r>
                      <w:rPr>
                        <w:rFonts w:hint="eastAsia"/>
                      </w:rPr>
                      <w:t>2.审议通过《关于聘任高级管理人员的议案》</w:t>
                    </w:r>
                  </w:p>
                  <w:p>
                    <w:pPr>
                      <w:jc w:val="both"/>
                    </w:pPr>
                    <w:r>
                      <w:rPr>
                        <w:rFonts w:hint="eastAsia"/>
                      </w:rPr>
                      <w:t>3.审议通过《关于修改&lt;公司章程&gt;的议案》</w:t>
                    </w:r>
                  </w:p>
                  <w:p>
                    <w:pPr>
                      <w:jc w:val="both"/>
                    </w:pPr>
                    <w:r>
                      <w:rPr>
                        <w:rFonts w:hint="eastAsia"/>
                      </w:rPr>
                      <w:t>4.审议通过《关于与关联方共同投资设立合资公司暨关联交易的议案》</w:t>
                    </w:r>
                  </w:p>
                  <w:p>
                    <w:pPr>
                      <w:jc w:val="both"/>
                    </w:pPr>
                    <w:r>
                      <w:rPr>
                        <w:rFonts w:hint="eastAsia"/>
                      </w:rPr>
                      <w:t>5.审议通过《关于增加2021年度日常关联交易预计额度的议案》</w:t>
                    </w:r>
                  </w:p>
                  <w:p>
                    <w:pPr>
                      <w:jc w:val="both"/>
                    </w:pPr>
                    <w:r>
                      <w:rPr>
                        <w:rFonts w:hint="eastAsia"/>
                      </w:rPr>
                      <w:t>6.审议通过《关于召开2021年第三次临时股东大会的议案》</w:t>
                    </w:r>
                  </w:p>
                </w:tc>
              </w:tr>
            </w:sdtContent>
          </w:sdt>
        </w:tbl>
        <w:p>
          <w:pPr>
            <w:rPr>
              <w:szCs w:val="21"/>
            </w:rPr>
          </w:pPr>
        </w:p>
      </w:sdtContent>
    </w:sdt>
    <w:bookmarkEnd w:id="49"/>
    <w:p>
      <w:pPr>
        <w:pStyle w:val="3"/>
        <w:numPr>
          <w:ilvl w:val="0"/>
          <w:numId w:val="16"/>
        </w:numPr>
      </w:pPr>
      <w:r>
        <w:t>董事履行职责情况</w:t>
      </w:r>
    </w:p>
    <w:sdt>
      <w:sdtPr>
        <w:rPr>
          <w:rFonts w:ascii="宋体" w:hAnsi="宋体" w:cs="宋体"/>
          <w:b w:val="0"/>
          <w:bCs w:val="0"/>
          <w:kern w:val="0"/>
          <w:szCs w:val="24"/>
        </w:rPr>
        <w:alias w:val="模块:董事参加董事会和股东大会的情况"/>
        <w:tag w:val="_SEC_46b12eef184243bf8374eb01a77e4d07"/>
        <w:id w:val="-19993523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9"/>
            </w:numPr>
          </w:pPr>
          <w:r>
            <w:t>董事参加董事会和股东大会的情况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9"/>
            <w:gridCol w:w="845"/>
            <w:gridCol w:w="1100"/>
            <w:gridCol w:w="852"/>
            <w:gridCol w:w="968"/>
            <w:gridCol w:w="905"/>
            <w:gridCol w:w="845"/>
            <w:gridCol w:w="1293"/>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sdt>
              <w:sdtPr>
                <w:tag w:val="_PLD_fdf987702b2e46a4aaa1e3f20787a76c"/>
                <w:id w:val="1968473123"/>
                <w:lock w:val="sdtLocked"/>
              </w:sdtPr>
              <w:sdtContent>
                <w:tc>
                  <w:tcPr>
                    <w:tcW w:w="541" w:type="pct"/>
                    <w:vMerge w:val="restart"/>
                    <w:vAlign w:val="center"/>
                  </w:tcPr>
                  <w:p>
                    <w:pPr>
                      <w:widowControl w:val="0"/>
                      <w:jc w:val="center"/>
                      <w:rPr>
                        <w:szCs w:val="21"/>
                      </w:rPr>
                    </w:pPr>
                    <w:r>
                      <w:rPr>
                        <w:rFonts w:hint="eastAsia"/>
                        <w:szCs w:val="21"/>
                      </w:rPr>
                      <w:t>董事</w:t>
                    </w:r>
                  </w:p>
                  <w:p>
                    <w:pPr>
                      <w:widowControl w:val="0"/>
                      <w:jc w:val="center"/>
                      <w:rPr>
                        <w:szCs w:val="21"/>
                      </w:rPr>
                    </w:pPr>
                    <w:r>
                      <w:rPr>
                        <w:rFonts w:hint="eastAsia"/>
                        <w:szCs w:val="21"/>
                      </w:rPr>
                      <w:t>姓名</w:t>
                    </w:r>
                  </w:p>
                </w:tc>
              </w:sdtContent>
            </w:sdt>
            <w:sdt>
              <w:sdtPr>
                <w:tag w:val="_PLD_8c944f740a3a4784938038ab19e3a6ed"/>
                <w:id w:val="-1755039216"/>
                <w:lock w:val="sdtLocked"/>
              </w:sdtPr>
              <w:sdtContent>
                <w:tc>
                  <w:tcPr>
                    <w:tcW w:w="467" w:type="pct"/>
                    <w:vMerge w:val="restart"/>
                    <w:vAlign w:val="center"/>
                  </w:tcPr>
                  <w:p>
                    <w:pPr>
                      <w:widowControl w:val="0"/>
                      <w:jc w:val="center"/>
                      <w:rPr>
                        <w:szCs w:val="21"/>
                      </w:rPr>
                    </w:pPr>
                    <w:r>
                      <w:rPr>
                        <w:szCs w:val="21"/>
                      </w:rPr>
                      <w:t>是否独立董事</w:t>
                    </w:r>
                  </w:p>
                </w:tc>
              </w:sdtContent>
            </w:sdt>
            <w:sdt>
              <w:sdtPr>
                <w:tag w:val="_PLD_41002b55426142459adadb76d790d586"/>
                <w:id w:val="-620694508"/>
                <w:lock w:val="sdtLocked"/>
              </w:sdtPr>
              <w:sdtContent>
                <w:tc>
                  <w:tcPr>
                    <w:tcW w:w="3294" w:type="pct"/>
                    <w:gridSpan w:val="6"/>
                    <w:vAlign w:val="center"/>
                  </w:tcPr>
                  <w:p>
                    <w:pPr>
                      <w:widowControl w:val="0"/>
                      <w:jc w:val="center"/>
                      <w:rPr>
                        <w:szCs w:val="21"/>
                      </w:rPr>
                    </w:pPr>
                    <w:r>
                      <w:rPr>
                        <w:szCs w:val="21"/>
                      </w:rPr>
                      <w:t>参加董事会情况</w:t>
                    </w:r>
                  </w:p>
                </w:tc>
              </w:sdtContent>
            </w:sdt>
            <w:sdt>
              <w:sdtPr>
                <w:tag w:val="_PLD_a86ab0ba65874193bf46821cd6a13f4f"/>
                <w:id w:val="107554103"/>
                <w:lock w:val="sdtLocked"/>
              </w:sdtPr>
              <w:sdtContent>
                <w:tc>
                  <w:tcPr>
                    <w:tcW w:w="697" w:type="pct"/>
                    <w:vAlign w:val="center"/>
                  </w:tcPr>
                  <w:p>
                    <w:pPr>
                      <w:widowControl w:val="0"/>
                      <w:jc w:val="center"/>
                      <w:rPr>
                        <w:szCs w:val="21"/>
                      </w:rPr>
                    </w:pPr>
                    <w:r>
                      <w:rPr>
                        <w:szCs w:val="21"/>
                      </w:rPr>
                      <w:t>参加股东大会情况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541" w:type="pct"/>
                <w:vMerge w:val="continue"/>
              </w:tcPr>
              <w:p>
                <w:pPr>
                  <w:widowControl w:val="0"/>
                  <w:jc w:val="center"/>
                  <w:rPr>
                    <w:szCs w:val="21"/>
                  </w:rPr>
                </w:pPr>
              </w:p>
            </w:tc>
            <w:tc>
              <w:tcPr>
                <w:tcW w:w="467" w:type="pct"/>
                <w:vMerge w:val="continue"/>
              </w:tcPr>
              <w:p>
                <w:pPr>
                  <w:widowControl w:val="0"/>
                  <w:jc w:val="center"/>
                  <w:rPr>
                    <w:szCs w:val="21"/>
                  </w:rPr>
                </w:pPr>
              </w:p>
            </w:tc>
            <w:sdt>
              <w:sdtPr>
                <w:tag w:val="_PLD_1be3bc3a3d894e22b017b70a7c691233"/>
                <w:id w:val="-97249179"/>
                <w:lock w:val="sdtLocked"/>
              </w:sdtPr>
              <w:sdtContent>
                <w:tc>
                  <w:tcPr>
                    <w:tcW w:w="608" w:type="pct"/>
                    <w:vAlign w:val="center"/>
                  </w:tcPr>
                  <w:p>
                    <w:pPr>
                      <w:widowControl w:val="0"/>
                      <w:jc w:val="center"/>
                      <w:rPr>
                        <w:szCs w:val="21"/>
                      </w:rPr>
                    </w:pPr>
                    <w:r>
                      <w:rPr>
                        <w:szCs w:val="21"/>
                      </w:rPr>
                      <w:t>本年应参加董事会次数</w:t>
                    </w:r>
                  </w:p>
                </w:tc>
              </w:sdtContent>
            </w:sdt>
            <w:sdt>
              <w:sdtPr>
                <w:tag w:val="_PLD_3e45fc9802f241cb8e17735983417e9b"/>
                <w:id w:val="974411048"/>
                <w:lock w:val="sdtLocked"/>
              </w:sdtPr>
              <w:sdtContent>
                <w:tc>
                  <w:tcPr>
                    <w:tcW w:w="471" w:type="pct"/>
                    <w:vAlign w:val="center"/>
                  </w:tcPr>
                  <w:p>
                    <w:pPr>
                      <w:widowControl w:val="0"/>
                      <w:jc w:val="center"/>
                      <w:rPr>
                        <w:szCs w:val="21"/>
                      </w:rPr>
                    </w:pPr>
                    <w:r>
                      <w:rPr>
                        <w:szCs w:val="21"/>
                      </w:rPr>
                      <w:t>亲自出席次数</w:t>
                    </w:r>
                  </w:p>
                </w:tc>
              </w:sdtContent>
            </w:sdt>
            <w:sdt>
              <w:sdtPr>
                <w:tag w:val="_PLD_5b2f1e699fe34def868fe8b765d768ba"/>
                <w:id w:val="723877144"/>
                <w:lock w:val="sdtLocked"/>
              </w:sdtPr>
              <w:sdtContent>
                <w:tc>
                  <w:tcPr>
                    <w:tcW w:w="535" w:type="pct"/>
                    <w:vAlign w:val="center"/>
                  </w:tcPr>
                  <w:p>
                    <w:pPr>
                      <w:widowControl w:val="0"/>
                      <w:jc w:val="center"/>
                      <w:rPr>
                        <w:szCs w:val="21"/>
                      </w:rPr>
                    </w:pPr>
                    <w:r>
                      <w:rPr>
                        <w:szCs w:val="21"/>
                      </w:rPr>
                      <w:t>以通讯方式参加次数</w:t>
                    </w:r>
                  </w:p>
                </w:tc>
              </w:sdtContent>
            </w:sdt>
            <w:sdt>
              <w:sdtPr>
                <w:tag w:val="_PLD_981a0cb863d94703a5482c1ca67d4cb5"/>
                <w:id w:val="1827782906"/>
                <w:lock w:val="sdtLocked"/>
              </w:sdtPr>
              <w:sdtContent>
                <w:tc>
                  <w:tcPr>
                    <w:tcW w:w="500" w:type="pct"/>
                    <w:vAlign w:val="center"/>
                  </w:tcPr>
                  <w:p>
                    <w:pPr>
                      <w:widowControl w:val="0"/>
                      <w:jc w:val="center"/>
                      <w:rPr>
                        <w:szCs w:val="21"/>
                      </w:rPr>
                    </w:pPr>
                    <w:r>
                      <w:rPr>
                        <w:szCs w:val="21"/>
                      </w:rPr>
                      <w:t>委托出席次数</w:t>
                    </w:r>
                  </w:p>
                </w:tc>
              </w:sdtContent>
            </w:sdt>
            <w:sdt>
              <w:sdtPr>
                <w:tag w:val="_PLD_e955143b8973461bb11aa6e64e6bb542"/>
                <w:id w:val="-1697761384"/>
                <w:lock w:val="sdtLocked"/>
              </w:sdtPr>
              <w:sdtContent>
                <w:tc>
                  <w:tcPr>
                    <w:tcW w:w="467" w:type="pct"/>
                    <w:vAlign w:val="center"/>
                  </w:tcPr>
                  <w:p>
                    <w:pPr>
                      <w:widowControl w:val="0"/>
                      <w:jc w:val="center"/>
                      <w:rPr>
                        <w:szCs w:val="21"/>
                      </w:rPr>
                    </w:pPr>
                    <w:r>
                      <w:rPr>
                        <w:szCs w:val="21"/>
                      </w:rPr>
                      <w:t>缺席</w:t>
                    </w:r>
                  </w:p>
                  <w:p>
                    <w:pPr>
                      <w:widowControl w:val="0"/>
                      <w:jc w:val="center"/>
                      <w:rPr>
                        <w:szCs w:val="21"/>
                      </w:rPr>
                    </w:pPr>
                    <w:r>
                      <w:rPr>
                        <w:szCs w:val="21"/>
                      </w:rPr>
                      <w:t>次数</w:t>
                    </w:r>
                  </w:p>
                </w:tc>
              </w:sdtContent>
            </w:sdt>
            <w:sdt>
              <w:sdtPr>
                <w:tag w:val="_PLD_c94de7a455d94af5b8ffe4cc736c4b46"/>
                <w:id w:val="511952807"/>
                <w:lock w:val="sdtLocked"/>
              </w:sdtPr>
              <w:sdtContent>
                <w:tc>
                  <w:tcPr>
                    <w:tcW w:w="714" w:type="pct"/>
                    <w:vAlign w:val="center"/>
                  </w:tcPr>
                  <w:p>
                    <w:pPr>
                      <w:widowControl w:val="0"/>
                      <w:jc w:val="center"/>
                      <w:rPr>
                        <w:szCs w:val="21"/>
                      </w:rPr>
                    </w:pPr>
                    <w:r>
                      <w:rPr>
                        <w:szCs w:val="21"/>
                      </w:rPr>
                      <w:t>是否连续两次未亲自参加会议</w:t>
                    </w:r>
                  </w:p>
                </w:tc>
              </w:sdtContent>
            </w:sdt>
            <w:sdt>
              <w:sdtPr>
                <w:tag w:val="_PLD_7f17c2a5ff9540709fafff9460b0756d"/>
                <w:id w:val="-909388407"/>
                <w:lock w:val="sdtLocked"/>
              </w:sdtPr>
              <w:sdtContent>
                <w:tc>
                  <w:tcPr>
                    <w:tcW w:w="697" w:type="pct"/>
                    <w:vAlign w:val="center"/>
                  </w:tcPr>
                  <w:p>
                    <w:pPr>
                      <w:widowControl w:val="0"/>
                      <w:jc w:val="center"/>
                      <w:rPr>
                        <w:b/>
                        <w:szCs w:val="21"/>
                      </w:rPr>
                    </w:pPr>
                    <w:r>
                      <w:rPr>
                        <w:szCs w:val="21"/>
                      </w:rPr>
                      <w:t>出席股东大会的次数</w:t>
                    </w:r>
                  </w:p>
                </w:tc>
              </w:sdtContent>
            </w:sdt>
          </w:tr>
          <w:sdt>
            <w:sdtPr>
              <w:rPr>
                <w:rFonts w:hint="eastAsia" w:asciiTheme="minorHAnsi" w:hAnsiTheme="minorHAnsi" w:eastAsiaTheme="minorEastAsia" w:cstheme="minorBidi"/>
                <w:kern w:val="2"/>
                <w:szCs w:val="21"/>
              </w:rPr>
              <w:alias w:val="董事参加董事会的出席情况明细"/>
              <w:tag w:val="_TUP_21f02a2c29cc41bba590120cf14b9bc6"/>
              <w:id w:val="-7753360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徐志豪</w:t>
                    </w:r>
                  </w:p>
                </w:tc>
                <w:sdt>
                  <w:sdtPr>
                    <w:rPr>
                      <w:rFonts w:hint="eastAsia" w:ascii="Times New Roman" w:hAnsi="Times New Roman"/>
                      <w:szCs w:val="21"/>
                    </w:rPr>
                    <w:alias w:val="董事参加董事会的出席情况明细-是否独立董事"/>
                    <w:tag w:val="_GBC_8f65cf2d483747a58ee92c8a36ee6375"/>
                    <w:id w:val="1066525556"/>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tcPr>
                  <w:p>
                    <w:pPr>
                      <w:widowControl w:val="0"/>
                      <w:jc w:val="center"/>
                      <w:rPr>
                        <w:szCs w:val="21"/>
                      </w:rPr>
                    </w:pPr>
                    <w:r>
                      <w:rPr>
                        <w:rFonts w:hint="eastAsia"/>
                        <w:szCs w:val="21"/>
                      </w:rP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860789466"/>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717196026"/>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朱军</w:t>
                    </w:r>
                  </w:p>
                </w:tc>
                <w:sdt>
                  <w:sdtPr>
                    <w:rPr>
                      <w:rFonts w:hint="eastAsia" w:ascii="Times New Roman" w:hAnsi="Times New Roman"/>
                      <w:szCs w:val="21"/>
                    </w:rPr>
                    <w:alias w:val="董事参加董事会的出席情况明细-是否独立董事"/>
                    <w:tag w:val="_GBC_8f65cf2d483747a58ee92c8a36ee6375"/>
                    <w:id w:val="274604346"/>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304883587"/>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97463840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杨健</w:t>
                    </w:r>
                  </w:p>
                </w:tc>
                <w:sdt>
                  <w:sdtPr>
                    <w:rPr>
                      <w:rFonts w:hint="eastAsia" w:ascii="Times New Roman" w:hAnsi="Times New Roman"/>
                      <w:szCs w:val="21"/>
                    </w:rPr>
                    <w:alias w:val="董事参加董事会的出席情况明细-是否独立董事"/>
                    <w:tag w:val="_GBC_8f65cf2d483747a58ee92c8a36ee6375"/>
                    <w:id w:val="1911582856"/>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2106372576"/>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441497397"/>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钟弦</w:t>
                    </w:r>
                  </w:p>
                </w:tc>
                <w:sdt>
                  <w:sdtPr>
                    <w:rPr>
                      <w:rFonts w:hint="eastAsia" w:ascii="Times New Roman" w:hAnsi="Times New Roman"/>
                      <w:szCs w:val="21"/>
                    </w:rPr>
                    <w:alias w:val="董事参加董事会的出席情况明细-是否独立董事"/>
                    <w:tag w:val="_GBC_8f65cf2d483747a58ee92c8a36ee6375"/>
                    <w:id w:val="-1492169939"/>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565907434"/>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211003920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王梦麟</w:t>
                    </w:r>
                  </w:p>
                </w:tc>
                <w:sdt>
                  <w:sdtPr>
                    <w:rPr>
                      <w:rFonts w:hint="eastAsia" w:ascii="Times New Roman" w:hAnsi="Times New Roman"/>
                      <w:szCs w:val="21"/>
                    </w:rPr>
                    <w:alias w:val="董事参加董事会的出席情况明细-是否独立董事"/>
                    <w:tag w:val="_GBC_8f65cf2d483747a58ee92c8a36ee6375"/>
                    <w:id w:val="838658795"/>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464260470"/>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790479960"/>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周充</w:t>
                    </w:r>
                  </w:p>
                </w:tc>
                <w:sdt>
                  <w:sdtPr>
                    <w:rPr>
                      <w:rFonts w:hint="eastAsia" w:ascii="Times New Roman" w:hAnsi="Times New Roman"/>
                      <w:szCs w:val="21"/>
                    </w:rPr>
                    <w:alias w:val="董事参加董事会的出席情况明细-是否独立董事"/>
                    <w:tag w:val="_GBC_8f65cf2d483747a58ee92c8a36ee6375"/>
                    <w:id w:val="-1796287335"/>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803413487"/>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66165104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肖翔</w:t>
                    </w:r>
                  </w:p>
                </w:tc>
                <w:sdt>
                  <w:sdtPr>
                    <w:rPr>
                      <w:rFonts w:hint="eastAsia" w:ascii="Times New Roman" w:hAnsi="Times New Roman"/>
                      <w:szCs w:val="21"/>
                    </w:rPr>
                    <w:alias w:val="董事参加董事会的出席情况明细-是否独立董事"/>
                    <w:tag w:val="_GBC_8f65cf2d483747a58ee92c8a36ee6375"/>
                    <w:id w:val="-793985414"/>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256971905"/>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68787946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任晓常</w:t>
                    </w:r>
                  </w:p>
                </w:tc>
                <w:sdt>
                  <w:sdtPr>
                    <w:rPr>
                      <w:rFonts w:hint="eastAsia" w:ascii="Times New Roman" w:hAnsi="Times New Roman"/>
                      <w:szCs w:val="21"/>
                    </w:rPr>
                    <w:alias w:val="董事参加董事会的出席情况明细-是否独立董事"/>
                    <w:tag w:val="_GBC_8f65cf2d483747a58ee92c8a36ee6375"/>
                    <w:id w:val="-1875383521"/>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882899813"/>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72818948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窦军生</w:t>
                    </w:r>
                  </w:p>
                </w:tc>
                <w:sdt>
                  <w:sdtPr>
                    <w:rPr>
                      <w:rFonts w:hint="eastAsia" w:ascii="Times New Roman" w:hAnsi="Times New Roman"/>
                      <w:szCs w:val="21"/>
                    </w:rPr>
                    <w:alias w:val="董事参加董事会的出席情况明细-是否独立董事"/>
                    <w:tag w:val="_GBC_8f65cf2d483747a58ee92c8a36ee6375"/>
                    <w:id w:val="-1051541344"/>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7</w:t>
                    </w:r>
                  </w:p>
                </w:tc>
                <w:tc>
                  <w:tcPr>
                    <w:tcW w:w="471" w:type="pct"/>
                    <w:vAlign w:val="center"/>
                  </w:tcPr>
                  <w:p>
                    <w:pPr>
                      <w:widowControl w:val="0"/>
                      <w:jc w:val="center"/>
                      <w:rPr>
                        <w:sz w:val="24"/>
                      </w:rPr>
                    </w:pPr>
                    <w:r>
                      <w:t>7</w:t>
                    </w:r>
                  </w:p>
                </w:tc>
                <w:tc>
                  <w:tcPr>
                    <w:tcW w:w="535" w:type="pct"/>
                    <w:vAlign w:val="center"/>
                  </w:tcPr>
                  <w:p>
                    <w:pPr>
                      <w:widowControl w:val="0"/>
                      <w:jc w:val="center"/>
                    </w:pPr>
                    <w:r>
                      <w:t>6</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689572502"/>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4</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213243651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牟刚</w:t>
                    </w:r>
                  </w:p>
                </w:tc>
                <w:sdt>
                  <w:sdtPr>
                    <w:rPr>
                      <w:rFonts w:hint="eastAsia" w:ascii="Times New Roman" w:hAnsi="Times New Roman"/>
                      <w:szCs w:val="21"/>
                    </w:rPr>
                    <w:alias w:val="董事参加董事会的出席情况明细-是否独立董事"/>
                    <w:tag w:val="_GBC_8f65cf2d483747a58ee92c8a36ee6375"/>
                    <w:id w:val="-1498962636"/>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rPr>
                        <w:sz w:val="24"/>
                      </w:rP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624511290"/>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767144246"/>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王延辉</w:t>
                    </w:r>
                  </w:p>
                </w:tc>
                <w:sdt>
                  <w:sdtPr>
                    <w:rPr>
                      <w:rFonts w:hint="eastAsia" w:ascii="Times New Roman" w:hAnsi="Times New Roman"/>
                      <w:szCs w:val="21"/>
                    </w:rPr>
                    <w:alias w:val="董事参加董事会的出席情况明细-是否独立董事"/>
                    <w:tag w:val="_GBC_8f65cf2d483747a58ee92c8a36ee6375"/>
                    <w:id w:val="-1764763027"/>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72636398"/>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270320453"/>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尹明善</w:t>
                    </w:r>
                  </w:p>
                </w:tc>
                <w:sdt>
                  <w:sdtPr>
                    <w:rPr>
                      <w:rFonts w:hint="eastAsia" w:ascii="Times New Roman" w:hAnsi="Times New Roman"/>
                      <w:szCs w:val="21"/>
                    </w:rPr>
                    <w:alias w:val="董事参加董事会的出席情况明细-是否独立董事"/>
                    <w:tag w:val="_GBC_8f65cf2d483747a58ee92c8a36ee6375"/>
                    <w:id w:val="-1916921203"/>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661625454"/>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674073386"/>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陈巧凤</w:t>
                    </w:r>
                  </w:p>
                </w:tc>
                <w:sdt>
                  <w:sdtPr>
                    <w:rPr>
                      <w:rFonts w:hint="eastAsia" w:ascii="Times New Roman" w:hAnsi="Times New Roman"/>
                      <w:szCs w:val="21"/>
                    </w:rPr>
                    <w:alias w:val="董事参加董事会的出席情况明细-是否独立董事"/>
                    <w:tag w:val="_GBC_8f65cf2d483747a58ee92c8a36ee6375"/>
                    <w:id w:val="843599133"/>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364194352"/>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37843940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尹喜地</w:t>
                    </w:r>
                  </w:p>
                </w:tc>
                <w:sdt>
                  <w:sdtPr>
                    <w:rPr>
                      <w:rFonts w:hint="eastAsia" w:ascii="Times New Roman" w:hAnsi="Times New Roman"/>
                      <w:szCs w:val="21"/>
                    </w:rPr>
                    <w:alias w:val="董事参加董事会的出席情况明细-是否独立董事"/>
                    <w:tag w:val="_GBC_8f65cf2d483747a58ee92c8a36ee6375"/>
                    <w:id w:val="2131969372"/>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961536457"/>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862627726"/>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尹索微</w:t>
                    </w:r>
                  </w:p>
                </w:tc>
                <w:sdt>
                  <w:sdtPr>
                    <w:rPr>
                      <w:rFonts w:hint="eastAsia" w:ascii="Times New Roman" w:hAnsi="Times New Roman"/>
                      <w:szCs w:val="21"/>
                    </w:rPr>
                    <w:alias w:val="董事参加董事会的出席情况明细-是否独立董事"/>
                    <w:tag w:val="_GBC_8f65cf2d483747a58ee92c8a36ee6375"/>
                    <w:id w:val="1321931782"/>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841894659"/>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234432738"/>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陈雪松</w:t>
                    </w:r>
                  </w:p>
                </w:tc>
                <w:sdt>
                  <w:sdtPr>
                    <w:rPr>
                      <w:rFonts w:hint="eastAsia" w:ascii="Times New Roman" w:hAnsi="Times New Roman"/>
                      <w:szCs w:val="21"/>
                    </w:rPr>
                    <w:alias w:val="董事参加董事会的出席情况明细-是否独立董事"/>
                    <w:tag w:val="_GBC_8f65cf2d483747a58ee92c8a36ee6375"/>
                    <w:id w:val="-1669857259"/>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666428521"/>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547570104"/>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谭冲</w:t>
                    </w:r>
                  </w:p>
                </w:tc>
                <w:sdt>
                  <w:sdtPr>
                    <w:rPr>
                      <w:rFonts w:hint="eastAsia" w:ascii="Times New Roman" w:hAnsi="Times New Roman"/>
                      <w:szCs w:val="21"/>
                    </w:rPr>
                    <w:alias w:val="董事参加董事会的出席情况明细-是否独立董事"/>
                    <w:tag w:val="_GBC_8f65cf2d483747a58ee92c8a36ee6375"/>
                    <w:id w:val="1004022258"/>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944343155"/>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2054301232"/>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汤晓东</w:t>
                    </w:r>
                  </w:p>
                </w:tc>
                <w:sdt>
                  <w:sdtPr>
                    <w:rPr>
                      <w:rFonts w:hint="eastAsia" w:ascii="Times New Roman" w:hAnsi="Times New Roman"/>
                      <w:szCs w:val="21"/>
                    </w:rPr>
                    <w:alias w:val="董事参加董事会的出席情况明细-是否独立董事"/>
                    <w:tag w:val="_GBC_8f65cf2d483747a58ee92c8a36ee6375"/>
                    <w:id w:val="-486399114"/>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094547398"/>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266745998"/>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杨波</w:t>
                    </w:r>
                  </w:p>
                </w:tc>
                <w:sdt>
                  <w:sdtPr>
                    <w:rPr>
                      <w:rFonts w:hint="eastAsia" w:ascii="Times New Roman" w:hAnsi="Times New Roman"/>
                      <w:szCs w:val="21"/>
                    </w:rPr>
                    <w:alias w:val="董事参加董事会的出席情况明细-是否独立董事"/>
                    <w:tag w:val="_GBC_8f65cf2d483747a58ee92c8a36ee6375"/>
                    <w:id w:val="1829867705"/>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否</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953367729"/>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665202022"/>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徐世伟</w:t>
                    </w:r>
                  </w:p>
                </w:tc>
                <w:sdt>
                  <w:sdtPr>
                    <w:rPr>
                      <w:rFonts w:hint="eastAsia" w:ascii="Times New Roman" w:hAnsi="Times New Roman"/>
                      <w:szCs w:val="21"/>
                    </w:rPr>
                    <w:alias w:val="董事参加董事会的出席情况明细-是否独立董事"/>
                    <w:tag w:val="_GBC_8f65cf2d483747a58ee92c8a36ee6375"/>
                    <w:id w:val="-342099556"/>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rPr>
                        <w:sz w:val="24"/>
                      </w:rPr>
                    </w:pPr>
                    <w:r>
                      <w:t>0</w:t>
                    </w:r>
                  </w:p>
                </w:tc>
                <w:tc>
                  <w:tcPr>
                    <w:tcW w:w="467" w:type="pct"/>
                    <w:vAlign w:val="center"/>
                  </w:tcPr>
                  <w:p>
                    <w:pPr>
                      <w:widowControl w:val="0"/>
                      <w:jc w:val="center"/>
                      <w:rPr>
                        <w:sz w:val="24"/>
                      </w:rPr>
                    </w:pPr>
                    <w:r>
                      <w:t>0</w:t>
                    </w:r>
                  </w:p>
                </w:tc>
                <w:sdt>
                  <w:sdtPr>
                    <w:rPr>
                      <w:rFonts w:hint="eastAsia" w:ascii="Times New Roman" w:hAnsi="Times New Roman"/>
                      <w:szCs w:val="21"/>
                    </w:rPr>
                    <w:alias w:val="董事参加董事会的出席情况明细-是否连续两次未亲自参加会议"/>
                    <w:tag w:val="_GBC_4748dc7c4f9b495f9d97d5c22a5e08e6"/>
                    <w:id w:val="1174067203"/>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861877410"/>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陈煦江</w:t>
                    </w:r>
                  </w:p>
                </w:tc>
                <w:sdt>
                  <w:sdtPr>
                    <w:rPr>
                      <w:rFonts w:hint="eastAsia" w:ascii="Times New Roman" w:hAnsi="Times New Roman"/>
                      <w:szCs w:val="21"/>
                    </w:rPr>
                    <w:alias w:val="董事参加董事会的出席情况明细-是否独立董事"/>
                    <w:tag w:val="_GBC_8f65cf2d483747a58ee92c8a36ee6375"/>
                    <w:id w:val="-2113657891"/>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759501117"/>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166706756"/>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谢非</w:t>
                    </w:r>
                  </w:p>
                </w:tc>
                <w:sdt>
                  <w:sdtPr>
                    <w:rPr>
                      <w:rFonts w:hint="eastAsia" w:ascii="Times New Roman" w:hAnsi="Times New Roman"/>
                      <w:szCs w:val="21"/>
                    </w:rPr>
                    <w:alias w:val="董事参加董事会的出席情况明细-是否独立董事"/>
                    <w:tag w:val="_GBC_8f65cf2d483747a58ee92c8a36ee6375"/>
                    <w:id w:val="-1333068602"/>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197546258"/>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996309098"/>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刘颖</w:t>
                    </w:r>
                  </w:p>
                </w:tc>
                <w:sdt>
                  <w:sdtPr>
                    <w:rPr>
                      <w:rFonts w:hint="eastAsia" w:ascii="Times New Roman" w:hAnsi="Times New Roman"/>
                      <w:szCs w:val="21"/>
                    </w:rPr>
                    <w:alias w:val="董事参加董事会的出席情况明细-是否独立董事"/>
                    <w:tag w:val="_GBC_8f65cf2d483747a58ee92c8a36ee6375"/>
                    <w:id w:val="797569997"/>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680071980"/>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sdt>
            <w:sdtPr>
              <w:rPr>
                <w:rFonts w:hint="eastAsia" w:asciiTheme="minorHAnsi" w:hAnsiTheme="minorHAnsi" w:eastAsiaTheme="minorEastAsia" w:cstheme="minorBidi"/>
                <w:kern w:val="2"/>
                <w:szCs w:val="21"/>
              </w:rPr>
              <w:alias w:val="董事参加董事会的出席情况明细"/>
              <w:tag w:val="_TUP_21f02a2c29cc41bba590120cf14b9bc6"/>
              <w:id w:val="-58376478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541" w:type="pct"/>
                  </w:tcPr>
                  <w:p>
                    <w:pPr>
                      <w:widowControl w:val="0"/>
                      <w:jc w:val="center"/>
                      <w:rPr>
                        <w:szCs w:val="21"/>
                      </w:rPr>
                    </w:pPr>
                    <w:r>
                      <w:t>李明</w:t>
                    </w:r>
                  </w:p>
                </w:tc>
                <w:sdt>
                  <w:sdtPr>
                    <w:rPr>
                      <w:rFonts w:hint="eastAsia" w:ascii="Times New Roman" w:hAnsi="Times New Roman"/>
                      <w:szCs w:val="21"/>
                    </w:rPr>
                    <w:alias w:val="董事参加董事会的出席情况明细-是否独立董事"/>
                    <w:tag w:val="_GBC_8f65cf2d483747a58ee92c8a36ee6375"/>
                    <w:id w:val="-417793026"/>
                    <w:lock w:val="sdtLocked"/>
                    <w:comboBox>
                      <w:listItem w:displayText="是" w:value="true"/>
                      <w:listItem w:displayText="否" w:value="false"/>
                    </w:comboBox>
                  </w:sdtPr>
                  <w:sdtEndPr>
                    <w:rPr>
                      <w:rFonts w:hint="eastAsia" w:ascii="Times New Roman" w:hAnsi="Times New Roman"/>
                      <w:szCs w:val="21"/>
                    </w:rPr>
                  </w:sdtEndPr>
                  <w:sdtContent>
                    <w:tc>
                      <w:tcPr>
                        <w:tcW w:w="467" w:type="pct"/>
                        <w:vAlign w:val="center"/>
                      </w:tcPr>
                      <w:p>
                        <w:pPr>
                          <w:widowControl w:val="0"/>
                          <w:jc w:val="center"/>
                          <w:rPr>
                            <w:szCs w:val="21"/>
                          </w:rPr>
                        </w:pPr>
                        <w:r>
                          <w:rPr>
                            <w:rFonts w:hint="eastAsia"/>
                            <w:szCs w:val="21"/>
                          </w:rPr>
                          <w:t>是</w:t>
                        </w:r>
                      </w:p>
                    </w:tc>
                  </w:sdtContent>
                </w:sdt>
                <w:tc>
                  <w:tcPr>
                    <w:tcW w:w="608" w:type="pct"/>
                  </w:tcPr>
                  <w:p>
                    <w:pPr>
                      <w:widowControl w:val="0"/>
                      <w:jc w:val="center"/>
                      <w:rPr>
                        <w:szCs w:val="21"/>
                      </w:rPr>
                    </w:pPr>
                    <w:r>
                      <w:rPr>
                        <w:rFonts w:hint="eastAsia"/>
                        <w:szCs w:val="21"/>
                      </w:rPr>
                      <w:t>1</w:t>
                    </w:r>
                  </w:p>
                </w:tc>
                <w:tc>
                  <w:tcPr>
                    <w:tcW w:w="471" w:type="pct"/>
                    <w:vAlign w:val="center"/>
                  </w:tcPr>
                  <w:p>
                    <w:pPr>
                      <w:widowControl w:val="0"/>
                      <w:jc w:val="center"/>
                      <w:rPr>
                        <w:sz w:val="24"/>
                      </w:rPr>
                    </w:pPr>
                    <w:r>
                      <w:t>1</w:t>
                    </w:r>
                  </w:p>
                </w:tc>
                <w:tc>
                  <w:tcPr>
                    <w:tcW w:w="535" w:type="pct"/>
                    <w:vAlign w:val="center"/>
                  </w:tcPr>
                  <w:p>
                    <w:pPr>
                      <w:widowControl w:val="0"/>
                      <w:jc w:val="center"/>
                    </w:pPr>
                    <w:r>
                      <w:t>1</w:t>
                    </w:r>
                  </w:p>
                </w:tc>
                <w:tc>
                  <w:tcPr>
                    <w:tcW w:w="500" w:type="pct"/>
                    <w:vAlign w:val="center"/>
                  </w:tcPr>
                  <w:p>
                    <w:pPr>
                      <w:widowControl w:val="0"/>
                      <w:jc w:val="center"/>
                    </w:pPr>
                    <w:r>
                      <w:t>0</w:t>
                    </w:r>
                  </w:p>
                </w:tc>
                <w:tc>
                  <w:tcPr>
                    <w:tcW w:w="467" w:type="pct"/>
                    <w:vAlign w:val="center"/>
                  </w:tcPr>
                  <w:p>
                    <w:pPr>
                      <w:widowControl w:val="0"/>
                      <w:jc w:val="center"/>
                    </w:pPr>
                    <w:r>
                      <w:t>0</w:t>
                    </w:r>
                  </w:p>
                </w:tc>
                <w:sdt>
                  <w:sdtPr>
                    <w:rPr>
                      <w:rFonts w:hint="eastAsia" w:ascii="Times New Roman" w:hAnsi="Times New Roman"/>
                      <w:szCs w:val="21"/>
                    </w:rPr>
                    <w:alias w:val="董事参加董事会的出席情况明细-是否连续两次未亲自参加会议"/>
                    <w:tag w:val="_GBC_4748dc7c4f9b495f9d97d5c22a5e08e6"/>
                    <w:id w:val="-1478914067"/>
                    <w:lock w:val="sdtLocked"/>
                    <w:comboBox>
                      <w:listItem w:displayText="是" w:value="true"/>
                      <w:listItem w:displayText="否" w:value="false"/>
                    </w:comboBox>
                  </w:sdtPr>
                  <w:sdtEndPr>
                    <w:rPr>
                      <w:rFonts w:hint="eastAsia" w:ascii="Times New Roman" w:hAnsi="Times New Roman"/>
                      <w:szCs w:val="21"/>
                    </w:rPr>
                  </w:sdtEndPr>
                  <w:sdtContent>
                    <w:tc>
                      <w:tcPr>
                        <w:tcW w:w="714" w:type="pct"/>
                        <w:vAlign w:val="center"/>
                      </w:tcPr>
                      <w:p>
                        <w:pPr>
                          <w:widowControl w:val="0"/>
                          <w:jc w:val="center"/>
                          <w:rPr>
                            <w:szCs w:val="21"/>
                          </w:rPr>
                        </w:pPr>
                        <w:r>
                          <w:rPr>
                            <w:rFonts w:hint="eastAsia"/>
                            <w:szCs w:val="21"/>
                          </w:rPr>
                          <w:t>否</w:t>
                        </w:r>
                      </w:p>
                    </w:tc>
                  </w:sdtContent>
                </w:sdt>
                <w:tc>
                  <w:tcPr>
                    <w:tcW w:w="697" w:type="pct"/>
                    <w:vAlign w:val="center"/>
                  </w:tcPr>
                  <w:p>
                    <w:pPr>
                      <w:widowControl w:val="0"/>
                      <w:jc w:val="center"/>
                      <w:rPr>
                        <w:szCs w:val="21"/>
                      </w:rPr>
                    </w:pPr>
                    <w:r>
                      <w:rPr>
                        <w:rFonts w:hint="eastAsia"/>
                        <w:szCs w:val="21"/>
                      </w:rPr>
                      <w:t>0</w:t>
                    </w:r>
                  </w:p>
                </w:tc>
              </w:tr>
            </w:sdtContent>
          </w:sdt>
        </w:tbl>
        <w:p>
          <w:pPr>
            <w:rPr>
              <w:szCs w:val="21"/>
            </w:rPr>
          </w:pPr>
          <w:r>
            <w:rPr>
              <w:szCs w:val="21"/>
            </w:rPr>
            <w:t>连续两次未亲自出席董事会会议的说明</w:t>
          </w:r>
        </w:p>
        <w:sdt>
          <w:sdtPr>
            <w:rPr>
              <w:szCs w:val="21"/>
            </w:rPr>
            <w:alias w:val="是否适用：连续两次未亲自出席董事会会议的说明[双击切换]"/>
            <w:tag w:val="_GBC_866534c9760844d1a6f6fa69c39ae52d"/>
            <w:id w:val="-186404733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szCs w:val="21"/>
        </w:rPr>
        <w:alias w:val="模块:召开董事会会议次数"/>
        <w:tag w:val="_SEC_2e2eb2c5022048f7a720555ef5553771"/>
        <w:id w:val="-112211961"/>
        <w:lock w:val="sdtLocked"/>
        <w:placeholder>
          <w:docPart w:val="GBC22222222222222222222222222222"/>
        </w:placeholder>
      </w:sdtPr>
      <w:sdtEndPr>
        <w:rPr>
          <w:szCs w:val="24"/>
        </w:rPr>
      </w:sdtEndPr>
      <w:sdtConten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Cs w:val="21"/>
                </w:rPr>
                <w:tag w:val="_PLD_0fc68bf164f04edda97a907df4cc747d"/>
                <w:id w:val="97222890"/>
                <w:lock w:val="sdtLocked"/>
              </w:sdtPr>
              <w:sdtEndPr>
                <w:rPr>
                  <w:rFonts w:ascii="Times New Roman" w:hAnsi="Times New Roman"/>
                  <w:szCs w:val="24"/>
                </w:rPr>
              </w:sdtEndPr>
              <w:sdtContent>
                <w:tc>
                  <w:tcPr>
                    <w:tcW w:w="4524" w:type="dxa"/>
                  </w:tcPr>
                  <w:p>
                    <w:pPr>
                      <w:widowControl w:val="0"/>
                      <w:jc w:val="both"/>
                      <w:rPr>
                        <w:szCs w:val="21"/>
                      </w:rPr>
                    </w:pPr>
                    <w:r>
                      <w:rPr>
                        <w:szCs w:val="21"/>
                      </w:rPr>
                      <w:t>年内召开董事会会议次数</w:t>
                    </w:r>
                  </w:p>
                </w:tc>
              </w:sdtContent>
            </w:sdt>
            <w:sdt>
              <w:sdtPr>
                <w:rPr>
                  <w:rFonts w:hint="eastAsia" w:ascii="Times New Roman" w:hAnsi="Times New Roman"/>
                  <w:szCs w:val="21"/>
                </w:rPr>
                <w:alias w:val="报告期内召开董事会会议次数"/>
                <w:tag w:val="_GBC_cabd294ab90e40d0afb59e61df002667"/>
                <w:id w:val="-79378321"/>
                <w:lock w:val="sdtLocked"/>
              </w:sdtPr>
              <w:sdtEndPr>
                <w:rPr>
                  <w:rFonts w:hint="eastAsia" w:ascii="Times New Roman" w:hAnsi="Times New Roman"/>
                  <w:szCs w:val="21"/>
                </w:rPr>
              </w:sdtEndPr>
              <w:sdtContent>
                <w:tc>
                  <w:tcPr>
                    <w:tcW w:w="4525" w:type="dxa"/>
                    <w:vAlign w:val="center"/>
                  </w:tcPr>
                  <w:p>
                    <w:pPr>
                      <w:widowControl w:val="0"/>
                      <w:jc w:val="center"/>
                      <w:rPr>
                        <w:szCs w:val="21"/>
                      </w:rPr>
                    </w:pPr>
                    <w:r>
                      <w:rPr>
                        <w:szCs w:val="21"/>
                      </w:rPr>
                      <w:t>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b8c260bccff4db1858924291237c1f5"/>
                <w:id w:val="-1086149133"/>
                <w:lock w:val="sdtLocked"/>
              </w:sdtPr>
              <w:sdtContent>
                <w:tc>
                  <w:tcPr>
                    <w:tcW w:w="4524" w:type="dxa"/>
                  </w:tcPr>
                  <w:p>
                    <w:pPr>
                      <w:widowControl w:val="0"/>
                      <w:jc w:val="both"/>
                      <w:rPr>
                        <w:szCs w:val="21"/>
                      </w:rPr>
                    </w:pPr>
                    <w:r>
                      <w:rPr>
                        <w:szCs w:val="21"/>
                      </w:rPr>
                      <w:t>其中：现场会议次数</w:t>
                    </w:r>
                  </w:p>
                </w:tc>
              </w:sdtContent>
            </w:sdt>
            <w:tc>
              <w:tcPr>
                <w:tcW w:w="4525" w:type="dxa"/>
                <w:vAlign w:val="center"/>
              </w:tcPr>
              <w:p>
                <w:pPr>
                  <w:widowControl w:val="0"/>
                  <w:jc w:val="center"/>
                  <w:rPr>
                    <w:szCs w:val="21"/>
                  </w:rPr>
                </w:pPr>
                <w:r>
                  <w:rPr>
                    <w:rFonts w:hint="eastAsia"/>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f23f45437624d3eb28d9b3b0c444b8c"/>
                <w:id w:val="-1684352279"/>
                <w:lock w:val="sdtLocked"/>
              </w:sdtPr>
              <w:sdtContent>
                <w:tc>
                  <w:tcPr>
                    <w:tcW w:w="4524" w:type="dxa"/>
                  </w:tcPr>
                  <w:p>
                    <w:pPr>
                      <w:widowControl w:val="0"/>
                      <w:jc w:val="both"/>
                      <w:rPr>
                        <w:szCs w:val="21"/>
                      </w:rPr>
                    </w:pPr>
                    <w:r>
                      <w:rPr>
                        <w:szCs w:val="21"/>
                      </w:rPr>
                      <w:t>通讯方式召开会议次数</w:t>
                    </w:r>
                  </w:p>
                </w:tc>
              </w:sdtContent>
            </w:sdt>
            <w:tc>
              <w:tcPr>
                <w:tcW w:w="4525" w:type="dxa"/>
                <w:vAlign w:val="center"/>
              </w:tcPr>
              <w:p>
                <w:pPr>
                  <w:widowControl w:val="0"/>
                  <w:jc w:val="center"/>
                  <w:rPr>
                    <w:szCs w:val="21"/>
                  </w:rPr>
                </w:pPr>
                <w:r>
                  <w:rPr>
                    <w:rFonts w:hint="eastAsia"/>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62bf2274fd043da9e03bf0d73a8e1bd"/>
                <w:id w:val="-1746401715"/>
                <w:lock w:val="sdtLocked"/>
              </w:sdtPr>
              <w:sdtContent>
                <w:tc>
                  <w:tcPr>
                    <w:tcW w:w="4524" w:type="dxa"/>
                  </w:tcPr>
                  <w:p>
                    <w:pPr>
                      <w:widowControl w:val="0"/>
                      <w:jc w:val="both"/>
                      <w:rPr>
                        <w:szCs w:val="21"/>
                      </w:rPr>
                    </w:pPr>
                    <w:r>
                      <w:rPr>
                        <w:szCs w:val="21"/>
                      </w:rPr>
                      <w:t>现场结合通讯方式召开会议次数</w:t>
                    </w:r>
                  </w:p>
                </w:tc>
              </w:sdtContent>
            </w:sdt>
            <w:tc>
              <w:tcPr>
                <w:tcW w:w="4525" w:type="dxa"/>
                <w:vAlign w:val="center"/>
              </w:tcPr>
              <w:p>
                <w:pPr>
                  <w:widowControl w:val="0"/>
                  <w:jc w:val="center"/>
                  <w:rPr>
                    <w:szCs w:val="21"/>
                  </w:rPr>
                </w:pPr>
                <w:r>
                  <w:rPr>
                    <w:rFonts w:hint="eastAsia"/>
                    <w:szCs w:val="21"/>
                  </w:rPr>
                  <w:t>0</w:t>
                </w:r>
              </w:p>
            </w:tc>
          </w:tr>
        </w:tbl>
        <w:p/>
      </w:sdtContent>
    </w:sdt>
    <w:sdt>
      <w:sdtPr>
        <w:rPr>
          <w:rFonts w:ascii="宋体" w:hAnsi="宋体" w:cs="宋体"/>
          <w:b w:val="0"/>
          <w:bCs w:val="0"/>
          <w:kern w:val="0"/>
          <w:szCs w:val="21"/>
        </w:rPr>
        <w:alias w:val="模块:独立董事对公司有关事项提出异议的情况"/>
        <w:tag w:val="_SEC_b081c22d491d456ea3f9900a0a6757d2"/>
        <w:id w:val="1655260316"/>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9"/>
            </w:numPr>
            <w:rPr>
              <w:szCs w:val="21"/>
            </w:rPr>
          </w:pPr>
          <w:r>
            <w:rPr>
              <w:szCs w:val="21"/>
            </w:rPr>
            <w:t>董事对公司有关事项提出异议的情况</w:t>
          </w:r>
        </w:p>
        <w:sdt>
          <w:sdtPr>
            <w:alias w:val="是否适用：独立董事对公司有关事项提出异议的情况[双击切换]"/>
            <w:tag w:val="_GBC_1369df39a53747ff843be7f892cb0cbd"/>
            <w:id w:val="35193239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ascii="宋体" w:hAnsi="宋体" w:cs="宋体"/>
          <w:b w:val="0"/>
          <w:bCs w:val="0"/>
          <w:kern w:val="0"/>
          <w:szCs w:val="21"/>
        </w:rPr>
        <w:alias w:val="模块:其他"/>
        <w:tag w:val="_SEC_bbf6d8e9e0c34286a1bb4f1de8b79fa7"/>
        <w:id w:val="-1124150897"/>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19"/>
            </w:numPr>
            <w:rPr>
              <w:szCs w:val="21"/>
            </w:rPr>
          </w:pPr>
          <w:r>
            <w:rPr>
              <w:szCs w:val="21"/>
            </w:rPr>
            <w:t>其他</w:t>
          </w:r>
        </w:p>
        <w:sdt>
          <w:sdtPr>
            <w:rPr>
              <w:rFonts w:hint="eastAsia"/>
              <w:szCs w:val="21"/>
            </w:rPr>
            <w:alias w:val="是否适用：其他董事履行职责情况说明[双击切换]"/>
            <w:tag w:val="_GBC_ba1a70dda14046559f72c5b524ca1125"/>
            <w:id w:val="163614286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3"/>
        <w:numPr>
          <w:ilvl w:val="0"/>
          <w:numId w:val="16"/>
        </w:numPr>
        <w:ind w:left="450" w:hanging="450"/>
      </w:pPr>
      <w:r>
        <w:rPr>
          <w:rFonts w:hint="eastAsia"/>
        </w:rPr>
        <w:t>董事会下设专门委员会情况</w:t>
      </w:r>
    </w:p>
    <w:sdt>
      <w:sdtPr>
        <w:rPr>
          <w:rFonts w:hint="eastAsia"/>
          <w:szCs w:val="21"/>
        </w:rPr>
        <w:alias w:val="是否适用：董事会下设专门委员会情况[双击切换]"/>
        <w:tag w:val="_GBC_88389a2d52e44644a2332ba32500fe69"/>
        <w:id w:val="-868916333"/>
        <w:lock w:val="sdtConten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ascii="宋体" w:hAnsi="宋体" w:cs="宋体"/>
          <w:b/>
          <w:bCs/>
          <w:kern w:val="0"/>
          <w:szCs w:val="24"/>
        </w:rPr>
        <w:alias w:val="模块:董事会下设专门委员会成员情况专门委员会类别成员姓名 审计..."/>
        <w:tag w:val="_SEC_63280ca6bc7d4a03bf45626bc1c8022c"/>
        <w:id w:val="-1139880711"/>
        <w:lock w:val="sdtLocked"/>
        <w:placeholder>
          <w:docPart w:val="GBC22222222222222222222222222222"/>
        </w:placeholder>
      </w:sdtPr>
      <w:sdtEndPr>
        <w:rPr>
          <w:rFonts w:hint="eastAsia" w:ascii="宋体" w:hAnsi="宋体" w:cs="宋体"/>
          <w:b w:val="0"/>
          <w:bCs w:val="0"/>
          <w:kern w:val="0"/>
          <w:szCs w:val="21"/>
        </w:rPr>
      </w:sdtEndPr>
      <w:sdtContent>
        <w:p>
          <w:pPr>
            <w:pStyle w:val="55"/>
            <w:numPr>
              <w:ilvl w:val="0"/>
              <w:numId w:val="20"/>
            </w:numPr>
            <w:ind w:firstLineChars="0"/>
            <w:rPr>
              <w:b/>
              <w:bCs/>
            </w:rPr>
          </w:pPr>
          <w:r>
            <w:rPr>
              <w:rFonts w:hint="eastAsia"/>
              <w:b/>
              <w:bCs/>
            </w:rPr>
            <w:t>董事会下设专门委员会成员情况</w:t>
          </w:r>
        </w:p>
        <w:tbl>
          <w:tblPr>
            <w:tblStyle w:val="108"/>
            <w:tblW w:w="9051" w:type="dxa"/>
            <w:jc w:val="center"/>
            <w:tblLayout w:type="autofit"/>
            <w:tblCellMar>
              <w:top w:w="0" w:type="dxa"/>
              <w:left w:w="108" w:type="dxa"/>
              <w:bottom w:w="0" w:type="dxa"/>
              <w:right w:w="108" w:type="dxa"/>
            </w:tblCellMar>
          </w:tblPr>
          <w:tblGrid>
            <w:gridCol w:w="2586"/>
            <w:gridCol w:w="6465"/>
          </w:tblGrid>
          <w:tr>
            <w:tblPrEx>
              <w:tblCellMar>
                <w:top w:w="0" w:type="dxa"/>
                <w:left w:w="108" w:type="dxa"/>
                <w:bottom w:w="0" w:type="dxa"/>
                <w:right w:w="108" w:type="dxa"/>
              </w:tblCellMar>
            </w:tblPrEx>
            <w:trPr>
              <w:trHeight w:val="270" w:hRule="atLeast"/>
              <w:jc w:val="center"/>
            </w:trPr>
            <w:sdt>
              <w:sdtPr>
                <w:rPr>
                  <w:rFonts w:hint="eastAsia"/>
                  <w:color w:val="000000"/>
                  <w:sz w:val="22"/>
                </w:rPr>
                <w:tag w:val="_PLD_d469fc77cfdc44b0b043e0b1ab52e604"/>
                <w:id w:val="1397705232"/>
                <w:lock w:val="sdtLocked"/>
              </w:sdtPr>
              <w:sdtEndPr>
                <w:rPr>
                  <w:rFonts w:hint="eastAsia"/>
                  <w:color w:val="000000"/>
                  <w:sz w:val="22"/>
                </w:rPr>
              </w:sdtEnd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color w:val="000000"/>
                        <w:sz w:val="22"/>
                      </w:rPr>
                    </w:pPr>
                    <w:r>
                      <w:rPr>
                        <w:rFonts w:hint="eastAsia"/>
                        <w:color w:val="000000"/>
                        <w:sz w:val="22"/>
                      </w:rPr>
                      <w:t>专门委员会类别</w:t>
                    </w:r>
                  </w:p>
                </w:tc>
              </w:sdtContent>
            </w:sdt>
            <w:sdt>
              <w:sdtPr>
                <w:rPr>
                  <w:rFonts w:hint="eastAsia"/>
                  <w:color w:val="000000"/>
                  <w:sz w:val="22"/>
                </w:rPr>
                <w:tag w:val="_PLD_32d037161ea94d0eb907c4e766b75044"/>
                <w:id w:val="-1522848039"/>
                <w:lock w:val="sdtLocked"/>
              </w:sdtPr>
              <w:sdtEndPr>
                <w:rPr>
                  <w:rFonts w:hint="eastAsia"/>
                  <w:color w:val="000000"/>
                  <w:sz w:val="22"/>
                </w:rPr>
              </w:sdtEndPr>
              <w:sdtContent>
                <w:tc>
                  <w:tcPr>
                    <w:tcW w:w="6465" w:type="dxa"/>
                    <w:tcBorders>
                      <w:top w:val="single" w:color="auto" w:sz="4" w:space="0"/>
                      <w:left w:val="nil"/>
                      <w:bottom w:val="single" w:color="auto" w:sz="4" w:space="0"/>
                      <w:right w:val="single" w:color="auto" w:sz="4" w:space="0"/>
                    </w:tcBorders>
                    <w:shd w:val="clear" w:color="auto" w:fill="auto"/>
                    <w:noWrap/>
                    <w:vAlign w:val="center"/>
                  </w:tcPr>
                  <w:p>
                    <w:pPr>
                      <w:jc w:val="center"/>
                      <w:rPr>
                        <w:color w:val="000000"/>
                        <w:sz w:val="22"/>
                      </w:rPr>
                    </w:pPr>
                    <w:r>
                      <w:rPr>
                        <w:rFonts w:hint="eastAsia"/>
                        <w:color w:val="000000"/>
                        <w:sz w:val="22"/>
                      </w:rPr>
                      <w:t>成员姓名</w:t>
                    </w:r>
                  </w:p>
                </w:tc>
              </w:sdtContent>
            </w:sdt>
          </w:tr>
          <w:tr>
            <w:tblPrEx>
              <w:tblCellMar>
                <w:top w:w="0" w:type="dxa"/>
                <w:left w:w="108" w:type="dxa"/>
                <w:bottom w:w="0" w:type="dxa"/>
                <w:right w:w="108" w:type="dxa"/>
              </w:tblCellMar>
            </w:tblPrEx>
            <w:trPr>
              <w:trHeight w:val="270" w:hRule="atLeast"/>
              <w:jc w:val="center"/>
            </w:trPr>
            <w:sdt>
              <w:sdtPr>
                <w:rPr>
                  <w:rFonts w:hint="eastAsia"/>
                  <w:color w:val="000000"/>
                  <w:sz w:val="22"/>
                </w:rPr>
                <w:tag w:val="_PLD_4f651a236a71471681339e395abe2d3e"/>
                <w:id w:val="-2136931567"/>
                <w:lock w:val="sdtLocked"/>
              </w:sdtPr>
              <w:sdtEndPr>
                <w:rPr>
                  <w:rFonts w:hint="eastAsia"/>
                  <w:color w:val="000000"/>
                  <w:sz w:val="22"/>
                </w:rPr>
              </w:sdtEndPr>
              <w:sdtContent>
                <w:tc>
                  <w:tcPr>
                    <w:tcW w:w="2586"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 w:val="22"/>
                      </w:rPr>
                    </w:pPr>
                    <w:r>
                      <w:rPr>
                        <w:rFonts w:hint="eastAsia"/>
                        <w:color w:val="000000"/>
                        <w:sz w:val="22"/>
                      </w:rPr>
                      <w:t>审计委员会</w:t>
                    </w:r>
                  </w:p>
                </w:tc>
              </w:sdtContent>
            </w:sdt>
            <w:tc>
              <w:tcPr>
                <w:tcW w:w="6465" w:type="dxa"/>
                <w:tcBorders>
                  <w:top w:val="nil"/>
                  <w:left w:val="nil"/>
                  <w:bottom w:val="single" w:color="auto" w:sz="4" w:space="0"/>
                  <w:right w:val="single" w:color="auto" w:sz="4" w:space="0"/>
                </w:tcBorders>
                <w:shd w:val="clear" w:color="auto" w:fill="auto"/>
                <w:noWrap/>
                <w:vAlign w:val="center"/>
              </w:tcPr>
              <w:p>
                <w:pPr>
                  <w:rPr>
                    <w:sz w:val="22"/>
                  </w:rPr>
                </w:pPr>
                <w:r>
                  <w:rPr>
                    <w:rFonts w:hint="eastAsia"/>
                    <w:sz w:val="22"/>
                  </w:rPr>
                  <w:t>肖翔、钟弦、周充、窦军生、任晓常</w:t>
                </w:r>
              </w:p>
            </w:tc>
          </w:tr>
          <w:tr>
            <w:tblPrEx>
              <w:tblCellMar>
                <w:top w:w="0" w:type="dxa"/>
                <w:left w:w="108" w:type="dxa"/>
                <w:bottom w:w="0" w:type="dxa"/>
                <w:right w:w="108" w:type="dxa"/>
              </w:tblCellMar>
            </w:tblPrEx>
            <w:trPr>
              <w:trHeight w:val="270" w:hRule="atLeast"/>
              <w:jc w:val="center"/>
            </w:trPr>
            <w:sdt>
              <w:sdtPr>
                <w:rPr>
                  <w:rFonts w:hint="eastAsia"/>
                  <w:color w:val="000000"/>
                  <w:sz w:val="22"/>
                </w:rPr>
                <w:tag w:val="_PLD_d58b9a2a2437447ba19ee3dd26c72f97"/>
                <w:id w:val="-536737584"/>
                <w:lock w:val="sdtLocked"/>
              </w:sdtPr>
              <w:sdtEndPr>
                <w:rPr>
                  <w:rFonts w:hint="eastAsia"/>
                  <w:color w:val="000000"/>
                  <w:sz w:val="22"/>
                </w:rPr>
              </w:sdtEndPr>
              <w:sdtContent>
                <w:tc>
                  <w:tcPr>
                    <w:tcW w:w="2586"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 w:val="22"/>
                      </w:rPr>
                    </w:pPr>
                    <w:r>
                      <w:rPr>
                        <w:rFonts w:hint="eastAsia"/>
                        <w:color w:val="000000"/>
                        <w:sz w:val="22"/>
                      </w:rPr>
                      <w:t>提名委员会</w:t>
                    </w:r>
                  </w:p>
                </w:tc>
              </w:sdtContent>
            </w:sdt>
            <w:tc>
              <w:tcPr>
                <w:tcW w:w="6465" w:type="dxa"/>
                <w:tcBorders>
                  <w:top w:val="nil"/>
                  <w:left w:val="nil"/>
                  <w:bottom w:val="single" w:color="auto" w:sz="4" w:space="0"/>
                  <w:right w:val="single" w:color="auto" w:sz="4" w:space="0"/>
                </w:tcBorders>
                <w:shd w:val="clear" w:color="auto" w:fill="auto"/>
                <w:noWrap/>
                <w:vAlign w:val="center"/>
              </w:tcPr>
              <w:p>
                <w:pPr>
                  <w:rPr>
                    <w:sz w:val="22"/>
                  </w:rPr>
                </w:pPr>
                <w:r>
                  <w:rPr>
                    <w:rFonts w:hint="eastAsia"/>
                    <w:sz w:val="22"/>
                  </w:rPr>
                  <w:t>窦军生、徐志豪、周充、任晓常、肖翔</w:t>
                </w:r>
              </w:p>
            </w:tc>
          </w:tr>
          <w:tr>
            <w:tblPrEx>
              <w:tblCellMar>
                <w:top w:w="0" w:type="dxa"/>
                <w:left w:w="108" w:type="dxa"/>
                <w:bottom w:w="0" w:type="dxa"/>
                <w:right w:w="108" w:type="dxa"/>
              </w:tblCellMar>
            </w:tblPrEx>
            <w:trPr>
              <w:trHeight w:val="270" w:hRule="atLeast"/>
              <w:jc w:val="center"/>
            </w:trPr>
            <w:sdt>
              <w:sdtPr>
                <w:rPr>
                  <w:rFonts w:hint="eastAsia"/>
                  <w:color w:val="000000"/>
                  <w:sz w:val="22"/>
                </w:rPr>
                <w:tag w:val="_PLD_19c89dae0d414340a6a6a86aa2beba6d"/>
                <w:id w:val="1317533645"/>
                <w:lock w:val="sdtLocked"/>
              </w:sdtPr>
              <w:sdtEndPr>
                <w:rPr>
                  <w:rFonts w:hint="eastAsia"/>
                  <w:color w:val="000000"/>
                  <w:sz w:val="22"/>
                </w:rPr>
              </w:sdtEndPr>
              <w:sdtContent>
                <w:tc>
                  <w:tcPr>
                    <w:tcW w:w="2586" w:type="dxa"/>
                    <w:tcBorders>
                      <w:top w:val="nil"/>
                      <w:left w:val="single" w:color="auto" w:sz="4" w:space="0"/>
                      <w:bottom w:val="single" w:color="auto" w:sz="4" w:space="0"/>
                      <w:right w:val="single" w:color="auto" w:sz="4" w:space="0"/>
                    </w:tcBorders>
                    <w:shd w:val="clear" w:color="auto" w:fill="auto"/>
                    <w:noWrap/>
                    <w:vAlign w:val="center"/>
                  </w:tcPr>
                  <w:p>
                    <w:pPr>
                      <w:jc w:val="center"/>
                      <w:rPr>
                        <w:color w:val="000000"/>
                        <w:sz w:val="22"/>
                      </w:rPr>
                    </w:pPr>
                    <w:r>
                      <w:rPr>
                        <w:rFonts w:hint="eastAsia"/>
                        <w:color w:val="000000"/>
                        <w:sz w:val="22"/>
                      </w:rPr>
                      <w:t>薪酬与考核委员会</w:t>
                    </w:r>
                  </w:p>
                </w:tc>
              </w:sdtContent>
            </w:sdt>
            <w:tc>
              <w:tcPr>
                <w:tcW w:w="6465" w:type="dxa"/>
                <w:tcBorders>
                  <w:top w:val="nil"/>
                  <w:left w:val="nil"/>
                  <w:bottom w:val="single" w:color="auto" w:sz="4" w:space="0"/>
                  <w:right w:val="single" w:color="auto" w:sz="4" w:space="0"/>
                </w:tcBorders>
                <w:shd w:val="clear" w:color="auto" w:fill="auto"/>
                <w:noWrap/>
                <w:vAlign w:val="center"/>
              </w:tcPr>
              <w:p>
                <w:pPr>
                  <w:rPr>
                    <w:sz w:val="22"/>
                  </w:rPr>
                </w:pPr>
                <w:r>
                  <w:rPr>
                    <w:rFonts w:hint="eastAsia"/>
                    <w:sz w:val="22"/>
                  </w:rPr>
                  <w:t>任晓常、钟弦、王梦麟、肖翔、窦军生</w:t>
                </w:r>
              </w:p>
            </w:tc>
          </w:tr>
          <w:tr>
            <w:tblPrEx>
              <w:tblCellMar>
                <w:top w:w="0" w:type="dxa"/>
                <w:left w:w="108" w:type="dxa"/>
                <w:bottom w:w="0" w:type="dxa"/>
                <w:right w:w="108" w:type="dxa"/>
              </w:tblCellMar>
            </w:tblPrEx>
            <w:trPr>
              <w:trHeight w:val="270" w:hRule="atLeast"/>
              <w:jc w:val="center"/>
            </w:trPr>
            <w:sdt>
              <w:sdtPr>
                <w:rPr>
                  <w:rFonts w:hint="eastAsia"/>
                  <w:color w:val="000000"/>
                  <w:sz w:val="22"/>
                </w:rPr>
                <w:tag w:val="_PLD_12c5e418d6c54148af62a22bed7a134c"/>
                <w:id w:val="-373703119"/>
                <w:lock w:val="sdtLocked"/>
              </w:sdtPr>
              <w:sdtEndPr>
                <w:rPr>
                  <w:rFonts w:hint="eastAsia"/>
                  <w:color w:val="000000"/>
                  <w:sz w:val="22"/>
                </w:rPr>
              </w:sdtEndPr>
              <w:sdtContent>
                <w:tc>
                  <w:tcPr>
                    <w:tcW w:w="2586"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color w:val="000000"/>
                        <w:sz w:val="22"/>
                      </w:rPr>
                    </w:pPr>
                    <w:r>
                      <w:rPr>
                        <w:rFonts w:hint="eastAsia"/>
                        <w:color w:val="000000"/>
                        <w:sz w:val="22"/>
                      </w:rPr>
                      <w:t>战略委员会</w:t>
                    </w:r>
                  </w:p>
                </w:tc>
              </w:sdtContent>
            </w:sdt>
            <w:tc>
              <w:tcPr>
                <w:tcW w:w="6465" w:type="dxa"/>
                <w:tcBorders>
                  <w:top w:val="single" w:color="auto" w:sz="4" w:space="0"/>
                  <w:left w:val="nil"/>
                  <w:bottom w:val="single" w:color="auto" w:sz="4" w:space="0"/>
                  <w:right w:val="single" w:color="auto" w:sz="4" w:space="0"/>
                </w:tcBorders>
                <w:shd w:val="clear" w:color="auto" w:fill="auto"/>
                <w:noWrap/>
                <w:vAlign w:val="center"/>
              </w:tcPr>
              <w:p>
                <w:pPr>
                  <w:rPr>
                    <w:sz w:val="22"/>
                  </w:rPr>
                </w:pPr>
                <w:r>
                  <w:rPr>
                    <w:rFonts w:hint="eastAsia"/>
                    <w:sz w:val="22"/>
                  </w:rPr>
                  <w:t>徐志豪、朱军、钟弦</w:t>
                </w:r>
              </w:p>
            </w:tc>
          </w:tr>
        </w:tbl>
        <w:p>
          <w:pPr>
            <w:rPr>
              <w:szCs w:val="21"/>
            </w:rPr>
          </w:pPr>
        </w:p>
      </w:sdtContent>
    </w:sdt>
    <w:sdt>
      <w:sdtPr>
        <w:rPr>
          <w:rFonts w:hint="eastAsia" w:ascii="宋体" w:hAnsi="宋体" w:cs="宋体"/>
          <w:b/>
          <w:bCs/>
          <w:kern w:val="0"/>
          <w:szCs w:val="24"/>
        </w:rPr>
        <w:alias w:val="模块:报告期内召开__次会议召开日期会议内容重要意见和建议其他履..."/>
        <w:tag w:val="_SEC_1e3a9c0a15ba40d1bda51574352f1bf7"/>
        <w:id w:val="2054651585"/>
        <w:lock w:val="sdtLocked"/>
        <w:placeholder>
          <w:docPart w:val="GBC22222222222222222222222222222"/>
        </w:placeholder>
      </w:sdtPr>
      <w:sdtEndPr>
        <w:rPr>
          <w:rFonts w:hint="eastAsia" w:ascii="宋体" w:hAnsi="宋体" w:cs="宋体"/>
          <w:b w:val="0"/>
          <w:bCs w:val="0"/>
          <w:kern w:val="0"/>
          <w:szCs w:val="24"/>
        </w:rPr>
      </w:sdtEndPr>
      <w:sdtContent>
        <w:p>
          <w:pPr>
            <w:pStyle w:val="55"/>
            <w:numPr>
              <w:ilvl w:val="0"/>
              <w:numId w:val="20"/>
            </w:numPr>
            <w:ind w:firstLineChars="0"/>
            <w:rPr>
              <w:b/>
              <w:bCs/>
            </w:rPr>
          </w:pPr>
          <w:r>
            <w:rPr>
              <w:rFonts w:hint="eastAsia"/>
              <w:b/>
              <w:bCs/>
            </w:rPr>
            <w:t>报告期内</w:t>
          </w:r>
          <w:sdt>
            <w:sdtPr>
              <w:rPr>
                <w:rFonts w:hint="eastAsia"/>
                <w:b/>
                <w:bCs/>
              </w:rPr>
              <w:alias w:val="召开会议的专门委员会类别"/>
              <w:tag w:val="_GBC_adf76ecbe3584f07b573642215a867bd"/>
              <w:id w:val="-615292957"/>
              <w:lock w:val="sdtLocked"/>
            </w:sdtPr>
            <w:sdtEndPr>
              <w:rPr>
                <w:rFonts w:hint="eastAsia"/>
                <w:b/>
                <w:bCs/>
              </w:rPr>
            </w:sdtEndPr>
            <w:sdtContent>
              <w:r>
                <w:rPr>
                  <w:rFonts w:hint="eastAsia"/>
                  <w:b/>
                  <w:bCs/>
                </w:rPr>
                <w:t>审计</w:t>
              </w:r>
            </w:sdtContent>
          </w:sdt>
          <w:r>
            <w:rPr>
              <w:rFonts w:hint="eastAsia"/>
              <w:b/>
              <w:bCs/>
            </w:rPr>
            <w:t>委员会召开</w:t>
          </w:r>
          <w:sdt>
            <w:sdtPr>
              <w:rPr>
                <w:rFonts w:hint="eastAsia"/>
                <w:b/>
                <w:bCs/>
              </w:rPr>
              <w:alias w:val="报告期内召开专门委员会会议次数"/>
              <w:tag w:val="_GBC_7bf2cd7c3a6a4685ac9c89ee396352a0"/>
              <w:id w:val="-700324461"/>
              <w:lock w:val="sdtLocked"/>
            </w:sdtPr>
            <w:sdtEndPr>
              <w:rPr>
                <w:rFonts w:hint="eastAsia"/>
                <w:b/>
                <w:bCs/>
              </w:rPr>
            </w:sdtEndPr>
            <w:sdtContent>
              <w:r>
                <w:rPr>
                  <w:b/>
                  <w:bCs/>
                </w:rPr>
                <w:t>6</w:t>
              </w:r>
            </w:sdtContent>
          </w:sdt>
          <w:r>
            <w:rPr>
              <w:rFonts w:hint="eastAsia"/>
              <w:b/>
              <w:bCs/>
            </w:rPr>
            <w:t>次会议</w:t>
          </w:r>
        </w:p>
        <w:tbl>
          <w:tblPr>
            <w:tblStyle w:val="108"/>
            <w:tblW w:w="5312"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3401"/>
            <w:gridCol w:w="3119"/>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81aefc289fbf48b1865138608d8bd14f"/>
                <w:id w:val="-1410065566"/>
                <w:lock w:val="sdtLocked"/>
              </w:sdtPr>
              <w:sdtEndPr>
                <w:rPr>
                  <w:rFonts w:hint="eastAsia"/>
                  <w:szCs w:val="21"/>
                </w:rPr>
              </w:sdtEndPr>
              <w:sdtContent>
                <w:tc>
                  <w:tcPr>
                    <w:tcW w:w="1032" w:type="pct"/>
                    <w:shd w:val="clear" w:color="auto" w:fill="auto"/>
                    <w:vAlign w:val="center"/>
                  </w:tcPr>
                  <w:p>
                    <w:pPr>
                      <w:jc w:val="center"/>
                      <w:rPr>
                        <w:szCs w:val="21"/>
                      </w:rPr>
                    </w:pPr>
                    <w:r>
                      <w:rPr>
                        <w:rFonts w:hint="eastAsia"/>
                        <w:szCs w:val="21"/>
                      </w:rPr>
                      <w:t>召开日期</w:t>
                    </w:r>
                  </w:p>
                </w:tc>
              </w:sdtContent>
            </w:sdt>
            <w:sdt>
              <w:sdtPr>
                <w:rPr>
                  <w:rFonts w:hint="eastAsia"/>
                  <w:szCs w:val="21"/>
                </w:rPr>
                <w:tag w:val="_PLD_9d24b601ec70414eb969daf6b393edc8"/>
                <w:id w:val="-1147043608"/>
                <w:lock w:val="sdtLocked"/>
              </w:sdtPr>
              <w:sdtEndPr>
                <w:rPr>
                  <w:rFonts w:hint="eastAsia"/>
                  <w:szCs w:val="21"/>
                </w:rPr>
              </w:sdtEndPr>
              <w:sdtContent>
                <w:tc>
                  <w:tcPr>
                    <w:tcW w:w="1769" w:type="pct"/>
                    <w:shd w:val="clear" w:color="auto" w:fill="auto"/>
                    <w:vAlign w:val="center"/>
                  </w:tcPr>
                  <w:p>
                    <w:pPr>
                      <w:jc w:val="center"/>
                      <w:rPr>
                        <w:szCs w:val="21"/>
                      </w:rPr>
                    </w:pPr>
                    <w:r>
                      <w:rPr>
                        <w:rFonts w:hint="eastAsia"/>
                        <w:szCs w:val="21"/>
                      </w:rPr>
                      <w:t>会议内容</w:t>
                    </w:r>
                  </w:p>
                </w:tc>
              </w:sdtContent>
            </w:sdt>
            <w:sdt>
              <w:sdtPr>
                <w:rPr>
                  <w:rFonts w:hint="eastAsia"/>
                  <w:szCs w:val="21"/>
                </w:rPr>
                <w:tag w:val="_PLD_6ea19dadc3684e98a6d98faaf035a9d9"/>
                <w:id w:val="-1844464108"/>
                <w:lock w:val="sdtLocked"/>
              </w:sdtPr>
              <w:sdtEndPr>
                <w:rPr>
                  <w:rFonts w:hint="eastAsia"/>
                  <w:szCs w:val="21"/>
                </w:rPr>
              </w:sdtEndPr>
              <w:sdtContent>
                <w:tc>
                  <w:tcPr>
                    <w:tcW w:w="1622" w:type="pct"/>
                    <w:shd w:val="clear" w:color="auto" w:fill="auto"/>
                    <w:vAlign w:val="center"/>
                  </w:tcPr>
                  <w:p>
                    <w:pPr>
                      <w:jc w:val="center"/>
                      <w:rPr>
                        <w:szCs w:val="21"/>
                      </w:rPr>
                    </w:pPr>
                    <w:r>
                      <w:rPr>
                        <w:rFonts w:hint="eastAsia"/>
                        <w:szCs w:val="21"/>
                      </w:rPr>
                      <w:t>重要意见和建议</w:t>
                    </w:r>
                  </w:p>
                </w:tc>
              </w:sdtContent>
            </w:sdt>
            <w:sdt>
              <w:sdtPr>
                <w:rPr>
                  <w:rFonts w:hint="eastAsia"/>
                  <w:szCs w:val="21"/>
                </w:rPr>
                <w:tag w:val="_PLD_ef03d3ffb00740008011022cb6a96805"/>
                <w:id w:val="-2082288451"/>
                <w:lock w:val="sdtLocked"/>
              </w:sdtPr>
              <w:sdtEndPr>
                <w:rPr>
                  <w:rFonts w:hint="eastAsia"/>
                  <w:szCs w:val="21"/>
                </w:rPr>
              </w:sdtEndPr>
              <w:sdtContent>
                <w:tc>
                  <w:tcPr>
                    <w:tcW w:w="577" w:type="pct"/>
                    <w:shd w:val="clear" w:color="auto" w:fill="auto"/>
                    <w:vAlign w:val="center"/>
                  </w:tcPr>
                  <w:p>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81957504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shd w:val="clear" w:color="auto" w:fill="auto"/>
                    <w:vAlign w:val="center"/>
                  </w:tcPr>
                  <w:p>
                    <w:pPr>
                      <w:jc w:val="both"/>
                      <w:rPr>
                        <w:szCs w:val="21"/>
                      </w:rPr>
                    </w:pPr>
                    <w:r>
                      <w:t>2021年3月26日</w:t>
                    </w:r>
                  </w:p>
                </w:tc>
                <w:tc>
                  <w:tcPr>
                    <w:tcW w:w="1769" w:type="pct"/>
                    <w:shd w:val="clear" w:color="auto" w:fill="auto"/>
                    <w:vAlign w:val="center"/>
                  </w:tcPr>
                  <w:p>
                    <w:pPr>
                      <w:jc w:val="both"/>
                      <w:rPr>
                        <w:szCs w:val="21"/>
                      </w:rPr>
                    </w:pPr>
                    <w:r>
                      <w:rPr>
                        <w:rFonts w:hint="eastAsia"/>
                      </w:rPr>
                      <w:t>对公司2020年度财务报表及审计重点事项进行讨论与沟通。</w:t>
                    </w:r>
                  </w:p>
                </w:tc>
                <w:tc>
                  <w:tcPr>
                    <w:tcW w:w="1622" w:type="pct"/>
                    <w:shd w:val="clear" w:color="auto" w:fill="auto"/>
                    <w:vAlign w:val="center"/>
                  </w:tcPr>
                  <w:p>
                    <w:pPr>
                      <w:jc w:val="both"/>
                      <w:rPr>
                        <w:szCs w:val="21"/>
                      </w:rPr>
                    </w:pPr>
                    <w:r>
                      <w:rPr>
                        <w:rFonts w:hint="eastAsia"/>
                        <w:szCs w:val="21"/>
                      </w:rPr>
                      <w:t>公司</w:t>
                    </w:r>
                    <w:r>
                      <w:rPr>
                        <w:szCs w:val="21"/>
                      </w:rPr>
                      <w:t>2020年度财务报表能够充分反映公司的财务状况以及经营成果，编制和审核程序符合中国证监会和上海证券交易所规定</w:t>
                    </w:r>
                    <w:r>
                      <w:rPr>
                        <w:rFonts w:hint="eastAsia"/>
                        <w:szCs w:val="21"/>
                      </w:rPr>
                      <w:t>。</w:t>
                    </w:r>
                  </w:p>
                </w:tc>
                <w:tc>
                  <w:tcPr>
                    <w:tcW w:w="577" w:type="pct"/>
                    <w:shd w:val="clear" w:color="auto" w:fill="auto"/>
                    <w:vAlign w:val="center"/>
                  </w:tcPr>
                  <w:p>
                    <w:pPr>
                      <w:jc w:val="both"/>
                      <w:rPr>
                        <w:szCs w:val="21"/>
                      </w:rPr>
                    </w:pPr>
                    <w:r>
                      <w:rPr>
                        <w:rFonts w:hint="eastAsia"/>
                        <w:szCs w:val="21"/>
                      </w:rPr>
                      <w:t>就审计范围、审计计划、审计方法等事项等进行了讨论与沟通。</w:t>
                    </w:r>
                  </w:p>
                </w:tc>
              </w:tr>
            </w:sdtContent>
          </w:sdt>
          <w:sdt>
            <w:sdtPr>
              <w:rPr>
                <w:szCs w:val="21"/>
              </w:rPr>
              <w:alias w:val="董事会下设专门委员会情况明细"/>
              <w:tag w:val="_TUP_ba8ed794bebb4cad9c2e7f1db76b0a19"/>
              <w:id w:val="59189438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shd w:val="clear" w:color="auto" w:fill="auto"/>
                    <w:vAlign w:val="center"/>
                  </w:tcPr>
                  <w:p>
                    <w:pPr>
                      <w:jc w:val="both"/>
                      <w:rPr>
                        <w:szCs w:val="21"/>
                      </w:rPr>
                    </w:pPr>
                    <w:r>
                      <w:t>2021年4月8日</w:t>
                    </w:r>
                  </w:p>
                </w:tc>
                <w:tc>
                  <w:tcPr>
                    <w:tcW w:w="1769" w:type="pct"/>
                    <w:shd w:val="clear" w:color="auto" w:fill="auto"/>
                    <w:vAlign w:val="center"/>
                  </w:tcPr>
                  <w:p>
                    <w:pPr>
                      <w:jc w:val="both"/>
                    </w:pPr>
                    <w:r>
                      <w:rPr>
                        <w:rFonts w:hint="eastAsia"/>
                      </w:rPr>
                      <w:t>1、</w:t>
                    </w:r>
                    <w:r>
                      <w:t>《关于2020年度财务决算报告的议案》</w:t>
                    </w:r>
                  </w:p>
                  <w:p>
                    <w:pPr>
                      <w:jc w:val="both"/>
                    </w:pPr>
                    <w:r>
                      <w:t>2</w:t>
                    </w:r>
                    <w:r>
                      <w:rPr>
                        <w:rFonts w:hint="eastAsia"/>
                      </w:rPr>
                      <w:t>、</w:t>
                    </w:r>
                    <w:r>
                      <w:t>《关于2020年年度报告正文及摘要的议案》</w:t>
                    </w:r>
                  </w:p>
                  <w:p>
                    <w:pPr>
                      <w:jc w:val="both"/>
                    </w:pPr>
                    <w:r>
                      <w:t>3</w:t>
                    </w:r>
                    <w:r>
                      <w:rPr>
                        <w:rFonts w:hint="eastAsia"/>
                      </w:rPr>
                      <w:t>、</w:t>
                    </w:r>
                    <w:r>
                      <w:t>《关于2020年度利润分配方案的议案》</w:t>
                    </w:r>
                  </w:p>
                  <w:p>
                    <w:pPr>
                      <w:jc w:val="both"/>
                    </w:pPr>
                    <w:r>
                      <w:t>4</w:t>
                    </w:r>
                    <w:r>
                      <w:rPr>
                        <w:rFonts w:hint="eastAsia"/>
                      </w:rPr>
                      <w:t>、</w:t>
                    </w:r>
                    <w:r>
                      <w:t>《关于募集资金投资项目终止并将节余募集资金永久补充流动资金的议案》</w:t>
                    </w:r>
                  </w:p>
                  <w:p>
                    <w:pPr>
                      <w:jc w:val="both"/>
                    </w:pPr>
                    <w:r>
                      <w:t>5</w:t>
                    </w:r>
                    <w:r>
                      <w:rPr>
                        <w:rFonts w:hint="eastAsia"/>
                      </w:rPr>
                      <w:t>、</w:t>
                    </w:r>
                    <w:r>
                      <w:t>《关于2020年度募集资金存放和使用情况专项报告的议案》6</w:t>
                    </w:r>
                    <w:r>
                      <w:rPr>
                        <w:rFonts w:hint="eastAsia"/>
                      </w:rPr>
                      <w:t>、</w:t>
                    </w:r>
                    <w:r>
                      <w:t>《关于&lt;董事会审计委员会2020年度履职情况报告&gt;的议案》</w:t>
                    </w:r>
                  </w:p>
                  <w:p>
                    <w:pPr>
                      <w:jc w:val="both"/>
                    </w:pPr>
                    <w:r>
                      <w:t>7</w:t>
                    </w:r>
                    <w:r>
                      <w:rPr>
                        <w:rFonts w:hint="eastAsia"/>
                      </w:rPr>
                      <w:t>、</w:t>
                    </w:r>
                    <w:r>
                      <w:t>《关于2020年度日常关联交易实施情况及2021年度日常关联交易计划的议案》</w:t>
                    </w:r>
                  </w:p>
                  <w:p>
                    <w:pPr>
                      <w:jc w:val="both"/>
                    </w:pPr>
                    <w:r>
                      <w:t>8</w:t>
                    </w:r>
                    <w:r>
                      <w:rPr>
                        <w:rFonts w:hint="eastAsia"/>
                      </w:rPr>
                      <w:t>、</w:t>
                    </w:r>
                    <w:r>
                      <w:t>《关于2020年度内部控制评价报告的议案》</w:t>
                    </w:r>
                  </w:p>
                  <w:p>
                    <w:pPr>
                      <w:jc w:val="both"/>
                    </w:pPr>
                    <w:r>
                      <w:t>9</w:t>
                    </w:r>
                    <w:r>
                      <w:rPr>
                        <w:rFonts w:hint="eastAsia"/>
                      </w:rPr>
                      <w:t>、</w:t>
                    </w:r>
                    <w:r>
                      <w:t>《关于续聘2021年度财务审计和内控审计机构的议案》</w:t>
                    </w:r>
                  </w:p>
                  <w:p>
                    <w:pPr>
                      <w:jc w:val="both"/>
                      <w:rPr>
                        <w:szCs w:val="21"/>
                      </w:rPr>
                    </w:pPr>
                    <w:r>
                      <w:t>10</w:t>
                    </w:r>
                    <w:r>
                      <w:rPr>
                        <w:rFonts w:hint="eastAsia"/>
                      </w:rPr>
                      <w:t>、</w:t>
                    </w:r>
                    <w:r>
                      <w:t>《关于2020年度资产处置及计提资产减值准备的议案》 </w:t>
                    </w:r>
                  </w:p>
                </w:tc>
                <w:tc>
                  <w:tcPr>
                    <w:tcW w:w="1622" w:type="pct"/>
                    <w:shd w:val="clear" w:color="auto" w:fill="auto"/>
                    <w:vAlign w:val="center"/>
                  </w:tcPr>
                  <w:p>
                    <w:pPr>
                      <w:jc w:val="both"/>
                      <w:rPr>
                        <w:szCs w:val="21"/>
                      </w:rPr>
                    </w:pPr>
                    <w:r>
                      <w:rPr>
                        <w:rFonts w:hint="eastAsia"/>
                      </w:rPr>
                      <w:t>全体委员均同意提请会议审议事项，并同意提交董事会审议。</w:t>
                    </w:r>
                  </w:p>
                </w:tc>
                <w:tc>
                  <w:tcPr>
                    <w:tcW w:w="577" w:type="pct"/>
                    <w:shd w:val="clear" w:color="auto" w:fill="auto"/>
                    <w:vAlign w:val="center"/>
                  </w:tcPr>
                  <w:p>
                    <w:pPr>
                      <w:jc w:val="both"/>
                      <w:rPr>
                        <w:szCs w:val="21"/>
                      </w:rPr>
                    </w:pPr>
                    <w:r>
                      <w:t>无</w:t>
                    </w:r>
                  </w:p>
                </w:tc>
              </w:tr>
            </w:sdtContent>
          </w:sdt>
          <w:sdt>
            <w:sdtPr>
              <w:rPr>
                <w:szCs w:val="21"/>
              </w:rPr>
              <w:alias w:val="董事会下设专门委员会情况明细"/>
              <w:tag w:val="_TUP_ba8ed794bebb4cad9c2e7f1db76b0a19"/>
              <w:id w:val="18094732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shd w:val="clear" w:color="auto" w:fill="auto"/>
                    <w:vAlign w:val="center"/>
                  </w:tcPr>
                  <w:p>
                    <w:pPr>
                      <w:jc w:val="both"/>
                      <w:rPr>
                        <w:szCs w:val="21"/>
                      </w:rPr>
                    </w:pPr>
                    <w:r>
                      <w:t>2021年4月28日</w:t>
                    </w:r>
                  </w:p>
                </w:tc>
                <w:tc>
                  <w:tcPr>
                    <w:tcW w:w="1769" w:type="pct"/>
                    <w:shd w:val="clear" w:color="auto" w:fill="auto"/>
                    <w:vAlign w:val="center"/>
                  </w:tcPr>
                  <w:p>
                    <w:pPr>
                      <w:jc w:val="both"/>
                      <w:rPr>
                        <w:szCs w:val="21"/>
                      </w:rPr>
                    </w:pPr>
                    <w:r>
                      <w:t>《关于2021年第一季度报告的议案》</w:t>
                    </w:r>
                  </w:p>
                </w:tc>
                <w:tc>
                  <w:tcPr>
                    <w:tcW w:w="1622" w:type="pct"/>
                    <w:shd w:val="clear" w:color="auto" w:fill="auto"/>
                    <w:vAlign w:val="center"/>
                  </w:tcPr>
                  <w:p>
                    <w:pPr>
                      <w:jc w:val="both"/>
                      <w:rPr>
                        <w:szCs w:val="21"/>
                      </w:rPr>
                    </w:pPr>
                    <w:r>
                      <w:rPr>
                        <w:rFonts w:hint="eastAsia"/>
                      </w:rPr>
                      <w:t>全体委员均同意提请会议审议事项，并同意提交董事会审议。</w:t>
                    </w:r>
                  </w:p>
                </w:tc>
                <w:tc>
                  <w:tcPr>
                    <w:tcW w:w="577" w:type="pct"/>
                    <w:shd w:val="clear" w:color="auto" w:fill="auto"/>
                    <w:vAlign w:val="center"/>
                  </w:tcPr>
                  <w:p>
                    <w:pPr>
                      <w:jc w:val="center"/>
                      <w:rPr>
                        <w:szCs w:val="21"/>
                      </w:rPr>
                    </w:pPr>
                    <w:r>
                      <w:t>无</w:t>
                    </w:r>
                  </w:p>
                </w:tc>
              </w:tr>
            </w:sdtContent>
          </w:sdt>
          <w:sdt>
            <w:sdtPr>
              <w:rPr>
                <w:szCs w:val="21"/>
              </w:rPr>
              <w:alias w:val="董事会下设专门委员会情况明细"/>
              <w:tag w:val="_TUP_ba8ed794bebb4cad9c2e7f1db76b0a19"/>
              <w:id w:val="-81271544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shd w:val="clear" w:color="auto" w:fill="auto"/>
                    <w:vAlign w:val="center"/>
                  </w:tcPr>
                  <w:p>
                    <w:pPr>
                      <w:jc w:val="both"/>
                      <w:rPr>
                        <w:szCs w:val="21"/>
                      </w:rPr>
                    </w:pPr>
                    <w:r>
                      <w:t>2021年8月3日</w:t>
                    </w:r>
                  </w:p>
                </w:tc>
                <w:tc>
                  <w:tcPr>
                    <w:tcW w:w="1769" w:type="pct"/>
                    <w:shd w:val="clear" w:color="auto" w:fill="auto"/>
                    <w:vAlign w:val="center"/>
                  </w:tcPr>
                  <w:p>
                    <w:pPr>
                      <w:jc w:val="both"/>
                      <w:rPr>
                        <w:szCs w:val="21"/>
                      </w:rPr>
                    </w:pPr>
                    <w:r>
                      <w:t>《关于2021年半年度报告正文及摘要的议案》</w:t>
                    </w:r>
                  </w:p>
                </w:tc>
                <w:tc>
                  <w:tcPr>
                    <w:tcW w:w="1622" w:type="pct"/>
                    <w:shd w:val="clear" w:color="auto" w:fill="auto"/>
                    <w:vAlign w:val="center"/>
                  </w:tcPr>
                  <w:p>
                    <w:pPr>
                      <w:jc w:val="both"/>
                      <w:rPr>
                        <w:szCs w:val="21"/>
                      </w:rPr>
                    </w:pPr>
                    <w:r>
                      <w:rPr>
                        <w:rFonts w:hint="eastAsia"/>
                      </w:rPr>
                      <w:t>全体委员均同意提请会议审议事项，并同意提交董事会审议。</w:t>
                    </w:r>
                  </w:p>
                </w:tc>
                <w:tc>
                  <w:tcPr>
                    <w:tcW w:w="577" w:type="pct"/>
                    <w:shd w:val="clear" w:color="auto" w:fill="auto"/>
                    <w:vAlign w:val="center"/>
                  </w:tcPr>
                  <w:p>
                    <w:pPr>
                      <w:jc w:val="center"/>
                      <w:rPr>
                        <w:szCs w:val="21"/>
                      </w:rPr>
                    </w:pPr>
                    <w:r>
                      <w:t>无</w:t>
                    </w:r>
                  </w:p>
                </w:tc>
              </w:tr>
            </w:sdtContent>
          </w:sdt>
          <w:sdt>
            <w:sdtPr>
              <w:rPr>
                <w:szCs w:val="21"/>
              </w:rPr>
              <w:alias w:val="董事会下设专门委员会情况明细"/>
              <w:tag w:val="_TUP_ba8ed794bebb4cad9c2e7f1db76b0a19"/>
              <w:id w:val="76404207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shd w:val="clear" w:color="auto" w:fill="auto"/>
                    <w:vAlign w:val="center"/>
                  </w:tcPr>
                  <w:p>
                    <w:pPr>
                      <w:jc w:val="both"/>
                      <w:rPr>
                        <w:szCs w:val="21"/>
                      </w:rPr>
                    </w:pPr>
                    <w:r>
                      <w:t>2021年10月25日</w:t>
                    </w:r>
                  </w:p>
                </w:tc>
                <w:tc>
                  <w:tcPr>
                    <w:tcW w:w="1769" w:type="pct"/>
                    <w:shd w:val="clear" w:color="auto" w:fill="auto"/>
                    <w:vAlign w:val="center"/>
                  </w:tcPr>
                  <w:p>
                    <w:pPr>
                      <w:jc w:val="both"/>
                      <w:rPr>
                        <w:szCs w:val="21"/>
                      </w:rPr>
                    </w:pPr>
                    <w:r>
                      <w:t>《关于2021年第三季度报告的议案》</w:t>
                    </w:r>
                  </w:p>
                </w:tc>
                <w:tc>
                  <w:tcPr>
                    <w:tcW w:w="1622" w:type="pct"/>
                    <w:shd w:val="clear" w:color="auto" w:fill="auto"/>
                    <w:vAlign w:val="center"/>
                  </w:tcPr>
                  <w:p>
                    <w:pPr>
                      <w:jc w:val="both"/>
                      <w:rPr>
                        <w:szCs w:val="21"/>
                      </w:rPr>
                    </w:pPr>
                    <w:r>
                      <w:rPr>
                        <w:rFonts w:hint="eastAsia"/>
                      </w:rPr>
                      <w:t>全体委员均同意提请会议审议事项，并同意提交董事会审议。</w:t>
                    </w:r>
                  </w:p>
                </w:tc>
                <w:tc>
                  <w:tcPr>
                    <w:tcW w:w="577" w:type="pct"/>
                    <w:shd w:val="clear" w:color="auto" w:fill="auto"/>
                    <w:vAlign w:val="center"/>
                  </w:tcPr>
                  <w:p>
                    <w:pPr>
                      <w:jc w:val="center"/>
                      <w:rPr>
                        <w:szCs w:val="21"/>
                      </w:rPr>
                    </w:pPr>
                    <w:r>
                      <w:t>无</w:t>
                    </w:r>
                  </w:p>
                </w:tc>
              </w:tr>
            </w:sdtContent>
          </w:sdt>
          <w:sdt>
            <w:sdtPr>
              <w:rPr>
                <w:szCs w:val="21"/>
              </w:rPr>
              <w:alias w:val="董事会下设专门委员会情况明细"/>
              <w:tag w:val="_TUP_ba8ed794bebb4cad9c2e7f1db76b0a19"/>
              <w:id w:val="29332943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2" w:type="pct"/>
                    <w:shd w:val="clear" w:color="auto" w:fill="auto"/>
                    <w:vAlign w:val="center"/>
                  </w:tcPr>
                  <w:p>
                    <w:pPr>
                      <w:jc w:val="both"/>
                      <w:rPr>
                        <w:szCs w:val="21"/>
                      </w:rPr>
                    </w:pPr>
                    <w:r>
                      <w:t>2021年12月11日</w:t>
                    </w:r>
                  </w:p>
                </w:tc>
                <w:tc>
                  <w:tcPr>
                    <w:tcW w:w="1769" w:type="pct"/>
                    <w:shd w:val="clear" w:color="auto" w:fill="auto"/>
                    <w:vAlign w:val="center"/>
                  </w:tcPr>
                  <w:p>
                    <w:pPr>
                      <w:jc w:val="both"/>
                    </w:pPr>
                    <w:r>
                      <w:rPr>
                        <w:rFonts w:hint="eastAsia"/>
                      </w:rPr>
                      <w:t>1、《关于与关联方共同投资设立合资公司暨关联交易的议案》</w:t>
                    </w:r>
                  </w:p>
                  <w:p>
                    <w:pPr>
                      <w:jc w:val="both"/>
                      <w:rPr>
                        <w:szCs w:val="21"/>
                      </w:rPr>
                    </w:pPr>
                    <w:r>
                      <w:rPr>
                        <w:rFonts w:hint="eastAsia"/>
                      </w:rPr>
                      <w:t>2、</w:t>
                    </w:r>
                    <w:r>
                      <w:t>《关于增加2021年度日常关联交易预计额度的议案》</w:t>
                    </w:r>
                  </w:p>
                </w:tc>
                <w:tc>
                  <w:tcPr>
                    <w:tcW w:w="1622" w:type="pct"/>
                    <w:shd w:val="clear" w:color="auto" w:fill="auto"/>
                    <w:vAlign w:val="center"/>
                  </w:tcPr>
                  <w:p>
                    <w:pPr>
                      <w:jc w:val="both"/>
                      <w:rPr>
                        <w:szCs w:val="21"/>
                      </w:rPr>
                    </w:pPr>
                    <w:r>
                      <w:rPr>
                        <w:rFonts w:hint="eastAsia"/>
                      </w:rPr>
                      <w:t>全体委员均同意提请会议审议事项，并同意提交董事会审议。</w:t>
                    </w:r>
                  </w:p>
                </w:tc>
                <w:tc>
                  <w:tcPr>
                    <w:tcW w:w="577" w:type="pct"/>
                    <w:shd w:val="clear" w:color="auto" w:fill="auto"/>
                    <w:vAlign w:val="center"/>
                  </w:tcPr>
                  <w:p>
                    <w:pPr>
                      <w:jc w:val="center"/>
                      <w:rPr>
                        <w:szCs w:val="21"/>
                      </w:rPr>
                    </w:pPr>
                    <w:r>
                      <w:t>无</w:t>
                    </w:r>
                  </w:p>
                </w:tc>
              </w:tr>
            </w:sdtContent>
          </w:sdt>
        </w:tbl>
        <w:p/>
      </w:sdtContent>
    </w:sdt>
    <w:sdt>
      <w:sdtPr>
        <w:rPr>
          <w:rFonts w:hint="eastAsia" w:ascii="宋体" w:hAnsi="宋体" w:cs="宋体"/>
          <w:kern w:val="0"/>
          <w:szCs w:val="24"/>
        </w:rPr>
        <w:alias w:val="模块:专门委员会召开会议情况"/>
        <w:tag w:val="_SEC_1e3a9c0a15ba40d1bda51574352f1bf7"/>
        <w:id w:val="-1130474152"/>
        <w:lock w:val="sdtLocked"/>
      </w:sdtPr>
      <w:sdtEndPr>
        <w:rPr>
          <w:rFonts w:hint="eastAsia" w:ascii="宋体" w:hAnsi="宋体" w:cs="宋体"/>
          <w:kern w:val="0"/>
          <w:szCs w:val="24"/>
        </w:rPr>
      </w:sdtEndPr>
      <w:sdtContent>
        <w:p>
          <w:pPr>
            <w:pStyle w:val="55"/>
            <w:numPr>
              <w:ilvl w:val="0"/>
              <w:numId w:val="20"/>
            </w:numPr>
            <w:ind w:firstLineChars="0"/>
            <w:rPr>
              <w:b/>
              <w:bCs/>
            </w:rPr>
          </w:pPr>
          <w:r>
            <w:rPr>
              <w:rFonts w:hint="eastAsia"/>
              <w:b/>
              <w:bCs/>
            </w:rPr>
            <w:t>报告期内</w:t>
          </w:r>
          <w:sdt>
            <w:sdtPr>
              <w:rPr>
                <w:rFonts w:hint="eastAsia"/>
                <w:b/>
                <w:bCs/>
              </w:rPr>
              <w:alias w:val="召开会议的专门委员会类别"/>
              <w:tag w:val="_GBC_adf76ecbe3584f07b573642215a867bd"/>
              <w:id w:val="-12837666"/>
              <w:lock w:val="sdtLocked"/>
            </w:sdtPr>
            <w:sdtEndPr>
              <w:rPr>
                <w:rFonts w:hint="eastAsia"/>
                <w:b/>
                <w:bCs/>
              </w:rPr>
            </w:sdtEndPr>
            <w:sdtContent>
              <w:r>
                <w:rPr>
                  <w:rFonts w:hint="eastAsia" w:ascii="宋体" w:hAnsi="宋体"/>
                  <w:b/>
                  <w:bCs/>
                </w:rPr>
                <w:t>提名</w:t>
              </w:r>
            </w:sdtContent>
          </w:sdt>
          <w:r>
            <w:rPr>
              <w:rFonts w:hint="eastAsia"/>
              <w:b/>
              <w:bCs/>
            </w:rPr>
            <w:t>委员会召开</w:t>
          </w:r>
          <w:sdt>
            <w:sdtPr>
              <w:rPr>
                <w:rFonts w:hint="eastAsia"/>
                <w:b/>
                <w:bCs/>
              </w:rPr>
              <w:alias w:val="报告期内召开专门委员会会议次数"/>
              <w:tag w:val="_GBC_7bf2cd7c3a6a4685ac9c89ee396352a0"/>
              <w:id w:val="-1312472997"/>
              <w:lock w:val="sdtLocked"/>
            </w:sdtPr>
            <w:sdtEndPr>
              <w:rPr>
                <w:rFonts w:hint="eastAsia"/>
                <w:b/>
                <w:bCs/>
              </w:rPr>
            </w:sdtEndPr>
            <w:sdtContent>
              <w:r>
                <w:rPr>
                  <w:b/>
                  <w:bCs/>
                </w:rPr>
                <w:t>2</w:t>
              </w:r>
            </w:sdtContent>
          </w:sdt>
          <w:r>
            <w:rPr>
              <w:rFonts w:hint="eastAsia"/>
              <w:b/>
              <w:bCs/>
            </w:rPr>
            <w:t>次会议</w:t>
          </w:r>
        </w:p>
        <w:tbl>
          <w:tblPr>
            <w:tblStyle w:val="108"/>
            <w:tblW w:w="532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3403"/>
            <w:gridCol w:w="3117"/>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81aefc289fbf48b1865138608d8bd14f"/>
                <w:id w:val="864563632"/>
                <w:lock w:val="sdtLocked"/>
              </w:sdtPr>
              <w:sdtEndPr>
                <w:rPr>
                  <w:rFonts w:hint="eastAsia"/>
                  <w:szCs w:val="21"/>
                </w:rPr>
              </w:sdtEndPr>
              <w:sdtContent>
                <w:tc>
                  <w:tcPr>
                    <w:tcW w:w="1029" w:type="pct"/>
                    <w:shd w:val="clear" w:color="auto" w:fill="auto"/>
                    <w:vAlign w:val="center"/>
                  </w:tcPr>
                  <w:p>
                    <w:pPr>
                      <w:jc w:val="center"/>
                      <w:rPr>
                        <w:szCs w:val="21"/>
                      </w:rPr>
                    </w:pPr>
                    <w:r>
                      <w:rPr>
                        <w:rFonts w:hint="eastAsia"/>
                        <w:szCs w:val="21"/>
                      </w:rPr>
                      <w:t>召开日期</w:t>
                    </w:r>
                  </w:p>
                </w:tc>
              </w:sdtContent>
            </w:sdt>
            <w:sdt>
              <w:sdtPr>
                <w:rPr>
                  <w:rFonts w:hint="eastAsia"/>
                  <w:szCs w:val="21"/>
                </w:rPr>
                <w:tag w:val="_PLD_9d24b601ec70414eb969daf6b393edc8"/>
                <w:id w:val="2091736170"/>
                <w:lock w:val="sdtLocked"/>
              </w:sdtPr>
              <w:sdtEndPr>
                <w:rPr>
                  <w:rFonts w:hint="eastAsia"/>
                  <w:szCs w:val="21"/>
                </w:rPr>
              </w:sdtEndPr>
              <w:sdtContent>
                <w:tc>
                  <w:tcPr>
                    <w:tcW w:w="1765" w:type="pct"/>
                    <w:shd w:val="clear" w:color="auto" w:fill="auto"/>
                    <w:vAlign w:val="center"/>
                  </w:tcPr>
                  <w:p>
                    <w:pPr>
                      <w:jc w:val="center"/>
                      <w:rPr>
                        <w:szCs w:val="21"/>
                      </w:rPr>
                    </w:pPr>
                    <w:r>
                      <w:rPr>
                        <w:rFonts w:hint="eastAsia"/>
                        <w:szCs w:val="21"/>
                      </w:rPr>
                      <w:t>会议内容</w:t>
                    </w:r>
                  </w:p>
                </w:tc>
              </w:sdtContent>
            </w:sdt>
            <w:sdt>
              <w:sdtPr>
                <w:rPr>
                  <w:rFonts w:hint="eastAsia"/>
                  <w:szCs w:val="21"/>
                </w:rPr>
                <w:tag w:val="_PLD_6ea19dadc3684e98a6d98faaf035a9d9"/>
                <w:id w:val="-1765762934"/>
                <w:lock w:val="sdtLocked"/>
              </w:sdtPr>
              <w:sdtEndPr>
                <w:rPr>
                  <w:rFonts w:hint="eastAsia"/>
                  <w:szCs w:val="21"/>
                </w:rPr>
              </w:sdtEndPr>
              <w:sdtContent>
                <w:tc>
                  <w:tcPr>
                    <w:tcW w:w="1617" w:type="pct"/>
                    <w:shd w:val="clear" w:color="auto" w:fill="auto"/>
                    <w:vAlign w:val="center"/>
                  </w:tcPr>
                  <w:p>
                    <w:pPr>
                      <w:jc w:val="center"/>
                      <w:rPr>
                        <w:szCs w:val="21"/>
                      </w:rPr>
                    </w:pPr>
                    <w:r>
                      <w:rPr>
                        <w:rFonts w:hint="eastAsia"/>
                        <w:szCs w:val="21"/>
                      </w:rPr>
                      <w:t>重要意见和建议</w:t>
                    </w:r>
                  </w:p>
                </w:tc>
              </w:sdtContent>
            </w:sdt>
            <w:sdt>
              <w:sdtPr>
                <w:rPr>
                  <w:rFonts w:hint="eastAsia"/>
                  <w:szCs w:val="21"/>
                </w:rPr>
                <w:tag w:val="_PLD_ef03d3ffb00740008011022cb6a96805"/>
                <w:id w:val="1003175026"/>
                <w:lock w:val="sdtLocked"/>
              </w:sdtPr>
              <w:sdtEndPr>
                <w:rPr>
                  <w:rFonts w:hint="eastAsia"/>
                  <w:szCs w:val="21"/>
                </w:rPr>
              </w:sdtEndPr>
              <w:sdtContent>
                <w:tc>
                  <w:tcPr>
                    <w:tcW w:w="589" w:type="pct"/>
                    <w:shd w:val="clear" w:color="auto" w:fill="auto"/>
                    <w:vAlign w:val="center"/>
                  </w:tcPr>
                  <w:p>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100463498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29" w:type="pct"/>
                    <w:shd w:val="clear" w:color="auto" w:fill="auto"/>
                    <w:vAlign w:val="center"/>
                  </w:tcPr>
                  <w:p>
                    <w:pPr>
                      <w:jc w:val="both"/>
                      <w:rPr>
                        <w:szCs w:val="21"/>
                      </w:rPr>
                    </w:pPr>
                    <w:r>
                      <w:t>2021年1月22日</w:t>
                    </w:r>
                  </w:p>
                </w:tc>
                <w:tc>
                  <w:tcPr>
                    <w:tcW w:w="1765" w:type="pct"/>
                    <w:shd w:val="clear" w:color="auto" w:fill="auto"/>
                    <w:vAlign w:val="center"/>
                  </w:tcPr>
                  <w:p>
                    <w:pPr>
                      <w:jc w:val="both"/>
                    </w:pPr>
                    <w:r>
                      <w:rPr>
                        <w:rFonts w:hint="eastAsia"/>
                      </w:rPr>
                      <w:t>1、</w:t>
                    </w:r>
                    <w:r>
                      <w:t>《关于聘任总裁的议案》</w:t>
                    </w:r>
                  </w:p>
                  <w:p>
                    <w:pPr>
                      <w:jc w:val="both"/>
                    </w:pPr>
                    <w:r>
                      <w:t>2</w:t>
                    </w:r>
                    <w:r>
                      <w:rPr>
                        <w:rFonts w:hint="eastAsia"/>
                      </w:rPr>
                      <w:t>、</w:t>
                    </w:r>
                    <w:r>
                      <w:t>《关于聘任财务负责人的议案》</w:t>
                    </w:r>
                  </w:p>
                  <w:p>
                    <w:pPr>
                      <w:jc w:val="both"/>
                      <w:rPr>
                        <w:szCs w:val="21"/>
                      </w:rPr>
                    </w:pPr>
                    <w:r>
                      <w:t>3</w:t>
                    </w:r>
                    <w:r>
                      <w:rPr>
                        <w:rFonts w:hint="eastAsia"/>
                      </w:rPr>
                      <w:t>、</w:t>
                    </w:r>
                    <w:r>
                      <w:t>《关于聘任董事会秘书及证券事务代表的议案》</w:t>
                    </w:r>
                  </w:p>
                </w:tc>
                <w:tc>
                  <w:tcPr>
                    <w:tcW w:w="1617" w:type="pct"/>
                    <w:shd w:val="clear" w:color="auto" w:fill="auto"/>
                    <w:vAlign w:val="center"/>
                  </w:tcPr>
                  <w:p>
                    <w:pPr>
                      <w:jc w:val="both"/>
                      <w:rPr>
                        <w:szCs w:val="21"/>
                      </w:rPr>
                    </w:pPr>
                    <w:r>
                      <w:rPr>
                        <w:rFonts w:hint="eastAsia"/>
                      </w:rPr>
                      <w:t>全体委员均同意提请会议审议事项，并同意提交董事会审议。</w:t>
                    </w:r>
                  </w:p>
                </w:tc>
                <w:tc>
                  <w:tcPr>
                    <w:tcW w:w="589" w:type="pct"/>
                    <w:shd w:val="clear" w:color="auto" w:fill="auto"/>
                    <w:vAlign w:val="center"/>
                  </w:tcPr>
                  <w:p>
                    <w:pPr>
                      <w:jc w:val="center"/>
                      <w:rPr>
                        <w:szCs w:val="21"/>
                      </w:rPr>
                    </w:pPr>
                    <w:r>
                      <w:t>无</w:t>
                    </w:r>
                  </w:p>
                </w:tc>
              </w:tr>
            </w:sdtContent>
          </w:sdt>
          <w:sdt>
            <w:sdtPr>
              <w:rPr>
                <w:szCs w:val="21"/>
              </w:rPr>
              <w:alias w:val="董事会下设专门委员会情况明细"/>
              <w:tag w:val="_TUP_ba8ed794bebb4cad9c2e7f1db76b0a19"/>
              <w:id w:val="103222544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pct"/>
                    <w:shd w:val="clear" w:color="auto" w:fill="auto"/>
                    <w:vAlign w:val="center"/>
                  </w:tcPr>
                  <w:p>
                    <w:pPr>
                      <w:jc w:val="both"/>
                      <w:rPr>
                        <w:szCs w:val="21"/>
                      </w:rPr>
                    </w:pPr>
                    <w:r>
                      <w:t>2021年12月10日</w:t>
                    </w:r>
                  </w:p>
                </w:tc>
                <w:tc>
                  <w:tcPr>
                    <w:tcW w:w="1765" w:type="pct"/>
                    <w:shd w:val="clear" w:color="auto" w:fill="auto"/>
                    <w:vAlign w:val="center"/>
                  </w:tcPr>
                  <w:p>
                    <w:pPr>
                      <w:jc w:val="both"/>
                      <w:rPr>
                        <w:szCs w:val="21"/>
                      </w:rPr>
                    </w:pPr>
                    <w:r>
                      <w:t>《关于聘任高级管理人员的议案》</w:t>
                    </w:r>
                  </w:p>
                </w:tc>
                <w:tc>
                  <w:tcPr>
                    <w:tcW w:w="1617" w:type="pct"/>
                    <w:shd w:val="clear" w:color="auto" w:fill="auto"/>
                    <w:vAlign w:val="center"/>
                  </w:tcPr>
                  <w:p>
                    <w:pPr>
                      <w:jc w:val="both"/>
                      <w:rPr>
                        <w:szCs w:val="21"/>
                      </w:rPr>
                    </w:pPr>
                    <w:r>
                      <w:rPr>
                        <w:rFonts w:hint="eastAsia"/>
                      </w:rPr>
                      <w:t>全体委员均同意提请会议审议事项，并同意提交董事会审议。</w:t>
                    </w:r>
                  </w:p>
                </w:tc>
                <w:tc>
                  <w:tcPr>
                    <w:tcW w:w="589" w:type="pct"/>
                    <w:shd w:val="clear" w:color="auto" w:fill="auto"/>
                    <w:vAlign w:val="center"/>
                  </w:tcPr>
                  <w:p>
                    <w:pPr>
                      <w:jc w:val="center"/>
                      <w:rPr>
                        <w:szCs w:val="21"/>
                      </w:rPr>
                    </w:pPr>
                    <w:r>
                      <w:t>无</w:t>
                    </w:r>
                  </w:p>
                </w:tc>
              </w:tr>
            </w:sdtContent>
          </w:sdt>
        </w:tbl>
        <w:p/>
      </w:sdtContent>
    </w:sdt>
    <w:sdt>
      <w:sdtPr>
        <w:rPr>
          <w:rFonts w:hint="eastAsia" w:ascii="宋体" w:hAnsi="宋体" w:cs="宋体"/>
          <w:kern w:val="0"/>
          <w:szCs w:val="24"/>
        </w:rPr>
        <w:alias w:val="模块:专门委员会召开会议情况"/>
        <w:tag w:val="_SEC_1e3a9c0a15ba40d1bda51574352f1bf7"/>
        <w:id w:val="916523741"/>
        <w:lock w:val="sdtLocked"/>
      </w:sdtPr>
      <w:sdtEndPr>
        <w:rPr>
          <w:rFonts w:hint="eastAsia" w:ascii="宋体" w:hAnsi="宋体" w:cs="宋体"/>
          <w:kern w:val="0"/>
          <w:szCs w:val="24"/>
        </w:rPr>
      </w:sdtEndPr>
      <w:sdtContent>
        <w:p>
          <w:pPr>
            <w:pStyle w:val="55"/>
            <w:numPr>
              <w:ilvl w:val="0"/>
              <w:numId w:val="20"/>
            </w:numPr>
            <w:ind w:firstLineChars="0"/>
            <w:rPr>
              <w:b/>
              <w:bCs/>
            </w:rPr>
          </w:pPr>
          <w:r>
            <w:rPr>
              <w:rFonts w:hint="eastAsia"/>
              <w:b/>
              <w:bCs/>
            </w:rPr>
            <w:t>报告期内</w:t>
          </w:r>
          <w:sdt>
            <w:sdtPr>
              <w:rPr>
                <w:rFonts w:hint="eastAsia"/>
                <w:b/>
                <w:bCs/>
              </w:rPr>
              <w:alias w:val="召开会议的专门委员会类别"/>
              <w:tag w:val="_GBC_adf76ecbe3584f07b573642215a867bd"/>
              <w:id w:val="2048177884"/>
              <w:lock w:val="sdtLocked"/>
            </w:sdtPr>
            <w:sdtEndPr>
              <w:rPr>
                <w:rFonts w:hint="eastAsia"/>
                <w:b/>
                <w:bCs/>
              </w:rPr>
            </w:sdtEndPr>
            <w:sdtContent>
              <w:r>
                <w:rPr>
                  <w:rFonts w:hint="eastAsia" w:ascii="宋体" w:hAnsi="宋体"/>
                  <w:b/>
                  <w:bCs/>
                </w:rPr>
                <w:t>薪酬与考核</w:t>
              </w:r>
            </w:sdtContent>
          </w:sdt>
          <w:r>
            <w:rPr>
              <w:rFonts w:hint="eastAsia"/>
              <w:b/>
              <w:bCs/>
            </w:rPr>
            <w:t>委员会召开</w:t>
          </w:r>
          <w:sdt>
            <w:sdtPr>
              <w:rPr>
                <w:rFonts w:hint="eastAsia"/>
                <w:b/>
                <w:bCs/>
              </w:rPr>
              <w:alias w:val="报告期内召开专门委员会会议次数"/>
              <w:tag w:val="_GBC_7bf2cd7c3a6a4685ac9c89ee396352a0"/>
              <w:id w:val="1946114842"/>
              <w:lock w:val="sdtLocked"/>
            </w:sdtPr>
            <w:sdtEndPr>
              <w:rPr>
                <w:rFonts w:hint="eastAsia"/>
                <w:b/>
                <w:bCs/>
              </w:rPr>
            </w:sdtEndPr>
            <w:sdtContent>
              <w:r>
                <w:rPr>
                  <w:b/>
                  <w:bCs/>
                </w:rPr>
                <w:t>1</w:t>
              </w:r>
            </w:sdtContent>
          </w:sdt>
          <w:r>
            <w:rPr>
              <w:rFonts w:hint="eastAsia"/>
              <w:b/>
              <w:bCs/>
            </w:rPr>
            <w:t>次会议</w:t>
          </w:r>
        </w:p>
        <w:tbl>
          <w:tblPr>
            <w:tblStyle w:val="108"/>
            <w:tblW w:w="532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3403"/>
            <w:gridCol w:w="311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81aefc289fbf48b1865138608d8bd14f"/>
                <w:id w:val="1257403765"/>
                <w:lock w:val="sdtLocked"/>
              </w:sdtPr>
              <w:sdtEndPr>
                <w:rPr>
                  <w:rFonts w:hint="eastAsia"/>
                  <w:szCs w:val="21"/>
                </w:rPr>
              </w:sdtEndPr>
              <w:sdtContent>
                <w:tc>
                  <w:tcPr>
                    <w:tcW w:w="1029" w:type="pct"/>
                    <w:shd w:val="clear" w:color="auto" w:fill="auto"/>
                    <w:vAlign w:val="center"/>
                  </w:tcPr>
                  <w:p>
                    <w:pPr>
                      <w:jc w:val="center"/>
                      <w:rPr>
                        <w:szCs w:val="21"/>
                      </w:rPr>
                    </w:pPr>
                    <w:r>
                      <w:rPr>
                        <w:rFonts w:hint="eastAsia"/>
                        <w:szCs w:val="21"/>
                      </w:rPr>
                      <w:t>召开日期</w:t>
                    </w:r>
                  </w:p>
                </w:tc>
              </w:sdtContent>
            </w:sdt>
            <w:sdt>
              <w:sdtPr>
                <w:rPr>
                  <w:rFonts w:hint="eastAsia"/>
                  <w:szCs w:val="21"/>
                </w:rPr>
                <w:tag w:val="_PLD_9d24b601ec70414eb969daf6b393edc8"/>
                <w:id w:val="1502088985"/>
                <w:lock w:val="sdtLocked"/>
              </w:sdtPr>
              <w:sdtEndPr>
                <w:rPr>
                  <w:rFonts w:hint="eastAsia"/>
                  <w:szCs w:val="21"/>
                </w:rPr>
              </w:sdtEndPr>
              <w:sdtContent>
                <w:tc>
                  <w:tcPr>
                    <w:tcW w:w="1765" w:type="pct"/>
                    <w:shd w:val="clear" w:color="auto" w:fill="auto"/>
                    <w:vAlign w:val="center"/>
                  </w:tcPr>
                  <w:p>
                    <w:pPr>
                      <w:jc w:val="center"/>
                      <w:rPr>
                        <w:szCs w:val="21"/>
                      </w:rPr>
                    </w:pPr>
                    <w:r>
                      <w:rPr>
                        <w:rFonts w:hint="eastAsia"/>
                        <w:szCs w:val="21"/>
                      </w:rPr>
                      <w:t>会议内容</w:t>
                    </w:r>
                  </w:p>
                </w:tc>
              </w:sdtContent>
            </w:sdt>
            <w:sdt>
              <w:sdtPr>
                <w:rPr>
                  <w:rFonts w:hint="eastAsia"/>
                  <w:szCs w:val="21"/>
                </w:rPr>
                <w:tag w:val="_PLD_6ea19dadc3684e98a6d98faaf035a9d9"/>
                <w:id w:val="-2071727480"/>
                <w:lock w:val="sdtLocked"/>
              </w:sdtPr>
              <w:sdtEndPr>
                <w:rPr>
                  <w:rFonts w:hint="eastAsia"/>
                  <w:szCs w:val="21"/>
                </w:rPr>
              </w:sdtEndPr>
              <w:sdtContent>
                <w:tc>
                  <w:tcPr>
                    <w:tcW w:w="1618" w:type="pct"/>
                    <w:shd w:val="clear" w:color="auto" w:fill="auto"/>
                    <w:vAlign w:val="center"/>
                  </w:tcPr>
                  <w:p>
                    <w:pPr>
                      <w:jc w:val="center"/>
                      <w:rPr>
                        <w:szCs w:val="21"/>
                      </w:rPr>
                    </w:pPr>
                    <w:r>
                      <w:rPr>
                        <w:rFonts w:hint="eastAsia"/>
                        <w:szCs w:val="21"/>
                      </w:rPr>
                      <w:t>重要意见和建议</w:t>
                    </w:r>
                  </w:p>
                </w:tc>
              </w:sdtContent>
            </w:sdt>
            <w:sdt>
              <w:sdtPr>
                <w:rPr>
                  <w:rFonts w:hint="eastAsia"/>
                  <w:szCs w:val="21"/>
                </w:rPr>
                <w:tag w:val="_PLD_ef03d3ffb00740008011022cb6a96805"/>
                <w:id w:val="-1118139833"/>
                <w:lock w:val="sdtLocked"/>
              </w:sdtPr>
              <w:sdtEndPr>
                <w:rPr>
                  <w:rFonts w:hint="eastAsia"/>
                  <w:szCs w:val="21"/>
                </w:rPr>
              </w:sdtEndPr>
              <w:sdtContent>
                <w:tc>
                  <w:tcPr>
                    <w:tcW w:w="588" w:type="pct"/>
                    <w:shd w:val="clear" w:color="auto" w:fill="auto"/>
                    <w:vAlign w:val="center"/>
                  </w:tcPr>
                  <w:p>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82362799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pct"/>
                    <w:shd w:val="clear" w:color="auto" w:fill="auto"/>
                    <w:vAlign w:val="center"/>
                  </w:tcPr>
                  <w:p>
                    <w:pPr>
                      <w:jc w:val="center"/>
                      <w:rPr>
                        <w:szCs w:val="21"/>
                      </w:rPr>
                    </w:pPr>
                    <w:r>
                      <w:t>2021年4月8日</w:t>
                    </w:r>
                  </w:p>
                </w:tc>
                <w:tc>
                  <w:tcPr>
                    <w:tcW w:w="1765" w:type="pct"/>
                    <w:shd w:val="clear" w:color="auto" w:fill="auto"/>
                    <w:vAlign w:val="center"/>
                  </w:tcPr>
                  <w:p>
                    <w:pPr>
                      <w:rPr>
                        <w:szCs w:val="21"/>
                      </w:rPr>
                    </w:pPr>
                    <w:r>
                      <w:t>《关于调整独立董事津贴的议案》</w:t>
                    </w:r>
                  </w:p>
                </w:tc>
                <w:tc>
                  <w:tcPr>
                    <w:tcW w:w="1618" w:type="pct"/>
                    <w:shd w:val="clear" w:color="auto" w:fill="auto"/>
                    <w:vAlign w:val="center"/>
                  </w:tcPr>
                  <w:p>
                    <w:pPr>
                      <w:rPr>
                        <w:szCs w:val="21"/>
                      </w:rPr>
                    </w:pPr>
                    <w:r>
                      <w:rPr>
                        <w:rFonts w:hint="eastAsia"/>
                      </w:rPr>
                      <w:t>全体委员均同意提请会议审议事项，并同意提交董事会审议。</w:t>
                    </w:r>
                  </w:p>
                </w:tc>
                <w:tc>
                  <w:tcPr>
                    <w:tcW w:w="588" w:type="pct"/>
                    <w:shd w:val="clear" w:color="auto" w:fill="auto"/>
                    <w:vAlign w:val="center"/>
                  </w:tcPr>
                  <w:p>
                    <w:pPr>
                      <w:jc w:val="center"/>
                      <w:rPr>
                        <w:szCs w:val="21"/>
                      </w:rPr>
                    </w:pPr>
                    <w:r>
                      <w:t>无</w:t>
                    </w:r>
                  </w:p>
                </w:tc>
              </w:tr>
            </w:sdtContent>
          </w:sdt>
        </w:tbl>
        <w:p/>
      </w:sdtContent>
    </w:sdt>
    <w:sdt>
      <w:sdtPr>
        <w:rPr>
          <w:rFonts w:ascii="宋体" w:hAnsi="宋体" w:cs="宋体"/>
          <w:kern w:val="0"/>
          <w:szCs w:val="24"/>
        </w:rPr>
        <w:alias w:val="模块:专门委员会召开会议情况"/>
        <w:tag w:val="_SEC_1e3a9c0a15ba40d1bda51574352f1bf7"/>
        <w:id w:val="1198133130"/>
        <w:lock w:val="sdtLocked"/>
      </w:sdtPr>
      <w:sdtEndPr>
        <w:rPr>
          <w:rFonts w:ascii="宋体" w:hAnsi="宋体" w:cs="宋体"/>
          <w:kern w:val="0"/>
          <w:szCs w:val="24"/>
        </w:rPr>
      </w:sdtEndPr>
      <w:sdtContent>
        <w:p>
          <w:pPr>
            <w:pStyle w:val="55"/>
            <w:numPr>
              <w:ilvl w:val="0"/>
              <w:numId w:val="20"/>
            </w:numPr>
            <w:ind w:firstLineChars="0"/>
            <w:rPr>
              <w:b/>
              <w:bCs/>
            </w:rPr>
          </w:pPr>
          <w:r>
            <w:rPr>
              <w:rFonts w:hint="eastAsia"/>
              <w:b/>
              <w:bCs/>
            </w:rPr>
            <w:t>报告期内</w:t>
          </w:r>
          <w:sdt>
            <w:sdtPr>
              <w:rPr>
                <w:rFonts w:hint="eastAsia"/>
                <w:b/>
                <w:bCs/>
              </w:rPr>
              <w:alias w:val="召开会议的专门委员会类别"/>
              <w:tag w:val="_GBC_adf76ecbe3584f07b573642215a867bd"/>
              <w:id w:val="154111986"/>
              <w:lock w:val="sdtLocked"/>
            </w:sdtPr>
            <w:sdtEndPr>
              <w:rPr>
                <w:rFonts w:hint="eastAsia"/>
                <w:b/>
                <w:bCs/>
              </w:rPr>
            </w:sdtEndPr>
            <w:sdtContent>
              <w:r>
                <w:rPr>
                  <w:rFonts w:hint="eastAsia"/>
                  <w:b/>
                  <w:bCs/>
                </w:rPr>
                <w:t>战略</w:t>
              </w:r>
            </w:sdtContent>
          </w:sdt>
          <w:r>
            <w:rPr>
              <w:rFonts w:hint="eastAsia"/>
              <w:b/>
              <w:bCs/>
            </w:rPr>
            <w:t>委员会召开</w:t>
          </w:r>
          <w:sdt>
            <w:sdtPr>
              <w:rPr>
                <w:rFonts w:hint="eastAsia"/>
                <w:b/>
                <w:bCs/>
              </w:rPr>
              <w:alias w:val="报告期内召开专门委员会会议次数"/>
              <w:tag w:val="_GBC_7bf2cd7c3a6a4685ac9c89ee396352a0"/>
              <w:id w:val="-1792361113"/>
              <w:lock w:val="sdtLocked"/>
            </w:sdtPr>
            <w:sdtEndPr>
              <w:rPr>
                <w:rFonts w:hint="eastAsia"/>
                <w:b/>
                <w:bCs/>
              </w:rPr>
            </w:sdtEndPr>
            <w:sdtContent>
              <w:r>
                <w:rPr>
                  <w:b/>
                  <w:bCs/>
                </w:rPr>
                <w:t>1</w:t>
              </w:r>
            </w:sdtContent>
          </w:sdt>
          <w:r>
            <w:rPr>
              <w:rFonts w:hint="eastAsia"/>
              <w:b/>
              <w:bCs/>
            </w:rPr>
            <w:t>次会议</w:t>
          </w:r>
        </w:p>
        <w:tbl>
          <w:tblPr>
            <w:tblStyle w:val="108"/>
            <w:tblW w:w="5326" w:type="pct"/>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3"/>
            <w:gridCol w:w="3403"/>
            <w:gridCol w:w="311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81aefc289fbf48b1865138608d8bd14f"/>
                <w:id w:val="-2025772749"/>
                <w:lock w:val="sdtLocked"/>
              </w:sdtPr>
              <w:sdtEndPr>
                <w:rPr>
                  <w:rFonts w:hint="eastAsia"/>
                  <w:szCs w:val="21"/>
                </w:rPr>
              </w:sdtEndPr>
              <w:sdtContent>
                <w:tc>
                  <w:tcPr>
                    <w:tcW w:w="1029" w:type="pct"/>
                    <w:shd w:val="clear" w:color="auto" w:fill="auto"/>
                    <w:vAlign w:val="center"/>
                  </w:tcPr>
                  <w:p>
                    <w:pPr>
                      <w:jc w:val="center"/>
                      <w:rPr>
                        <w:szCs w:val="21"/>
                      </w:rPr>
                    </w:pPr>
                    <w:r>
                      <w:rPr>
                        <w:rFonts w:hint="eastAsia"/>
                        <w:szCs w:val="21"/>
                      </w:rPr>
                      <w:t>召开日期</w:t>
                    </w:r>
                  </w:p>
                </w:tc>
              </w:sdtContent>
            </w:sdt>
            <w:sdt>
              <w:sdtPr>
                <w:rPr>
                  <w:rFonts w:hint="eastAsia"/>
                  <w:szCs w:val="21"/>
                </w:rPr>
                <w:tag w:val="_PLD_9d24b601ec70414eb969daf6b393edc8"/>
                <w:id w:val="-624155757"/>
                <w:lock w:val="sdtLocked"/>
              </w:sdtPr>
              <w:sdtEndPr>
                <w:rPr>
                  <w:rFonts w:hint="eastAsia"/>
                  <w:szCs w:val="21"/>
                </w:rPr>
              </w:sdtEndPr>
              <w:sdtContent>
                <w:tc>
                  <w:tcPr>
                    <w:tcW w:w="1765" w:type="pct"/>
                    <w:shd w:val="clear" w:color="auto" w:fill="auto"/>
                    <w:vAlign w:val="center"/>
                  </w:tcPr>
                  <w:p>
                    <w:pPr>
                      <w:jc w:val="center"/>
                      <w:rPr>
                        <w:szCs w:val="21"/>
                      </w:rPr>
                    </w:pPr>
                    <w:r>
                      <w:rPr>
                        <w:rFonts w:hint="eastAsia"/>
                        <w:szCs w:val="21"/>
                      </w:rPr>
                      <w:t>会议内容</w:t>
                    </w:r>
                  </w:p>
                </w:tc>
              </w:sdtContent>
            </w:sdt>
            <w:sdt>
              <w:sdtPr>
                <w:rPr>
                  <w:rFonts w:hint="eastAsia"/>
                  <w:szCs w:val="21"/>
                </w:rPr>
                <w:tag w:val="_PLD_6ea19dadc3684e98a6d98faaf035a9d9"/>
                <w:id w:val="11352707"/>
                <w:lock w:val="sdtLocked"/>
              </w:sdtPr>
              <w:sdtEndPr>
                <w:rPr>
                  <w:rFonts w:hint="eastAsia"/>
                  <w:szCs w:val="21"/>
                </w:rPr>
              </w:sdtEndPr>
              <w:sdtContent>
                <w:tc>
                  <w:tcPr>
                    <w:tcW w:w="1618" w:type="pct"/>
                    <w:shd w:val="clear" w:color="auto" w:fill="auto"/>
                    <w:vAlign w:val="center"/>
                  </w:tcPr>
                  <w:p>
                    <w:pPr>
                      <w:jc w:val="center"/>
                      <w:rPr>
                        <w:szCs w:val="21"/>
                      </w:rPr>
                    </w:pPr>
                    <w:r>
                      <w:rPr>
                        <w:rFonts w:hint="eastAsia"/>
                        <w:szCs w:val="21"/>
                      </w:rPr>
                      <w:t>重要意见和建议</w:t>
                    </w:r>
                  </w:p>
                </w:tc>
              </w:sdtContent>
            </w:sdt>
            <w:sdt>
              <w:sdtPr>
                <w:rPr>
                  <w:rFonts w:hint="eastAsia"/>
                  <w:szCs w:val="21"/>
                </w:rPr>
                <w:tag w:val="_PLD_ef03d3ffb00740008011022cb6a96805"/>
                <w:id w:val="-75591045"/>
                <w:lock w:val="sdtLocked"/>
              </w:sdtPr>
              <w:sdtEndPr>
                <w:rPr>
                  <w:rFonts w:hint="eastAsia"/>
                  <w:szCs w:val="21"/>
                </w:rPr>
              </w:sdtEndPr>
              <w:sdtContent>
                <w:tc>
                  <w:tcPr>
                    <w:tcW w:w="588" w:type="pct"/>
                    <w:shd w:val="clear" w:color="auto" w:fill="auto"/>
                    <w:vAlign w:val="center"/>
                  </w:tcPr>
                  <w:p>
                    <w:pPr>
                      <w:jc w:val="center"/>
                      <w:rPr>
                        <w:szCs w:val="21"/>
                      </w:rPr>
                    </w:pPr>
                    <w:r>
                      <w:rPr>
                        <w:rFonts w:hint="eastAsia"/>
                        <w:szCs w:val="21"/>
                      </w:rPr>
                      <w:t>其他履行职责情况</w:t>
                    </w:r>
                  </w:p>
                </w:tc>
              </w:sdtContent>
            </w:sdt>
          </w:tr>
          <w:sdt>
            <w:sdtPr>
              <w:rPr>
                <w:szCs w:val="21"/>
              </w:rPr>
              <w:alias w:val="董事会下设专门委员会情况明细"/>
              <w:tag w:val="_TUP_ba8ed794bebb4cad9c2e7f1db76b0a19"/>
              <w:id w:val="-99194576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9" w:type="pct"/>
                    <w:shd w:val="clear" w:color="auto" w:fill="auto"/>
                    <w:vAlign w:val="center"/>
                  </w:tcPr>
                  <w:p>
                    <w:pPr>
                      <w:jc w:val="center"/>
                      <w:rPr>
                        <w:szCs w:val="21"/>
                      </w:rPr>
                    </w:pPr>
                    <w:r>
                      <w:t>2021年12月10日</w:t>
                    </w:r>
                  </w:p>
                </w:tc>
                <w:tc>
                  <w:tcPr>
                    <w:tcW w:w="1765" w:type="pct"/>
                    <w:shd w:val="clear" w:color="auto" w:fill="auto"/>
                    <w:vAlign w:val="center"/>
                  </w:tcPr>
                  <w:p>
                    <w:pPr>
                      <w:rPr>
                        <w:szCs w:val="21"/>
                      </w:rPr>
                    </w:pPr>
                    <w:r>
                      <w:t>《关于与关联方共同投资设立合资公司暨关联交易的议案》</w:t>
                    </w:r>
                  </w:p>
                </w:tc>
                <w:tc>
                  <w:tcPr>
                    <w:tcW w:w="1618" w:type="pct"/>
                    <w:shd w:val="clear" w:color="auto" w:fill="auto"/>
                    <w:vAlign w:val="center"/>
                  </w:tcPr>
                  <w:p>
                    <w:pPr>
                      <w:rPr>
                        <w:szCs w:val="21"/>
                      </w:rPr>
                    </w:pPr>
                    <w:r>
                      <w:rPr>
                        <w:rFonts w:hint="eastAsia"/>
                      </w:rPr>
                      <w:t>全体委员均同意提请会议审议事项，并同意提交董事会审议。</w:t>
                    </w:r>
                  </w:p>
                </w:tc>
                <w:tc>
                  <w:tcPr>
                    <w:tcW w:w="588" w:type="pct"/>
                    <w:shd w:val="clear" w:color="auto" w:fill="auto"/>
                    <w:vAlign w:val="center"/>
                  </w:tcPr>
                  <w:p>
                    <w:pPr>
                      <w:jc w:val="center"/>
                      <w:rPr>
                        <w:szCs w:val="21"/>
                      </w:rPr>
                    </w:pPr>
                    <w:r>
                      <w:t>无</w:t>
                    </w:r>
                  </w:p>
                </w:tc>
              </w:tr>
            </w:sdtContent>
          </w:sdt>
        </w:tbl>
        <w:p/>
      </w:sdtContent>
    </w:sdt>
    <w:sdt>
      <w:sdtPr>
        <w:rPr>
          <w:rFonts w:hint="eastAsia" w:ascii="宋体" w:hAnsi="宋体" w:cs="宋体"/>
          <w:b/>
          <w:bCs/>
          <w:kern w:val="0"/>
          <w:szCs w:val="24"/>
        </w:rPr>
        <w:alias w:val="模块:董事会下设专门委员会在报告期内履行职责时所提出的重要意见和建..."/>
        <w:tag w:val="_SEC_400f0a7634114d80939ab87276db7db7"/>
        <w:id w:val="1037855789"/>
        <w:lock w:val="sdtLocked"/>
        <w:placeholder>
          <w:docPart w:val="GBC22222222222222222222222222222"/>
        </w:placeholder>
      </w:sdtPr>
      <w:sdtEndPr>
        <w:rPr>
          <w:rFonts w:hint="default" w:ascii="宋体" w:hAnsi="宋体" w:cs="宋体"/>
          <w:b w:val="0"/>
          <w:bCs w:val="0"/>
          <w:kern w:val="0"/>
          <w:szCs w:val="24"/>
        </w:rPr>
      </w:sdtEndPr>
      <w:sdtContent>
        <w:p>
          <w:pPr>
            <w:pStyle w:val="55"/>
            <w:numPr>
              <w:ilvl w:val="0"/>
              <w:numId w:val="20"/>
            </w:numPr>
            <w:spacing w:line="360" w:lineRule="auto"/>
            <w:ind w:firstLineChars="0"/>
            <w:rPr>
              <w:b/>
              <w:bCs/>
            </w:rPr>
          </w:pPr>
          <w:r>
            <w:rPr>
              <w:rFonts w:hint="eastAsia"/>
              <w:b/>
              <w:bCs/>
            </w:rPr>
            <w:t>存在异议事项的具体情况</w:t>
          </w:r>
        </w:p>
        <w:sdt>
          <w:sdtPr>
            <w:rPr>
              <w:rFonts w:hint="eastAsia"/>
              <w:szCs w:val="21"/>
            </w:rPr>
            <w:alias w:val="是否适用：董事会下设专门委员会在报告期内履行职责时所提出的重要意见和建议[双击切换]"/>
            <w:tag w:val="_GBC_f61de8443c9e4bc6b27047ea31f34f46"/>
            <w:id w:val="1929154831"/>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ascii="宋体" w:hAnsi="宋体" w:cs="宋体"/>
          <w:b w:val="0"/>
          <w:bCs w:val="0"/>
          <w:kern w:val="0"/>
          <w:szCs w:val="24"/>
        </w:rPr>
        <w:alias w:val="模块:监事会发现公司存在风险的说明"/>
        <w:tag w:val="_SEC_4dbac71000bd4ea4b0d0f802befda046"/>
        <w:id w:val="-592937491"/>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6"/>
            </w:numPr>
            <w:spacing w:before="0" w:after="0" w:line="360" w:lineRule="auto"/>
          </w:pPr>
          <w:r>
            <w:t>监事会发现公司存在风险的说明</w:t>
          </w:r>
        </w:p>
        <w:sdt>
          <w:sdtPr>
            <w:alias w:val="是否适用：监事会发现公司存在风险的说明[双击切换]"/>
            <w:tag w:val="_GBC_987bc6e795084351a58e9d0bca47f246"/>
            <w:id w:val="1675752467"/>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alias w:val="未知对象"/>
        <w:tag w:val="_SEC_56ba2affeae548928a98e92c92a4f6b3"/>
        <w:id w:val="1448355467"/>
      </w:sdtPr>
      <w:sdtContent>
        <w:p>
          <w:pPr>
            <w:spacing w:line="360" w:lineRule="auto"/>
            <w:rPr>
              <w:szCs w:val="21"/>
            </w:rPr>
          </w:pPr>
          <w:r>
            <w:rPr>
              <w:rFonts w:hint="eastAsia"/>
            </w:rPr>
            <w:t>监事会对报告期内的监督事项无异议。</w:t>
          </w:r>
        </w:p>
        <w:p>
          <w:pPr>
            <w:spacing w:line="360" w:lineRule="auto"/>
            <w:rPr>
              <w:szCs w:val="21"/>
            </w:rPr>
          </w:pPr>
        </w:p>
      </w:sdtContent>
    </w:sdt>
    <w:p>
      <w:pPr>
        <w:pStyle w:val="3"/>
        <w:numPr>
          <w:ilvl w:val="0"/>
          <w:numId w:val="16"/>
        </w:numPr>
        <w:spacing w:before="0" w:after="0" w:line="360" w:lineRule="auto"/>
        <w:rPr>
          <w:rFonts w:ascii="宋体" w:hAnsi="宋体" w:cs="宋体"/>
          <w:kern w:val="0"/>
          <w:szCs w:val="24"/>
        </w:rPr>
      </w:pPr>
      <w:r>
        <w:rPr>
          <w:rFonts w:hint="eastAsia" w:ascii="宋体" w:hAnsi="宋体" w:cs="宋体"/>
          <w:kern w:val="0"/>
          <w:szCs w:val="24"/>
        </w:rPr>
        <w:t>报告期末</w:t>
      </w:r>
      <w:r>
        <w:rPr>
          <w:rFonts w:ascii="宋体" w:hAnsi="宋体" w:cs="宋体"/>
          <w:kern w:val="0"/>
          <w:szCs w:val="24"/>
        </w:rPr>
        <w:t>母公司和主要子公司的员工情况</w:t>
      </w:r>
    </w:p>
    <w:sdt>
      <w:sdtPr>
        <w:rPr>
          <w:rFonts w:ascii="宋体" w:hAnsi="宋体" w:cs="宋体"/>
          <w:b w:val="0"/>
          <w:bCs w:val="0"/>
          <w:kern w:val="0"/>
          <w:szCs w:val="21"/>
        </w:rPr>
        <w:alias w:val="模块:员工情况"/>
        <w:tag w:val="_SEC_5d36f6c19ead44619fb5fc47e8c54f50"/>
        <w:id w:val="1926290755"/>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1"/>
            </w:numPr>
            <w:spacing w:before="0" w:after="0" w:line="360" w:lineRule="auto"/>
            <w:rPr>
              <w:szCs w:val="21"/>
            </w:rPr>
          </w:pPr>
          <w:bookmarkStart w:id="50" w:name="_Hlk89184114"/>
          <w:r>
            <w:rPr>
              <w:szCs w:val="21"/>
            </w:rPr>
            <w:t>员工情况</w:t>
          </w:r>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0"/>
            <w:gridCol w:w="3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cff5d8823807446facbb16ac3f50949e"/>
                <w:id w:val="-71204533"/>
                <w:lock w:val="sdtLocked"/>
              </w:sdtPr>
              <w:sdtContent>
                <w:tc>
                  <w:tcPr>
                    <w:tcW w:w="2879" w:type="pct"/>
                  </w:tcPr>
                  <w:p>
                    <w:pPr>
                      <w:widowControl w:val="0"/>
                      <w:jc w:val="both"/>
                      <w:rPr>
                        <w:szCs w:val="21"/>
                      </w:rPr>
                    </w:pPr>
                    <w:r>
                      <w:rPr>
                        <w:szCs w:val="21"/>
                      </w:rPr>
                      <w:t>母公司在职员工的数量</w:t>
                    </w:r>
                  </w:p>
                </w:tc>
              </w:sdtContent>
            </w:sdt>
            <w:sdt>
              <w:sdtPr>
                <w:rPr>
                  <w:rFonts w:ascii="Times New Roman" w:hAnsi="Times New Roman"/>
                  <w:szCs w:val="21"/>
                </w:rPr>
                <w:alias w:val="母公司在职员工的数量"/>
                <w:tag w:val="_GBC_abd1eca65c1c4a43937ae4fdd8599b5b"/>
                <w:id w:val="2058971247"/>
                <w:lock w:val="sdtLocked"/>
              </w:sdtPr>
              <w:sdtEndPr>
                <w:rPr>
                  <w:rFonts w:ascii="Times New Roman" w:hAnsi="Times New Roman"/>
                  <w:szCs w:val="21"/>
                </w:rPr>
              </w:sdtEndPr>
              <w:sdtContent>
                <w:tc>
                  <w:tcPr>
                    <w:tcW w:w="2121" w:type="pct"/>
                  </w:tcPr>
                  <w:p>
                    <w:pPr>
                      <w:widowControl w:val="0"/>
                      <w:jc w:val="right"/>
                      <w:rPr>
                        <w:szCs w:val="21"/>
                      </w:rPr>
                    </w:pPr>
                    <w:r>
                      <w:rPr>
                        <w:szCs w:val="21"/>
                      </w:rPr>
                      <w:t>132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tag w:val="_PLD_baf79165dc7c42d6a1bbbf8f4d550ac0"/>
                <w:id w:val="-1044748111"/>
                <w:lock w:val="sdtLocked"/>
              </w:sdtPr>
              <w:sdtContent>
                <w:tc>
                  <w:tcPr>
                    <w:tcW w:w="2879" w:type="pct"/>
                  </w:tcPr>
                  <w:p>
                    <w:pPr>
                      <w:widowControl w:val="0"/>
                      <w:jc w:val="both"/>
                      <w:rPr>
                        <w:szCs w:val="21"/>
                      </w:rPr>
                    </w:pPr>
                    <w:r>
                      <w:rPr>
                        <w:szCs w:val="21"/>
                      </w:rPr>
                      <w:t>主要子公司在职员工的数量</w:t>
                    </w:r>
                  </w:p>
                </w:tc>
              </w:sdtContent>
            </w:sdt>
            <w:tc>
              <w:tcPr>
                <w:tcW w:w="2121" w:type="pct"/>
              </w:tcPr>
              <w:p>
                <w:pPr>
                  <w:widowControl w:val="0"/>
                  <w:jc w:val="right"/>
                  <w:rPr>
                    <w:szCs w:val="21"/>
                  </w:rPr>
                </w:pPr>
                <w:r>
                  <w:rPr>
                    <w:szCs w:val="21"/>
                  </w:rPr>
                  <w:t>4,607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0c801028e0c34a608ece543a5b7f6c06"/>
                <w:id w:val="-1310864088"/>
                <w:lock w:val="sdtLocked"/>
              </w:sdtPr>
              <w:sdtContent>
                <w:tc>
                  <w:tcPr>
                    <w:tcW w:w="2879" w:type="pct"/>
                  </w:tcPr>
                  <w:p>
                    <w:pPr>
                      <w:widowControl w:val="0"/>
                      <w:jc w:val="both"/>
                      <w:rPr>
                        <w:szCs w:val="21"/>
                      </w:rPr>
                    </w:pPr>
                    <w:r>
                      <w:rPr>
                        <w:szCs w:val="21"/>
                      </w:rPr>
                      <w:t>在职员工的数量合计</w:t>
                    </w:r>
                  </w:p>
                </w:tc>
              </w:sdtContent>
            </w:sdt>
            <w:tc>
              <w:tcPr>
                <w:tcW w:w="2121" w:type="pct"/>
              </w:tcPr>
              <w:p>
                <w:pPr>
                  <w:widowControl w:val="0"/>
                  <w:jc w:val="right"/>
                  <w:rPr>
                    <w:szCs w:val="21"/>
                  </w:rPr>
                </w:pPr>
                <w:r>
                  <w:rPr>
                    <w:szCs w:val="21"/>
                  </w:rPr>
                  <w:t>4,739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sdt>
              <w:sdtPr>
                <w:tag w:val="_PLD_96091286c8814973a5e516d058b61b70"/>
                <w:id w:val="-659231997"/>
                <w:lock w:val="sdtLocked"/>
              </w:sdtPr>
              <w:sdtContent>
                <w:tc>
                  <w:tcPr>
                    <w:tcW w:w="2879" w:type="pct"/>
                  </w:tcPr>
                  <w:p>
                    <w:pPr>
                      <w:widowControl w:val="0"/>
                      <w:jc w:val="both"/>
                      <w:rPr>
                        <w:szCs w:val="21"/>
                      </w:rPr>
                    </w:pPr>
                    <w:r>
                      <w:rPr>
                        <w:szCs w:val="21"/>
                      </w:rPr>
                      <w:t>母公司及主要子公司需承担费用的离退休职工人数</w:t>
                    </w:r>
                  </w:p>
                </w:tc>
              </w:sdtContent>
            </w:sdt>
            <w:tc>
              <w:tcPr>
                <w:tcW w:w="2121" w:type="pct"/>
              </w:tcPr>
              <w:p>
                <w:pPr>
                  <w:widowControl w:val="0"/>
                  <w:jc w:val="right"/>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tag w:val="_PLD_f37d0297c6bb44dea272632ad4d910e4"/>
                <w:id w:val="1336726344"/>
                <w:lock w:val="sdtLocked"/>
              </w:sdtPr>
              <w:sdtContent>
                <w:tc>
                  <w:tcPr>
                    <w:tcW w:w="5000" w:type="pct"/>
                    <w:gridSpan w:val="2"/>
                    <w:vAlign w:val="center"/>
                  </w:tcPr>
                  <w:p>
                    <w:pPr>
                      <w:widowControl w:val="0"/>
                      <w:jc w:val="center"/>
                      <w:rPr>
                        <w:szCs w:val="21"/>
                      </w:rPr>
                    </w:pPr>
                    <w:r>
                      <w:rPr>
                        <w:szCs w:val="21"/>
                      </w:rPr>
                      <w:t>专业构成</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90bef974c0c14508b11a7e84e6f364c5"/>
                <w:id w:val="-438605530"/>
                <w:lock w:val="sdtLocked"/>
              </w:sdtPr>
              <w:sdtContent>
                <w:tc>
                  <w:tcPr>
                    <w:tcW w:w="2879" w:type="pct"/>
                  </w:tcPr>
                  <w:p>
                    <w:pPr>
                      <w:widowControl w:val="0"/>
                      <w:jc w:val="center"/>
                      <w:rPr>
                        <w:szCs w:val="21"/>
                      </w:rPr>
                    </w:pPr>
                    <w:r>
                      <w:rPr>
                        <w:szCs w:val="21"/>
                      </w:rPr>
                      <w:t>专业构成类别</w:t>
                    </w:r>
                  </w:p>
                </w:tc>
              </w:sdtContent>
            </w:sdt>
            <w:sdt>
              <w:sdtPr>
                <w:tag w:val="_PLD_a5f175a6b2a94ee7a70936fbe5cbc8da"/>
                <w:id w:val="1001163750"/>
                <w:lock w:val="sdtLocked"/>
              </w:sdtPr>
              <w:sdtContent>
                <w:tc>
                  <w:tcPr>
                    <w:tcW w:w="2121" w:type="pct"/>
                  </w:tcPr>
                  <w:p>
                    <w:pPr>
                      <w:widowControl w:val="0"/>
                      <w:jc w:val="center"/>
                      <w:rPr>
                        <w:szCs w:val="21"/>
                      </w:rPr>
                    </w:pPr>
                    <w:r>
                      <w:rPr>
                        <w:szCs w:val="21"/>
                      </w:rPr>
                      <w:t>专业构成人数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1211e61ed13f4419aa3a033e242010e1"/>
                <w:id w:val="1171443488"/>
                <w:lock w:val="sdtLocked"/>
              </w:sdtPr>
              <w:sdtContent>
                <w:tc>
                  <w:tcPr>
                    <w:tcW w:w="2879" w:type="pct"/>
                  </w:tcPr>
                  <w:p>
                    <w:pPr>
                      <w:widowControl w:val="0"/>
                      <w:jc w:val="center"/>
                      <w:rPr>
                        <w:szCs w:val="21"/>
                      </w:rPr>
                    </w:pPr>
                    <w:r>
                      <w:rPr>
                        <w:szCs w:val="21"/>
                      </w:rPr>
                      <w:t>生产人员</w:t>
                    </w:r>
                  </w:p>
                </w:tc>
              </w:sdtContent>
            </w:sdt>
            <w:tc>
              <w:tcPr>
                <w:tcW w:w="2121" w:type="pct"/>
              </w:tcPr>
              <w:p>
                <w:pPr>
                  <w:widowControl w:val="0"/>
                  <w:jc w:val="right"/>
                  <w:rPr>
                    <w:szCs w:val="21"/>
                  </w:rPr>
                </w:pPr>
                <w:r>
                  <w:rPr>
                    <w:szCs w:val="21"/>
                  </w:rPr>
                  <w:t>3,309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c5901b0003b4463e975376710b547c94"/>
                <w:id w:val="1950275284"/>
                <w:lock w:val="sdtLocked"/>
              </w:sdtPr>
              <w:sdtContent>
                <w:tc>
                  <w:tcPr>
                    <w:tcW w:w="2879" w:type="pct"/>
                  </w:tcPr>
                  <w:p>
                    <w:pPr>
                      <w:widowControl w:val="0"/>
                      <w:jc w:val="center"/>
                      <w:rPr>
                        <w:szCs w:val="21"/>
                      </w:rPr>
                    </w:pPr>
                    <w:r>
                      <w:rPr>
                        <w:szCs w:val="21"/>
                      </w:rPr>
                      <w:t>销售人员</w:t>
                    </w:r>
                  </w:p>
                </w:tc>
              </w:sdtContent>
            </w:sdt>
            <w:tc>
              <w:tcPr>
                <w:tcW w:w="2121" w:type="pct"/>
              </w:tcPr>
              <w:p>
                <w:pPr>
                  <w:widowControl w:val="0"/>
                  <w:jc w:val="right"/>
                  <w:rPr>
                    <w:szCs w:val="21"/>
                  </w:rPr>
                </w:pPr>
                <w:r>
                  <w:rPr>
                    <w:rFonts w:hint="eastAsia"/>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tc>
              <w:tcPr>
                <w:tcW w:w="2879" w:type="pct"/>
              </w:tcPr>
              <w:p>
                <w:pPr>
                  <w:widowControl w:val="0"/>
                  <w:jc w:val="center"/>
                  <w:rPr>
                    <w:szCs w:val="21"/>
                  </w:rPr>
                </w:pPr>
                <w:sdt>
                  <w:sdtPr>
                    <w:tag w:val="_PLD_1372bdc81c204039a05faeb9d394c7b5"/>
                    <w:id w:val="-41683290"/>
                    <w:lock w:val="sdtLocked"/>
                  </w:sdtPr>
                  <w:sdtContent>
                    <w:r>
                      <w:rPr>
                        <w:szCs w:val="21"/>
                      </w:rPr>
                      <w:t>技术人员</w:t>
                    </w:r>
                  </w:sdtContent>
                </w:sdt>
              </w:p>
            </w:tc>
            <w:tc>
              <w:tcPr>
                <w:tcW w:w="2121" w:type="pct"/>
              </w:tcPr>
              <w:p>
                <w:pPr>
                  <w:widowControl w:val="0"/>
                  <w:jc w:val="right"/>
                  <w:rPr>
                    <w:szCs w:val="21"/>
                  </w:rPr>
                </w:pPr>
                <w:r>
                  <w:rPr>
                    <w:rFonts w:hint="eastAsia"/>
                    <w:szCs w:val="21"/>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73ca450ca9d44f779a00982e68093c1a"/>
                <w:id w:val="-1475297313"/>
                <w:lock w:val="sdtLocked"/>
              </w:sdtPr>
              <w:sdtContent>
                <w:tc>
                  <w:tcPr>
                    <w:tcW w:w="2879" w:type="pct"/>
                  </w:tcPr>
                  <w:p>
                    <w:pPr>
                      <w:widowControl w:val="0"/>
                      <w:jc w:val="center"/>
                      <w:rPr>
                        <w:szCs w:val="21"/>
                      </w:rPr>
                    </w:pPr>
                    <w:r>
                      <w:rPr>
                        <w:szCs w:val="21"/>
                      </w:rPr>
                      <w:t>财务人员</w:t>
                    </w:r>
                  </w:p>
                </w:tc>
              </w:sdtContent>
            </w:sdt>
            <w:tc>
              <w:tcPr>
                <w:tcW w:w="2121" w:type="pct"/>
              </w:tcPr>
              <w:p>
                <w:pPr>
                  <w:widowControl w:val="0"/>
                  <w:jc w:val="right"/>
                  <w:rPr>
                    <w:szCs w:val="21"/>
                  </w:rPr>
                </w:pPr>
                <w:r>
                  <w:rPr>
                    <w:rFonts w:hint="eastAsia"/>
                    <w:szCs w:val="21"/>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170f6f06c6094bbea195f7ab0feae660"/>
                <w:id w:val="974104617"/>
                <w:lock w:val="sdtLocked"/>
              </w:sdtPr>
              <w:sdtContent>
                <w:tc>
                  <w:tcPr>
                    <w:tcW w:w="2879" w:type="pct"/>
                  </w:tcPr>
                  <w:p>
                    <w:pPr>
                      <w:widowControl w:val="0"/>
                      <w:jc w:val="center"/>
                      <w:rPr>
                        <w:szCs w:val="21"/>
                      </w:rPr>
                    </w:pPr>
                    <w:r>
                      <w:rPr>
                        <w:szCs w:val="21"/>
                      </w:rPr>
                      <w:t>行政人员</w:t>
                    </w:r>
                  </w:p>
                </w:tc>
              </w:sdtContent>
            </w:sdt>
            <w:tc>
              <w:tcPr>
                <w:tcW w:w="2121" w:type="pct"/>
              </w:tcPr>
              <w:p>
                <w:pPr>
                  <w:widowControl w:val="0"/>
                  <w:jc w:val="right"/>
                  <w:rPr>
                    <w:szCs w:val="21"/>
                  </w:rPr>
                </w:pPr>
                <w:r>
                  <w:rPr>
                    <w:rFonts w:hint="eastAsia"/>
                    <w:szCs w:val="21"/>
                  </w:rPr>
                  <w:t>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tag w:val="_PLD_444fab2edd394a27a2ae4e60e00a7b1c"/>
                <w:id w:val="1756471838"/>
                <w:lock w:val="sdtLocked"/>
              </w:sdtPr>
              <w:sdtContent>
                <w:tc>
                  <w:tcPr>
                    <w:tcW w:w="2879" w:type="pct"/>
                    <w:vAlign w:val="center"/>
                  </w:tcPr>
                  <w:p>
                    <w:pPr>
                      <w:widowControl w:val="0"/>
                      <w:jc w:val="center"/>
                      <w:rPr>
                        <w:szCs w:val="21"/>
                      </w:rPr>
                    </w:pPr>
                    <w:r>
                      <w:rPr>
                        <w:szCs w:val="21"/>
                      </w:rPr>
                      <w:t>合计</w:t>
                    </w:r>
                  </w:p>
                </w:tc>
              </w:sdtContent>
            </w:sdt>
            <w:tc>
              <w:tcPr>
                <w:tcW w:w="2121" w:type="pct"/>
              </w:tcPr>
              <w:p>
                <w:pPr>
                  <w:widowControl w:val="0"/>
                  <w:jc w:val="right"/>
                  <w:rPr>
                    <w:szCs w:val="21"/>
                  </w:rPr>
                </w:pPr>
                <w:r>
                  <w:rPr>
                    <w:szCs w:val="21"/>
                  </w:rPr>
                  <w:t>4,739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rPr>
            <w:sdt>
              <w:sdtPr>
                <w:tag w:val="_PLD_ea58f2d9c900463a8694fdc78940295e"/>
                <w:id w:val="-1253808775"/>
                <w:lock w:val="sdtLocked"/>
              </w:sdtPr>
              <w:sdtContent>
                <w:tc>
                  <w:tcPr>
                    <w:tcW w:w="5000" w:type="pct"/>
                    <w:gridSpan w:val="2"/>
                    <w:vAlign w:val="center"/>
                  </w:tcPr>
                  <w:p>
                    <w:pPr>
                      <w:widowControl w:val="0"/>
                      <w:jc w:val="center"/>
                      <w:rPr>
                        <w:szCs w:val="21"/>
                      </w:rPr>
                    </w:pPr>
                    <w:r>
                      <w:rPr>
                        <w:szCs w:val="21"/>
                      </w:rPr>
                      <w:t>教育程度</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rPr>
            <w:sdt>
              <w:sdtPr>
                <w:tag w:val="_PLD_92fefeded22c454881177d08c5c97d97"/>
                <w:id w:val="538860227"/>
                <w:lock w:val="sdtLocked"/>
              </w:sdtPr>
              <w:sdtContent>
                <w:tc>
                  <w:tcPr>
                    <w:tcW w:w="2879" w:type="pct"/>
                  </w:tcPr>
                  <w:p>
                    <w:pPr>
                      <w:widowControl w:val="0"/>
                      <w:jc w:val="center"/>
                      <w:rPr>
                        <w:szCs w:val="21"/>
                      </w:rPr>
                    </w:pPr>
                    <w:r>
                      <w:rPr>
                        <w:szCs w:val="21"/>
                      </w:rPr>
                      <w:t>教育程度类别</w:t>
                    </w:r>
                  </w:p>
                </w:tc>
              </w:sdtContent>
            </w:sdt>
            <w:tc>
              <w:tcPr>
                <w:tcW w:w="2121" w:type="pct"/>
              </w:tcPr>
              <w:p>
                <w:pPr>
                  <w:widowControl w:val="0"/>
                  <w:jc w:val="center"/>
                  <w:rPr>
                    <w:szCs w:val="21"/>
                  </w:rPr>
                </w:pPr>
                <w:sdt>
                  <w:sdtPr>
                    <w:tag w:val="_PLD_2a8ff2c52daa4348bedf7a0e6951a5c6"/>
                    <w:id w:val="1142236388"/>
                    <w:lock w:val="sdtLocked"/>
                  </w:sdtPr>
                  <w:sdtContent>
                    <w:r>
                      <w:rPr>
                        <w:szCs w:val="21"/>
                      </w:rPr>
                      <w:t>数量（人）</w:t>
                    </w:r>
                  </w:sdtContent>
                </w:sdt>
              </w:p>
            </w:tc>
          </w:tr>
          <w:sdt>
            <w:sdtPr>
              <w:rPr>
                <w:szCs w:val="21"/>
              </w:rPr>
              <w:alias w:val="教育程度情况"/>
              <w:tag w:val="_TUP_d33fb3128ec34d1f9cad1b906c578434"/>
              <w:id w:val="210322161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879" w:type="pct"/>
                  </w:tcPr>
                  <w:p>
                    <w:pPr>
                      <w:widowControl w:val="0"/>
                      <w:jc w:val="center"/>
                      <w:rPr>
                        <w:szCs w:val="21"/>
                      </w:rPr>
                    </w:pPr>
                    <w:r>
                      <w:rPr>
                        <w:rFonts w:hint="eastAsia"/>
                        <w:szCs w:val="21"/>
                      </w:rPr>
                      <w:t>硕</w:t>
                    </w:r>
                    <w:r>
                      <w:rPr>
                        <w:szCs w:val="21"/>
                      </w:rPr>
                      <w:t>士研究</w:t>
                    </w:r>
                    <w:r>
                      <w:rPr>
                        <w:rFonts w:hint="eastAsia"/>
                        <w:szCs w:val="21"/>
                      </w:rPr>
                      <w:t>生</w:t>
                    </w:r>
                  </w:p>
                </w:tc>
                <w:tc>
                  <w:tcPr>
                    <w:tcW w:w="2121" w:type="pct"/>
                  </w:tcPr>
                  <w:p>
                    <w:pPr>
                      <w:widowControl w:val="0"/>
                      <w:jc w:val="right"/>
                      <w:rPr>
                        <w:szCs w:val="21"/>
                      </w:rPr>
                    </w:pPr>
                    <w:r>
                      <w:rPr>
                        <w:rFonts w:hint="eastAsia"/>
                        <w:szCs w:val="21"/>
                      </w:rPr>
                      <w:t>4</w:t>
                    </w:r>
                    <w:r>
                      <w:rPr>
                        <w:szCs w:val="21"/>
                      </w:rPr>
                      <w:t>5</w:t>
                    </w:r>
                  </w:p>
                </w:tc>
              </w:tr>
            </w:sdtContent>
          </w:sdt>
          <w:sdt>
            <w:sdtPr>
              <w:rPr>
                <w:szCs w:val="21"/>
              </w:rPr>
              <w:alias w:val="教育程度情况"/>
              <w:tag w:val="_TUP_d33fb3128ec34d1f9cad1b906c578434"/>
              <w:id w:val="-181725489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879" w:type="pct"/>
                  </w:tcPr>
                  <w:p>
                    <w:pPr>
                      <w:widowControl w:val="0"/>
                      <w:jc w:val="center"/>
                      <w:rPr>
                        <w:szCs w:val="21"/>
                      </w:rPr>
                    </w:pPr>
                    <w:r>
                      <w:rPr>
                        <w:rFonts w:hint="eastAsia"/>
                        <w:szCs w:val="21"/>
                      </w:rPr>
                      <w:t>本</w:t>
                    </w:r>
                    <w:r>
                      <w:rPr>
                        <w:szCs w:val="21"/>
                      </w:rPr>
                      <w:t>科</w:t>
                    </w:r>
                  </w:p>
                </w:tc>
                <w:tc>
                  <w:tcPr>
                    <w:tcW w:w="2121" w:type="pct"/>
                  </w:tcPr>
                  <w:p>
                    <w:pPr>
                      <w:widowControl w:val="0"/>
                      <w:jc w:val="right"/>
                      <w:rPr>
                        <w:szCs w:val="21"/>
                      </w:rPr>
                    </w:pPr>
                    <w:r>
                      <w:rPr>
                        <w:rFonts w:hint="eastAsia"/>
                        <w:szCs w:val="21"/>
                      </w:rPr>
                      <w:t>693</w:t>
                    </w:r>
                  </w:p>
                </w:tc>
              </w:tr>
            </w:sdtContent>
          </w:sdt>
          <w:sdt>
            <w:sdtPr>
              <w:rPr>
                <w:szCs w:val="21"/>
              </w:rPr>
              <w:alias w:val="教育程度情况"/>
              <w:tag w:val="_TUP_d33fb3128ec34d1f9cad1b906c578434"/>
              <w:id w:val="-77432956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879" w:type="pct"/>
                  </w:tcPr>
                  <w:p>
                    <w:pPr>
                      <w:widowControl w:val="0"/>
                      <w:jc w:val="center"/>
                      <w:rPr>
                        <w:szCs w:val="21"/>
                      </w:rPr>
                    </w:pPr>
                    <w:r>
                      <w:rPr>
                        <w:rFonts w:hint="eastAsia"/>
                        <w:szCs w:val="21"/>
                      </w:rPr>
                      <w:t>专</w:t>
                    </w:r>
                    <w:r>
                      <w:rPr>
                        <w:szCs w:val="21"/>
                      </w:rPr>
                      <w:t>科</w:t>
                    </w:r>
                  </w:p>
                </w:tc>
                <w:tc>
                  <w:tcPr>
                    <w:tcW w:w="2121" w:type="pct"/>
                  </w:tcPr>
                  <w:p>
                    <w:pPr>
                      <w:widowControl w:val="0"/>
                      <w:jc w:val="right"/>
                      <w:rPr>
                        <w:szCs w:val="21"/>
                      </w:rPr>
                    </w:pPr>
                    <w:r>
                      <w:rPr>
                        <w:szCs w:val="21"/>
                      </w:rPr>
                      <w:t>1,493</w:t>
                    </w:r>
                  </w:p>
                </w:tc>
              </w:tr>
            </w:sdtContent>
          </w:sdt>
          <w:sdt>
            <w:sdtPr>
              <w:rPr>
                <w:szCs w:val="21"/>
              </w:rPr>
              <w:alias w:val="教育程度情况"/>
              <w:tag w:val="_TUP_d33fb3128ec34d1f9cad1b906c578434"/>
              <w:id w:val="-42919170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2879" w:type="pct"/>
                  </w:tcPr>
                  <w:p>
                    <w:pPr>
                      <w:widowControl w:val="0"/>
                      <w:jc w:val="center"/>
                      <w:rPr>
                        <w:szCs w:val="21"/>
                      </w:rPr>
                    </w:pPr>
                    <w:r>
                      <w:rPr>
                        <w:rFonts w:hint="eastAsia"/>
                        <w:szCs w:val="21"/>
                      </w:rPr>
                      <w:t>高</w:t>
                    </w:r>
                    <w:r>
                      <w:rPr>
                        <w:szCs w:val="21"/>
                      </w:rPr>
                      <w:t>中及以下</w:t>
                    </w:r>
                  </w:p>
                </w:tc>
                <w:tc>
                  <w:tcPr>
                    <w:tcW w:w="2121" w:type="pct"/>
                  </w:tcPr>
                  <w:p>
                    <w:pPr>
                      <w:widowControl w:val="0"/>
                      <w:jc w:val="right"/>
                      <w:rPr>
                        <w:szCs w:val="21"/>
                      </w:rPr>
                    </w:pPr>
                    <w:r>
                      <w:rPr>
                        <w:szCs w:val="21"/>
                      </w:rPr>
                      <w:t>2,508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a4cb3dc76cbd4d74a5016891eb342b45"/>
                <w:id w:val="1389919866"/>
                <w:lock w:val="sdtLocked"/>
              </w:sdtPr>
              <w:sdtContent>
                <w:tc>
                  <w:tcPr>
                    <w:tcW w:w="2879" w:type="pct"/>
                    <w:tcBorders>
                      <w:bottom w:val="single" w:color="auto" w:sz="4" w:space="0"/>
                    </w:tcBorders>
                    <w:vAlign w:val="center"/>
                  </w:tcPr>
                  <w:p>
                    <w:pPr>
                      <w:widowControl w:val="0"/>
                      <w:jc w:val="center"/>
                      <w:rPr>
                        <w:szCs w:val="21"/>
                      </w:rPr>
                    </w:pPr>
                    <w:r>
                      <w:rPr>
                        <w:szCs w:val="21"/>
                      </w:rPr>
                      <w:t>合计</w:t>
                    </w:r>
                  </w:p>
                </w:tc>
              </w:sdtContent>
            </w:sdt>
            <w:tc>
              <w:tcPr>
                <w:tcW w:w="2121" w:type="pct"/>
                <w:tcBorders>
                  <w:bottom w:val="single" w:color="auto" w:sz="4" w:space="0"/>
                </w:tcBorders>
              </w:tcPr>
              <w:p>
                <w:pPr>
                  <w:widowControl w:val="0"/>
                  <w:jc w:val="right"/>
                  <w:rPr>
                    <w:szCs w:val="21"/>
                  </w:rPr>
                </w:pPr>
                <w:r>
                  <w:rPr>
                    <w:szCs w:val="21"/>
                  </w:rPr>
                  <w:t>4,739</w:t>
                </w:r>
              </w:p>
            </w:tc>
          </w:tr>
        </w:tbl>
        <w:p>
          <w:pPr>
            <w:rPr>
              <w:szCs w:val="21"/>
            </w:rPr>
          </w:pPr>
        </w:p>
      </w:sdtContent>
    </w:sdt>
    <w:bookmarkEnd w:id="50"/>
    <w:sdt>
      <w:sdtPr>
        <w:rPr>
          <w:rFonts w:ascii="宋体" w:hAnsi="宋体" w:cs="宋体"/>
          <w:b w:val="0"/>
          <w:bCs w:val="0"/>
          <w:kern w:val="0"/>
          <w:szCs w:val="24"/>
        </w:rPr>
        <w:alias w:val="模块:薪酬政策"/>
        <w:tag w:val="_SEC_fc732f9b506646da9d52a592974e5004"/>
        <w:id w:val="597213613"/>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21"/>
            </w:numPr>
            <w:spacing w:before="0" w:after="0" w:line="360" w:lineRule="auto"/>
            <w:rPr>
              <w:szCs w:val="21"/>
            </w:rPr>
          </w:pPr>
          <w:r>
            <w:t>薪</w:t>
          </w:r>
          <w:r>
            <w:rPr>
              <w:szCs w:val="21"/>
            </w:rPr>
            <w:t>酬政策</w:t>
          </w:r>
        </w:p>
        <w:sdt>
          <w:sdtPr>
            <w:rPr>
              <w:rFonts w:hint="eastAsia"/>
              <w:szCs w:val="21"/>
            </w:rPr>
            <w:alias w:val="是否适用：薪酬政策[双击切换]"/>
            <w:tag w:val="_GBC_13404877597d44c38f554884f31b3123"/>
            <w:id w:val="-1336834156"/>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薪酬政策"/>
            <w:tag w:val="_GBC_c66914a8847a42b2b50437dbe93cdad1"/>
            <w:id w:val="-1579585195"/>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公司系统梳理了现行薪酬制度，结合公司战略发展方向，拟定了新的《薪酬管理制度》，以公平性、经济性、激励性为原则，重新调整了薪酬等级与构成。同时对公司岗位进行岗位价值评估，根据岗位评估结果划分岗位等级，并以此为基础确定岗位薪酬等级。引入绩效管理规则，将员工收入与其绩效产出挂钩，戒除平均主义、奖勤罚懒，将个人岗位价值和贡献挂钩。</w:t>
              </w:r>
            </w:p>
          </w:sdtContent>
        </w:sdt>
      </w:sdtContent>
    </w:sdt>
    <w:p>
      <w:pPr>
        <w:spacing w:line="360" w:lineRule="auto"/>
        <w:rPr>
          <w:szCs w:val="21"/>
        </w:rPr>
      </w:pPr>
    </w:p>
    <w:sdt>
      <w:sdtPr>
        <w:rPr>
          <w:rFonts w:ascii="宋体" w:hAnsi="宋体" w:cs="宋体"/>
          <w:b w:val="0"/>
          <w:bCs w:val="0"/>
          <w:kern w:val="0"/>
          <w:szCs w:val="21"/>
        </w:rPr>
        <w:alias w:val="模块:培训计划"/>
        <w:tag w:val="_SEC_e8ed83989c604c839daf59b1ac5b558c"/>
        <w:id w:val="-1791815063"/>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21"/>
            </w:numPr>
            <w:spacing w:before="0" w:after="0" w:line="360" w:lineRule="auto"/>
            <w:rPr>
              <w:szCs w:val="21"/>
            </w:rPr>
          </w:pPr>
          <w:r>
            <w:rPr>
              <w:szCs w:val="21"/>
            </w:rPr>
            <w:t>培训计划</w:t>
          </w:r>
        </w:p>
        <w:sdt>
          <w:sdtPr>
            <w:rPr>
              <w:rFonts w:hint="eastAsia"/>
              <w:szCs w:val="21"/>
            </w:rPr>
            <w:alias w:val="是否适用：培训计划[双击切换]"/>
            <w:tag w:val="_GBC_123cfa2c006d4970ae10b316c2c1f95a"/>
            <w:id w:val="2022497328"/>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员工培训计划"/>
            <w:tag w:val="_GBC_266f6e1d93824387ae96645a471738b7"/>
            <w:id w:val="-1822259608"/>
            <w:lock w:val="sdtLocked"/>
            <w:placeholder>
              <w:docPart w:val="GBC22222222222222222222222222222"/>
            </w:placeholder>
          </w:sdtPr>
          <w:sdtEndPr>
            <w:rPr>
              <w:rFonts w:hint="eastAsia"/>
              <w:szCs w:val="21"/>
            </w:rPr>
          </w:sdtEndPr>
          <w:sdtContent>
            <w:p>
              <w:pPr>
                <w:spacing w:line="360" w:lineRule="auto"/>
                <w:ind w:firstLine="424" w:firstLineChars="202"/>
                <w:rPr>
                  <w:szCs w:val="21"/>
                </w:rPr>
              </w:pPr>
              <w:r>
                <w:rPr>
                  <w:rFonts w:hint="eastAsia"/>
                  <w:szCs w:val="21"/>
                </w:rPr>
                <w:t>公司优化调整了培训体系，成立了力帆学堂，统筹公司培训管理工作。力帆学堂下设人才经营分学堂、技术研发分学堂、质量分学堂、摩托车分学堂、通机分学堂、发动机分学堂。人才经营分学堂是公司级培训、管理</w:t>
              </w:r>
              <w:r>
                <w:rPr>
                  <w:szCs w:val="21"/>
                </w:rPr>
                <w:t>/技能型人才培训发展及企业文化建设工作的组织机构，各级业务分院是各单位（部门）级人才发展工作的组织、实施机构。</w:t>
              </w:r>
            </w:p>
            <w:p>
              <w:pPr>
                <w:spacing w:line="360" w:lineRule="auto"/>
                <w:ind w:firstLine="424" w:firstLineChars="202"/>
                <w:rPr>
                  <w:szCs w:val="21"/>
                </w:rPr>
              </w:pPr>
              <w:r>
                <w:rPr>
                  <w:rFonts w:hint="eastAsia"/>
                  <w:szCs w:val="21"/>
                </w:rPr>
                <w:t>公司培训计划在国家法律法规及公司本年度发展战略的基础上，通过组织使命分析、岗位需求分析、干部队伍培养分析，充分挖掘培训需求。另外，公司也将员工学历提升与蓝领人员技能提升统一纳入培训重点工作。</w:t>
              </w:r>
            </w:p>
            <w:p>
              <w:pPr>
                <w:spacing w:line="360" w:lineRule="auto"/>
                <w:ind w:firstLine="424" w:firstLineChars="202"/>
                <w:rPr>
                  <w:szCs w:val="21"/>
                </w:rPr>
              </w:pPr>
              <w:r>
                <w:rPr>
                  <w:rFonts w:hint="eastAsia"/>
                  <w:szCs w:val="21"/>
                </w:rPr>
                <w:t>同时培训工作更加注重培训效果的评估与转化，分为反应层（现场访谈、问卷评估）、学习层（学习报告、试卷考核、实际操作）、行为层（培训前后是否发生变化，是否在工作中运用了培训中学到的知识）、结果层（关键数据分析与对比）四个层次来进行。持续进行</w:t>
              </w:r>
              <w:r>
                <w:rPr>
                  <w:szCs w:val="21"/>
                </w:rPr>
                <w:t xml:space="preserve"> PDCA 循环改进的过程，让培训工作直接、有效，显著促进个人及组织绩效的提升。</w:t>
              </w:r>
            </w:p>
          </w:sdtContent>
        </w:sdt>
      </w:sdtContent>
    </w:sdt>
    <w:p>
      <w:pPr>
        <w:rPr>
          <w:szCs w:val="21"/>
        </w:rPr>
      </w:pPr>
    </w:p>
    <w:sdt>
      <w:sdtPr>
        <w:rPr>
          <w:rFonts w:ascii="宋体" w:hAnsi="宋体" w:cs="宋体"/>
          <w:b w:val="0"/>
          <w:bCs w:val="0"/>
          <w:kern w:val="0"/>
          <w:szCs w:val="21"/>
        </w:rPr>
        <w:alias w:val="模块:劳务外包情况"/>
        <w:tag w:val="_SEC_0b378851dc554a559cac93a43f7b5a2c"/>
        <w:id w:val="138163978"/>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21"/>
            </w:numPr>
            <w:spacing w:before="0" w:after="0" w:line="360" w:lineRule="auto"/>
            <w:rPr>
              <w:szCs w:val="21"/>
            </w:rPr>
          </w:pPr>
          <w:r>
            <w:rPr>
              <w:szCs w:val="21"/>
            </w:rPr>
            <w:t>劳务外包情况</w:t>
          </w:r>
        </w:p>
        <w:sdt>
          <w:sdtPr>
            <w:alias w:val="是否适用：劳务外包情况[双击切换]"/>
            <w:tag w:val="_GBC_0682caf48f0d4ff9b0e5259fc3a31660"/>
            <w:id w:val="-1846479138"/>
            <w:lock w:val="sdtLocked"/>
            <w:placeholder>
              <w:docPart w:val="GBC22222222222222222222222222222"/>
            </w:placeholder>
          </w:sdtPr>
          <w:sdtContent>
            <w:p>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16"/>
        </w:numPr>
        <w:spacing w:before="0" w:after="0" w:line="360" w:lineRule="auto"/>
        <w:ind w:left="450" w:hanging="450"/>
      </w:pPr>
      <w:r>
        <w:t>利润分配或资本公积金转增预案</w:t>
      </w:r>
    </w:p>
    <w:sdt>
      <w:sdtPr>
        <w:rPr>
          <w:rFonts w:hint="eastAsia" w:ascii="宋体" w:hAnsi="宋体" w:cs="宋体"/>
          <w:b w:val="0"/>
          <w:bCs w:val="0"/>
          <w:kern w:val="0"/>
          <w:szCs w:val="24"/>
        </w:rPr>
        <w:alias w:val="模块:现金分红政策的制定、执行或调整情况"/>
        <w:tag w:val="_SEC_56f603efa27346f7af316ef98db0d157"/>
        <w:id w:val="-514997739"/>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0"/>
              <w:numId w:val="22"/>
            </w:numPr>
            <w:spacing w:before="0" w:after="0" w:line="360" w:lineRule="auto"/>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649828013"/>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现金分红政策的执行情况"/>
            <w:tag w:val="_GBC_0ba57968760941749cc2f420644f2599"/>
            <w:id w:val="-563015241"/>
            <w:lock w:val="sdtLocked"/>
          </w:sdtPr>
          <w:sdtEndPr>
            <w:rPr>
              <w:rFonts w:asciiTheme="minorEastAsia" w:hAnsiTheme="minorEastAsia" w:eastAsiaTheme="minorEastAsia"/>
              <w:szCs w:val="21"/>
            </w:rPr>
          </w:sdtEndPr>
          <w:sdtContent>
            <w:p>
              <w:pPr>
                <w:spacing w:line="360" w:lineRule="auto"/>
                <w:ind w:firstLine="420" w:firstLineChars="200"/>
                <w:rPr>
                  <w:rFonts w:asciiTheme="minorEastAsia" w:hAnsiTheme="minorEastAsia" w:eastAsiaTheme="minorEastAsia"/>
                  <w:szCs w:val="21"/>
                </w:rPr>
              </w:pPr>
              <w:r>
                <w:rPr>
                  <w:rFonts w:cs="Arial" w:asciiTheme="minorEastAsia" w:hAnsiTheme="minorEastAsia" w:eastAsiaTheme="minorEastAsia"/>
                  <w:szCs w:val="21"/>
                  <w:shd w:val="clear" w:color="auto" w:fill="FFFFFF"/>
                </w:rPr>
                <w:t>《公司章程》中明确了利润分配的原则、方式、现金分红</w:t>
              </w:r>
              <w:r>
                <w:rPr>
                  <w:rFonts w:hint="eastAsia" w:cs="Arial" w:asciiTheme="minorEastAsia" w:hAnsiTheme="minorEastAsia" w:eastAsiaTheme="minorEastAsia"/>
                  <w:szCs w:val="21"/>
                  <w:shd w:val="clear" w:color="auto" w:fill="FFFFFF"/>
                </w:rPr>
                <w:t>的条件和</w:t>
              </w:r>
              <w:r>
                <w:rPr>
                  <w:rFonts w:cs="Arial" w:asciiTheme="minorEastAsia" w:hAnsiTheme="minorEastAsia" w:eastAsiaTheme="minorEastAsia"/>
                  <w:szCs w:val="21"/>
                  <w:shd w:val="clear" w:color="auto" w:fill="FFFFFF"/>
                </w:rPr>
                <w:t>比例、利润分配</w:t>
              </w:r>
              <w:r>
                <w:rPr>
                  <w:rFonts w:hint="eastAsia" w:cs="Arial" w:asciiTheme="minorEastAsia" w:hAnsiTheme="minorEastAsia" w:eastAsiaTheme="minorEastAsia"/>
                  <w:szCs w:val="21"/>
                  <w:shd w:val="clear" w:color="auto" w:fill="FFFFFF"/>
                </w:rPr>
                <w:t>方案的制定、</w:t>
              </w:r>
              <w:r>
                <w:rPr>
                  <w:rFonts w:cs="Arial" w:asciiTheme="minorEastAsia" w:hAnsiTheme="minorEastAsia" w:eastAsiaTheme="minorEastAsia"/>
                  <w:szCs w:val="21"/>
                  <w:shd w:val="clear" w:color="auto" w:fill="FFFFFF"/>
                </w:rPr>
                <w:t>决策及</w:t>
              </w:r>
              <w:r>
                <w:rPr>
                  <w:rFonts w:hint="eastAsia" w:cs="Arial" w:asciiTheme="minorEastAsia" w:hAnsiTheme="minorEastAsia" w:eastAsiaTheme="minorEastAsia"/>
                  <w:szCs w:val="21"/>
                  <w:shd w:val="clear" w:color="auto" w:fill="FFFFFF"/>
                </w:rPr>
                <w:t>修改</w:t>
              </w:r>
              <w:r>
                <w:rPr>
                  <w:rFonts w:cs="Arial" w:asciiTheme="minorEastAsia" w:hAnsiTheme="minorEastAsia" w:eastAsiaTheme="minorEastAsia"/>
                  <w:szCs w:val="21"/>
                  <w:shd w:val="clear" w:color="auto" w:fill="FFFFFF"/>
                </w:rPr>
                <w:t>程序等。根据公司2020年年度股东大会审议通过的《2020年度利润分配方案》，</w:t>
              </w:r>
              <w:r>
                <w:rPr>
                  <w:rFonts w:cs="Arial" w:asciiTheme="minorEastAsia" w:hAnsiTheme="minorEastAsia" w:eastAsiaTheme="minorEastAsia"/>
                  <w:szCs w:val="21"/>
                  <w:shd w:val="clear" w:color="auto" w:fill="FFFFFF"/>
                </w:rPr>
                <w:br w:type="textWrapping"/>
              </w:r>
              <w:r>
                <w:rPr>
                  <w:rFonts w:hint="eastAsia" w:cs="Arial" w:asciiTheme="minorEastAsia" w:hAnsiTheme="minorEastAsia" w:eastAsiaTheme="minorEastAsia"/>
                  <w:szCs w:val="21"/>
                  <w:shd w:val="clear" w:color="auto" w:fill="FFFFFF"/>
                </w:rPr>
                <w:t>鉴于</w:t>
              </w:r>
              <w:r>
                <w:rPr>
                  <w:rFonts w:cs="Arial" w:asciiTheme="minorEastAsia" w:hAnsiTheme="minorEastAsia" w:eastAsiaTheme="minorEastAsia"/>
                  <w:szCs w:val="21"/>
                  <w:shd w:val="clear" w:color="auto" w:fill="FFFFFF"/>
                </w:rPr>
                <w:t>公司</w:t>
              </w:r>
              <w:r>
                <w:rPr>
                  <w:rFonts w:cs="Courier New" w:asciiTheme="minorEastAsia" w:hAnsiTheme="minorEastAsia" w:eastAsiaTheme="minorEastAsia"/>
                  <w:szCs w:val="21"/>
                  <w:shd w:val="clear" w:color="auto" w:fill="FFFFFF"/>
                </w:rPr>
                <w:t>2020</w:t>
              </w:r>
              <w:r>
                <w:rPr>
                  <w:rFonts w:cs="Arial" w:asciiTheme="minorEastAsia" w:hAnsiTheme="minorEastAsia" w:eastAsiaTheme="minorEastAsia"/>
                  <w:szCs w:val="21"/>
                  <w:shd w:val="clear" w:color="auto" w:fill="FFFFFF"/>
                </w:rPr>
                <w:t>年末可供分配利润为负数，根据《公司法》《公司章程》相关规定，</w:t>
              </w:r>
              <w:r>
                <w:rPr>
                  <w:rFonts w:cs="Courier New" w:asciiTheme="minorEastAsia" w:hAnsiTheme="minorEastAsia" w:eastAsiaTheme="minorEastAsia"/>
                  <w:szCs w:val="21"/>
                  <w:shd w:val="clear" w:color="auto" w:fill="FFFFFF"/>
                </w:rPr>
                <w:t>2020</w:t>
              </w:r>
              <w:r>
                <w:rPr>
                  <w:rFonts w:cs="Arial" w:asciiTheme="minorEastAsia" w:hAnsiTheme="minorEastAsia" w:eastAsiaTheme="minorEastAsia"/>
                  <w:szCs w:val="21"/>
                  <w:shd w:val="clear" w:color="auto" w:fill="FFFFFF"/>
                </w:rPr>
                <w:t>年度不进行利润分配（含现金分红和股票股利分配），不实施资本公积金转增股本。该利润分配方案经公司董事会审议通过之后，提交公司股东大会审议通过。股东大会审议该议案时，对中小股东进行了单独计票。报告期内，公司利润分配符合《公司章程》的规定。</w:t>
              </w:r>
            </w:p>
          </w:sdtContent>
        </w:sdt>
        <w:p/>
      </w:sdtContent>
    </w:sdt>
    <w:sdt>
      <w:sdtPr>
        <w:rPr>
          <w:rFonts w:ascii="宋体" w:hAnsi="宋体" w:cs="宋体"/>
          <w:b w:val="0"/>
          <w:bCs w:val="0"/>
          <w:kern w:val="0"/>
          <w:szCs w:val="24"/>
        </w:rPr>
        <w:alias w:val="模块:现金分红政策的专项说明"/>
        <w:tag w:val="_SEC_1a77bbccdee34f4bacdd389ca95234c8"/>
        <w:id w:val="-1400822334"/>
        <w:lock w:val="sdtLocked"/>
        <w:placeholder>
          <w:docPart w:val="GBC22222222222222222222222222222"/>
        </w:placeholder>
      </w:sdtPr>
      <w:sdtEndPr>
        <w:rPr>
          <w:rFonts w:ascii="宋体" w:hAnsi="宋体" w:cs="宋体"/>
          <w:b w:val="0"/>
          <w:bCs w:val="0"/>
          <w:kern w:val="0"/>
          <w:szCs w:val="24"/>
        </w:rPr>
      </w:sdtEndPr>
      <w:sdtContent>
        <w:p>
          <w:pPr>
            <w:pStyle w:val="4"/>
            <w:numPr>
              <w:ilvl w:val="0"/>
              <w:numId w:val="22"/>
            </w:numPr>
            <w:ind w:left="450" w:hanging="450"/>
          </w:pPr>
          <w:bookmarkStart w:id="51" w:name="_Hlk89446160"/>
          <w:r>
            <w:t>现金分红政策的专项说明</w:t>
          </w:r>
        </w:p>
        <w:sdt>
          <w:sdtPr>
            <w:alias w:val="是否适用：现金分红政策的专项说明 [双击切换]"/>
            <w:tag w:val="_GBC_715d8b6c04924cf19dcd2347ae32471f"/>
            <w:id w:val="-6164367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5"/>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be5b642d619e47719375899ad34c31f6"/>
                <w:id w:val="-664927443"/>
                <w:lock w:val="sdtLocked"/>
              </w:sdtPr>
              <w:sdtEndPr>
                <w:rPr>
                  <w:rFonts w:hint="eastAsia"/>
                </w:rPr>
              </w:sdtEndPr>
              <w:sdtContent>
                <w:tc>
                  <w:tcPr>
                    <w:tcW w:w="3898" w:type="pct"/>
                  </w:tcPr>
                  <w:p>
                    <w:r>
                      <w:rPr>
                        <w:rFonts w:hint="eastAsia"/>
                      </w:rPr>
                      <w:t>是否符合公司章程的规定或股东大会决议的要求</w:t>
                    </w:r>
                  </w:p>
                </w:tc>
              </w:sdtContent>
            </w:sdt>
            <w:sdt>
              <w:sdtPr>
                <w:alias w:val="是否符合公司章程的规定或股东大会决议的要求[双击切换]"/>
                <w:tag w:val="_GBC_c4c31977f51f4fa0a4f1f65cff248b5c"/>
                <w:id w:val="782154129"/>
                <w:lock w:val="sdtLocked"/>
              </w:sdtPr>
              <w:sdtContent>
                <w:tc>
                  <w:tcPr>
                    <w:tcW w:w="1102" w:type="pct"/>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bb613040dd064b1ca069bfb8132e531b"/>
                <w:id w:val="1693804676"/>
                <w:lock w:val="sdtLocked"/>
              </w:sdtPr>
              <w:sdtEndPr>
                <w:rPr>
                  <w:rFonts w:hint="eastAsia"/>
                </w:rPr>
              </w:sdtEndPr>
              <w:sdtContent>
                <w:tc>
                  <w:tcPr>
                    <w:tcW w:w="3898" w:type="pct"/>
                  </w:tcPr>
                  <w:p>
                    <w:r>
                      <w:rPr>
                        <w:rFonts w:hint="eastAsia"/>
                      </w:rPr>
                      <w:t>分红标准和比例是否明确和清晰</w:t>
                    </w:r>
                  </w:p>
                </w:tc>
              </w:sdtContent>
            </w:sdt>
            <w:sdt>
              <w:sdtPr>
                <w:alias w:val="分红标准和比例是否明确和清晰[双击切换]"/>
                <w:tag w:val="_GBC_c8bbad0601c544fca3faeac3b11ee218"/>
                <w:id w:val="-116461842"/>
                <w:lock w:val="sdtLocked"/>
              </w:sdtPr>
              <w:sdtContent>
                <w:tc>
                  <w:tcPr>
                    <w:tcW w:w="1102" w:type="pct"/>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d39f871c32a241abb0e19af8d214c228"/>
                <w:id w:val="-1743635696"/>
                <w:lock w:val="sdtLocked"/>
              </w:sdtPr>
              <w:sdtEndPr>
                <w:rPr>
                  <w:rFonts w:hint="eastAsia"/>
                </w:rPr>
              </w:sdtEndPr>
              <w:sdtContent>
                <w:tc>
                  <w:tcPr>
                    <w:tcW w:w="3898" w:type="pct"/>
                    <w:tcBorders>
                      <w:top w:val="single" w:color="auto" w:sz="4" w:space="0"/>
                      <w:left w:val="single" w:color="auto" w:sz="4" w:space="0"/>
                      <w:bottom w:val="single" w:color="auto" w:sz="4" w:space="0"/>
                      <w:right w:val="single" w:color="auto" w:sz="4" w:space="0"/>
                    </w:tcBorders>
                  </w:tcPr>
                  <w:p>
                    <w:r>
                      <w:rPr>
                        <w:rFonts w:hint="eastAsia"/>
                      </w:rPr>
                      <w:t>相关的决策程序和机制是否完备</w:t>
                    </w:r>
                  </w:p>
                </w:tc>
              </w:sdtContent>
            </w:sdt>
            <w:sdt>
              <w:sdtPr>
                <w:alias w:val="相关的决策程序和机制是否完备[双击切换]"/>
                <w:tag w:val="_GBC_b2d0d75abb6f4f14a51595902d0ad7b9"/>
                <w:id w:val="888531974"/>
                <w:lock w:val="sdtLocked"/>
              </w:sdtPr>
              <w:sdtContent>
                <w:tc>
                  <w:tcPr>
                    <w:tcW w:w="1102" w:type="pct"/>
                    <w:tcBorders>
                      <w:top w:val="single" w:color="auto" w:sz="4" w:space="0"/>
                      <w:left w:val="single" w:color="auto" w:sz="4" w:space="0"/>
                      <w:bottom w:val="single" w:color="auto" w:sz="4" w:space="0"/>
                      <w:right w:val="single" w:color="auto" w:sz="4" w:space="0"/>
                    </w:tcBorders>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a57913e82be74b9aae452efa4dca97ee"/>
                <w:id w:val="219867218"/>
                <w:lock w:val="sdtLocked"/>
              </w:sdtPr>
              <w:sdtEndPr>
                <w:rPr>
                  <w:rFonts w:hint="eastAsia"/>
                </w:rPr>
              </w:sdtEndPr>
              <w:sdtContent>
                <w:tc>
                  <w:tcPr>
                    <w:tcW w:w="3898" w:type="pct"/>
                    <w:tcBorders>
                      <w:top w:val="single" w:color="auto" w:sz="4" w:space="0"/>
                      <w:left w:val="single" w:color="auto" w:sz="4" w:space="0"/>
                      <w:bottom w:val="single" w:color="auto" w:sz="4" w:space="0"/>
                      <w:right w:val="single" w:color="auto" w:sz="4" w:space="0"/>
                    </w:tcBorders>
                  </w:tcPr>
                  <w:p>
                    <w:r>
                      <w:rPr>
                        <w:rFonts w:hint="eastAsia"/>
                      </w:rPr>
                      <w:t>独立董事是否履职尽责并发挥了应有的作用</w:t>
                    </w:r>
                  </w:p>
                </w:tc>
              </w:sdtContent>
            </w:sdt>
            <w:sdt>
              <w:sdtPr>
                <w:alias w:val="独立董事是否履职尽责并发挥了应有的作用[双击切换]"/>
                <w:tag w:val="_GBC_0b8d249fbcc74af893077c4c7eee16ef"/>
                <w:id w:val="-183674863"/>
                <w:lock w:val="sdtLocked"/>
              </w:sdtPr>
              <w:sdtContent>
                <w:tc>
                  <w:tcPr>
                    <w:tcW w:w="1102" w:type="pct"/>
                    <w:tcBorders>
                      <w:top w:val="single" w:color="auto" w:sz="4" w:space="0"/>
                      <w:left w:val="single" w:color="auto" w:sz="4" w:space="0"/>
                      <w:bottom w:val="single" w:color="auto" w:sz="4" w:space="0"/>
                      <w:right w:val="single" w:color="auto" w:sz="4" w:space="0"/>
                    </w:tcBorders>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rPr>
                <w:tag w:val="_PLD_3a7a041e30804acd8d2becd7cb2629f9"/>
                <w:id w:val="-420402707"/>
                <w:lock w:val="sdtLocked"/>
              </w:sdtPr>
              <w:sdtEndPr>
                <w:rPr>
                  <w:rFonts w:hint="eastAsia"/>
                </w:rPr>
              </w:sdtEndPr>
              <w:sdtContent>
                <w:tc>
                  <w:tcPr>
                    <w:tcW w:w="3898" w:type="pct"/>
                    <w:tcBorders>
                      <w:top w:val="single" w:color="auto" w:sz="4" w:space="0"/>
                      <w:left w:val="single" w:color="auto" w:sz="4" w:space="0"/>
                      <w:bottom w:val="single" w:color="auto" w:sz="4" w:space="0"/>
                      <w:right w:val="single" w:color="auto" w:sz="4" w:space="0"/>
                    </w:tcBorders>
                  </w:tcPr>
                  <w:p>
                    <w:r>
                      <w:rPr>
                        <w:rFonts w:hint="eastAsia"/>
                      </w:rPr>
                      <w:t>中小股东是否有充分表达意见和诉求的机会，其合法权益是否得到了充分保护</w:t>
                    </w:r>
                  </w:p>
                </w:tc>
              </w:sdtContent>
            </w:sdt>
            <w:sdt>
              <w:sdtPr>
                <w:alias w:val="中小股东是否有充分表达意见和诉求的机会，其合法权益是否得到了充分保护[双击切换]"/>
                <w:tag w:val="_GBC_827122507d054bfd80b4c5e8d243a91b"/>
                <w:id w:val="-1016839597"/>
                <w:lock w:val="sdtLocked"/>
              </w:sdtPr>
              <w:sdtContent>
                <w:tc>
                  <w:tcPr>
                    <w:tcW w:w="1102" w:type="pct"/>
                    <w:tcBorders>
                      <w:top w:val="single" w:color="auto" w:sz="4" w:space="0"/>
                      <w:left w:val="single" w:color="auto" w:sz="4" w:space="0"/>
                      <w:bottom w:val="single" w:color="auto" w:sz="4" w:space="0"/>
                      <w:right w:val="single" w:color="auto" w:sz="4" w:space="0"/>
                    </w:tcBorders>
                  </w:tcPr>
                  <w:p>
                    <w:pPr>
                      <w:jc w:val="center"/>
                    </w:pPr>
                    <w:r>
                      <w:fldChar w:fldCharType="begin"/>
                    </w:r>
                    <w:r>
                      <w:instrText xml:space="preserve"> MACROBUTTON  SnrToggleCheckbox √是 </w:instrText>
                    </w:r>
                    <w:r>
                      <w:fldChar w:fldCharType="end"/>
                    </w:r>
                    <w:r>
                      <w:fldChar w:fldCharType="begin"/>
                    </w:r>
                    <w:r>
                      <w:instrText xml:space="preserve"> MACROBUTTON  SnrToggleCheckbox □否 </w:instrText>
                    </w:r>
                    <w:r>
                      <w:fldChar w:fldCharType="end"/>
                    </w:r>
                  </w:p>
                </w:tc>
              </w:sdtContent>
            </w:sdt>
          </w:tr>
        </w:tbl>
        <w:p/>
      </w:sdtContent>
    </w:sdt>
    <w:bookmarkEnd w:id="51"/>
    <w:sdt>
      <w:sdtPr>
        <w:rPr>
          <w:rFonts w:hint="eastAsia" w:ascii="宋体" w:hAnsi="宋体" w:cs="宋体"/>
          <w:b w:val="0"/>
          <w:bCs w:val="0"/>
          <w:kern w:val="0"/>
          <w:szCs w:val="24"/>
        </w:rPr>
        <w:alias w:val="模块:报告期内盈利且母公司可供普通股股东分配利润为正，但未提出普通股现金利润分配预案的，公司应当详细披露原因以及未分配利润的用途"/>
        <w:tag w:val="_SEC_338bc2c40b994349907ff9b7484876e4"/>
        <w:id w:val="911286853"/>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2"/>
            </w:numPr>
            <w:spacing w:before="0" w:after="0" w:line="360" w:lineRule="auto"/>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783118620"/>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16"/>
        </w:numPr>
        <w:spacing w:before="0" w:after="0" w:line="360" w:lineRule="auto"/>
        <w:ind w:left="450" w:hanging="450"/>
      </w:pPr>
      <w:bookmarkStart w:id="52" w:name="_Toc342491956"/>
      <w:bookmarkStart w:id="53" w:name="_Toc342565948"/>
      <w:r>
        <w:rPr>
          <w:rFonts w:hint="eastAsia"/>
        </w:rPr>
        <w:t>公司股权激励计划、员工持股计划或其他员工激励措施的情况及其影响</w:t>
      </w:r>
      <w:bookmarkEnd w:id="52"/>
      <w:bookmarkEnd w:id="53"/>
    </w:p>
    <w:sdt>
      <w:sdtPr>
        <w:rPr>
          <w:rFonts w:hint="eastAsia" w:ascii="宋体" w:hAnsi="宋体" w:cs="宋体"/>
          <w:b w:val="0"/>
          <w:bCs w:val="0"/>
          <w:kern w:val="44"/>
          <w:sz w:val="24"/>
          <w:szCs w:val="21"/>
        </w:rPr>
        <w:alias w:val="模块:相关股权激励事项已在临时公告披露且后续实施无进展或变化"/>
        <w:tag w:val="_SEC_0fef5a8a9a1f47b5be982489f74109f3"/>
        <w:id w:val="-388876975"/>
        <w:lock w:val="sdtLocked"/>
        <w:placeholder>
          <w:docPart w:val="GBC22222222222222222222222222222"/>
        </w:placeholder>
      </w:sdtPr>
      <w:sdtEndPr>
        <w:rPr>
          <w:rFonts w:hint="default" w:ascii="宋体" w:hAnsi="宋体" w:cs="宋体"/>
          <w:b w:val="0"/>
          <w:bCs w:val="0"/>
          <w:kern w:val="0"/>
          <w:sz w:val="21"/>
          <w:szCs w:val="24"/>
        </w:rPr>
      </w:sdtEndPr>
      <w:sdtContent>
        <w:p>
          <w:pPr>
            <w:pStyle w:val="4"/>
            <w:numPr>
              <w:ilvl w:val="1"/>
              <w:numId w:val="23"/>
            </w:numPr>
            <w:spacing w:before="0" w:after="0" w:line="360" w:lineRule="auto"/>
            <w:rPr>
              <w:kern w:val="44"/>
              <w:szCs w:val="21"/>
            </w:rPr>
          </w:pPr>
          <w:bookmarkStart w:id="54" w:name="_Toc342491957"/>
          <w:bookmarkStart w:id="55" w:name="_Toc342565949"/>
          <w:r>
            <w:rPr>
              <w:rFonts w:hint="eastAsia"/>
              <w:kern w:val="44"/>
              <w:szCs w:val="21"/>
            </w:rPr>
            <w:t>相关激励事项已在临时公告披露且后续实施无进展或变化的</w:t>
          </w:r>
          <w:bookmarkEnd w:id="54"/>
          <w:bookmarkEnd w:id="55"/>
        </w:p>
        <w:sdt>
          <w:sdtPr>
            <w:alias w:val="是否适用：相关激励事项已在临时公告披露且后续实施无进展或变化的[双击切换]"/>
            <w:tag w:val="_GBC_0af9dca2858d42619c57d7878f3a7792"/>
            <w:id w:val="283854673"/>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7"/>
            <w:gridCol w:w="3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ecbe6d8ce743f4b13927063683e8b3"/>
                <w:id w:val="834806747"/>
                <w:lock w:val="sdtLocked"/>
              </w:sdtPr>
              <w:sdtContent>
                <w:tc>
                  <w:tcPr>
                    <w:tcW w:w="2916" w:type="pct"/>
                    <w:shd w:val="clear" w:color="auto" w:fill="auto"/>
                  </w:tcPr>
                  <w:p>
                    <w:pPr>
                      <w:jc w:val="center"/>
                      <w:rPr>
                        <w:bCs/>
                        <w:kern w:val="44"/>
                        <w:szCs w:val="21"/>
                      </w:rPr>
                    </w:pPr>
                    <w:r>
                      <w:rPr>
                        <w:rFonts w:hint="eastAsia"/>
                        <w:bCs/>
                        <w:kern w:val="44"/>
                        <w:szCs w:val="21"/>
                      </w:rPr>
                      <w:t>事项概述</w:t>
                    </w:r>
                  </w:p>
                </w:tc>
              </w:sdtContent>
            </w:sdt>
            <w:sdt>
              <w:sdtPr>
                <w:tag w:val="_PLD_6c5a6ae67a584eab9a29fd8b549ac825"/>
                <w:id w:val="-364440205"/>
                <w:lock w:val="sdtLocked"/>
              </w:sdtPr>
              <w:sdtContent>
                <w:tc>
                  <w:tcPr>
                    <w:tcW w:w="2084" w:type="pct"/>
                    <w:shd w:val="clear" w:color="auto" w:fill="auto"/>
                  </w:tcPr>
                  <w:p>
                    <w:pPr>
                      <w:jc w:val="center"/>
                      <w:rPr>
                        <w:bCs/>
                        <w:kern w:val="44"/>
                        <w:szCs w:val="21"/>
                      </w:rPr>
                    </w:pPr>
                    <w:r>
                      <w:rPr>
                        <w:rFonts w:hint="eastAsia"/>
                        <w:bCs/>
                        <w:kern w:val="44"/>
                        <w:szCs w:val="21"/>
                      </w:rPr>
                      <w:t>查询索引</w:t>
                    </w:r>
                  </w:p>
                </w:tc>
              </w:sdtContent>
            </w:sdt>
          </w:tr>
          <w:sdt>
            <w:sdtPr>
              <w:rPr>
                <w:rFonts w:hint="eastAsia"/>
                <w:bCs/>
                <w:kern w:val="44"/>
                <w:szCs w:val="21"/>
              </w:rPr>
              <w:alias w:val="股权激励事项已在临时报告披露且后续实施无进展或变化的"/>
              <w:tag w:val="_TUP_037b15f0f55b43a0b8948811ed866a88"/>
              <w:id w:val="427853712"/>
              <w:lock w:val="sdtLocked"/>
            </w:sdtPr>
            <w:sdtEndPr>
              <w:rPr>
                <w:rFonts w:hint="default"/>
                <w:bCs/>
                <w:kern w:val="44"/>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6" w:type="pct"/>
                    <w:shd w:val="clear" w:color="auto" w:fill="auto"/>
                    <w:vAlign w:val="center"/>
                  </w:tcPr>
                  <w:p>
                    <w:pPr>
                      <w:ind w:firstLine="420" w:firstLineChars="200"/>
                      <w:rPr>
                        <w:szCs w:val="21"/>
                      </w:rPr>
                    </w:pPr>
                    <w:r>
                      <w:rPr>
                        <w:rFonts w:hint="eastAsia"/>
                      </w:rPr>
                      <w:t>公司于</w:t>
                    </w:r>
                    <w:r>
                      <w:t>2021年1月22日召开第五届董事会第一次会议、第五届监事会第一次会议，并于2021年2月8日召开2021年第二次临时股东大会，</w:t>
                    </w:r>
                    <w:r>
                      <w:rPr>
                        <w:rFonts w:hint="eastAsia"/>
                      </w:rPr>
                      <w:t>审议通过《关于力帆实业（集团）股份有限公司回购注销部分限制性股票的议案》。鉴于公司2019年度财务业绩未达解锁条件，激励对象所持有的首次授予第三期及预留授予第二期待解锁限制性股票已不符合解锁条件，需由公司回购注销。本次回购未达到解锁条件的限制性股票激励计划首次授予第三期及预留授予第二期待解锁限制性股票 22,324,300股。另，公司于2019年经董事会和股东大会审议通过了《关于力帆实业（集团）股份有限公司回购注销部分限制性股票的议案》，拟回购并注销93名激励对象已获授尚未解锁的5,607,000股限制性股票。上述两次限制性股票回购注销合计27,931,300股。</w:t>
                    </w:r>
                  </w:p>
                  <w:p>
                    <w:pPr>
                      <w:rPr>
                        <w:bCs/>
                        <w:kern w:val="44"/>
                        <w:szCs w:val="21"/>
                      </w:rPr>
                    </w:pPr>
                  </w:p>
                </w:tc>
                <w:tc>
                  <w:tcPr>
                    <w:tcW w:w="2084" w:type="pct"/>
                    <w:shd w:val="clear" w:color="auto" w:fill="auto"/>
                    <w:vAlign w:val="center"/>
                  </w:tcPr>
                  <w:p>
                    <w:pPr>
                      <w:rPr>
                        <w:szCs w:val="21"/>
                      </w:rPr>
                    </w:pPr>
                    <w:r>
                      <w:rPr>
                        <w:rFonts w:hint="eastAsia"/>
                      </w:rPr>
                      <w:t xml:space="preserve">   详见公司于2021年1月23日在《中国证券报》《上海证券报》《证券时报》《证券日报》及上海证券交易所网站（www.sse.com.cn）上刊登的《力帆实业（集团）股份有限公司关于回购注销部分限制性股票的公告》（公告编号：临2021-013）。</w:t>
                    </w:r>
                  </w:p>
                  <w:p>
                    <w:pPr>
                      <w:rPr>
                        <w:bCs/>
                        <w:kern w:val="44"/>
                        <w:szCs w:val="21"/>
                      </w:rPr>
                    </w:pPr>
                  </w:p>
                </w:tc>
              </w:tr>
            </w:sdtContent>
          </w:sdt>
          <w:sdt>
            <w:sdtPr>
              <w:rPr>
                <w:rFonts w:hint="eastAsia"/>
                <w:bCs/>
                <w:kern w:val="44"/>
                <w:szCs w:val="21"/>
              </w:rPr>
              <w:alias w:val="股权激励事项已在临时报告披露且后续实施无进展或变化的"/>
              <w:tag w:val="_TUP_037b15f0f55b43a0b8948811ed866a88"/>
              <w:id w:val="-48145127"/>
              <w:lock w:val="sdtLocked"/>
            </w:sdtPr>
            <w:sdtEndPr>
              <w:rPr>
                <w:rFonts w:hint="default"/>
                <w:bCs/>
                <w:kern w:val="44"/>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6" w:type="pct"/>
                    <w:shd w:val="clear" w:color="auto" w:fill="auto"/>
                    <w:vAlign w:val="center"/>
                  </w:tcPr>
                  <w:p>
                    <w:pPr>
                      <w:ind w:firstLine="420" w:firstLineChars="200"/>
                      <w:rPr>
                        <w:bCs/>
                        <w:kern w:val="44"/>
                        <w:szCs w:val="21"/>
                      </w:rPr>
                    </w:pPr>
                    <w:r>
                      <w:t>2021年4月22日，公司完成了上述回购注销事项，公司总股本由4,527,931,300股减少为4,500,000,000股。</w:t>
                    </w:r>
                  </w:p>
                </w:tc>
                <w:tc>
                  <w:tcPr>
                    <w:tcW w:w="2084" w:type="pct"/>
                    <w:shd w:val="clear" w:color="auto" w:fill="auto"/>
                    <w:vAlign w:val="center"/>
                  </w:tcPr>
                  <w:p>
                    <w:pPr>
                      <w:rPr>
                        <w:bCs/>
                        <w:kern w:val="44"/>
                        <w:szCs w:val="21"/>
                      </w:rPr>
                    </w:pPr>
                    <w:r>
                      <w:t>详见公司于2021年4月20日在《中国证券报》《上海证券报》《证券时报》《证券日报》及上海证券交易所网站（www.sse.com.cn）上刊登的《力帆科技（集团）股份有限公司关于部分股权激励限制性股票回购注销实施公告》（公告编号：临2021-038）。</w:t>
                    </w:r>
                  </w:p>
                </w:tc>
              </w:tr>
            </w:sdtContent>
          </w:sdt>
        </w:tbl>
        <w:p/>
      </w:sdtContent>
    </w:sdt>
    <w:p>
      <w:pPr>
        <w:pStyle w:val="4"/>
        <w:numPr>
          <w:ilvl w:val="1"/>
          <w:numId w:val="23"/>
        </w:numPr>
        <w:spacing w:before="0" w:after="0" w:line="360" w:lineRule="auto"/>
        <w:rPr>
          <w:kern w:val="44"/>
          <w:szCs w:val="21"/>
        </w:rPr>
      </w:pPr>
      <w:r>
        <w:rPr>
          <w:rFonts w:hint="eastAsia"/>
          <w:kern w:val="44"/>
          <w:szCs w:val="21"/>
        </w:rPr>
        <w:t>临时公告未披露或有后续进展的激励情况</w:t>
      </w:r>
    </w:p>
    <w:p>
      <w:pPr>
        <w:spacing w:line="360" w:lineRule="auto"/>
      </w:pPr>
      <w:r>
        <w:rPr>
          <w:rFonts w:hint="eastAsia"/>
        </w:rPr>
        <w:t>股权激励情况</w:t>
      </w:r>
    </w:p>
    <w:p>
      <w:pPr>
        <w:spacing w:line="360" w:lineRule="auto"/>
        <w:rPr>
          <w:szCs w:val="21"/>
        </w:rPr>
      </w:pPr>
      <w:sdt>
        <w:sdtPr>
          <w:alias w:val="是否适用：股权激励情况[双击切换]"/>
          <w:tag w:val="_GBC_002ad948ce1449c2a805bfbb132b2202"/>
          <w:id w:val="-958714808"/>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spacing w:line="360" w:lineRule="auto"/>
        <w:rPr>
          <w:szCs w:val="21"/>
        </w:rPr>
      </w:pPr>
    </w:p>
    <w:sdt>
      <w:sdtPr>
        <w:rPr>
          <w:rFonts w:hint="eastAsia"/>
          <w:szCs w:val="21"/>
        </w:rPr>
        <w:alias w:val="模块:其他说明  "/>
        <w:tag w:val="_SEC_12c50bf247d34661bdbc91376a5f0abc"/>
        <w:id w:val="1541702605"/>
        <w:lock w:val="sdtLocked"/>
        <w:placeholder>
          <w:docPart w:val="GBC22222222222222222222222222222"/>
        </w:placeholder>
      </w:sdtPr>
      <w:sdtEndPr>
        <w:rPr>
          <w:rFonts w:hint="default"/>
          <w:szCs w:val="21"/>
        </w:rPr>
      </w:sdtEndPr>
      <w:sdtContent>
        <w:p>
          <w:pPr>
            <w:spacing w:line="360" w:lineRule="auto"/>
            <w:rPr>
              <w:szCs w:val="21"/>
            </w:rPr>
          </w:pPr>
          <w:r>
            <w:rPr>
              <w:rFonts w:hint="eastAsia"/>
              <w:szCs w:val="21"/>
            </w:rPr>
            <w:t>其他说明</w:t>
          </w:r>
        </w:p>
        <w:sdt>
          <w:sdtPr>
            <w:rPr>
              <w:rFonts w:hint="eastAsia"/>
              <w:szCs w:val="21"/>
            </w:rPr>
            <w:alias w:val="是否适用：股权激励情况的说明[双击切换]"/>
            <w:tag w:val="_GBC_67421581adf34d0f9f06e3042b8d7199"/>
            <w:id w:val="48886052"/>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hint="eastAsia"/>
          <w:bCs/>
          <w:szCs w:val="21"/>
        </w:rPr>
        <w:alias w:val="模块:员工持股计划情况"/>
        <w:tag w:val="_SEC_e76ced04f0774d5494f667355c3809ba"/>
        <w:id w:val="-1071269221"/>
        <w:lock w:val="sdtLocked"/>
        <w:placeholder>
          <w:docPart w:val="GBC22222222222222222222222222222"/>
        </w:placeholder>
      </w:sdtPr>
      <w:sdtEndPr>
        <w:rPr>
          <w:rFonts w:hint="eastAsia"/>
          <w:bCs/>
          <w:szCs w:val="21"/>
        </w:rPr>
      </w:sdtEndPr>
      <w:sdtContent>
        <w:p>
          <w:pPr>
            <w:spacing w:line="360" w:lineRule="auto"/>
            <w:rPr>
              <w:bCs/>
              <w:szCs w:val="21"/>
            </w:rPr>
          </w:pPr>
          <w:r>
            <w:rPr>
              <w:rFonts w:hint="eastAsia"/>
              <w:bCs/>
              <w:szCs w:val="21"/>
            </w:rPr>
            <w:t>员工持股计划情况</w:t>
          </w:r>
        </w:p>
        <w:sdt>
          <w:sdtPr>
            <w:rPr>
              <w:rFonts w:hint="eastAsia"/>
              <w:bCs/>
              <w:szCs w:val="21"/>
            </w:rPr>
            <w:alias w:val="是否适用：员工持股计划情况[双击切换]"/>
            <w:tag w:val="_GBC_58bc54aaaba24427a2a569de76f7f83e"/>
            <w:id w:val="-1605796922"/>
            <w:lock w:val="sdtLocked"/>
            <w:placeholder>
              <w:docPart w:val="GBC22222222222222222222222222222"/>
            </w:placeholder>
          </w:sdtPr>
          <w:sdtEndPr>
            <w:rPr>
              <w:rFonts w:hint="eastAsia"/>
              <w:bCs/>
              <w:szCs w:val="21"/>
            </w:rPr>
          </w:sdtEndPr>
          <w:sdtContent>
            <w:p>
              <w:pPr>
                <w:spacing w:line="360" w:lineRule="auto"/>
                <w:rPr>
                  <w:bCs/>
                  <w:szCs w:val="21"/>
                </w:rPr>
              </w:pPr>
              <w:r>
                <w:rPr>
                  <w:bCs/>
                  <w:szCs w:val="21"/>
                </w:rPr>
                <w:fldChar w:fldCharType="begin"/>
              </w:r>
              <w:r>
                <w:rPr>
                  <w:bCs/>
                  <w:szCs w:val="21"/>
                </w:rPr>
                <w:instrText xml:space="preserve"> 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pPr>
            <w:spacing w:line="360" w:lineRule="auto"/>
            <w:rPr>
              <w:bCs/>
              <w:szCs w:val="21"/>
            </w:rPr>
          </w:pPr>
        </w:p>
      </w:sdtContent>
    </w:sdt>
    <w:sdt>
      <w:sdtPr>
        <w:rPr>
          <w:rFonts w:hint="eastAsia"/>
          <w:bCs/>
          <w:szCs w:val="21"/>
        </w:rPr>
        <w:alias w:val="模块:其他激励措施"/>
        <w:tag w:val="_SEC_614d59c9502f4f76b99b0f6a5227009b"/>
        <w:id w:val="1596285793"/>
        <w:lock w:val="sdtLocked"/>
        <w:placeholder>
          <w:docPart w:val="GBC22222222222222222222222222222"/>
        </w:placeholder>
      </w:sdtPr>
      <w:sdtEndPr>
        <w:rPr>
          <w:rFonts w:hint="eastAsia"/>
          <w:bCs/>
          <w:szCs w:val="21"/>
        </w:rPr>
      </w:sdtEndPr>
      <w:sdtContent>
        <w:p>
          <w:pPr>
            <w:spacing w:line="360" w:lineRule="auto"/>
            <w:rPr>
              <w:bCs/>
              <w:szCs w:val="21"/>
            </w:rPr>
          </w:pPr>
          <w:r>
            <w:rPr>
              <w:rFonts w:hint="eastAsia"/>
              <w:bCs/>
              <w:szCs w:val="21"/>
            </w:rPr>
            <w:t>其他激励措施</w:t>
          </w:r>
        </w:p>
        <w:sdt>
          <w:sdtPr>
            <w:rPr>
              <w:szCs w:val="21"/>
            </w:rPr>
            <w:alias w:val="是否适用：其他激励措施[双击切换]"/>
            <w:tag w:val="_GBC_1273f753309d4658962c7982b10fa010"/>
            <w:id w:val="1120880653"/>
            <w:lock w:val="sdtLocked"/>
            <w:placeholder>
              <w:docPart w:val="GBC22222222222222222222222222222"/>
            </w:placeholder>
          </w:sdtPr>
          <w:sdtEndPr>
            <w:rPr>
              <w:szCs w:val="21"/>
            </w:rPr>
          </w:sdtEndPr>
          <w:sdtContent>
            <w:p>
              <w:pPr>
                <w:spacing w:line="360" w:lineRule="auto"/>
                <w:rPr>
                  <w:bCs/>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bCs/>
          <w:szCs w:val="21"/>
        </w:rPr>
      </w:pPr>
    </w:p>
    <w:sdt>
      <w:sdtPr>
        <w:rPr>
          <w:rFonts w:hint="eastAsia" w:ascii="宋体" w:hAnsi="宋体" w:cs="宋体"/>
          <w:b w:val="0"/>
          <w:bCs w:val="0"/>
          <w:kern w:val="0"/>
          <w:szCs w:val="21"/>
        </w:rPr>
        <w:alias w:val="模块:董事、高级管理人员报告期内被授予的股权激励情况  单位:..."/>
        <w:tag w:val="_SEC_8787cb19f2c64d4e8ac89d031e52cc9e"/>
        <w:id w:val="-667476168"/>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1"/>
              <w:numId w:val="23"/>
            </w:numPr>
            <w:spacing w:before="0" w:after="0" w:line="360" w:lineRule="auto"/>
            <w:rPr>
              <w:szCs w:val="21"/>
            </w:rPr>
          </w:pPr>
          <w:bookmarkStart w:id="56" w:name="_Toc342057945"/>
          <w:bookmarkStart w:id="57" w:name="_Toc342566005"/>
          <w:r>
            <w:rPr>
              <w:rFonts w:hint="eastAsia"/>
              <w:szCs w:val="21"/>
            </w:rPr>
            <w:t>董事、高级管理人员报告期内被授予的</w:t>
          </w:r>
          <w:r>
            <w:rPr>
              <w:rFonts w:hint="eastAsia"/>
              <w:kern w:val="44"/>
              <w:szCs w:val="21"/>
            </w:rPr>
            <w:t>股权</w:t>
          </w:r>
          <w:r>
            <w:rPr>
              <w:rFonts w:hint="eastAsia"/>
              <w:szCs w:val="21"/>
            </w:rPr>
            <w:t>激励情况</w:t>
          </w:r>
          <w:bookmarkEnd w:id="56"/>
          <w:bookmarkEnd w:id="57"/>
        </w:p>
        <w:sdt>
          <w:sdtPr>
            <w:rPr>
              <w:rFonts w:hint="eastAsia"/>
              <w:szCs w:val="21"/>
            </w:rPr>
            <w:alias w:val="是否适用：董事、监事、高级管理人员报告期内被授予的股权激励情况[双击切换]"/>
            <w:tag w:val="_GBC_c2d0a53ac8044ce0b5022c6f5ccdc0a9"/>
            <w:id w:val="-856425053"/>
            <w:lock w:val="sdtLocked"/>
            <w:placeholder>
              <w:docPart w:val="GBC22222222222222222222222222222"/>
            </w:placeholder>
          </w:sdtPr>
          <w:sdtEndPr>
            <w:rPr>
              <w:rFonts w:hint="eastAsia"/>
              <w:szCs w:val="21"/>
            </w:rPr>
          </w:sdtEndPr>
          <w:sdtContent>
            <w:p>
              <w:pPr>
                <w:kinsoku w:val="0"/>
                <w:overflowPunct w:val="0"/>
                <w:autoSpaceDE w:val="0"/>
                <w:autoSpaceDN w:val="0"/>
                <w:adjustRightInd w:val="0"/>
                <w:snapToGri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pPr>
                <w:kinsoku w:val="0"/>
                <w:overflowPunct w:val="0"/>
                <w:autoSpaceDE w:val="0"/>
                <w:autoSpaceDN w:val="0"/>
                <w:adjustRightInd w:val="0"/>
                <w:snapToGrid w:val="0"/>
                <w:spacing w:line="360" w:lineRule="auto"/>
                <w:rPr>
                  <w:szCs w:val="21"/>
                </w:rPr>
              </w:pPr>
            </w:p>
          </w:sdtContent>
        </w:sdt>
      </w:sdtContent>
    </w:sdt>
    <w:sdt>
      <w:sdtPr>
        <w:rPr>
          <w:rFonts w:ascii="宋体" w:hAnsi="宋体" w:cs="宋体"/>
          <w:b w:val="0"/>
          <w:bCs w:val="0"/>
          <w:kern w:val="0"/>
          <w:szCs w:val="24"/>
        </w:rPr>
        <w:alias w:val="模块:报告期内对高级管理人员的考评机制，以及激励机制的建立、实施情..."/>
        <w:tag w:val="_SEC_e7128a1764624077b0f90f676a73dd15"/>
        <w:id w:val="-143284589"/>
        <w:lock w:val="sdtLocked"/>
        <w:placeholder>
          <w:docPart w:val="GBC22222222222222222222222222222"/>
        </w:placeholder>
      </w:sdtPr>
      <w:sdtEndPr>
        <w:rPr>
          <w:rFonts w:ascii="宋体" w:hAnsi="宋体" w:cs="宋体"/>
          <w:b w:val="0"/>
          <w:bCs w:val="0"/>
          <w:kern w:val="0"/>
          <w:szCs w:val="24"/>
        </w:rPr>
      </w:sdtEndPr>
      <w:sdtContent>
        <w:p>
          <w:pPr>
            <w:pStyle w:val="4"/>
            <w:numPr>
              <w:ilvl w:val="1"/>
              <w:numId w:val="23"/>
            </w:numPr>
            <w:spacing w:before="0" w:after="0" w:line="360" w:lineRule="auto"/>
          </w:pPr>
          <w:r>
            <w:t>报告期内对高级管理人员的考评机制，以及激励机制的建立、实施情况</w:t>
          </w:r>
        </w:p>
        <w:sdt>
          <w:sdtPr>
            <w:rPr>
              <w:rFonts w:hint="eastAsia"/>
              <w:szCs w:val="21"/>
            </w:rPr>
            <w:alias w:val="是否适用：报告期内对高级管理人员的考评机制，以及激励机制的建立、实施情况[双击切换]"/>
            <w:tag w:val="_GBC_f7215667d17c45e88748740889bab9b8"/>
            <w:id w:val="-96174328"/>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对高级管理人员的考评及激励情况"/>
            <w:tag w:val="_GBC_ff8dc93589b2464ba735502bf6a2a8ca"/>
            <w:id w:val="-1603560215"/>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公司</w:t>
              </w:r>
              <w:r>
                <w:t>进一步完善了经营管理层的考评激励机制，对高级管理人员的选拔任用、激励考核、干部监察</w:t>
              </w:r>
              <w:r>
                <w:rPr>
                  <w:rFonts w:hint="eastAsia"/>
                </w:rPr>
                <w:t>作</w:t>
              </w:r>
              <w:r>
                <w:t>出了具体规定。同时，进一</w:t>
              </w:r>
              <w:r>
                <w:rPr>
                  <w:rFonts w:hint="eastAsia"/>
                </w:rPr>
                <w:t>步</w:t>
              </w:r>
              <w:r>
                <w:t>明确了高级管理人员的考核与激励方式，将其综合收入与其分管组织的绩效强关联，通过BSC/KPI等方式设定业绩指标，采取强制的正态分布原则，季度兑现，年底拉通的方式进行激励考核，将其与组织绩效挂钩，促进个人与企业共同的良性发展。</w:t>
              </w:r>
            </w:p>
          </w:sdtContent>
        </w:sdt>
      </w:sdtContent>
    </w:sdt>
    <w:p>
      <w:pPr>
        <w:spacing w:line="360" w:lineRule="auto"/>
        <w:rPr>
          <w:szCs w:val="21"/>
        </w:rPr>
      </w:pPr>
    </w:p>
    <w:sdt>
      <w:sdtPr>
        <w:rPr>
          <w:rFonts w:hint="eastAsia" w:ascii="宋体" w:hAnsi="宋体" w:cs="宋体"/>
          <w:b w:val="0"/>
          <w:bCs w:val="0"/>
          <w:kern w:val="0"/>
          <w:szCs w:val="24"/>
        </w:rPr>
        <w:alias w:val="模块:报告期内的内部控制制度建设及实施情况"/>
        <w:tag w:val="_SEC_4f62c5a91f184e9083e54ebccf8fe563"/>
        <w:id w:val="363250944"/>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16"/>
            </w:numPr>
            <w:spacing w:before="0" w:after="0" w:line="360" w:lineRule="auto"/>
          </w:pPr>
          <w:r>
            <w:rPr>
              <w:rFonts w:hint="eastAsia"/>
            </w:rPr>
            <w:t>报告期内的内部控制制度建设及实施情况</w:t>
          </w:r>
        </w:p>
        <w:sdt>
          <w:sdtPr>
            <w:rPr>
              <w:szCs w:val="21"/>
            </w:rPr>
            <w:alias w:val="是否适用：报告期内的内部控制制度建设及实施情况[双击切换]"/>
            <w:tag w:val="_GBC_f76747fb26ee47cfb00fc8ad5592b038"/>
            <w:id w:val="-1523471496"/>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045938527"/>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报告期内，公司严格按照《公司法》《证券法》等法律法规及公司相关制度规范要求，持续完善内部控制各项制度，并结合公司战略规划，不断推动内控常态化管理，强化合规经营意识，确保内部控制制度得到有效执行，为企业经营管理的合法合规及资产安全提供了保障，促进公司健康可持续发展。</w:t>
              </w:r>
            </w:p>
          </w:sdtContent>
        </w:sdt>
        <w:p>
          <w:pPr>
            <w:spacing w:line="360" w:lineRule="auto"/>
            <w:rPr>
              <w:szCs w:val="21"/>
            </w:rPr>
          </w:pPr>
        </w:p>
      </w:sdtContent>
    </w:sdt>
    <w:sdt>
      <w:sdtPr>
        <w:rPr>
          <w:rFonts w:hint="eastAsia"/>
          <w:szCs w:val="21"/>
        </w:rPr>
        <w:alias w:val="模块:报告期内部控制存在重大缺陷情况的说明  "/>
        <w:tag w:val="_SEC_2ee2e77432cb43f3b2547fcae2c176b7"/>
        <w:id w:val="1463072842"/>
        <w:lock w:val="sdtLocked"/>
        <w:placeholder>
          <w:docPart w:val="GBC22222222222222222222222222222"/>
        </w:placeholder>
      </w:sdtPr>
      <w:sdtEndPr>
        <w:rPr>
          <w:rFonts w:hint="default"/>
          <w:szCs w:val="21"/>
        </w:rPr>
      </w:sdtEndPr>
      <w:sdtContent>
        <w:p>
          <w:pPr>
            <w:tabs>
              <w:tab w:val="left" w:pos="2760"/>
            </w:tabs>
            <w:spacing w:line="360" w:lineRule="auto"/>
            <w:rPr>
              <w:szCs w:val="21"/>
            </w:rPr>
          </w:pPr>
          <w:r>
            <w:rPr>
              <w:rFonts w:hint="eastAsia"/>
              <w:szCs w:val="21"/>
            </w:rPr>
            <w:t>报告期内部控制存在重大缺陷情况的说明</w:t>
          </w:r>
        </w:p>
        <w:sdt>
          <w:sdtPr>
            <w:rPr>
              <w:szCs w:val="21"/>
            </w:rPr>
            <w:alias w:val="是否适用：报告期内部控制存在重大缺陷情况的说明[双击切换]"/>
            <w:tag w:val="_GBC_cad036bd9fe3409f906985f824010f6a"/>
            <w:id w:val="-113362692"/>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hint="eastAsia" w:ascii="宋体" w:hAnsi="宋体" w:cs="宋体"/>
          <w:b w:val="0"/>
          <w:bCs w:val="0"/>
          <w:kern w:val="0"/>
          <w:szCs w:val="24"/>
        </w:rPr>
        <w:alias w:val="模块:报告期内对子公司的管理控制情况"/>
        <w:tag w:val="_SEC_01b27291a2ca4176b79ce579d14bbcee"/>
        <w:id w:val="15587158"/>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6"/>
            </w:numPr>
            <w:spacing w:before="0" w:after="0" w:line="360" w:lineRule="auto"/>
          </w:pPr>
          <w:r>
            <w:rPr>
              <w:rFonts w:hint="eastAsia"/>
            </w:rPr>
            <w:t>报告期内对子公司的管理控制情况</w:t>
          </w:r>
        </w:p>
        <w:sdt>
          <w:sdtPr>
            <w:rPr>
              <w:rFonts w:hint="eastAsia"/>
              <w:szCs w:val="21"/>
            </w:rPr>
            <w:alias w:val="是否适用：报告期内对子公司的管理控制情况[双击切换]"/>
            <w:tag w:val="_GBC_3c41db66329f4aabb0fd91423cfeac3f"/>
            <w:id w:val="1562829889"/>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报告期内对子公司的管理控制情况"/>
            <w:tag w:val="_GBC_c42acb3ad0ff45a1891fd8fa03ee78a2"/>
            <w:id w:val="56297104"/>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报告期内，公司进一步完善专业管控体系，优化组织架构，以提升管理实效为目的，增强内</w:t>
              </w:r>
              <w:r>
                <w:rPr>
                  <w:szCs w:val="21"/>
                </w:rPr>
                <w:t>控制度执行力和内控管理有效性。根据现行法律法规和《公司章程》的规定，对子公司实施管理控制。公司经营管理层确定整体战略目标，分解至各子公司，子公司须按时按质完成；加强对各子公司重要岗位人员的选用、任免和考核；建立子公司重大事项报告制度等制度，并通过OA 系统、ERP系统等，加强对子公司内部管理控制与协同，提高子公司经营管理水平。</w:t>
              </w:r>
            </w:p>
          </w:sdtContent>
        </w:sdt>
        <w:p>
          <w:pPr>
            <w:rPr>
              <w:szCs w:val="21"/>
            </w:rPr>
          </w:pPr>
        </w:p>
      </w:sdtContent>
    </w:sdt>
    <w:sdt>
      <w:sdtPr>
        <w:rPr>
          <w:rFonts w:hint="eastAsia" w:ascii="宋体" w:hAnsi="宋体" w:cs="宋体"/>
          <w:b w:val="0"/>
          <w:bCs w:val="0"/>
          <w:kern w:val="0"/>
          <w:szCs w:val="24"/>
        </w:rPr>
        <w:alias w:val="模块:内部控制审计报告的相关情况说明"/>
        <w:tag w:val="_SEC_2d6e7b1f7b054f2fbca2d55832fe79ef"/>
        <w:id w:val="-735627525"/>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16"/>
            </w:numPr>
            <w:spacing w:before="0" w:after="0" w:line="360" w:lineRule="auto"/>
          </w:pPr>
          <w:r>
            <w:rPr>
              <w:rFonts w:hint="eastAsia"/>
            </w:rPr>
            <w:t>内部控制审计报告的相关情况说明</w:t>
          </w:r>
        </w:p>
        <w:sdt>
          <w:sdtPr>
            <w:rPr>
              <w:rFonts w:hint="eastAsia"/>
              <w:szCs w:val="21"/>
            </w:rPr>
            <w:alias w:val="是否适用：内部控制审计报告的相关情况说明[双击切换]"/>
            <w:tag w:val="_GBC_f9211f94ca4347ababf36cfb6829169a"/>
            <w:id w:val="1457902389"/>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审计报告与公司自我评价意见不一致情况"/>
            <w:tag w:val="_GBC_1abfe1ce3c2044e1a311865463691e52"/>
            <w:id w:val="28925029"/>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szCs w:val="21"/>
                </w:rPr>
                <w:t>天衡会计师事务所（特殊普通合伙）出具的了《力帆科技（集团）股份有限公司</w:t>
              </w:r>
              <w:r>
                <w:rPr>
                  <w:szCs w:val="21"/>
                </w:rPr>
                <w:t>202</w:t>
              </w:r>
              <w:r>
                <w:rPr>
                  <w:rFonts w:hint="eastAsia"/>
                  <w:szCs w:val="21"/>
                </w:rPr>
                <w:t>1</w:t>
              </w:r>
              <w:r>
                <w:rPr>
                  <w:szCs w:val="21"/>
                </w:rPr>
                <w:t>年度内部控制审计报告》[天衡</w:t>
              </w:r>
              <w:r>
                <w:rPr>
                  <w:rFonts w:hint="eastAsia"/>
                  <w:szCs w:val="21"/>
                </w:rPr>
                <w:t>审</w:t>
              </w:r>
              <w:r>
                <w:rPr>
                  <w:szCs w:val="21"/>
                </w:rPr>
                <w:t>字（202</w:t>
              </w:r>
              <w:r>
                <w:rPr>
                  <w:rFonts w:hint="eastAsia"/>
                  <w:szCs w:val="21"/>
                </w:rPr>
                <w:t>2</w:t>
              </w:r>
              <w:r>
                <w:rPr>
                  <w:szCs w:val="21"/>
                </w:rPr>
                <w:t>）00</w:t>
              </w:r>
              <w:r>
                <w:rPr>
                  <w:rFonts w:hint="eastAsia"/>
                  <w:szCs w:val="21"/>
                </w:rPr>
                <w:t>663</w:t>
              </w:r>
              <w:r>
                <w:rPr>
                  <w:szCs w:val="21"/>
                </w:rPr>
                <w:t>]，报告认为：公司</w:t>
              </w:r>
              <w:r>
                <w:rPr>
                  <w:rFonts w:hint="eastAsia" w:cs="仿宋_GB2312"/>
                  <w:szCs w:val="21"/>
                </w:rPr>
                <w:t>于2021年12月31日按照《企业内部控制基本规范》和相关规定在所有重大方面保持了有效的财务报告内部控制。</w:t>
              </w:r>
              <w:r>
                <w:rPr>
                  <w:szCs w:val="21"/>
                </w:rPr>
                <w:t>有关内部控制审计报告详见公司相关公告。</w:t>
              </w:r>
            </w:p>
          </w:sdtContent>
        </w:sdt>
        <w:p>
          <w:pPr>
            <w:spacing w:line="360" w:lineRule="auto"/>
            <w:rPr>
              <w:szCs w:val="21"/>
            </w:rPr>
          </w:pPr>
          <w:r>
            <w:rPr>
              <w:szCs w:val="21"/>
            </w:rPr>
            <w:t>是否披露内部控制审计报告：</w:t>
          </w:r>
          <w:sdt>
            <w:sdtPr>
              <w:rPr>
                <w:szCs w:val="21"/>
              </w:rPr>
              <w:alias w:val="审计机构是否对公司内部控制出具核实评价意见"/>
              <w:tag w:val="_GBC_c9f332f7c06944ebbd339ca86944d1e2"/>
              <w:id w:val="-727152577"/>
              <w:lock w:val="sdtLocked"/>
              <w:placeholder>
                <w:docPart w:val="GBC22222222222222222222222222222"/>
              </w:placeholder>
              <w:comboBox>
                <w:listItem w:displayText="是" w:value="true"/>
                <w:listItem w:displayText="否" w:value="false"/>
              </w:comboBox>
            </w:sdtPr>
            <w:sdtEndPr>
              <w:rPr>
                <w:szCs w:val="21"/>
              </w:rPr>
            </w:sdtEndPr>
            <w:sdtContent>
              <w:r>
                <w:rPr>
                  <w:szCs w:val="21"/>
                </w:rPr>
                <w:t>是</w:t>
              </w:r>
            </w:sdtContent>
          </w:sdt>
        </w:p>
        <w:p>
          <w:pPr>
            <w:spacing w:line="360" w:lineRule="auto"/>
            <w:rPr>
              <w:lang w:val="zh-CN"/>
            </w:rPr>
          </w:pPr>
          <w:r>
            <w:rPr>
              <w:rFonts w:hint="eastAsia"/>
              <w:shd w:val="solid" w:color="FFFFFF" w:fill="auto"/>
              <w:lang w:val="zh-CN"/>
            </w:rPr>
            <w:t>内部控制审计报告意见类型：</w:t>
          </w:r>
          <w:sdt>
            <w:sdtPr>
              <w:rPr>
                <w:rFonts w:hint="eastAsia"/>
                <w:lang w:val="zh-CN"/>
              </w:rPr>
              <w:alias w:val="内部控制审计意见类型"/>
              <w:tag w:val="_GBC_70262b41c723466c879c062e5326eee3"/>
              <w:id w:val="771979717"/>
              <w:lock w:val="sdtLocked"/>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保留意见" w:value="保留意见"/>
                <w:listItem w:displayText="否定意见" w:value="否定意见"/>
                <w:listItem w:displayText="无法表示意见" w:value="无法表示意见"/>
              </w:comboBox>
            </w:sdtPr>
            <w:sdtEndPr>
              <w:rPr>
                <w:rFonts w:hint="eastAsia"/>
                <w:lang w:val="zh-CN"/>
              </w:rPr>
            </w:sdtEndPr>
            <w:sdtContent>
              <w:r>
                <w:rPr>
                  <w:rFonts w:hint="eastAsia"/>
                  <w:lang w:val="zh-CN"/>
                </w:rPr>
                <w:t>标准的无保留意见</w:t>
              </w:r>
            </w:sdtContent>
          </w:sdt>
        </w:p>
      </w:sdtContent>
    </w:sdt>
    <w:sdt>
      <w:sdtPr>
        <w:rPr>
          <w:rFonts w:ascii="宋体" w:hAnsi="宋体" w:cs="宋体"/>
          <w:b w:val="0"/>
          <w:bCs w:val="0"/>
          <w:kern w:val="0"/>
          <w:szCs w:val="24"/>
        </w:rPr>
        <w:alias w:val="模块:上市公司治理专项行动自查问题整改情况"/>
        <w:tag w:val="_SEC_f84d29ebbfd8434d8d55e144204ae2b0"/>
        <w:id w:val="1071860244"/>
        <w:lock w:val="sdtLocked"/>
        <w:placeholder>
          <w:docPart w:val="GBC22222222222222222222222222222"/>
        </w:placeholder>
      </w:sdtPr>
      <w:sdtEndPr>
        <w:rPr>
          <w:rFonts w:ascii="宋体" w:hAnsi="宋体" w:cs="宋体"/>
          <w:b w:val="0"/>
          <w:bCs w:val="0"/>
          <w:kern w:val="0"/>
          <w:szCs w:val="21"/>
        </w:rPr>
      </w:sdtEndPr>
      <w:sdtContent>
        <w:p>
          <w:pPr>
            <w:pStyle w:val="3"/>
            <w:numPr>
              <w:ilvl w:val="0"/>
              <w:numId w:val="16"/>
            </w:numPr>
            <w:ind w:left="420" w:hanging="420"/>
            <w:rPr>
              <w:rFonts w:ascii="宋体" w:hAnsi="宋体" w:cs="宋体"/>
              <w:kern w:val="0"/>
              <w:szCs w:val="24"/>
            </w:rPr>
          </w:pPr>
          <w:bookmarkStart w:id="58" w:name="_Hlk40625163"/>
          <w:bookmarkStart w:id="59" w:name="_Hlk40625199"/>
          <w:r>
            <w:rPr>
              <w:rFonts w:ascii="宋体" w:hAnsi="宋体" w:cs="宋体"/>
              <w:kern w:val="0"/>
              <w:szCs w:val="24"/>
            </w:rPr>
            <w:t>上市公司治理专项行动自查问题整改情况</w:t>
          </w:r>
        </w:p>
        <w:sdt>
          <w:sdtPr>
            <w:rPr>
              <w:szCs w:val="21"/>
            </w:rPr>
            <w:alias w:val="上市公司治理专项行动自查问题整改情况"/>
            <w:tag w:val="_GBC_05eb1501ffbf4b83acf20965ad06a2e0"/>
            <w:id w:val="-1826419294"/>
            <w:lock w:val="sdtLocked"/>
            <w:placeholder>
              <w:docPart w:val="GBC22222222222222222222222222222"/>
            </w:placeholder>
          </w:sdtPr>
          <w:sdtEndPr>
            <w:rPr>
              <w:szCs w:val="21"/>
            </w:rPr>
          </w:sdtEndPr>
          <w:sdtContent>
            <w:p>
              <w:pPr>
                <w:autoSpaceDE w:val="0"/>
                <w:spacing w:line="360" w:lineRule="auto"/>
                <w:ind w:firstLine="420" w:firstLineChars="200"/>
              </w:pPr>
              <w:r>
                <w:rPr>
                  <w:rFonts w:hint="eastAsia"/>
                  <w:szCs w:val="21"/>
                </w:rPr>
                <w:t>本公司在上市公司治理专项行动自查中未发现需整改的问题。</w:t>
              </w:r>
            </w:p>
          </w:sdtContent>
        </w:sdt>
      </w:sdtContent>
    </w:sdt>
    <w:bookmarkEnd w:id="58"/>
    <w:bookmarkEnd w:id="59"/>
    <w:sdt>
      <w:sdtPr>
        <w:rPr>
          <w:rFonts w:ascii="宋体" w:hAnsi="宋体" w:cs="宋体"/>
          <w:b w:val="0"/>
          <w:bCs w:val="0"/>
          <w:kern w:val="0"/>
          <w:szCs w:val="24"/>
        </w:rPr>
        <w:alias w:val="模块:其他公司治理情况"/>
        <w:tag w:val="_SEC_21aaf83f464849edbdaf9c267b7db780"/>
        <w:id w:val="1190877562"/>
        <w:lock w:val="sdtLocked"/>
        <w:placeholder>
          <w:docPart w:val="GBC22222222222222222222222222222"/>
        </w:placeholder>
      </w:sdtPr>
      <w:sdtEndPr>
        <w:rPr>
          <w:rFonts w:ascii="宋体" w:hAnsi="宋体" w:cs="宋体"/>
          <w:b w:val="0"/>
          <w:bCs w:val="0"/>
          <w:kern w:val="0"/>
          <w:szCs w:val="24"/>
        </w:rPr>
      </w:sdtEndPr>
      <w:sdtContent>
        <w:p>
          <w:pPr>
            <w:pStyle w:val="3"/>
            <w:numPr>
              <w:ilvl w:val="0"/>
              <w:numId w:val="16"/>
            </w:numPr>
          </w:pPr>
          <w:r>
            <w:t>其他</w:t>
          </w:r>
        </w:p>
        <w:sdt>
          <w:sdtPr>
            <w:rPr>
              <w:rFonts w:hint="eastAsia"/>
              <w:szCs w:val="21"/>
            </w:rPr>
            <w:alias w:val="是否适用：其他公司治理情况说明[双击切换]"/>
            <w:tag w:val="_GBC_dc91085943bb4d4ab22a79a9ba7014df"/>
            <w:id w:val="120737904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2"/>
        <w:numPr>
          <w:ilvl w:val="0"/>
          <w:numId w:val="2"/>
        </w:numPr>
        <w:ind w:left="425"/>
      </w:pPr>
      <w:bookmarkStart w:id="60" w:name="_Toc89790252"/>
      <w:r>
        <w:rPr>
          <w:rFonts w:hint="eastAsia"/>
        </w:rPr>
        <w:t>环境与社会责任</w:t>
      </w:r>
    </w:p>
    <w:p>
      <w:pPr>
        <w:pStyle w:val="3"/>
        <w:numPr>
          <w:ilvl w:val="0"/>
          <w:numId w:val="24"/>
        </w:numPr>
        <w:tabs>
          <w:tab w:val="left" w:pos="426"/>
        </w:tabs>
        <w:ind w:left="425" w:hanging="425"/>
        <w:jc w:val="left"/>
        <w:rPr>
          <w:rFonts w:ascii="宋体" w:hAnsi="宋体"/>
        </w:rPr>
      </w:pPr>
      <w:r>
        <w:rPr>
          <w:rFonts w:hint="eastAsia" w:ascii="宋体" w:hAnsi="宋体"/>
        </w:rPr>
        <w:t>环境</w:t>
      </w:r>
      <w:r>
        <w:rPr>
          <w:rFonts w:ascii="宋体" w:hAnsi="宋体"/>
        </w:rPr>
        <w:t>信息情况</w:t>
      </w:r>
    </w:p>
    <w:p>
      <w:pPr>
        <w:pStyle w:val="4"/>
        <w:numPr>
          <w:ilvl w:val="0"/>
          <w:numId w:val="25"/>
        </w:numPr>
        <w:spacing w:before="0" w:after="0" w:line="360" w:lineRule="auto"/>
        <w:ind w:left="425" w:hanging="425"/>
        <w:rPr>
          <w:rFonts w:ascii="宋体" w:hAnsi="宋体"/>
        </w:rPr>
      </w:pPr>
      <w:r>
        <w:rPr>
          <w:rFonts w:ascii="宋体" w:hAnsi="宋体"/>
        </w:rPr>
        <w:t>属于环境保护部门公布的重点排污单位的公司及其</w:t>
      </w:r>
      <w:r>
        <w:rPr>
          <w:rFonts w:hint="eastAsia" w:ascii="宋体" w:hAnsi="宋体"/>
        </w:rPr>
        <w:t>主要</w:t>
      </w:r>
      <w:r>
        <w:rPr>
          <w:rFonts w:ascii="宋体" w:hAnsi="宋体"/>
        </w:rPr>
        <w:t>子公司的环保情况说明</w:t>
      </w:r>
    </w:p>
    <w:sdt>
      <w:sdtPr>
        <w:rPr>
          <w:rFonts w:hint="eastAsia"/>
        </w:rPr>
        <w:alias w:val="是否适用：重点排污单位环保情况[双击切换]"/>
        <w:tag w:val="_GBC_40b93d2f11a54d2c995a8c41cdee40c4"/>
        <w:id w:val="-198010875"/>
        <w:lock w:val="sdtLocked"/>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b w:val="0"/>
          <w:bCs w:val="0"/>
          <w:kern w:val="0"/>
          <w:szCs w:val="24"/>
        </w:rPr>
        <w:alias w:val="模块:排污信息"/>
        <w:tag w:val="_SEC_e4de21123844444b8b85925b470201e8"/>
        <w:id w:val="1900859589"/>
        <w:lock w:val="sdtLocked"/>
      </w:sdtPr>
      <w:sdtEndPr>
        <w:rPr>
          <w:rFonts w:hint="default" w:ascii="Calibri" w:hAnsi="Calibri" w:eastAsia="宋体" w:cs="Times New Roman"/>
          <w:b w:val="0"/>
          <w:bCs w:val="0"/>
          <w:kern w:val="2"/>
          <w:szCs w:val="22"/>
        </w:rPr>
      </w:sdtEndPr>
      <w:sdtContent>
        <w:p>
          <w:pPr>
            <w:pStyle w:val="5"/>
            <w:numPr>
              <w:ilvl w:val="0"/>
              <w:numId w:val="26"/>
            </w:numPr>
            <w:spacing w:before="0" w:after="0" w:line="360" w:lineRule="auto"/>
            <w:rPr>
              <w:rFonts w:ascii="宋体" w:hAnsi="宋体"/>
            </w:rPr>
          </w:pPr>
          <w:r>
            <w:rPr>
              <w:rFonts w:hint="eastAsia" w:ascii="宋体" w:hAnsi="宋体"/>
            </w:rPr>
            <w:t>排污</w:t>
          </w:r>
          <w:r>
            <w:rPr>
              <w:rFonts w:ascii="宋体" w:hAnsi="宋体"/>
            </w:rPr>
            <w:t>信息</w:t>
          </w:r>
        </w:p>
        <w:sdt>
          <w:sdtPr>
            <w:rPr>
              <w:rFonts w:hint="eastAsia" w:ascii="宋体" w:hAnsi="宋体"/>
            </w:rPr>
            <w:alias w:val="是否适用：排污信息[双击切换]"/>
            <w:tag w:val="_GBC_c1cef0b525dc4a0e9630fcb580d743be"/>
            <w:id w:val="1739975993"/>
            <w:lock w:val="sdtLocked"/>
          </w:sdtPr>
          <w:sdtEndPr>
            <w:rPr>
              <w:rFonts w:hint="eastAsia" w:ascii="宋体" w:hAnsi="宋体"/>
            </w:rPr>
          </w:sdtEndPr>
          <w:sdtContent>
            <w:p>
              <w:pPr>
                <w:pStyle w:val="55"/>
                <w:spacing w:line="360" w:lineRule="auto"/>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ascii="Calibri" w:hAnsi="Calibri" w:cs="Times New Roman"/>
              <w:kern w:val="2"/>
              <w:szCs w:val="22"/>
            </w:rPr>
            <w:alias w:val="排污信息"/>
            <w:tag w:val="_GBC_ddafe40d844342a78bc0ed0326232a03"/>
            <w:id w:val="231202667"/>
            <w:lock w:val="sdtLocked"/>
          </w:sdtPr>
          <w:sdtEndPr>
            <w:rPr>
              <w:rFonts w:hint="eastAsia" w:ascii="Calibri" w:hAnsi="Calibri" w:cs="Times New Roman"/>
              <w:kern w:val="2"/>
              <w:szCs w:val="22"/>
            </w:rPr>
          </w:sdtEndPr>
          <w:sdtContent>
            <w:p>
              <w:pPr>
                <w:spacing w:line="360" w:lineRule="auto"/>
                <w:ind w:firstLine="420" w:firstLineChars="200"/>
                <w:rPr>
                  <w:szCs w:val="22"/>
                </w:rPr>
              </w:pPr>
              <w:r>
                <w:rPr>
                  <w:rFonts w:asciiTheme="minorEastAsia" w:hAnsiTheme="minorEastAsia" w:eastAsiaTheme="minorEastAsia"/>
                  <w:szCs w:val="21"/>
                </w:rPr>
                <w:t xml:space="preserve">1、废水排放情况 </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报告期内，力帆科技（摩托车生产基地）、力帆乘用车北碚分公司（汽车生产基地）</w:t>
              </w:r>
              <w:r>
                <w:rPr>
                  <w:rFonts w:asciiTheme="minorEastAsia" w:hAnsiTheme="minorEastAsia" w:eastAsiaTheme="minorEastAsia"/>
                  <w:szCs w:val="21"/>
                </w:rPr>
                <w:t xml:space="preserve">均按照“雨污分流、清污分流、分质处理”原则建设了厂区排水系统。建立了独立的污水处理站或综合污水处理站，厂区废水治理采用“物理+生化组合”方式，工业废水分类收集进行加药预处理系统后进行综合调节，进入生化处理系统。脱脂、磷化废水、电泳废水、喷漆废水等其他生产废水在预处理达标后与生活污水分别排入厂区污水处理站，按相关标准执行后方可排出，废水总排放口（合计）2 个。 </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其中，力帆科技（摩托车生产基地）车间作业产生的总镍在磷化废水预处理站处理达到《污水综合排放标准》（</w:t>
              </w:r>
              <w:r>
                <w:rPr>
                  <w:rFonts w:asciiTheme="minorEastAsia" w:hAnsiTheme="minorEastAsia" w:eastAsiaTheme="minorEastAsia"/>
                  <w:szCs w:val="21"/>
                </w:rPr>
                <w:t>GB8978-1996）第一类污染物最高允许排放标准后排入厂区污水处理站处理，上述废水经厂区污水处理站治理达到《污水综合排放标准》（GB8978-1996）三级标准</w:t>
              </w:r>
              <w:r>
                <w:rPr>
                  <w:rFonts w:hint="eastAsia" w:asciiTheme="minorEastAsia" w:hAnsiTheme="minorEastAsia" w:eastAsiaTheme="minorEastAsia"/>
                  <w:szCs w:val="21"/>
                </w:rPr>
                <w:t>后</w:t>
              </w:r>
              <w:r>
                <w:rPr>
                  <w:rFonts w:asciiTheme="minorEastAsia" w:hAnsiTheme="minorEastAsia" w:eastAsiaTheme="minorEastAsia"/>
                  <w:szCs w:val="21"/>
                </w:rPr>
                <w:t>排放至蔡家污水处理厂。</w:t>
              </w:r>
            </w:p>
            <w:p>
              <w:pPr>
                <w:pStyle w:val="55"/>
                <w:spacing w:line="360" w:lineRule="auto"/>
                <w:ind w:firstLineChars="0"/>
                <w:rPr>
                  <w:rFonts w:asciiTheme="minorEastAsia" w:hAnsiTheme="minorEastAsia" w:eastAsiaTheme="minorEastAsia"/>
                  <w:color w:val="FF0000"/>
                  <w:szCs w:val="21"/>
                </w:rPr>
              </w:pPr>
              <w:r>
                <w:rPr>
                  <w:rFonts w:hint="eastAsia" w:asciiTheme="minorEastAsia" w:hAnsiTheme="minorEastAsia" w:eastAsiaTheme="minorEastAsia"/>
                  <w:szCs w:val="21"/>
                </w:rPr>
                <w:t>力帆乘用车北碚分公司（汽车生产基地）按照《污水综合排放标准》（</w:t>
              </w:r>
              <w:r>
                <w:rPr>
                  <w:rFonts w:asciiTheme="minorEastAsia" w:hAnsiTheme="minorEastAsia" w:eastAsiaTheme="minorEastAsia"/>
                  <w:szCs w:val="21"/>
                </w:rPr>
                <w:t>GB8978-1996）第一类污染物最高允许排放标准后排入厂区污水处理站处理，上述废水经厂区污水处理站治理达到《污水综合排放标准》（GB8978-1996）三级标准后排入蔡家污水处理厂。</w:t>
              </w:r>
            </w:p>
            <w:p>
              <w:pPr>
                <w:pStyle w:val="55"/>
                <w:spacing w:line="360" w:lineRule="auto"/>
                <w:ind w:firstLineChars="0"/>
                <w:rPr>
                  <w:rFonts w:asciiTheme="minorEastAsia" w:hAnsiTheme="minorEastAsia" w:eastAsiaTheme="minorEastAsia"/>
                  <w:szCs w:val="21"/>
                </w:rPr>
              </w:pPr>
              <w:r>
                <w:rPr>
                  <w:rFonts w:asciiTheme="minorEastAsia" w:hAnsiTheme="minorEastAsia" w:eastAsiaTheme="minorEastAsia"/>
                  <w:szCs w:val="21"/>
                </w:rPr>
                <w:t>2、废气排放情况</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报告期内，公司上述厂区废气排放口（总计）</w:t>
              </w:r>
              <w:r>
                <w:rPr>
                  <w:rFonts w:asciiTheme="minorEastAsia" w:hAnsiTheme="minorEastAsia" w:eastAsiaTheme="minorEastAsia"/>
                  <w:szCs w:val="21"/>
                </w:rPr>
                <w:t>51 个。废气主要治理工艺包括“吸附脱附再生、焚烧、吸附”。</w:t>
              </w:r>
            </w:p>
            <w:p>
              <w:pPr>
                <w:pStyle w:val="55"/>
                <w:spacing w:line="360" w:lineRule="auto"/>
                <w:ind w:firstLineChars="0"/>
                <w:rPr>
                  <w:rFonts w:asciiTheme="minorEastAsia" w:hAnsiTheme="minorEastAsia" w:eastAsiaTheme="minorEastAsia"/>
                  <w:szCs w:val="21"/>
                </w:rPr>
              </w:pPr>
              <w:r>
                <w:rPr>
                  <w:rFonts w:asciiTheme="minorEastAsia" w:hAnsiTheme="minorEastAsia" w:eastAsiaTheme="minorEastAsia"/>
                  <w:szCs w:val="21"/>
                </w:rPr>
                <w:t>(1)有组织废气</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上述摩托车生产基地的有组织废气污染源主要为：摩托车发动机生产车间的发动机在线磨合废气、发动机线下磨合废气、发动机测功耐久测试废气；摩托车车架生产车间的焊接废气、抛丸废气、喷粉废气、电泳烘干废气、喷粉烘干废气；摩托车整车生产车间的摩托车整车检测废气；研究院的摩托车整车检测、汽车整车检测、发动机检测等检测废气。其中，摩托车车架生产车间的电泳烘干废气和喷粉烘干废气经焚烧处理，其余有组织废气经吸附净化处理。以上废气经治理后通过</w:t>
              </w:r>
              <w:r>
                <w:rPr>
                  <w:rFonts w:asciiTheme="minorEastAsia" w:hAnsiTheme="minorEastAsia" w:eastAsiaTheme="minorEastAsia"/>
                  <w:szCs w:val="21"/>
                </w:rPr>
                <w:t xml:space="preserve"> 15 米以上至 25米排气筒排放。治理排放标准为：《重庆市大气污染物综合排放标准》（DB50/418-2016）、重庆市《摩托车及汽车配件制造表面涂装大气污染物排放指标》（DB50/660-2016）、重庆市《锅炉大气污染物排放标准》（DB50/658-2016）。</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上述汽车生产基地有组织废气污染源主要为：涂装车间的喷涂、点补、打磨、烘干等工序废气；总装车间的检测、点补等工序废气。其中，涂装车间的烘干废气经焚烧处理，总装车间的检测废气经收集净化处理，其余有组织废气经吸附净化处理。以上废气经治理后通过</w:t>
              </w:r>
              <w:r>
                <w:rPr>
                  <w:rFonts w:asciiTheme="minorEastAsia" w:hAnsiTheme="minorEastAsia" w:eastAsiaTheme="minorEastAsia"/>
                  <w:szCs w:val="21"/>
                </w:rPr>
                <w:t xml:space="preserve"> 15 米以上至45 米排气筒排放。治理排放标准为：《大气污染物综合排放标准》（GB16297-1996）二级标准、《恶臭污染物排放标准》（GB14554-1993）、《重庆市大气污染物综合排放标准》（DB50/418-2016）、重庆市《汽车整车制造表面涂装大气</w:t>
              </w:r>
              <w:r>
                <w:rPr>
                  <w:rFonts w:hint="eastAsia" w:asciiTheme="minorEastAsia" w:hAnsiTheme="minorEastAsia" w:eastAsiaTheme="minorEastAsia"/>
                  <w:szCs w:val="21"/>
                </w:rPr>
                <w:t>污染物排放标准》》（</w:t>
              </w:r>
              <w:r>
                <w:rPr>
                  <w:rFonts w:asciiTheme="minorEastAsia" w:hAnsiTheme="minorEastAsia" w:eastAsiaTheme="minorEastAsia"/>
                  <w:szCs w:val="21"/>
                </w:rPr>
                <w:t>DB50/577-2015）、重庆市《锅炉大气污染物排放标准》（DB50/658-2016）。</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2）无组织废气</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上述摩托车生产基地的无组织废气主要包括：油罐区无组织废气、检测区无组织废气、厂区无组织废气等。排放控制标准为：《重庆市大气污染物综合排放标准》（</w:t>
              </w:r>
              <w:r>
                <w:rPr>
                  <w:rFonts w:asciiTheme="minorEastAsia" w:hAnsiTheme="minorEastAsia" w:eastAsiaTheme="minorEastAsia"/>
                  <w:szCs w:val="21"/>
                </w:rPr>
                <w:t>DB50/418-2016）。</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上述汽车生产基地的无组织废气主要为厂区无组织废气。排放控制标准为：《重庆市大气污染物综合排放标准》（</w:t>
              </w:r>
              <w:r>
                <w:rPr>
                  <w:rFonts w:asciiTheme="minorEastAsia" w:hAnsiTheme="minorEastAsia" w:eastAsiaTheme="minorEastAsia"/>
                  <w:szCs w:val="21"/>
                </w:rPr>
                <w:t>DB50/418-2016）、重庆市《汽车整车制造表面涂装大气污染物排放标准》</w:t>
              </w:r>
              <w:r>
                <w:rPr>
                  <w:rFonts w:hint="eastAsia" w:asciiTheme="minorEastAsia" w:hAnsiTheme="minorEastAsia" w:eastAsiaTheme="minorEastAsia"/>
                  <w:szCs w:val="21"/>
                </w:rPr>
                <w:t>（</w:t>
              </w:r>
              <w:r>
                <w:rPr>
                  <w:rFonts w:asciiTheme="minorEastAsia" w:hAnsiTheme="minorEastAsia" w:eastAsiaTheme="minorEastAsia"/>
                  <w:szCs w:val="21"/>
                </w:rPr>
                <w:t>DB50/577-2015）、《恶臭污染物排放标准》（GB14554-1993）。</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3）食堂油烟</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食堂的烹调油烟废气经净化装置处理后，通过屋顶排放。治理排放标准为：《餐饮业大气污染物排放标准》</w:t>
              </w:r>
              <w:r>
                <w:rPr>
                  <w:rFonts w:asciiTheme="minorEastAsia" w:hAnsiTheme="minorEastAsia" w:eastAsiaTheme="minorEastAsia"/>
                  <w:szCs w:val="21"/>
                </w:rPr>
                <w:t xml:space="preserve">(DB50/859-2018)表 1。 </w:t>
              </w:r>
            </w:p>
            <w:p>
              <w:pPr>
                <w:pStyle w:val="55"/>
                <w:spacing w:line="360" w:lineRule="auto"/>
                <w:ind w:firstLineChars="0"/>
                <w:rPr>
                  <w:rFonts w:asciiTheme="minorEastAsia" w:hAnsiTheme="minorEastAsia" w:eastAsiaTheme="minorEastAsia"/>
                  <w:szCs w:val="21"/>
                </w:rPr>
              </w:pPr>
              <w:r>
                <w:rPr>
                  <w:rFonts w:asciiTheme="minorEastAsia" w:hAnsiTheme="minorEastAsia" w:eastAsiaTheme="minorEastAsia"/>
                  <w:szCs w:val="21"/>
                </w:rPr>
                <w:t>3、噪声排放情况</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厂界噪声污染源主要为机械设备噪声。高噪声的主要发声设备分别为空压机、冲床、风机等；</w:t>
              </w:r>
              <w:r>
                <w:rPr>
                  <w:rFonts w:asciiTheme="minorEastAsia" w:hAnsiTheme="minorEastAsia" w:eastAsiaTheme="minorEastAsia"/>
                  <w:szCs w:val="21"/>
                </w:rPr>
                <w:t>通过优化厂区平面布置，合理布置高噪声设备，优先选用低噪声设备，综合采取减震、吸声、隔声消音等措施加以控制，确保厂界噪声达到《工业企业厂界环境噪声排放标准》（GB12348-2008） 3 类标准要求。</w:t>
              </w:r>
            </w:p>
            <w:p>
              <w:pPr>
                <w:pStyle w:val="55"/>
                <w:spacing w:line="360" w:lineRule="auto"/>
                <w:ind w:firstLineChars="0"/>
                <w:rPr>
                  <w:rFonts w:asciiTheme="minorEastAsia" w:hAnsiTheme="minorEastAsia" w:eastAsiaTheme="minorEastAsia"/>
                  <w:szCs w:val="21"/>
                </w:rPr>
              </w:pPr>
              <w:r>
                <w:rPr>
                  <w:rFonts w:asciiTheme="minorEastAsia" w:hAnsiTheme="minorEastAsia" w:eastAsiaTheme="minorEastAsia"/>
                  <w:szCs w:val="21"/>
                </w:rPr>
                <w:t xml:space="preserve">4、固体废物（危险废物）排放情况 </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厂区固废主要包括一般工业固体废物、危险废物、生活垃圾两大类，按国家有关规定，对固体废物进行分类收集、处理。其中，打磨废渣、打孔废料、废零部件、废包装材料等一般工业固废交由物资回收公司处置；喷粉工序旋风除尘器收集的粉末由车间回收利用；脱脂、磷化、酸洗产生的废渣及污泥、废砂纸、废棉纱、废机油渣等危险固废定期交由有危险废物处理资质的单位处置，并配套建设符合《危险废物储存污染控制标准》（</w:t>
              </w:r>
              <w:r>
                <w:rPr>
                  <w:rFonts w:asciiTheme="minorEastAsia" w:hAnsiTheme="minorEastAsia" w:eastAsiaTheme="minorEastAsia"/>
                  <w:szCs w:val="21"/>
                </w:rPr>
                <w:t>GB18597-2001）规范要求的危险废物临时储存场所，并在实施转移前，登录固体废物管理信息系统，填报处理计划量以及各种相关信息，由重庆市固体废物管理中</w:t>
              </w:r>
              <w:r>
                <w:rPr>
                  <w:rFonts w:hint="eastAsia" w:asciiTheme="minorEastAsia" w:hAnsiTheme="minorEastAsia" w:eastAsiaTheme="minorEastAsia"/>
                  <w:szCs w:val="21"/>
                </w:rPr>
                <w:t>心负责审核转移手续，严格按照《危险废物转移联单管理办法》落实联单制度；生活垃圾（含餐厨垃圾）交由环卫部门统一清运。</w:t>
              </w:r>
            </w:p>
            <w:p>
              <w:pPr>
                <w:pStyle w:val="55"/>
                <w:spacing w:line="360" w:lineRule="auto"/>
                <w:ind w:firstLineChars="0"/>
                <w:rPr>
                  <w:rFonts w:asciiTheme="minorEastAsia" w:hAnsiTheme="minorEastAsia" w:eastAsiaTheme="minorEastAsia"/>
                  <w:szCs w:val="21"/>
                </w:rPr>
              </w:pPr>
              <w:r>
                <w:rPr>
                  <w:rFonts w:hint="eastAsia" w:asciiTheme="minorEastAsia" w:hAnsiTheme="minorEastAsia" w:eastAsiaTheme="minorEastAsia"/>
                  <w:szCs w:val="21"/>
                </w:rPr>
                <w:t>报告期内，力帆科技（摩托车生产基地）、力帆乘用车北碚分公司（汽车生产基地）主要污染物排放量均在核定排放总量范围内，公司各项污染物均达标排放，无超标超总量排放情况。</w:t>
              </w:r>
            </w:p>
          </w:sdtContent>
        </w:sdt>
      </w:sdtContent>
    </w:sdt>
    <w:sdt>
      <w:sdtPr>
        <w:rPr>
          <w:rFonts w:hint="eastAsia" w:ascii="宋体" w:hAnsi="宋体" w:eastAsia="宋体"/>
          <w:b w:val="0"/>
          <w:bCs w:val="0"/>
          <w:szCs w:val="22"/>
        </w:rPr>
        <w:alias w:val="模块:防治污染设施的建设和运行情况"/>
        <w:tag w:val="_SEC_a485caf329db4bdfb6117a71c849bef9"/>
        <w:id w:val="-1400978419"/>
        <w:lock w:val="sdtLocked"/>
      </w:sdtPr>
      <w:sdtEndPr>
        <w:rPr>
          <w:rFonts w:hint="eastAsia" w:ascii="宋体" w:hAnsi="宋体" w:eastAsia="宋体"/>
          <w:b w:val="0"/>
          <w:bCs w:val="0"/>
          <w:szCs w:val="21"/>
        </w:rPr>
      </w:sdtEndPr>
      <w:sdtContent>
        <w:p>
          <w:pPr>
            <w:pStyle w:val="5"/>
            <w:numPr>
              <w:ilvl w:val="0"/>
              <w:numId w:val="26"/>
            </w:numPr>
            <w:spacing w:before="0" w:after="0" w:line="360" w:lineRule="auto"/>
            <w:rPr>
              <w:rFonts w:ascii="宋体" w:hAnsi="宋体"/>
              <w:bCs w:val="0"/>
              <w:szCs w:val="21"/>
            </w:rPr>
          </w:pPr>
          <w:r>
            <w:rPr>
              <w:rFonts w:hint="eastAsia" w:ascii="宋体" w:hAnsi="宋体"/>
            </w:rPr>
            <w:t>防治污染设</w:t>
          </w:r>
          <w:r>
            <w:rPr>
              <w:rFonts w:hint="eastAsia" w:ascii="宋体" w:hAnsi="宋体"/>
              <w:szCs w:val="21"/>
            </w:rPr>
            <w:t>施的建设和运行情况</w:t>
          </w:r>
        </w:p>
        <w:sdt>
          <w:sdtPr>
            <w:alias w:val="是否适用：防治污染设施的建设和运行情况[双击切换]"/>
            <w:tag w:val="_GBC_665c787eaadc48818cfce34c2b6143fc"/>
            <w:id w:val="2010410402"/>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防治污染设施的建设和运行情况"/>
            <w:tag w:val="_GBC_c27cfa9787844f19acb594b8dca60fdb"/>
            <w:id w:val="755094990"/>
            <w:lock w:val="sdtLocked"/>
          </w:sdtPr>
          <w:sdtContent>
            <w:p>
              <w:pPr>
                <w:pStyle w:val="17"/>
                <w:spacing w:after="0" w:line="360" w:lineRule="auto"/>
                <w:ind w:firstLine="420" w:firstLineChars="200"/>
              </w:pPr>
              <w:r>
                <w:rPr>
                  <w:rFonts w:ascii="宋体" w:hAnsi="宋体"/>
                </w:rPr>
                <w:t>公司上述生产基地的废气、废水、噪声、固体废弃物（危险废物）防治设施全部按照环评要求落实到位。各类环境污染防治设备设施处于完好状态并有效运行。</w:t>
              </w:r>
            </w:p>
          </w:sdtContent>
        </w:sdt>
      </w:sdtContent>
    </w:sdt>
    <w:sdt>
      <w:sdtPr>
        <w:rPr>
          <w:rFonts w:hint="eastAsia" w:ascii="宋体" w:hAnsi="宋体" w:eastAsia="宋体" w:cs="宋体"/>
          <w:b w:val="0"/>
          <w:bCs w:val="0"/>
          <w:kern w:val="0"/>
          <w:szCs w:val="21"/>
        </w:rPr>
        <w:alias w:val="模块:建设项目环境影响评价及其他环境保护行政许可情况"/>
        <w:tag w:val="_SEC_330826163bc24382a01aa7dd6d1a67d0"/>
        <w:id w:val="1121274579"/>
        <w:lock w:val="sdtLocked"/>
      </w:sdtPr>
      <w:sdtEndPr>
        <w:rPr>
          <w:rFonts w:hint="eastAsia" w:ascii="宋体" w:hAnsi="宋体" w:eastAsia="宋体" w:cs="宋体"/>
          <w:b w:val="0"/>
          <w:bCs w:val="0"/>
          <w:kern w:val="0"/>
          <w:szCs w:val="24"/>
        </w:rPr>
      </w:sdtEndPr>
      <w:sdtContent>
        <w:p>
          <w:pPr>
            <w:pStyle w:val="5"/>
            <w:numPr>
              <w:ilvl w:val="0"/>
              <w:numId w:val="26"/>
            </w:numPr>
            <w:spacing w:before="0" w:after="0" w:line="360" w:lineRule="auto"/>
            <w:rPr>
              <w:rFonts w:ascii="宋体" w:hAnsi="宋体"/>
              <w:bCs w:val="0"/>
              <w:szCs w:val="22"/>
            </w:rPr>
          </w:pPr>
          <w:r>
            <w:rPr>
              <w:rFonts w:hint="eastAsia" w:ascii="宋体" w:hAnsi="宋体"/>
              <w:szCs w:val="21"/>
            </w:rPr>
            <w:t>建设项目环境影响评价及其他环境保护行政许可情况</w:t>
          </w:r>
        </w:p>
        <w:sdt>
          <w:sdtPr>
            <w:rPr>
              <w:rFonts w:hint="eastAsia" w:ascii="宋体" w:hAnsi="宋体"/>
            </w:rPr>
            <w:alias w:val="是否适用：环境影响评价及其他环境保护行政许可[双击切换]"/>
            <w:tag w:val="_GBC_b1119f4f82174fe198452c8d630e1378"/>
            <w:id w:val="-2056230254"/>
            <w:lock w:val="sdtLocked"/>
          </w:sdtPr>
          <w:sdtEndPr>
            <w:rPr>
              <w:rFonts w:hint="eastAsia" w:ascii="宋体" w:hAnsi="宋体"/>
            </w:rPr>
          </w:sdtEndPr>
          <w:sdtContent>
            <w:p>
              <w:pPr>
                <w:pStyle w:val="55"/>
                <w:spacing w:line="360" w:lineRule="auto"/>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宋体" w:hAnsi="宋体" w:cs="宋体"/>
              <w:kern w:val="0"/>
              <w:szCs w:val="24"/>
            </w:rPr>
            <w:alias w:val="环境影响评价及其他环境保护行政许可"/>
            <w:tag w:val="_GBC_514c62e995014de18ee8286e2b72f880"/>
            <w:id w:val="-1019461401"/>
            <w:lock w:val="sdtLocked"/>
          </w:sdtPr>
          <w:sdtEndPr>
            <w:rPr>
              <w:rFonts w:ascii="宋体" w:hAnsi="宋体" w:cs="宋体"/>
              <w:kern w:val="0"/>
              <w:szCs w:val="24"/>
            </w:rPr>
          </w:sdtEndPr>
          <w:sdtContent>
            <w:p>
              <w:pPr>
                <w:pStyle w:val="17"/>
                <w:spacing w:after="0" w:line="360" w:lineRule="auto"/>
                <w:ind w:firstLine="420" w:firstLineChars="200"/>
                <w:jc w:val="left"/>
                <w:rPr>
                  <w:rFonts w:cs="宋体" w:asciiTheme="minorEastAsia" w:hAnsiTheme="minorEastAsia" w:eastAsiaTheme="minorEastAsia"/>
                </w:rPr>
              </w:pPr>
              <w:r>
                <w:rPr>
                  <w:rFonts w:hint="eastAsia" w:asciiTheme="minorEastAsia" w:hAnsiTheme="minorEastAsia" w:eastAsiaTheme="minorEastAsia"/>
                </w:rPr>
                <w:t>公司上述生产基地均进行了环境影响评价，严格遵守国家规定的各项环保法律法规，对产生的各类污染物进行严格管控。在项目建设时严格执行环境影响评价制度和“三同时”制度，并按照《建设项目环境保护管理条例》的相关规定，在建设项目竣工后，向环境保护主管部门申请新建设项目需要配套建设的环境保护设施竣工验收。</w:t>
              </w:r>
            </w:p>
            <w:p>
              <w:pPr>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报告期内，取得的排污许可证如下：</w:t>
              </w:r>
            </w:p>
            <w:tbl>
              <w:tblPr>
                <w:tblStyle w:val="106"/>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9"/>
                <w:gridCol w:w="3049"/>
                <w:gridCol w:w="26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119" w:type="dxa"/>
                    <w:tcBorders>
                      <w:top w:val="single" w:color="000000" w:sz="4" w:space="0"/>
                      <w:left w:val="single" w:color="000000" w:sz="4" w:space="0"/>
                      <w:bottom w:val="single" w:color="000000" w:sz="4" w:space="0"/>
                      <w:right w:val="single" w:color="000000" w:sz="4" w:space="0"/>
                    </w:tcBorders>
                    <w:vAlign w:val="center"/>
                  </w:tcPr>
                  <w:p>
                    <w:pPr>
                      <w:spacing w:before="34"/>
                      <w:ind w:left="516" w:right="459"/>
                      <w:jc w:val="center"/>
                      <w:rPr>
                        <w:rFonts w:asciiTheme="minorEastAsia" w:hAnsiTheme="minorEastAsia" w:eastAsiaTheme="minorEastAsia"/>
                        <w:b/>
                        <w:szCs w:val="21"/>
                      </w:rPr>
                    </w:pPr>
                    <w:r>
                      <w:rPr>
                        <w:rFonts w:hint="eastAsia" w:asciiTheme="minorEastAsia" w:hAnsiTheme="minorEastAsia" w:eastAsiaTheme="minorEastAsia"/>
                        <w:b/>
                        <w:szCs w:val="21"/>
                      </w:rPr>
                      <w:t>公司名称</w:t>
                    </w:r>
                  </w:p>
                </w:tc>
                <w:tc>
                  <w:tcPr>
                    <w:tcW w:w="3049" w:type="dxa"/>
                    <w:tcBorders>
                      <w:top w:val="single" w:color="000000" w:sz="4" w:space="0"/>
                      <w:left w:val="nil"/>
                      <w:bottom w:val="single" w:color="000000" w:sz="4" w:space="0"/>
                      <w:right w:val="single" w:color="000000" w:sz="4" w:space="0"/>
                    </w:tcBorders>
                    <w:vAlign w:val="center"/>
                  </w:tcPr>
                  <w:p>
                    <w:pPr>
                      <w:spacing w:before="34"/>
                      <w:ind w:left="383" w:right="269"/>
                      <w:jc w:val="center"/>
                      <w:rPr>
                        <w:rFonts w:asciiTheme="minorEastAsia" w:hAnsiTheme="minorEastAsia" w:eastAsiaTheme="minorEastAsia"/>
                        <w:b/>
                        <w:szCs w:val="21"/>
                      </w:rPr>
                    </w:pPr>
                    <w:r>
                      <w:rPr>
                        <w:rFonts w:hint="eastAsia" w:asciiTheme="minorEastAsia" w:hAnsiTheme="minorEastAsia" w:eastAsiaTheme="minorEastAsia"/>
                        <w:b/>
                        <w:szCs w:val="21"/>
                      </w:rPr>
                      <w:t>排污许可证编号</w:t>
                    </w:r>
                  </w:p>
                </w:tc>
                <w:tc>
                  <w:tcPr>
                    <w:tcW w:w="2631" w:type="dxa"/>
                    <w:tcBorders>
                      <w:top w:val="single" w:color="000000" w:sz="4" w:space="0"/>
                      <w:left w:val="nil"/>
                      <w:bottom w:val="single" w:color="000000" w:sz="4" w:space="0"/>
                      <w:right w:val="single" w:color="000000" w:sz="4" w:space="0"/>
                    </w:tcBorders>
                    <w:vAlign w:val="center"/>
                  </w:tcPr>
                  <w:p>
                    <w:pPr>
                      <w:spacing w:before="34"/>
                      <w:ind w:left="245" w:right="131"/>
                      <w:jc w:val="center"/>
                      <w:rPr>
                        <w:rFonts w:asciiTheme="minorEastAsia" w:hAnsiTheme="minorEastAsia" w:eastAsiaTheme="minorEastAsia"/>
                        <w:b/>
                        <w:szCs w:val="21"/>
                      </w:rPr>
                    </w:pPr>
                    <w:r>
                      <w:rPr>
                        <w:rFonts w:hint="eastAsia" w:asciiTheme="minorEastAsia" w:hAnsiTheme="minorEastAsia" w:eastAsiaTheme="minorEastAsia"/>
                        <w:b/>
                        <w:szCs w:val="21"/>
                      </w:rPr>
                      <w:t>有效期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3119" w:type="dxa"/>
                    <w:tcBorders>
                      <w:top w:val="single" w:color="000000" w:sz="4" w:space="0"/>
                      <w:left w:val="single" w:color="000000" w:sz="4" w:space="0"/>
                      <w:bottom w:val="single" w:color="000000" w:sz="4" w:space="0"/>
                      <w:right w:val="single" w:color="000000" w:sz="4" w:space="0"/>
                    </w:tcBorders>
                    <w:vAlign w:val="center"/>
                  </w:tcPr>
                  <w:p>
                    <w:pPr>
                      <w:spacing w:before="99"/>
                      <w:ind w:right="141"/>
                      <w:jc w:val="cente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力帆科技（集团）股份有限公司</w:t>
                    </w:r>
                  </w:p>
                </w:tc>
                <w:tc>
                  <w:tcPr>
                    <w:tcW w:w="3049" w:type="dxa"/>
                    <w:tcBorders>
                      <w:top w:val="single" w:color="000000" w:sz="4" w:space="0"/>
                      <w:left w:val="nil"/>
                      <w:bottom w:val="single" w:color="000000" w:sz="4" w:space="0"/>
                      <w:right w:val="single" w:color="000000" w:sz="4" w:space="0"/>
                    </w:tcBorders>
                    <w:vAlign w:val="center"/>
                  </w:tcPr>
                  <w:p>
                    <w:pPr>
                      <w:spacing w:before="1"/>
                      <w:ind w:right="-69"/>
                      <w:jc w:val="cente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91500006220209463001Q</w:t>
                    </w:r>
                  </w:p>
                </w:tc>
                <w:tc>
                  <w:tcPr>
                    <w:tcW w:w="2631" w:type="dxa"/>
                    <w:tcBorders>
                      <w:top w:val="single" w:color="000000" w:sz="4" w:space="0"/>
                      <w:left w:val="nil"/>
                      <w:bottom w:val="single" w:color="000000" w:sz="4" w:space="0"/>
                      <w:right w:val="single" w:color="000000" w:sz="4" w:space="0"/>
                    </w:tcBorders>
                    <w:vAlign w:val="center"/>
                  </w:tcPr>
                  <w:p>
                    <w:pPr>
                      <w:spacing w:before="99"/>
                      <w:ind w:left="245" w:right="131"/>
                      <w:jc w:val="cente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2019年9月29日至2022年9月28日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3119" w:type="dxa"/>
                    <w:tcBorders>
                      <w:top w:val="single" w:color="000000" w:sz="4" w:space="0"/>
                      <w:left w:val="single" w:color="000000" w:sz="4" w:space="0"/>
                      <w:bottom w:val="single" w:color="000000" w:sz="4" w:space="0"/>
                      <w:right w:val="single" w:color="000000" w:sz="4" w:space="0"/>
                    </w:tcBorders>
                    <w:vAlign w:val="center"/>
                  </w:tcPr>
                  <w:p>
                    <w:pPr>
                      <w:spacing w:before="99"/>
                      <w:ind w:right="141"/>
                      <w:jc w:val="cente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重庆力帆乘用车有限公司北碚分公司</w:t>
                    </w:r>
                  </w:p>
                </w:tc>
                <w:tc>
                  <w:tcPr>
                    <w:tcW w:w="3049" w:type="dxa"/>
                    <w:tcBorders>
                      <w:top w:val="single" w:color="000000" w:sz="4" w:space="0"/>
                      <w:left w:val="nil"/>
                      <w:bottom w:val="single" w:color="000000" w:sz="4" w:space="0"/>
                      <w:right w:val="single" w:color="000000" w:sz="4" w:space="0"/>
                    </w:tcBorders>
                    <w:vAlign w:val="center"/>
                  </w:tcPr>
                  <w:p>
                    <w:pPr>
                      <w:spacing w:before="99"/>
                      <w:jc w:val="cente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91500109MA5YYNHG4G001Q</w:t>
                    </w:r>
                  </w:p>
                </w:tc>
                <w:tc>
                  <w:tcPr>
                    <w:tcW w:w="2631" w:type="dxa"/>
                    <w:tcBorders>
                      <w:top w:val="single" w:color="000000" w:sz="4" w:space="0"/>
                      <w:left w:val="nil"/>
                      <w:bottom w:val="single" w:color="000000" w:sz="4" w:space="0"/>
                      <w:right w:val="single" w:color="000000" w:sz="4" w:space="0"/>
                    </w:tcBorders>
                    <w:vAlign w:val="center"/>
                  </w:tcPr>
                  <w:p>
                    <w:pPr>
                      <w:spacing w:before="99"/>
                      <w:ind w:left="245" w:right="131"/>
                      <w:jc w:val="center"/>
                      <w:rPr>
                        <w:rFonts w:cs="Times New Roman" w:asciiTheme="minorEastAsia" w:hAnsiTheme="minorEastAsia" w:eastAsiaTheme="minorEastAsia"/>
                        <w:szCs w:val="21"/>
                      </w:rPr>
                    </w:pPr>
                    <w:r>
                      <w:rPr>
                        <w:rFonts w:hint="eastAsia" w:cs="Times New Roman" w:asciiTheme="minorEastAsia" w:hAnsiTheme="minorEastAsia" w:eastAsiaTheme="minorEastAsia"/>
                        <w:szCs w:val="21"/>
                      </w:rPr>
                      <w:t>2019年9月25日至2022年9月24日</w:t>
                    </w:r>
                  </w:p>
                </w:tc>
              </w:tr>
            </w:tbl>
            <w:p/>
          </w:sdtContent>
        </w:sdt>
      </w:sdtContent>
    </w:sdt>
    <w:sdt>
      <w:sdtPr>
        <w:rPr>
          <w:rFonts w:hint="eastAsia" w:ascii="宋体" w:hAnsi="宋体" w:eastAsia="宋体" w:cs="宋体"/>
          <w:b w:val="0"/>
          <w:bCs w:val="0"/>
          <w:kern w:val="0"/>
          <w:szCs w:val="21"/>
        </w:rPr>
        <w:alias w:val="模块:突发环境事件应急预案"/>
        <w:tag w:val="_SEC_9ec9ab1add164967bf9093942bd5211f"/>
        <w:id w:val="-1716495339"/>
        <w:lock w:val="sdtLocked"/>
      </w:sdtPr>
      <w:sdtEndPr>
        <w:rPr>
          <w:rFonts w:hint="default" w:ascii="Times New Roman" w:hAnsi="Times New Roman" w:eastAsia="宋体" w:cs="Times New Roman"/>
          <w:b w:val="0"/>
          <w:bCs w:val="0"/>
          <w:kern w:val="2"/>
          <w:szCs w:val="21"/>
        </w:rPr>
      </w:sdtEndPr>
      <w:sdtContent>
        <w:p>
          <w:pPr>
            <w:pStyle w:val="5"/>
            <w:numPr>
              <w:ilvl w:val="0"/>
              <w:numId w:val="26"/>
            </w:numPr>
            <w:spacing w:before="0" w:after="0" w:line="360" w:lineRule="auto"/>
            <w:rPr>
              <w:rFonts w:ascii="宋体" w:hAnsi="宋体"/>
            </w:rPr>
          </w:pPr>
          <w:r>
            <w:rPr>
              <w:rFonts w:hint="eastAsia" w:ascii="宋体" w:hAnsi="宋体"/>
              <w:szCs w:val="21"/>
            </w:rPr>
            <w:t>突发环境事件应急预案</w:t>
          </w:r>
        </w:p>
        <w:sdt>
          <w:sdtPr>
            <w:alias w:val="是否适用：突发环境事件应急预案[双击切换]"/>
            <w:tag w:val="_GBC_320f7292de294add91d1065ccfdd3b3b"/>
            <w:id w:val="-573895270"/>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突发环境事件应急预案"/>
            <w:tag w:val="_GBC_e110284d79c948878cb696cb6474bb1e"/>
            <w:id w:val="575559929"/>
            <w:lock w:val="sdtLocked"/>
          </w:sdtPr>
          <w:sdtEndPr>
            <w:rPr>
              <w:rFonts w:ascii="Times New Roman" w:hAnsi="Times New Roman" w:cs="Times New Roman"/>
              <w:kern w:val="2"/>
              <w:szCs w:val="21"/>
            </w:rPr>
          </w:sdtEndPr>
          <w:sdtContent>
            <w:p>
              <w:pPr>
                <w:pStyle w:val="17"/>
                <w:spacing w:after="0" w:line="360" w:lineRule="auto"/>
                <w:ind w:right="44" w:firstLine="420" w:firstLineChars="200"/>
              </w:pPr>
              <w:r>
                <w:rPr>
                  <w:rFonts w:hint="eastAsia" w:ascii="宋体" w:hAnsi="宋体" w:cs="宋体"/>
                  <w:kern w:val="0"/>
                  <w:szCs w:val="24"/>
                </w:rPr>
                <w:t>为认真贯彻执行国家环保、安全法律法规，确保在突发环境事件发生后能及时予以控制，防止重大事故的蔓延及污染，有效地组织抢险和救助，保障员工人身安全及公司财产安全，依据《国家突发环境事件应急预案》等相关文件，并结合企业实际情况，本着“预防为主、自救为主、统一指挥、分工负责”的原则，公司前述生产基地均编制了相应的突发环境事件应急预案，并向上级环保主管部门备案。同时，在企业内部定期开展现场应急预案培训，公司环保部门定期组织应急救援人员、监测人员、运输司机进行应急专业培训，并对培训内容、方式进行记录、考核，提高企业应对突发环境污染事故的能力，有效预防和控制环境污染事故的发生。各厂区每年至少组织一次预案演练，演练内容包括泄漏的发生、火灾、应急救援系统的启动、第一时间的处理、各专业救援组如何联系和赶赴现场、现场的抢救和维护、受伤救护、对外联系、与专业消防部门配合等情景。</w:t>
              </w:r>
            </w:p>
          </w:sdtContent>
        </w:sdt>
      </w:sdtContent>
    </w:sdt>
    <w:sdt>
      <w:sdtPr>
        <w:rPr>
          <w:rFonts w:hint="eastAsia" w:ascii="宋体" w:hAnsi="宋体" w:eastAsia="宋体" w:cs="宋体"/>
          <w:b w:val="0"/>
          <w:bCs w:val="0"/>
          <w:kern w:val="0"/>
          <w:szCs w:val="21"/>
        </w:rPr>
        <w:alias w:val="模块:环境自行监测方案"/>
        <w:tag w:val="_SEC_c86ed91ad7bf4fa69add82c31ecebd85"/>
        <w:id w:val="-911074828"/>
        <w:lock w:val="sdtLocked"/>
      </w:sdtPr>
      <w:sdtEndPr>
        <w:rPr>
          <w:rFonts w:hint="default" w:ascii="宋体" w:hAnsi="宋体" w:eastAsia="宋体" w:cs="宋体"/>
          <w:b w:val="0"/>
          <w:bCs w:val="0"/>
          <w:kern w:val="0"/>
          <w:szCs w:val="24"/>
        </w:rPr>
      </w:sdtEndPr>
      <w:sdtContent>
        <w:p>
          <w:pPr>
            <w:pStyle w:val="5"/>
            <w:numPr>
              <w:ilvl w:val="0"/>
              <w:numId w:val="26"/>
            </w:numPr>
            <w:spacing w:before="0" w:after="0" w:line="360" w:lineRule="auto"/>
            <w:rPr>
              <w:rFonts w:ascii="宋体" w:hAnsi="宋体"/>
              <w:bCs w:val="0"/>
              <w:szCs w:val="22"/>
            </w:rPr>
          </w:pPr>
          <w:r>
            <w:rPr>
              <w:rFonts w:hint="eastAsia" w:ascii="宋体" w:hAnsi="宋体"/>
              <w:szCs w:val="21"/>
            </w:rPr>
            <w:t>环境自行监测方案</w:t>
          </w:r>
        </w:p>
        <w:sdt>
          <w:sdtPr>
            <w:rPr>
              <w:rFonts w:hint="eastAsia" w:ascii="宋体" w:hAnsi="宋体"/>
            </w:rPr>
            <w:alias w:val="是否适用：环境自行监测方案[双击切换]"/>
            <w:tag w:val="_GBC_11a22cdfe2d94619a57dc598b14322b3"/>
            <w:id w:val="-634025423"/>
            <w:lock w:val="sdtLocked"/>
          </w:sdtPr>
          <w:sdtEndPr>
            <w:rPr>
              <w:rFonts w:hint="eastAsia" w:ascii="宋体" w:hAnsi="宋体"/>
            </w:rPr>
          </w:sdtEndPr>
          <w:sdtContent>
            <w:p>
              <w:pPr>
                <w:pStyle w:val="55"/>
                <w:spacing w:line="360" w:lineRule="auto"/>
                <w:ind w:firstLine="0" w:firstLineChars="0"/>
                <w:rPr>
                  <w:rFonts w:ascii="宋体" w:hAnsi="宋体"/>
                </w:rPr>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环境自行监测方案"/>
            <w:tag w:val="_GBC_b4e9798a403545c5a31116f4a13a92a2"/>
            <w:id w:val="-654833767"/>
            <w:lock w:val="sdtLocked"/>
          </w:sdtPr>
          <w:sdtContent>
            <w:p>
              <w:pPr>
                <w:spacing w:line="360" w:lineRule="auto"/>
                <w:ind w:firstLine="420" w:firstLineChars="200"/>
              </w:pPr>
              <w:r>
                <w:rPr>
                  <w:rFonts w:hint="eastAsia"/>
                </w:rPr>
                <w:t>公司每年度至少进行一次废水、废气、噪声检测，委托具有资质的机构进行监测并出具监测报告，并按生态环境局的要求进行信息公开。</w:t>
              </w:r>
            </w:p>
          </w:sdtContent>
        </w:sdt>
      </w:sdtContent>
    </w:sdt>
    <w:sdt>
      <w:sdtPr>
        <w:rPr>
          <w:rFonts w:hint="eastAsia" w:ascii="宋体" w:hAnsi="宋体" w:eastAsia="宋体" w:cs="宋体"/>
          <w:b w:val="0"/>
          <w:bCs w:val="0"/>
          <w:kern w:val="0"/>
          <w:szCs w:val="21"/>
        </w:rPr>
        <w:alias w:val="模块:报告期内因环境问题受到行政处罚的情况"/>
        <w:tag w:val="_SEC_e452b7519a904dd5baf46757b4e56428"/>
        <w:id w:val="-854036932"/>
        <w:lock w:val="sdtLocked"/>
      </w:sdtPr>
      <w:sdtEndPr>
        <w:rPr>
          <w:rFonts w:hint="default" w:ascii="宋体" w:hAnsi="宋体" w:eastAsia="宋体" w:cs="宋体"/>
          <w:b w:val="0"/>
          <w:bCs w:val="0"/>
          <w:kern w:val="0"/>
          <w:szCs w:val="24"/>
        </w:rPr>
      </w:sdtEndPr>
      <w:sdtContent>
        <w:p>
          <w:pPr>
            <w:pStyle w:val="5"/>
            <w:numPr>
              <w:ilvl w:val="0"/>
              <w:numId w:val="26"/>
            </w:numPr>
            <w:spacing w:before="0" w:after="0" w:line="360" w:lineRule="auto"/>
            <w:rPr>
              <w:rFonts w:ascii="宋体" w:hAnsi="宋体" w:cs="宋体"/>
              <w:kern w:val="0"/>
              <w:szCs w:val="21"/>
            </w:rPr>
          </w:pPr>
          <w:r>
            <w:rPr>
              <w:rFonts w:hint="eastAsia" w:ascii="宋体" w:hAnsi="宋体" w:cs="宋体"/>
              <w:kern w:val="0"/>
              <w:szCs w:val="21"/>
            </w:rPr>
            <w:t>报告期内因环境问题受到行政处罚的情况</w:t>
          </w:r>
        </w:p>
        <w:sdt>
          <w:sdtPr>
            <w:alias w:val="是否适用：报告期内因环境问题受到行政处罚的情况[双击切换]"/>
            <w:tag w:val="_GBC_60b589f1d48b40cdb553a3dca08d1b42"/>
            <w:id w:val="-151369039"/>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hint="eastAsia" w:ascii="宋体" w:hAnsi="宋体" w:eastAsia="宋体" w:cs="宋体"/>
          <w:b w:val="0"/>
          <w:bCs w:val="0"/>
          <w:kern w:val="0"/>
          <w:szCs w:val="21"/>
        </w:rPr>
        <w:alias w:val="模块:其他应当公开的环境信息"/>
        <w:tag w:val="_SEC_e9c4b4d82f3d40269ff7b48874094c71"/>
        <w:id w:val="-1578976392"/>
        <w:lock w:val="sdtLocked"/>
      </w:sdtPr>
      <w:sdtEndPr>
        <w:rPr>
          <w:rFonts w:hint="eastAsia" w:ascii="宋体" w:hAnsi="宋体" w:eastAsia="宋体" w:cs="宋体"/>
          <w:b w:val="0"/>
          <w:bCs w:val="0"/>
          <w:kern w:val="0"/>
          <w:szCs w:val="24"/>
        </w:rPr>
      </w:sdtEndPr>
      <w:sdtContent>
        <w:p>
          <w:pPr>
            <w:pStyle w:val="5"/>
            <w:numPr>
              <w:ilvl w:val="0"/>
              <w:numId w:val="26"/>
            </w:numPr>
            <w:spacing w:before="0" w:after="0" w:line="360" w:lineRule="auto"/>
            <w:rPr>
              <w:rFonts w:ascii="宋体" w:hAnsi="宋体"/>
              <w:bCs w:val="0"/>
              <w:szCs w:val="22"/>
            </w:rPr>
          </w:pPr>
          <w:r>
            <w:rPr>
              <w:rFonts w:hint="eastAsia" w:ascii="宋体" w:hAnsi="宋体"/>
              <w:szCs w:val="21"/>
            </w:rPr>
            <w:t>其他应当公开的环境信息</w:t>
          </w:r>
        </w:p>
        <w:sdt>
          <w:sdtPr>
            <w:alias w:val="是否适用：其他应当公开的环境信息[双击切换]"/>
            <w:tag w:val="_GBC_98ced024394941ff987ebfb84f969979"/>
            <w:id w:val="1137610084"/>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p>
      <w:pPr>
        <w:pStyle w:val="4"/>
        <w:numPr>
          <w:ilvl w:val="0"/>
          <w:numId w:val="25"/>
        </w:numPr>
        <w:spacing w:before="0" w:after="0" w:line="360" w:lineRule="auto"/>
        <w:ind w:left="425" w:hanging="425"/>
        <w:rPr>
          <w:rFonts w:ascii="宋体" w:hAnsi="宋体"/>
        </w:rPr>
      </w:pPr>
      <w:r>
        <w:rPr>
          <w:rFonts w:hint="eastAsia" w:ascii="宋体" w:hAnsi="宋体"/>
        </w:rPr>
        <w:t>重点排污单位之外的公司环保情况说明</w:t>
      </w:r>
    </w:p>
    <w:sdt>
      <w:sdtPr>
        <w:alias w:val="是否适用：重点排污单位之外的公司的环保情况[双击切换]"/>
        <w:tag w:val="_GBC_d5ef790979ae4170801b0e930a2b7445"/>
        <w:id w:val="1159574891"/>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
      <w:sdtPr>
        <w:rPr>
          <w:rFonts w:hint="eastAsia" w:ascii="宋体" w:hAnsi="宋体" w:cs="宋体"/>
          <w:b w:val="0"/>
          <w:bCs w:val="0"/>
          <w:kern w:val="0"/>
          <w:szCs w:val="24"/>
        </w:rPr>
        <w:alias w:val="模块:有利于保护生态、防治污染、履行环境责任的相关信息"/>
        <w:tag w:val="_SEC_f7a534002f704099a4b5ea4591f982dc"/>
        <w:id w:val="1970465340"/>
        <w:lock w:val="sdtLocked"/>
      </w:sdtPr>
      <w:sdtEndPr>
        <w:rPr>
          <w:rFonts w:hint="default" w:ascii="宋体" w:hAnsi="宋体" w:cs="宋体"/>
          <w:b w:val="0"/>
          <w:bCs w:val="0"/>
          <w:kern w:val="0"/>
          <w:szCs w:val="24"/>
        </w:rPr>
      </w:sdtEndPr>
      <w:sdtContent>
        <w:p>
          <w:pPr>
            <w:pStyle w:val="4"/>
            <w:numPr>
              <w:ilvl w:val="0"/>
              <w:numId w:val="25"/>
            </w:numPr>
            <w:spacing w:before="0" w:after="0" w:line="360" w:lineRule="auto"/>
            <w:ind w:left="450" w:hanging="450"/>
            <w:rPr>
              <w:rFonts w:ascii="宋体" w:hAnsi="宋体" w:cs="宋体"/>
              <w:kern w:val="0"/>
              <w:szCs w:val="24"/>
            </w:rPr>
          </w:pPr>
          <w:r>
            <w:rPr>
              <w:rFonts w:hint="eastAsia" w:ascii="宋体" w:hAnsi="宋体" w:cs="宋体"/>
              <w:kern w:val="0"/>
              <w:szCs w:val="24"/>
            </w:rPr>
            <w:t>有利于保护生态、防治污染、履行环境责任的相关信息</w:t>
          </w:r>
        </w:p>
        <w:sdt>
          <w:sdtPr>
            <w:rPr>
              <w:szCs w:val="21"/>
            </w:rPr>
            <w:alias w:val="是否适用：有利于保护生态、防治污染、履行环境责任的相关信息[双击切换]"/>
            <w:tag w:val="_GBC_b098ce7912f144edb010c3351255b611"/>
            <w:id w:val="830641468"/>
            <w:lock w:val="sdtLocked"/>
          </w:sdtPr>
          <w:sdtEndPr>
            <w:rPr>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pPr>
        </w:p>
      </w:sdtContent>
    </w:sdt>
    <w:sdt>
      <w:sdtPr>
        <w:rPr>
          <w:rFonts w:ascii="宋体" w:hAnsi="宋体" w:cs="宋体"/>
          <w:b w:val="0"/>
          <w:bCs w:val="0"/>
          <w:kern w:val="0"/>
          <w:szCs w:val="24"/>
        </w:rPr>
        <w:alias w:val="模块:在报告期内为减少其碳排放所采取的措施及效果"/>
        <w:tag w:val="_SEC_219d66470c5549c2b9ae6da091245f5d"/>
        <w:id w:val="-1200854353"/>
        <w:lock w:val="sdtLocked"/>
      </w:sdtPr>
      <w:sdtEndPr>
        <w:rPr>
          <w:rFonts w:ascii="宋体" w:hAnsi="宋体" w:cs="宋体"/>
          <w:b w:val="0"/>
          <w:bCs w:val="0"/>
          <w:kern w:val="0"/>
          <w:szCs w:val="24"/>
        </w:rPr>
      </w:sdtEndPr>
      <w:sdtContent>
        <w:p>
          <w:pPr>
            <w:pStyle w:val="4"/>
            <w:numPr>
              <w:ilvl w:val="0"/>
              <w:numId w:val="25"/>
            </w:numPr>
            <w:spacing w:before="0" w:after="0" w:line="360" w:lineRule="auto"/>
            <w:ind w:left="450" w:hanging="450"/>
            <w:rPr>
              <w:rFonts w:ascii="宋体" w:hAnsi="宋体"/>
            </w:rPr>
          </w:pPr>
          <w:r>
            <w:rPr>
              <w:rFonts w:ascii="宋体" w:hAnsi="宋体"/>
            </w:rPr>
            <w:t>在报告期内为减少其碳排放所采取的措施及效果</w:t>
          </w:r>
        </w:p>
        <w:sdt>
          <w:sdtPr>
            <w:alias w:val="是否适用：在报告期内为减少其碳排放所采取的措施及效果 [双击切换]"/>
            <w:tag w:val="_GBC_c548c6cdcee840f1b99e9992b9199dfc"/>
            <w:id w:val="1802419941"/>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hint="eastAsia" w:ascii="宋体" w:hAnsi="宋体" w:cs="宋体"/>
          <w:b w:val="0"/>
          <w:bCs w:val="0"/>
          <w:kern w:val="0"/>
          <w:szCs w:val="24"/>
        </w:rPr>
        <w:alias w:val="模块:社会责任工作情况"/>
        <w:tag w:val="_SEC_ee27b1a72aa5419087caf130b9eefdde"/>
        <w:id w:val="-1802140251"/>
        <w:lock w:val="sdtLocked"/>
      </w:sdtPr>
      <w:sdtEndPr>
        <w:rPr>
          <w:rFonts w:hint="default" w:ascii="宋体" w:hAnsi="宋体" w:cs="宋体"/>
          <w:b w:val="0"/>
          <w:bCs w:val="0"/>
          <w:kern w:val="0"/>
          <w:szCs w:val="24"/>
        </w:rPr>
      </w:sdtEndPr>
      <w:sdtContent>
        <w:p>
          <w:pPr>
            <w:pStyle w:val="3"/>
            <w:numPr>
              <w:ilvl w:val="0"/>
              <w:numId w:val="24"/>
            </w:numPr>
            <w:tabs>
              <w:tab w:val="left" w:pos="426"/>
            </w:tabs>
            <w:spacing w:before="0" w:after="0" w:line="360" w:lineRule="auto"/>
            <w:ind w:left="425" w:hanging="425"/>
            <w:jc w:val="left"/>
          </w:pPr>
          <w:r>
            <w:rPr>
              <w:rFonts w:hint="eastAsia"/>
            </w:rPr>
            <w:t>社会责任工作</w:t>
          </w:r>
          <w:r>
            <w:rPr>
              <w:rFonts w:hint="eastAsia" w:ascii="宋体" w:hAnsi="宋体" w:cs="宋体"/>
              <w:kern w:val="0"/>
              <w:szCs w:val="24"/>
            </w:rPr>
            <w:t>情况</w:t>
          </w:r>
        </w:p>
        <w:sdt>
          <w:sdtPr>
            <w:rPr>
              <w:rFonts w:hint="eastAsia"/>
            </w:rPr>
            <w:alias w:val="是否适用：社会责任工作情况[双击切换]"/>
            <w:tag w:val="_GBC_193e5fab56724eddabaa8d0d74a4b129"/>
            <w:id w:val="223807515"/>
            <w:lock w:val="sdtLocked"/>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社会责任工作情况"/>
            <w:tag w:val="_GBC_a9b541509de44900b46d09bc29c43131"/>
            <w:id w:val="1207757560"/>
            <w:lock w:val="sdtLocked"/>
          </w:sdtPr>
          <w:sdtContent>
            <w:p>
              <w:pPr>
                <w:spacing w:line="360" w:lineRule="auto"/>
                <w:ind w:firstLine="420" w:firstLineChars="200"/>
              </w:pPr>
              <w:r>
                <w:rPr>
                  <w:rFonts w:hint="eastAsia"/>
                </w:rPr>
                <w:t>报告期内，公司积极响</w:t>
              </w:r>
              <w:r>
                <w:rPr>
                  <w:rFonts w:hint="eastAsia"/>
                  <w:szCs w:val="21"/>
                </w:rPr>
                <w:t>应政府防疫政策</w:t>
              </w:r>
              <w:r>
                <w:rPr>
                  <w:rFonts w:asciiTheme="majorEastAsia" w:hAnsiTheme="majorEastAsia" w:eastAsiaTheme="majorEastAsia"/>
                  <w:szCs w:val="21"/>
                </w:rPr>
                <w:t>，</w:t>
              </w:r>
              <w:r>
                <w:rPr>
                  <w:rFonts w:hint="eastAsia" w:asciiTheme="majorEastAsia" w:hAnsiTheme="majorEastAsia" w:eastAsiaTheme="majorEastAsia"/>
                  <w:szCs w:val="21"/>
                </w:rPr>
                <w:t>严格</w:t>
              </w:r>
              <w:r>
                <w:rPr>
                  <w:rFonts w:asciiTheme="majorEastAsia" w:hAnsiTheme="majorEastAsia" w:eastAsiaTheme="majorEastAsia"/>
                  <w:szCs w:val="21"/>
                </w:rPr>
                <w:t>落实常态</w:t>
              </w:r>
              <w:r>
                <w:rPr>
                  <w:rFonts w:hint="eastAsia" w:asciiTheme="majorEastAsia" w:hAnsiTheme="majorEastAsia" w:eastAsiaTheme="majorEastAsia"/>
                  <w:szCs w:val="21"/>
                </w:rPr>
                <w:t>化</w:t>
              </w:r>
              <w:r>
                <w:rPr>
                  <w:rFonts w:asciiTheme="majorEastAsia" w:hAnsiTheme="majorEastAsia" w:eastAsiaTheme="majorEastAsia"/>
                  <w:szCs w:val="21"/>
                </w:rPr>
                <w:t>疫情防控</w:t>
              </w:r>
              <w:r>
                <w:rPr>
                  <w:rFonts w:hint="eastAsia" w:asciiTheme="majorEastAsia" w:hAnsiTheme="majorEastAsia" w:eastAsiaTheme="majorEastAsia"/>
                  <w:szCs w:val="21"/>
                </w:rPr>
                <w:t>措施，建立员工轨迹台账，精准掌握员工动态，加强宣传提升疫情防控意识。</w:t>
              </w:r>
              <w:r>
                <w:rPr>
                  <w:rFonts w:hint="eastAsia"/>
                </w:rPr>
                <w:t>同时，公司在力所能及的范围内为社会尽绵薄之力</w:t>
              </w:r>
              <w:r>
                <w:t>,</w:t>
              </w:r>
              <w:r>
                <w:rPr>
                  <w:rFonts w:hint="eastAsia"/>
                </w:rPr>
                <w:t>一</w:t>
              </w:r>
              <w:r>
                <w:t>是向河南受灾水泡车辆推出为期</w:t>
              </w:r>
              <w:r>
                <w:rPr>
                  <w:rFonts w:hint="eastAsia"/>
                </w:rPr>
                <w:t>两</w:t>
              </w:r>
              <w:r>
                <w:t>个月的免费检查、清洗、更换机油、机滤和免维修工时费的服务；</w:t>
              </w:r>
              <w:r>
                <w:rPr>
                  <w:rFonts w:hint="eastAsia"/>
                </w:rPr>
                <w:t>二</w:t>
              </w:r>
              <w:r>
                <w:t>是向重庆市城口县双河中心小学和广东省新会区慈善会捐款或捐物等。</w:t>
              </w:r>
            </w:p>
            <w:p>
              <w:pPr>
                <w:ind w:firstLine="420" w:firstLineChars="200"/>
              </w:pPr>
            </w:p>
          </w:sdtContent>
        </w:sdt>
      </w:sdtContent>
    </w:sdt>
    <w:sdt>
      <w:sdtPr>
        <w:rPr>
          <w:rFonts w:hint="eastAsia" w:ascii="宋体" w:hAnsi="宋体" w:cs="宋体"/>
          <w:b w:val="0"/>
          <w:bCs w:val="0"/>
          <w:kern w:val="0"/>
          <w:szCs w:val="24"/>
        </w:rPr>
        <w:alias w:val="模块:巩固拓展脱贫攻坚成果、乡村振兴工作具体情况"/>
        <w:tag w:val="_SEC_e3132df5923a4a1886e35ca9514a1640"/>
        <w:id w:val="-1787502057"/>
        <w:lock w:val="sdtLocked"/>
      </w:sdtPr>
      <w:sdtEndPr>
        <w:rPr>
          <w:rFonts w:hint="default" w:ascii="宋体" w:hAnsi="宋体" w:cs="宋体"/>
          <w:b w:val="0"/>
          <w:bCs w:val="0"/>
          <w:kern w:val="0"/>
          <w:szCs w:val="24"/>
        </w:rPr>
      </w:sdtEndPr>
      <w:sdtContent>
        <w:p>
          <w:pPr>
            <w:pStyle w:val="3"/>
            <w:numPr>
              <w:ilvl w:val="0"/>
              <w:numId w:val="24"/>
            </w:numPr>
            <w:tabs>
              <w:tab w:val="left" w:pos="426"/>
            </w:tabs>
            <w:ind w:left="425" w:hanging="425"/>
            <w:jc w:val="left"/>
            <w:rPr>
              <w:rFonts w:ascii="宋体" w:hAnsi="宋体"/>
            </w:rPr>
          </w:pPr>
          <w:r>
            <w:rPr>
              <w:rFonts w:hint="eastAsia" w:ascii="宋体" w:hAnsi="宋体"/>
            </w:rPr>
            <w:t>巩固拓展脱贫攻坚成果、乡村振兴等工作具体情况</w:t>
          </w:r>
        </w:p>
        <w:sdt>
          <w:sdtPr>
            <w:alias w:val="是否适用：巩固拓展脱贫攻坚成果、乡村振兴工作具体情况[双击切换]"/>
            <w:tag w:val="_GBC_da0a87234d174e509f00e24b4a8320dc"/>
            <w:id w:val="1650479102"/>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ectPr>
              <w:pgSz w:w="11906" w:h="16838"/>
              <w:pgMar w:top="1525" w:right="1276" w:bottom="1440" w:left="1797" w:header="851" w:footer="992" w:gutter="0"/>
              <w:cols w:space="425" w:num="1"/>
              <w:docGrid w:linePitch="312" w:charSpace="0"/>
            </w:sectPr>
          </w:pPr>
        </w:p>
      </w:sdtContent>
    </w:sdt>
    <w:bookmarkEnd w:id="60"/>
    <w:p>
      <w:pPr>
        <w:pStyle w:val="2"/>
        <w:numPr>
          <w:ilvl w:val="0"/>
          <w:numId w:val="2"/>
        </w:numPr>
        <w:ind w:left="0" w:firstLine="0"/>
      </w:pPr>
      <w:bookmarkStart w:id="61" w:name="_Toc89790253"/>
      <w:bookmarkStart w:id="62" w:name="_Hlk90554245"/>
      <w:r>
        <w:rPr>
          <w:rFonts w:hint="eastAsia"/>
        </w:rPr>
        <w:t>重要事项</w:t>
      </w:r>
      <w:bookmarkEnd w:id="61"/>
    </w:p>
    <w:p>
      <w:pPr>
        <w:pStyle w:val="3"/>
        <w:numPr>
          <w:ilvl w:val="0"/>
          <w:numId w:val="27"/>
        </w:numPr>
      </w:pPr>
      <w:r>
        <w:rPr>
          <w:rFonts w:hint="eastAsia"/>
        </w:rPr>
        <w:t>承诺事项履行情况</w:t>
      </w:r>
    </w:p>
    <w:sdt>
      <w:sdtPr>
        <w:rPr>
          <w:rFonts w:hint="eastAsia" w:ascii="宋体" w:hAnsi="宋体" w:cs="宋体"/>
          <w:b w:val="0"/>
          <w:bCs w:val="0"/>
          <w:kern w:val="0"/>
          <w:sz w:val="24"/>
          <w:szCs w:val="21"/>
        </w:rPr>
        <w:alias w:val="模块:上市公司、持股5%以上的股东、控股股东及实际控制人在报告期内承诺事项"/>
        <w:tag w:val="_SEC_993caead489c45a092f4575c075d1bcf"/>
        <w:id w:val="-913621583"/>
        <w:lock w:val="sdtLocked"/>
        <w:placeholder>
          <w:docPart w:val="GBC22222222222222222222222222222"/>
        </w:placeholder>
      </w:sdtPr>
      <w:sdtEndPr>
        <w:rPr>
          <w:rFonts w:hint="default" w:ascii="宋体" w:hAnsi="宋体" w:cs="宋体"/>
          <w:b w:val="0"/>
          <w:bCs w:val="0"/>
          <w:kern w:val="0"/>
          <w:sz w:val="21"/>
          <w:szCs w:val="24"/>
        </w:rPr>
      </w:sdtEndPr>
      <w:sdtContent>
        <w:p>
          <w:pPr>
            <w:pStyle w:val="4"/>
            <w:numPr>
              <w:ilvl w:val="1"/>
              <w:numId w:val="2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3224920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tbl>
          <w:tblPr>
            <w:tblStyle w:val="108"/>
            <w:tblW w:w="5000" w:type="pct"/>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1282"/>
            <w:gridCol w:w="1327"/>
            <w:gridCol w:w="3328"/>
            <w:gridCol w:w="2111"/>
            <w:gridCol w:w="924"/>
            <w:gridCol w:w="992"/>
            <w:gridCol w:w="1178"/>
            <w:gridCol w:w="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5cfb23b46b41fba9f0b895a1088fd6"/>
                <w:id w:val="2142532480"/>
                <w:lock w:val="sdtLocked"/>
              </w:sdtPr>
              <w:sdtContent>
                <w:tc>
                  <w:tcPr>
                    <w:tcW w:w="805" w:type="pct"/>
                    <w:shd w:val="clear" w:color="auto" w:fill="auto"/>
                    <w:vAlign w:val="center"/>
                  </w:tcPr>
                  <w:p>
                    <w:pPr>
                      <w:jc w:val="center"/>
                      <w:rPr>
                        <w:szCs w:val="21"/>
                      </w:rPr>
                    </w:pPr>
                    <w:r>
                      <w:rPr>
                        <w:rFonts w:hint="eastAsia"/>
                        <w:szCs w:val="21"/>
                      </w:rPr>
                      <w:t>承诺背景</w:t>
                    </w:r>
                  </w:p>
                </w:tc>
              </w:sdtContent>
            </w:sdt>
            <w:sdt>
              <w:sdtPr>
                <w:tag w:val="_PLD_6d89eb5533974f2f9b788e2563589a7c"/>
                <w:id w:val="1444802370"/>
                <w:lock w:val="sdtLocked"/>
              </w:sdtPr>
              <w:sdtContent>
                <w:tc>
                  <w:tcPr>
                    <w:tcW w:w="455" w:type="pct"/>
                    <w:shd w:val="clear" w:color="auto" w:fill="auto"/>
                    <w:vAlign w:val="center"/>
                  </w:tcPr>
                  <w:p>
                    <w:pPr>
                      <w:jc w:val="center"/>
                      <w:rPr>
                        <w:szCs w:val="21"/>
                      </w:rPr>
                    </w:pPr>
                    <w:r>
                      <w:rPr>
                        <w:rFonts w:hint="eastAsia"/>
                        <w:szCs w:val="21"/>
                      </w:rPr>
                      <w:t>承诺</w:t>
                    </w:r>
                  </w:p>
                  <w:p>
                    <w:pPr>
                      <w:jc w:val="center"/>
                      <w:rPr>
                        <w:szCs w:val="21"/>
                      </w:rPr>
                    </w:pPr>
                    <w:r>
                      <w:rPr>
                        <w:rFonts w:hint="eastAsia"/>
                        <w:szCs w:val="21"/>
                      </w:rPr>
                      <w:t>类型</w:t>
                    </w:r>
                  </w:p>
                </w:tc>
              </w:sdtContent>
            </w:sdt>
            <w:sdt>
              <w:sdtPr>
                <w:tag w:val="_PLD_4e3459cf954648c5ade489d7f239c9b2"/>
                <w:id w:val="429778016"/>
                <w:lock w:val="sdtLocked"/>
              </w:sdtPr>
              <w:sdtContent>
                <w:tc>
                  <w:tcPr>
                    <w:tcW w:w="471" w:type="pct"/>
                    <w:shd w:val="clear" w:color="auto" w:fill="auto"/>
                    <w:vAlign w:val="center"/>
                  </w:tcPr>
                  <w:p>
                    <w:pPr>
                      <w:jc w:val="center"/>
                      <w:rPr>
                        <w:szCs w:val="21"/>
                      </w:rPr>
                    </w:pPr>
                    <w:r>
                      <w:rPr>
                        <w:rFonts w:hint="eastAsia"/>
                        <w:szCs w:val="21"/>
                      </w:rPr>
                      <w:t>承诺方</w:t>
                    </w:r>
                  </w:p>
                </w:tc>
              </w:sdtContent>
            </w:sdt>
            <w:sdt>
              <w:sdtPr>
                <w:tag w:val="_PLD_b7ba969a5a9f484b969e33829f8fee27"/>
                <w:id w:val="-1608730538"/>
                <w:lock w:val="sdtLocked"/>
              </w:sdtPr>
              <w:sdtContent>
                <w:tc>
                  <w:tcPr>
                    <w:tcW w:w="1181" w:type="pct"/>
                    <w:shd w:val="clear" w:color="auto" w:fill="auto"/>
                    <w:vAlign w:val="center"/>
                  </w:tcPr>
                  <w:p>
                    <w:pPr>
                      <w:jc w:val="center"/>
                      <w:rPr>
                        <w:szCs w:val="21"/>
                      </w:rPr>
                    </w:pPr>
                    <w:r>
                      <w:rPr>
                        <w:rFonts w:hint="eastAsia"/>
                        <w:szCs w:val="21"/>
                      </w:rPr>
                      <w:t>承诺</w:t>
                    </w:r>
                  </w:p>
                  <w:p>
                    <w:pPr>
                      <w:jc w:val="center"/>
                      <w:rPr>
                        <w:szCs w:val="21"/>
                      </w:rPr>
                    </w:pPr>
                    <w:r>
                      <w:rPr>
                        <w:rFonts w:hint="eastAsia"/>
                        <w:szCs w:val="21"/>
                      </w:rPr>
                      <w:t>内容</w:t>
                    </w:r>
                  </w:p>
                </w:tc>
              </w:sdtContent>
            </w:sdt>
            <w:sdt>
              <w:sdtPr>
                <w:tag w:val="_PLD_f0fda96fdc9f43318315f33cf1099787"/>
                <w:id w:val="420692576"/>
                <w:lock w:val="sdtLocked"/>
              </w:sdtPr>
              <w:sdtContent>
                <w:tc>
                  <w:tcPr>
                    <w:tcW w:w="749" w:type="pct"/>
                    <w:shd w:val="clear" w:color="auto" w:fill="auto"/>
                    <w:vAlign w:val="center"/>
                  </w:tcPr>
                  <w:p>
                    <w:pPr>
                      <w:jc w:val="center"/>
                      <w:rPr>
                        <w:szCs w:val="21"/>
                      </w:rPr>
                    </w:pPr>
                    <w:r>
                      <w:rPr>
                        <w:rFonts w:hint="eastAsia"/>
                        <w:szCs w:val="21"/>
                      </w:rPr>
                      <w:t>承诺时间及期限</w:t>
                    </w:r>
                  </w:p>
                </w:tc>
              </w:sdtContent>
            </w:sdt>
            <w:sdt>
              <w:sdtPr>
                <w:tag w:val="_PLD_81953845df7c406091c017485ffe89d0"/>
                <w:id w:val="-1178573489"/>
                <w:lock w:val="sdtLocked"/>
              </w:sdtPr>
              <w:sdtContent>
                <w:tc>
                  <w:tcPr>
                    <w:tcW w:w="328" w:type="pct"/>
                    <w:shd w:val="clear" w:color="auto" w:fill="auto"/>
                    <w:vAlign w:val="center"/>
                  </w:tcPr>
                  <w:p>
                    <w:pPr>
                      <w:jc w:val="center"/>
                      <w:rPr>
                        <w:szCs w:val="21"/>
                      </w:rPr>
                    </w:pPr>
                    <w:r>
                      <w:rPr>
                        <w:rFonts w:hint="eastAsia"/>
                        <w:szCs w:val="21"/>
                      </w:rPr>
                      <w:t>是否有履行期限</w:t>
                    </w:r>
                  </w:p>
                </w:tc>
              </w:sdtContent>
            </w:sdt>
            <w:sdt>
              <w:sdtPr>
                <w:tag w:val="_PLD_f70c8d8e3e374db7a8e212809462bcc0"/>
                <w:id w:val="-218670293"/>
                <w:lock w:val="sdtLocked"/>
              </w:sdtPr>
              <w:sdtContent>
                <w:tc>
                  <w:tcPr>
                    <w:tcW w:w="352" w:type="pct"/>
                    <w:shd w:val="clear" w:color="auto" w:fill="auto"/>
                    <w:vAlign w:val="center"/>
                  </w:tcPr>
                  <w:p>
                    <w:pPr>
                      <w:jc w:val="center"/>
                      <w:rPr>
                        <w:szCs w:val="21"/>
                      </w:rPr>
                    </w:pPr>
                    <w:r>
                      <w:rPr>
                        <w:rFonts w:hint="eastAsia"/>
                        <w:szCs w:val="21"/>
                      </w:rPr>
                      <w:t>是否及时严格履行</w:t>
                    </w:r>
                  </w:p>
                </w:tc>
              </w:sdtContent>
            </w:sdt>
            <w:sdt>
              <w:sdtPr>
                <w:tag w:val="_PLD_30da9c1a74564266bdab010410b3cfc4"/>
                <w:id w:val="-463732109"/>
                <w:lock w:val="sdtLocked"/>
              </w:sdtPr>
              <w:sdtContent>
                <w:tc>
                  <w:tcPr>
                    <w:tcW w:w="418" w:type="pct"/>
                    <w:shd w:val="clear" w:color="auto" w:fill="auto"/>
                    <w:vAlign w:val="center"/>
                  </w:tcPr>
                  <w:p>
                    <w:pPr>
                      <w:jc w:val="center"/>
                      <w:rPr>
                        <w:szCs w:val="21"/>
                      </w:rPr>
                    </w:pPr>
                    <w:r>
                      <w:rPr>
                        <w:rFonts w:hint="eastAsia"/>
                        <w:szCs w:val="21"/>
                      </w:rPr>
                      <w:t>如未能及时履行应说明未完成履行的具体原因</w:t>
                    </w:r>
                  </w:p>
                </w:tc>
              </w:sdtContent>
            </w:sdt>
            <w:sdt>
              <w:sdtPr>
                <w:tag w:val="_PLD_885166d72adc442aaa68aa0f496582ae"/>
                <w:id w:val="1258182190"/>
                <w:lock w:val="sdtLocked"/>
              </w:sdtPr>
              <w:sdtContent>
                <w:tc>
                  <w:tcPr>
                    <w:tcW w:w="241" w:type="pct"/>
                    <w:shd w:val="clear" w:color="auto" w:fill="auto"/>
                    <w:vAlign w:val="center"/>
                  </w:tcPr>
                  <w:p>
                    <w:pPr>
                      <w:jc w:val="center"/>
                      <w:rPr>
                        <w:szCs w:val="21"/>
                      </w:rPr>
                    </w:pPr>
                    <w:r>
                      <w:rPr>
                        <w:rFonts w:hint="eastAsia"/>
                        <w:szCs w:val="21"/>
                      </w:rPr>
                      <w:t>如未能及时履行应说明下一步计划</w:t>
                    </w:r>
                  </w:p>
                </w:tc>
              </w:sdtContent>
            </w:sdt>
          </w:tr>
          <w:sdt>
            <w:sdtPr>
              <w:rPr>
                <w:rFonts w:hint="eastAsia"/>
                <w:szCs w:val="21"/>
              </w:rPr>
              <w:alias w:val="与收购报告书或权益变动报告书相关承诺"/>
              <w:tag w:val="_TUP_b029e9ef9af246b89ed04f31f709addd"/>
              <w:id w:val="1830639669"/>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05" w:type="pct"/>
                    <w:vMerge w:val="restart"/>
                    <w:shd w:val="clear" w:color="auto" w:fill="auto"/>
                    <w:vAlign w:val="center"/>
                  </w:tcPr>
                  <w:sdt>
                    <w:sdtPr>
                      <w:rPr>
                        <w:rFonts w:hint="eastAsia"/>
                        <w:szCs w:val="21"/>
                      </w:rPr>
                      <w:tag w:val="_PLD_fdaa92c57a7c4f64aa3471fb3461bc10"/>
                      <w:id w:val="1884052589"/>
                      <w:lock w:val="sdtLocked"/>
                    </w:sdtPr>
                    <w:sdtEndPr>
                      <w:rPr>
                        <w:rFonts w:hint="eastAsia"/>
                        <w:szCs w:val="21"/>
                      </w:rPr>
                    </w:sdtEndPr>
                    <w:sdtContent>
                      <w:p>
                        <w:pPr>
                          <w:rPr>
                            <w:szCs w:val="21"/>
                          </w:rPr>
                        </w:pPr>
                        <w:r>
                          <w:rPr>
                            <w:rFonts w:hint="eastAsia"/>
                            <w:szCs w:val="21"/>
                          </w:rPr>
                          <w:t>收购报告书或权益变动报告书中所作承诺</w:t>
                        </w:r>
                      </w:p>
                    </w:sdtContent>
                  </w:sdt>
                </w:tc>
                <w:sdt>
                  <w:sdtPr>
                    <w:rPr>
                      <w:szCs w:val="21"/>
                    </w:rPr>
                    <w:alias w:val="与收购报告书或权益变动报告书相关承诺-承诺类型"/>
                    <w:tag w:val="_GBC_7e8c7b9404c242d88bc81acdfb745cf2"/>
                    <w:id w:val="39162145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455" w:type="pct"/>
                        <w:shd w:val="clear" w:color="auto" w:fill="auto"/>
                        <w:vAlign w:val="center"/>
                      </w:tcPr>
                      <w:p>
                        <w:pPr>
                          <w:jc w:val="center"/>
                          <w:rPr>
                            <w:color w:val="FFC000"/>
                            <w:szCs w:val="21"/>
                          </w:rPr>
                        </w:pPr>
                        <w:r>
                          <w:rPr>
                            <w:rFonts w:hint="eastAsia"/>
                            <w:szCs w:val="21"/>
                          </w:rPr>
                          <w:t>股份限售</w:t>
                        </w:r>
                      </w:p>
                    </w:tc>
                  </w:sdtContent>
                </w:sdt>
                <w:tc>
                  <w:tcPr>
                    <w:tcW w:w="471" w:type="pct"/>
                    <w:shd w:val="clear" w:color="auto" w:fill="auto"/>
                    <w:vAlign w:val="center"/>
                  </w:tcPr>
                  <w:p>
                    <w:pPr>
                      <w:rPr>
                        <w:sz w:val="24"/>
                      </w:rPr>
                    </w:pPr>
                    <w:r>
                      <w:t>满江红基金</w:t>
                    </w:r>
                  </w:p>
                </w:tc>
                <w:tc>
                  <w:tcPr>
                    <w:tcW w:w="1181" w:type="pct"/>
                    <w:shd w:val="clear" w:color="auto" w:fill="auto"/>
                    <w:vAlign w:val="center"/>
                  </w:tcPr>
                  <w:p>
                    <w:r>
                      <w:t>权益变动取得的上市公司股份1,349,550,000股，自登记至其名下之日起三十六个月内不减持。</w:t>
                    </w:r>
                  </w:p>
                </w:tc>
                <w:tc>
                  <w:tcPr>
                    <w:tcW w:w="749" w:type="pct"/>
                    <w:shd w:val="clear" w:color="auto" w:fill="auto"/>
                    <w:vAlign w:val="center"/>
                  </w:tcPr>
                  <w:p>
                    <w:r>
                      <w:t>2020年12月29日-2023年12月28日</w:t>
                    </w:r>
                  </w:p>
                </w:tc>
                <w:sdt>
                  <w:sdtPr>
                    <w:rPr>
                      <w:szCs w:val="21"/>
                    </w:rPr>
                    <w:alias w:val="与收购报告书或权益变动报告书相关承诺-是否有履行期限"/>
                    <w:tag w:val="_GBC_3738be69c5c34784a9199ff6b9605c3b"/>
                    <w:id w:val="86518454"/>
                    <w:lock w:val="sdtLocked"/>
                    <w:comboBox>
                      <w:listItem w:displayText="是" w:value="true"/>
                      <w:listItem w:displayText="否" w:value="false"/>
                    </w:comboBox>
                  </w:sdtPr>
                  <w:sdtEndPr>
                    <w:rPr>
                      <w:szCs w:val="21"/>
                    </w:rPr>
                  </w:sdtEndPr>
                  <w:sdtContent>
                    <w:tc>
                      <w:tcPr>
                        <w:tcW w:w="328" w:type="pct"/>
                        <w:shd w:val="clear" w:color="auto" w:fill="auto"/>
                        <w:vAlign w:val="center"/>
                      </w:tcPr>
                      <w:p>
                        <w:pPr>
                          <w:jc w:val="center"/>
                          <w:rPr>
                            <w:color w:val="FFC000"/>
                            <w:szCs w:val="21"/>
                          </w:rPr>
                        </w:pPr>
                        <w:r>
                          <w:rPr>
                            <w:szCs w:val="21"/>
                          </w:rPr>
                          <w:t>是</w:t>
                        </w:r>
                      </w:p>
                    </w:tc>
                  </w:sdtContent>
                </w:sdt>
                <w:sdt>
                  <w:sdtPr>
                    <w:rPr>
                      <w:szCs w:val="21"/>
                    </w:rPr>
                    <w:alias w:val="与收购报告书或权益变动报告书相关承诺-是否及时严格履行"/>
                    <w:tag w:val="_GBC_a8c36729ed1a46eb8af473efbe8b609b"/>
                    <w:id w:val="-942614364"/>
                    <w:lock w:val="sdtLocked"/>
                    <w:comboBox>
                      <w:listItem w:displayText="是" w:value="true"/>
                      <w:listItem w:displayText="否" w:value="false"/>
                    </w:comboBox>
                  </w:sdtPr>
                  <w:sdtEndPr>
                    <w:rPr>
                      <w:szCs w:val="21"/>
                    </w:rPr>
                  </w:sdtEndPr>
                  <w:sdtContent>
                    <w:tc>
                      <w:tcPr>
                        <w:tcW w:w="352" w:type="pct"/>
                        <w:shd w:val="clear" w:color="auto" w:fill="auto"/>
                        <w:vAlign w:val="center"/>
                      </w:tcPr>
                      <w:p>
                        <w:pPr>
                          <w:jc w:val="center"/>
                          <w:rPr>
                            <w:color w:val="FFC000"/>
                            <w:szCs w:val="21"/>
                          </w:rPr>
                        </w:pPr>
                        <w:r>
                          <w:rPr>
                            <w:szCs w:val="21"/>
                          </w:rPr>
                          <w:t>是</w:t>
                        </w:r>
                      </w:p>
                    </w:tc>
                  </w:sdtContent>
                </w:sdt>
                <w:tc>
                  <w:tcPr>
                    <w:tcW w:w="418" w:type="pct"/>
                    <w:shd w:val="clear" w:color="auto" w:fill="auto"/>
                    <w:vAlign w:val="center"/>
                  </w:tcPr>
                  <w:p>
                    <w:pPr>
                      <w:jc w:val="center"/>
                      <w:rPr>
                        <w:szCs w:val="21"/>
                      </w:rPr>
                    </w:pPr>
                  </w:p>
                </w:tc>
                <w:tc>
                  <w:tcPr>
                    <w:tcW w:w="241" w:type="pct"/>
                    <w:shd w:val="clear" w:color="auto" w:fill="auto"/>
                  </w:tcPr>
                  <w:p>
                    <w:pPr>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05" w:type="pct"/>
                <w:vMerge w:val="continue"/>
                <w:shd w:val="clear" w:color="auto" w:fill="auto"/>
                <w:vAlign w:val="center"/>
              </w:tcPr>
              <w:p/>
            </w:tc>
            <w:sdt>
              <w:sdtPr>
                <w:rPr>
                  <w:szCs w:val="21"/>
                </w:rPr>
                <w:alias w:val="与收购报告书或权益变动报告书相关承诺-承诺类型"/>
                <w:tag w:val="_GBC_7e8c7b9404c242d88bc81acdfb745cf2"/>
                <w:id w:val="1297794043"/>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EndPr>
                <w:rPr>
                  <w:szCs w:val="21"/>
                </w:rPr>
              </w:sdtEndPr>
              <w:sdtContent>
                <w:tc>
                  <w:tcPr>
                    <w:tcW w:w="455" w:type="pct"/>
                    <w:shd w:val="clear" w:color="auto" w:fill="auto"/>
                    <w:vAlign w:val="center"/>
                  </w:tcPr>
                  <w:p>
                    <w:pPr>
                      <w:jc w:val="center"/>
                      <w:rPr>
                        <w:color w:val="FFC000"/>
                        <w:szCs w:val="21"/>
                      </w:rPr>
                    </w:pPr>
                    <w:r>
                      <w:rPr>
                        <w:rFonts w:hint="eastAsia"/>
                        <w:szCs w:val="21"/>
                      </w:rPr>
                      <w:t>股份限售</w:t>
                    </w:r>
                  </w:p>
                </w:tc>
              </w:sdtContent>
            </w:sdt>
            <w:tc>
              <w:tcPr>
                <w:tcW w:w="471" w:type="pct"/>
                <w:shd w:val="clear" w:color="auto" w:fill="auto"/>
                <w:vAlign w:val="center"/>
              </w:tcPr>
              <w:p>
                <w:pPr>
                  <w:rPr>
                    <w:sz w:val="24"/>
                  </w:rPr>
                </w:pPr>
                <w:r>
                  <w:t>重庆江河汇</w:t>
                </w:r>
              </w:p>
            </w:tc>
            <w:tc>
              <w:tcPr>
                <w:tcW w:w="1181" w:type="pct"/>
                <w:shd w:val="clear" w:color="auto" w:fill="auto"/>
                <w:vAlign w:val="center"/>
              </w:tcPr>
              <w:p>
                <w:r>
                  <w:t>权益变动取得的上市公司股份900,000,000股，自登记至其名下之日起三十六个月内不减持。</w:t>
                </w:r>
              </w:p>
            </w:tc>
            <w:tc>
              <w:tcPr>
                <w:tcW w:w="749" w:type="pct"/>
                <w:shd w:val="clear" w:color="auto" w:fill="auto"/>
                <w:vAlign w:val="center"/>
              </w:tcPr>
              <w:p>
                <w:r>
                  <w:t>2020年12月29日-2023年12月28日</w:t>
                </w:r>
              </w:p>
            </w:tc>
            <w:sdt>
              <w:sdtPr>
                <w:rPr>
                  <w:szCs w:val="21"/>
                </w:rPr>
                <w:alias w:val="与收购报告书或权益变动报告书相关承诺-是否有履行期限"/>
                <w:tag w:val="_GBC_3738be69c5c34784a9199ff6b9605c3b"/>
                <w:id w:val="-606116815"/>
                <w:lock w:val="sdtLocked"/>
                <w:comboBox>
                  <w:listItem w:displayText="是" w:value="true"/>
                  <w:listItem w:displayText="否" w:value="false"/>
                </w:comboBox>
              </w:sdtPr>
              <w:sdtEndPr>
                <w:rPr>
                  <w:szCs w:val="21"/>
                </w:rPr>
              </w:sdtEndPr>
              <w:sdtContent>
                <w:tc>
                  <w:tcPr>
                    <w:tcW w:w="328" w:type="pct"/>
                    <w:shd w:val="clear" w:color="auto" w:fill="auto"/>
                    <w:vAlign w:val="center"/>
                  </w:tcPr>
                  <w:p>
                    <w:pPr>
                      <w:jc w:val="center"/>
                      <w:rPr>
                        <w:color w:val="FFC000"/>
                        <w:szCs w:val="21"/>
                      </w:rPr>
                    </w:pPr>
                    <w:r>
                      <w:rPr>
                        <w:szCs w:val="21"/>
                      </w:rPr>
                      <w:t>是</w:t>
                    </w:r>
                  </w:p>
                </w:tc>
              </w:sdtContent>
            </w:sdt>
            <w:sdt>
              <w:sdtPr>
                <w:rPr>
                  <w:szCs w:val="21"/>
                </w:rPr>
                <w:alias w:val="与收购报告书或权益变动报告书相关承诺-是否及时严格履行"/>
                <w:tag w:val="_GBC_a8c36729ed1a46eb8af473efbe8b609b"/>
                <w:id w:val="362639011"/>
                <w:lock w:val="sdtLocked"/>
                <w:comboBox>
                  <w:listItem w:displayText="是" w:value="true"/>
                  <w:listItem w:displayText="否" w:value="false"/>
                </w:comboBox>
              </w:sdtPr>
              <w:sdtEndPr>
                <w:rPr>
                  <w:szCs w:val="21"/>
                </w:rPr>
              </w:sdtEndPr>
              <w:sdtContent>
                <w:tc>
                  <w:tcPr>
                    <w:tcW w:w="352" w:type="pct"/>
                    <w:shd w:val="clear" w:color="auto" w:fill="auto"/>
                    <w:vAlign w:val="center"/>
                  </w:tcPr>
                  <w:p>
                    <w:pPr>
                      <w:jc w:val="center"/>
                      <w:rPr>
                        <w:color w:val="FFC000"/>
                        <w:szCs w:val="21"/>
                      </w:rPr>
                    </w:pPr>
                    <w:r>
                      <w:rPr>
                        <w:szCs w:val="21"/>
                      </w:rPr>
                      <w:t>是</w:t>
                    </w:r>
                  </w:p>
                </w:tc>
              </w:sdtContent>
            </w:sdt>
            <w:tc>
              <w:tcPr>
                <w:tcW w:w="418" w:type="pct"/>
                <w:shd w:val="clear" w:color="auto" w:fill="auto"/>
                <w:vAlign w:val="center"/>
              </w:tcPr>
              <w:p>
                <w:pPr>
                  <w:jc w:val="center"/>
                  <w:rPr>
                    <w:szCs w:val="21"/>
                  </w:rPr>
                </w:pPr>
              </w:p>
            </w:tc>
            <w:tc>
              <w:tcPr>
                <w:tcW w:w="241" w:type="pct"/>
                <w:shd w:val="clear" w:color="auto" w:fill="auto"/>
              </w:tcPr>
              <w:p>
                <w:pPr>
                  <w:rPr>
                    <w:szCs w:val="21"/>
                  </w:rPr>
                </w:pPr>
              </w:p>
            </w:tc>
          </w:tr>
        </w:tbl>
        <w:p/>
        <w:p>
          <w:pPr>
            <w:sectPr>
              <w:pgSz w:w="16838" w:h="11906" w:orient="landscape"/>
              <w:pgMar w:top="1797" w:right="1525" w:bottom="1276" w:left="1440" w:header="855" w:footer="992" w:gutter="0"/>
              <w:cols w:space="425" w:num="1"/>
              <w:docGrid w:linePitch="312" w:charSpace="0"/>
            </w:sectPr>
          </w:pPr>
        </w:p>
      </w:sdtContent>
    </w:sdt>
    <w:p>
      <w:pPr>
        <w:rPr>
          <w:szCs w:val="21"/>
        </w:rPr>
      </w:pPr>
    </w:p>
    <w:sdt>
      <w:sdtPr>
        <w:rPr>
          <w:rFonts w:ascii="宋体" w:hAnsi="宋体" w:cs="宋体"/>
          <w:b w:val="0"/>
          <w:bCs w:val="0"/>
          <w:kern w:val="0"/>
          <w:szCs w:val="21"/>
        </w:rPr>
        <w:alias w:val="模块:公司资产或项目存在盈利预测，且报告期仍处在盈利预测期间，公司..."/>
        <w:tag w:val="_SEC_971c56855aee43acbd29723c087f563c"/>
        <w:id w:val="-760912732"/>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1"/>
              <w:numId w:val="28"/>
            </w:numPr>
            <w:spacing w:before="0" w:after="0" w:line="360" w:lineRule="auto"/>
            <w:rPr>
              <w:szCs w:val="21"/>
            </w:rPr>
          </w:pPr>
          <w:r>
            <w:rPr>
              <w:szCs w:val="21"/>
            </w:rPr>
            <w:t>公司资产或项目存在盈利预测，且报告期仍处在盈利预测期间，公司就资产或项目</w:t>
          </w:r>
        </w:p>
        <w:p>
          <w:pPr>
            <w:spacing w:line="360" w:lineRule="auto"/>
            <w:rPr>
              <w:b/>
              <w:szCs w:val="21"/>
            </w:rPr>
          </w:pPr>
          <w:r>
            <w:rPr>
              <w:rFonts w:hint="eastAsia"/>
              <w:b/>
              <w:szCs w:val="21"/>
            </w:rPr>
            <w:t>是否达到原盈利预测及其原因作出说明</w:t>
          </w:r>
        </w:p>
        <w:sdt>
          <w:sdtPr>
            <w:rPr>
              <w:szCs w:val="21"/>
            </w:rPr>
            <w:alias w:val="是否适用：公司就资产或项目是否达到原盈利预测及其原因作出说明"/>
            <w:tag w:val="_GBC_f8fa889013a24cb79a6ed52423d2c5a8"/>
            <w:id w:val="206153797"/>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 MACROBUTTON  SnrToggleCheckbox □已达到 </w:instrText>
              </w:r>
              <w:r>
                <w:rPr>
                  <w:szCs w:val="21"/>
                </w:rPr>
                <w:fldChar w:fldCharType="end"/>
              </w:r>
              <w:r>
                <w:rPr>
                  <w:szCs w:val="21"/>
                </w:rPr>
                <w:fldChar w:fldCharType="begin"/>
              </w:r>
              <w:r>
                <w:rPr>
                  <w:szCs w:val="21"/>
                </w:rPr>
                <w:instrText xml:space="preserve"> MACROBUTTON  SnrToggleCheckbox □未达到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pPr>
    </w:p>
    <w:sdt>
      <w:sdtPr>
        <w:rPr>
          <w:rFonts w:hint="eastAsia" w:ascii="宋体" w:hAnsi="宋体" w:cs="宋体"/>
          <w:b w:val="0"/>
          <w:bCs w:val="0"/>
          <w:kern w:val="0"/>
          <w:szCs w:val="21"/>
        </w:rPr>
        <w:alias w:val="模块:业绩承诺的完成情况及其对商誉减值测试的影响"/>
        <w:tag w:val="_SEC_86c8a9a047bf4390b162a151daf2ea63"/>
        <w:id w:val="437412297"/>
        <w:lock w:val="sdtLocked"/>
        <w:placeholder>
          <w:docPart w:val="GBC22222222222222222222222222222"/>
        </w:placeholder>
      </w:sdtPr>
      <w:sdtEndPr>
        <w:rPr>
          <w:rFonts w:hint="default" w:ascii="宋体" w:hAnsi="宋体" w:cs="宋体"/>
          <w:b w:val="0"/>
          <w:bCs w:val="0"/>
          <w:kern w:val="0"/>
          <w:szCs w:val="24"/>
        </w:rPr>
      </w:sdtEndPr>
      <w:sdtContent>
        <w:p>
          <w:pPr>
            <w:pStyle w:val="4"/>
            <w:numPr>
              <w:ilvl w:val="1"/>
              <w:numId w:val="28"/>
            </w:numPr>
            <w:spacing w:before="0" w:after="0" w:line="360" w:lineRule="auto"/>
            <w:rPr>
              <w:szCs w:val="21"/>
            </w:rPr>
          </w:pPr>
          <w:bookmarkStart w:id="63" w:name="_Hlk533667679"/>
          <w:bookmarkEnd w:id="63"/>
          <w:bookmarkStart w:id="64" w:name="_Hlk533667690"/>
          <w:r>
            <w:rPr>
              <w:rFonts w:hint="eastAsia" w:ascii="宋体" w:hAnsi="宋体" w:cs="宋体"/>
              <w:bCs w:val="0"/>
              <w:kern w:val="0"/>
              <w:szCs w:val="21"/>
            </w:rPr>
            <w:t>业绩承诺的完成情况及其对商誉减值测试的影响</w:t>
          </w:r>
        </w:p>
        <w:p>
          <w:pPr>
            <w:spacing w:line="360" w:lineRule="auto"/>
            <w:sectPr>
              <w:pgSz w:w="11906" w:h="16838"/>
              <w:pgMar w:top="1525" w:right="1276" w:bottom="1440" w:left="1797" w:header="855" w:footer="992" w:gutter="0"/>
              <w:cols w:space="425" w:num="1"/>
              <w:docGrid w:linePitch="312" w:charSpace="0"/>
            </w:sectPr>
          </w:pPr>
          <w:sdt>
            <w:sdtPr>
              <w:rPr>
                <w:rFonts w:hint="eastAsia"/>
                <w:b/>
                <w:szCs w:val="21"/>
              </w:rPr>
              <w:alias w:val="是否适用：承诺事项-商誉减值测试的影响[双击切换]"/>
              <w:tag w:val="_GBC_659442fc24654f8db642f18c0532cf99"/>
              <w:id w:val="947893389"/>
              <w:lock w:val="sdtLocked"/>
              <w:placeholder>
                <w:docPart w:val="GBC22222222222222222222222222222"/>
              </w:placeholder>
            </w:sdtPr>
            <w:sdtEndPr>
              <w:rPr>
                <w:rFonts w:hint="eastAsia"/>
                <w:b/>
                <w:szCs w:val="21"/>
              </w:rPr>
            </w:sdtEndPr>
            <w:sdtContent>
              <w:r>
                <w:rPr>
                  <w:szCs w:val="21"/>
                </w:rPr>
                <w:fldChar w:fldCharType="begin"/>
              </w:r>
              <w:r>
                <w:rPr>
                  <w:szCs w:val="21"/>
                </w:rPr>
                <w:instrText xml:space="preserve">MACROBUTTON  SnrToggleCheckbox □适用</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bookmarkEnd w:id="64"/>
    <w:sdt>
      <w:sdtPr>
        <w:rPr>
          <w:rFonts w:hint="eastAsia" w:ascii="宋体" w:hAnsi="宋体" w:cs="宋体"/>
          <w:b w:val="0"/>
          <w:bCs w:val="0"/>
          <w:kern w:val="0"/>
          <w:szCs w:val="24"/>
        </w:rPr>
        <w:alias w:val="模块:报告期内控股股东及其他关联方非经营性占用资金情况  单位..."/>
        <w:tag w:val="_SEC_64e4682d0039484ab6016e0d63651914"/>
        <w:id w:val="-1920402445"/>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27"/>
            </w:numPr>
            <w:spacing w:before="0" w:after="0" w:line="360" w:lineRule="auto"/>
            <w:rPr>
              <w:rFonts w:ascii="宋体" w:hAnsi="宋体"/>
            </w:rPr>
          </w:pPr>
          <w:bookmarkStart w:id="65" w:name="_Hlk89336052"/>
          <w:r>
            <w:rPr>
              <w:rFonts w:hint="eastAsia" w:ascii="宋体" w:hAnsi="宋体"/>
            </w:rPr>
            <w:t>报</w:t>
          </w:r>
          <w:r>
            <w:rPr>
              <w:rFonts w:ascii="宋体" w:hAnsi="宋体"/>
            </w:rPr>
            <w:t>告期内</w:t>
          </w:r>
          <w:r>
            <w:rPr>
              <w:rFonts w:hint="eastAsia" w:ascii="宋体" w:hAnsi="宋体"/>
            </w:rPr>
            <w:t>控股股东及其他关联方非经营性占用资金情况</w:t>
          </w:r>
        </w:p>
        <w:sdt>
          <w:sdtPr>
            <w:rPr>
              <w:szCs w:val="21"/>
            </w:rPr>
            <w:alias w:val="是否适用：资金被占用情况及清欠进展情况[双击切换]"/>
            <w:tag w:val="_GBC_a94958949e0846929a78a71186526204"/>
            <w:id w:val="-1136482149"/>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65"/>
    <w:sdt>
      <w:sdtPr>
        <w:rPr>
          <w:rFonts w:hint="eastAsia" w:ascii="宋体" w:hAnsi="宋体" w:cs="宋体"/>
          <w:b w:val="0"/>
          <w:bCs w:val="0"/>
          <w:kern w:val="0"/>
          <w:szCs w:val="24"/>
        </w:rPr>
        <w:alias w:val="模块:违规担保情况"/>
        <w:tag w:val="_SEC_b410eb19cb794b80b75b15dd0963620a"/>
        <w:id w:val="-208735338"/>
        <w:lock w:val="sdtLocked"/>
        <w:placeholder>
          <w:docPart w:val="GBC22222222222222222222222222222"/>
        </w:placeholder>
      </w:sdtPr>
      <w:sdtEndPr>
        <w:rPr>
          <w:rFonts w:hint="default" w:ascii="宋体" w:hAnsi="宋体" w:cs="宋体"/>
          <w:b w:val="0"/>
          <w:bCs w:val="0"/>
          <w:kern w:val="0"/>
          <w:szCs w:val="24"/>
        </w:rPr>
      </w:sdtEndPr>
      <w:sdtContent>
        <w:p>
          <w:pPr>
            <w:pStyle w:val="3"/>
            <w:numPr>
              <w:ilvl w:val="0"/>
              <w:numId w:val="27"/>
            </w:numPr>
            <w:spacing w:before="0" w:after="0" w:line="360" w:lineRule="auto"/>
            <w:rPr>
              <w:rFonts w:ascii="宋体" w:hAnsi="宋体"/>
            </w:rPr>
          </w:pPr>
          <w:bookmarkStart w:id="66" w:name="_Hlk74646365"/>
          <w:bookmarkEnd w:id="66"/>
          <w:bookmarkStart w:id="67" w:name="_Hlk89337011"/>
          <w:bookmarkStart w:id="68" w:name="_Hlk74646368"/>
          <w:r>
            <w:rPr>
              <w:rFonts w:hint="eastAsia" w:ascii="宋体" w:hAnsi="宋体"/>
            </w:rPr>
            <w:t>违规担保情况</w:t>
          </w:r>
        </w:p>
        <w:sdt>
          <w:sdtPr>
            <w:alias w:val="是否适用：违规担保情况[双击切换]"/>
            <w:tag w:val="_GBC_b2d16e23c066427a800b40aaa053bc8e"/>
            <w:id w:val="-118611632"/>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ectPr>
              <w:pgSz w:w="16838" w:h="11906" w:orient="landscape"/>
              <w:pgMar w:top="1797" w:right="1525" w:bottom="1276" w:left="1440" w:header="855" w:footer="992" w:gutter="0"/>
              <w:cols w:space="425" w:num="1"/>
              <w:docGrid w:linePitch="312" w:charSpace="0"/>
            </w:sectPr>
          </w:pPr>
        </w:p>
      </w:sdtContent>
    </w:sdt>
    <w:bookmarkEnd w:id="67"/>
    <w:bookmarkEnd w:id="68"/>
    <w:sdt>
      <w:sdtPr>
        <w:rPr>
          <w:rFonts w:hint="eastAsia" w:ascii="宋体" w:hAnsi="宋体" w:cs="宋体"/>
          <w:b w:val="0"/>
          <w:bCs w:val="0"/>
          <w:kern w:val="0"/>
          <w:szCs w:val="24"/>
        </w:rPr>
        <w:alias w:val="模块:公司对会计师事务所“非标准意见审计报告”的说明"/>
        <w:tag w:val="_SEC_9d3a2dd92a2447d580108acf33ecf5ea"/>
        <w:id w:val="54179912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7"/>
            </w:numPr>
            <w:spacing w:before="0" w:after="0" w:line="360" w:lineRule="auto"/>
            <w:rPr>
              <w:rFonts w:ascii="宋体" w:hAnsi="宋体" w:cs="宋体"/>
              <w:kern w:val="0"/>
              <w:szCs w:val="24"/>
            </w:rPr>
          </w:pPr>
          <w:r>
            <w:rPr>
              <w:rFonts w:hint="eastAsia" w:ascii="宋体" w:hAnsi="宋体" w:cs="宋体"/>
              <w:kern w:val="0"/>
              <w:szCs w:val="24"/>
            </w:rPr>
            <w:t>公司董事会对会计师事务所“非标准意见审计报告”的说明</w:t>
          </w:r>
        </w:p>
        <w:p>
          <w:pPr>
            <w:spacing w:line="360" w:lineRule="auto"/>
            <w:rPr>
              <w:szCs w:val="21"/>
            </w:rPr>
          </w:pPr>
          <w:sdt>
            <w:sdtPr>
              <w:alias w:val="是否适用：董事会对会计师事务所非标准审计报告的说明[双击切换]"/>
              <w:tag w:val="_GBC_81f7a662b6a641d8aadb05b1cb176ecf"/>
              <w:id w:val="830563400"/>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p>
      <w:pPr>
        <w:spacing w:line="360" w:lineRule="auto"/>
      </w:pPr>
    </w:p>
    <w:p>
      <w:pPr>
        <w:pStyle w:val="3"/>
        <w:numPr>
          <w:ilvl w:val="0"/>
          <w:numId w:val="27"/>
        </w:numPr>
        <w:spacing w:before="0" w:after="0" w:line="360" w:lineRule="auto"/>
        <w:rPr>
          <w:rFonts w:ascii="宋体" w:hAnsi="宋体" w:cs="宋体"/>
          <w:kern w:val="0"/>
          <w:szCs w:val="24"/>
        </w:rPr>
      </w:pPr>
      <w:r>
        <w:rPr>
          <w:rFonts w:hint="eastAsia" w:ascii="宋体" w:hAnsi="宋体" w:cs="宋体"/>
          <w:kern w:val="0"/>
          <w:szCs w:val="24"/>
        </w:rPr>
        <w:t>公司对会计政策、会计估计变更或重大会计差错更正原因和影响的分析说明</w:t>
      </w:r>
    </w:p>
    <w:sdt>
      <w:sdtPr>
        <w:rPr>
          <w:rFonts w:hint="eastAsia" w:ascii="宋体" w:hAnsi="宋体" w:cs="宋体"/>
          <w:b w:val="0"/>
          <w:bCs w:val="0"/>
          <w:kern w:val="0"/>
          <w:szCs w:val="24"/>
        </w:rPr>
        <w:alias w:val="模块:董事公司对会计政策、会计估计变更原因及影响的分析说明"/>
        <w:tag w:val="_SEC_848c3b6b128d4e1c85d360627256d912"/>
        <w:id w:val="2052493532"/>
        <w:lock w:val="sdtLocked"/>
        <w:placeholder>
          <w:docPart w:val="GBC22222222222222222222222222222"/>
        </w:placeholder>
      </w:sdtPr>
      <w:sdtEndPr>
        <w:rPr>
          <w:rFonts w:hint="eastAsia" w:ascii="宋体" w:hAnsi="宋体" w:cs="Times New Roman"/>
          <w:b/>
          <w:bCs/>
          <w:kern w:val="2"/>
          <w:szCs w:val="21"/>
        </w:rPr>
      </w:sdtEndPr>
      <w:sdtContent>
        <w:p>
          <w:pPr>
            <w:pStyle w:val="4"/>
            <w:numPr>
              <w:ilvl w:val="0"/>
              <w:numId w:val="29"/>
            </w:numPr>
            <w:spacing w:before="0" w:after="0" w:line="360" w:lineRule="auto"/>
          </w:pPr>
          <w:r>
            <w:rPr>
              <w:rFonts w:hint="eastAsia"/>
            </w:rPr>
            <w:t>公司对会计政策、会计估计变更原因及影响的分析说明</w:t>
          </w:r>
        </w:p>
        <w:sdt>
          <w:sdtPr>
            <w:rPr>
              <w:rFonts w:hint="eastAsia"/>
              <w:szCs w:val="21"/>
            </w:rPr>
            <w:alias w:val="是否适用：公司对会计政策、会计估计更正的原因及影响[双击切换]"/>
            <w:tag w:val="_GBC_af0d7b808dd9452c873bbe81905062f6"/>
            <w:id w:val="27299388"/>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Times New Roman"/>
              <w:b/>
              <w:bCs/>
              <w:kern w:val="2"/>
              <w:szCs w:val="21"/>
            </w:rPr>
            <w:alias w:val="公司对会计政策会计估计变更原因及影响"/>
            <w:tag w:val="_GBC_ead0cc85823e4aad9c4c70db77b2ff95"/>
            <w:id w:val="-377550466"/>
            <w:lock w:val="sdtLocked"/>
            <w:placeholder>
              <w:docPart w:val="GBC22222222222222222222222222222"/>
            </w:placeholder>
          </w:sdtPr>
          <w:sdtEndPr>
            <w:rPr>
              <w:rFonts w:cs="Times New Roman"/>
              <w:b/>
              <w:bCs/>
              <w:kern w:val="2"/>
              <w:szCs w:val="21"/>
            </w:rPr>
          </w:sdtEndPr>
          <w:sdtContent>
            <w:p>
              <w:pPr>
                <w:spacing w:line="360" w:lineRule="auto"/>
                <w:ind w:firstLine="422" w:firstLineChars="200"/>
                <w:rPr>
                  <w:szCs w:val="21"/>
                </w:rPr>
              </w:pPr>
              <w:r>
                <w:rPr>
                  <w:rFonts w:hint="eastAsia"/>
                  <w:szCs w:val="21"/>
                </w:rPr>
                <w:t>1、会计政策变更</w:t>
              </w:r>
            </w:p>
            <w:p>
              <w:pPr>
                <w:pStyle w:val="20"/>
                <w:tabs>
                  <w:tab w:val="left" w:pos="196"/>
                  <w:tab w:val="left" w:pos="426"/>
                  <w:tab w:val="left" w:pos="630"/>
                </w:tabs>
                <w:adjustRightInd w:val="0"/>
                <w:snapToGrid w:val="0"/>
                <w:spacing w:line="360" w:lineRule="auto"/>
                <w:ind w:firstLine="420" w:firstLineChars="200"/>
                <w:rPr>
                  <w:rFonts w:ascii="Times New Roman" w:hAnsi="宋体"/>
                </w:rPr>
              </w:pPr>
              <w:r>
                <w:rPr>
                  <w:rFonts w:ascii="Times New Roman" w:hAnsi="宋体"/>
                </w:rPr>
                <w:t>公司自2021年1月1日起执行财政部于2018年修订的“企业会计准则第21号--租赁”(简称“新租赁准则”)，对首次执行日前已存在的合同，公司选择不重新评估其是否为租赁或者包含租赁，对首次执行本准则的累积影响，调整2021年年初留存收益及财务报表其他相关项目金额，不调整可比期间信息。</w:t>
              </w:r>
            </w:p>
            <w:p>
              <w:pPr>
                <w:pStyle w:val="20"/>
                <w:tabs>
                  <w:tab w:val="left" w:pos="196"/>
                  <w:tab w:val="left" w:pos="426"/>
                  <w:tab w:val="left" w:pos="630"/>
                </w:tabs>
                <w:adjustRightInd w:val="0"/>
                <w:snapToGrid w:val="0"/>
                <w:spacing w:line="360" w:lineRule="auto"/>
                <w:ind w:firstLine="420" w:firstLineChars="200"/>
                <w:rPr>
                  <w:rFonts w:ascii="Times New Roman" w:hAnsi="宋体"/>
                </w:rPr>
              </w:pPr>
              <w:r>
                <w:rPr>
                  <w:rFonts w:ascii="Times New Roman" w:hAnsi="宋体"/>
                </w:rPr>
                <w:t>对于首次执行日前的经营租赁，本公司在首次执行日根据剩余租赁付款额按首次执行日承租人增量借款利率折现的现值计量租赁负债，并按照下列方法计量使用权资产：与租赁负债相等的金额，并根据预付租金进行必要调整。</w:t>
              </w:r>
            </w:p>
            <w:p>
              <w:pPr>
                <w:pStyle w:val="20"/>
                <w:tabs>
                  <w:tab w:val="left" w:pos="196"/>
                  <w:tab w:val="left" w:pos="426"/>
                  <w:tab w:val="left" w:pos="630"/>
                </w:tabs>
                <w:adjustRightInd w:val="0"/>
                <w:snapToGrid w:val="0"/>
                <w:spacing w:line="360" w:lineRule="auto"/>
                <w:ind w:firstLine="420" w:firstLineChars="200"/>
                <w:rPr>
                  <w:rFonts w:ascii="Times New Roman" w:hAnsi="宋体"/>
                </w:rPr>
              </w:pPr>
              <w:r>
                <w:rPr>
                  <w:rFonts w:ascii="Times New Roman" w:hAnsi="宋体"/>
                </w:rPr>
                <w:t>对首次执行日之前的经营租赁,本公司采用以下简化处理：</w:t>
              </w:r>
            </w:p>
            <w:p>
              <w:pPr>
                <w:pStyle w:val="20"/>
                <w:tabs>
                  <w:tab w:val="left" w:pos="196"/>
                  <w:tab w:val="left" w:pos="426"/>
                  <w:tab w:val="left" w:pos="630"/>
                </w:tabs>
                <w:adjustRightInd w:val="0"/>
                <w:snapToGrid w:val="0"/>
                <w:spacing w:line="360" w:lineRule="auto"/>
                <w:ind w:firstLine="420" w:firstLineChars="200"/>
                <w:rPr>
                  <w:rFonts w:ascii="Times New Roman" w:hAnsi="宋体"/>
                </w:rPr>
              </w:pPr>
              <w:r>
                <w:rPr>
                  <w:rFonts w:ascii="Times New Roman" w:hAnsi="宋体"/>
                </w:rPr>
                <w:t>1）将于首次执行日后12个月内完成的租赁，作为短期租赁处理；</w:t>
              </w:r>
            </w:p>
            <w:p>
              <w:pPr>
                <w:pStyle w:val="20"/>
                <w:tabs>
                  <w:tab w:val="left" w:pos="196"/>
                  <w:tab w:val="left" w:pos="426"/>
                  <w:tab w:val="left" w:pos="630"/>
                </w:tabs>
                <w:adjustRightInd w:val="0"/>
                <w:snapToGrid w:val="0"/>
                <w:spacing w:line="360" w:lineRule="auto"/>
                <w:ind w:firstLine="420" w:firstLineChars="200"/>
                <w:rPr>
                  <w:rFonts w:ascii="Times New Roman" w:hAnsi="Times New Roman"/>
                </w:rPr>
              </w:pPr>
              <w:r>
                <w:rPr>
                  <w:rFonts w:ascii="Times New Roman" w:hAnsi="Times New Roman"/>
                </w:rPr>
                <w:t>2）计量租赁负债时，具有相似特征的租赁采用同一折现率;使用权资产的计量不包含初始直接费用；</w:t>
              </w:r>
            </w:p>
            <w:p>
              <w:pPr>
                <w:pStyle w:val="20"/>
                <w:tabs>
                  <w:tab w:val="left" w:pos="196"/>
                  <w:tab w:val="left" w:pos="426"/>
                  <w:tab w:val="left" w:pos="630"/>
                </w:tabs>
                <w:adjustRightInd w:val="0"/>
                <w:snapToGrid w:val="0"/>
                <w:spacing w:line="360" w:lineRule="auto"/>
                <w:ind w:firstLine="420" w:firstLineChars="200"/>
                <w:rPr>
                  <w:rFonts w:ascii="Times New Roman" w:hAnsi="Times New Roman"/>
                </w:rPr>
              </w:pPr>
              <w:r>
                <w:rPr>
                  <w:rFonts w:ascii="Times New Roman" w:hAnsi="Times New Roman"/>
                </w:rPr>
                <w:t>3）存在续租选择权或终止租赁选择权的，根据首次执行日前选择权的实际行使及其他最新情况确定租赁期；</w:t>
              </w:r>
            </w:p>
            <w:p>
              <w:pPr>
                <w:pStyle w:val="20"/>
                <w:tabs>
                  <w:tab w:val="left" w:pos="196"/>
                  <w:tab w:val="left" w:pos="426"/>
                  <w:tab w:val="left" w:pos="630"/>
                </w:tabs>
                <w:adjustRightInd w:val="0"/>
                <w:snapToGrid w:val="0"/>
                <w:spacing w:line="360" w:lineRule="auto"/>
                <w:ind w:firstLine="420" w:firstLineChars="200"/>
                <w:rPr>
                  <w:rFonts w:ascii="Times New Roman" w:hAnsi="Times New Roman"/>
                </w:rPr>
              </w:pPr>
              <w:r>
                <w:rPr>
                  <w:rFonts w:ascii="Times New Roman" w:hAnsi="Times New Roman"/>
                </w:rPr>
                <w:t>4）作为使用权资产减值测试的替代，根据《企业会计准则第13号—一或有事项》评估包含租赁的合同在首次执行日前是否为亏损合同，并根据首次执行日前计入资产负债表的亏损准备金额调整使用权资产；</w:t>
              </w:r>
            </w:p>
            <w:p>
              <w:pPr>
                <w:pStyle w:val="20"/>
                <w:tabs>
                  <w:tab w:val="left" w:pos="196"/>
                  <w:tab w:val="left" w:pos="426"/>
                  <w:tab w:val="left" w:pos="630"/>
                </w:tabs>
                <w:adjustRightInd w:val="0"/>
                <w:snapToGrid w:val="0"/>
                <w:spacing w:line="360" w:lineRule="auto"/>
                <w:ind w:firstLine="420" w:firstLineChars="200"/>
                <w:rPr>
                  <w:rFonts w:ascii="Times New Roman" w:hAnsi="Times New Roman"/>
                </w:rPr>
              </w:pPr>
              <w:r>
                <w:rPr>
                  <w:rFonts w:ascii="Times New Roman" w:hAnsi="Times New Roman"/>
                </w:rPr>
                <w:t>5）首次执行日前的租赁变更，根据租赁变更的最终安排进行会计处理。</w:t>
              </w:r>
            </w:p>
            <w:p>
              <w:pPr>
                <w:pStyle w:val="20"/>
                <w:tabs>
                  <w:tab w:val="left" w:pos="196"/>
                  <w:tab w:val="left" w:pos="426"/>
                  <w:tab w:val="left" w:pos="630"/>
                </w:tabs>
                <w:adjustRightInd w:val="0"/>
                <w:snapToGrid w:val="0"/>
                <w:spacing w:line="360" w:lineRule="auto"/>
                <w:ind w:firstLine="420" w:firstLineChars="200"/>
                <w:rPr>
                  <w:rFonts w:ascii="Times New Roman" w:hAnsi="Times New Roman"/>
                </w:rPr>
              </w:pPr>
              <w:r>
                <w:rPr>
                  <w:rFonts w:ascii="Times New Roman" w:hAnsi="Times New Roman"/>
                </w:rPr>
                <w:t>对首次执行日前经营租赁的上述简化处理未对2021年1月1日的留存收益产生重大影响。</w:t>
              </w:r>
            </w:p>
            <w:p>
              <w:pPr>
                <w:adjustRightInd w:val="0"/>
                <w:snapToGrid w:val="0"/>
                <w:spacing w:line="360" w:lineRule="auto"/>
                <w:ind w:firstLine="420" w:firstLineChars="200"/>
                <w:rPr>
                  <w:bCs/>
                  <w:szCs w:val="21"/>
                </w:rPr>
              </w:pPr>
              <w:r>
                <w:rPr>
                  <w:rFonts w:hint="eastAsia"/>
                  <w:bCs/>
                  <w:szCs w:val="21"/>
                </w:rPr>
                <w:t xml:space="preserve">对于首次执行日前划分为经营租赁且在首次执行日后仍存续的转租赁，本公司在首次执行日基于原租赁和转租赁的剩余合同期限和条款进行重新评估，并按照新租赁准则的规定进行分类。按照新租赁准则重分类为融资租赁的，将其作为一项新的融资租赁进行会计处理。 </w:t>
              </w:r>
            </w:p>
            <w:p>
              <w:pPr>
                <w:adjustRightInd w:val="0"/>
                <w:snapToGrid w:val="0"/>
                <w:spacing w:line="360" w:lineRule="auto"/>
                <w:ind w:firstLine="420" w:firstLineChars="200"/>
                <w:rPr>
                  <w:bCs/>
                  <w:szCs w:val="21"/>
                </w:rPr>
              </w:pPr>
              <w:r>
                <w:rPr>
                  <w:rFonts w:hint="eastAsia"/>
                  <w:bCs/>
                  <w:szCs w:val="21"/>
                </w:rPr>
                <w:t>对于首次执行日前已存在的售后租回交易，本公司在首次执行日不重新评估资产转让是否符合《企业会计准则第14 号——收入》作为销售进行会计处理的规定。对于首次执行日前应当作为销售和融资租赁进行会计处理的售后租回交易，本公司按照与首次执行日存在的其他融资租赁相同的方法对租回进行会计处理，并继续在租赁期内摊销相关递延收益或损失。对于首次执行日前应当作为销售和经营租赁进行会计处理的售后租回交易，本公司按照与首次执行日存在的其他经营租赁相同的方法对租回进行会计处理，并根据首次执行日前计入资产负债表的相关递延收益或损失调整使用权资产。</w:t>
              </w:r>
            </w:p>
            <w:p>
              <w:pPr>
                <w:adjustRightInd w:val="0"/>
                <w:snapToGrid w:val="0"/>
                <w:spacing w:line="360" w:lineRule="auto"/>
                <w:ind w:firstLine="420" w:firstLineChars="200"/>
                <w:rPr>
                  <w:bCs/>
                  <w:szCs w:val="21"/>
                </w:rPr>
              </w:pPr>
              <w:r>
                <w:rPr>
                  <w:rFonts w:hint="eastAsia"/>
                  <w:bCs/>
                  <w:szCs w:val="21"/>
                </w:rPr>
                <w:t>2020年末尚未支付的重大经营租赁承诺与2021年1月1日确认租赁负债的调节信息如下：</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05"/>
                <w:gridCol w:w="2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2020年12月31日尚未支付的重大经营租赁最低租赁付款额</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6,108,579.51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bCs/>
                        <w:szCs w:val="21"/>
                      </w:rPr>
                      <w:t>减：短期租赁（或剩余租赁期少于12个月的租赁）、低价值资产租赁、合同已签订但2021年1月1日租赁期尚未开始的</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加：未在2020年12月31日确认但合理确定将行使续租选择权导致的租赁付款额的增加</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合计</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6,108,579.51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首次执行日加权平均增量借款利率</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执行新租赁准则确认的与原经营租赁相关的租赁负债</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5,552,948.76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加：2020年12月31日应付融资租赁款（含一年内到期部分）</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shd w:val="clear" w:color="auto" w:fill="auto"/>
                    <w:vAlign w:val="center"/>
                  </w:tcPr>
                  <w:p>
                    <w:pPr>
                      <w:tabs>
                        <w:tab w:val="left" w:pos="196"/>
                        <w:tab w:val="left" w:pos="426"/>
                      </w:tabs>
                      <w:snapToGrid w:val="0"/>
                      <w:jc w:val="both"/>
                      <w:rPr>
                        <w:rFonts w:asciiTheme="minorEastAsia" w:hAnsiTheme="minorEastAsia" w:eastAsiaTheme="minorEastAsia" w:cstheme="minorEastAsia"/>
                        <w:szCs w:val="21"/>
                      </w:rPr>
                    </w:pPr>
                    <w:r>
                      <w:rPr>
                        <w:rFonts w:asciiTheme="minorEastAsia" w:hAnsiTheme="minorEastAsia" w:eastAsiaTheme="minorEastAsia" w:cstheme="minorEastAsia"/>
                        <w:szCs w:val="21"/>
                      </w:rPr>
                      <w:t>2021年1月1日租赁负债(含一年内到期的租赁负债)</w:t>
                    </w:r>
                  </w:p>
                </w:tc>
                <w:tc>
                  <w:tcPr>
                    <w:tcW w:w="1341"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5,552,948.76</w:t>
                    </w:r>
                  </w:p>
                </w:tc>
              </w:tr>
            </w:tbl>
            <w:p>
              <w:pPr>
                <w:adjustRightInd w:val="0"/>
                <w:snapToGrid w:val="0"/>
                <w:spacing w:before="120" w:beforeLines="50" w:line="360" w:lineRule="auto"/>
                <w:ind w:firstLine="420" w:firstLineChars="200"/>
                <w:rPr>
                  <w:bCs/>
                  <w:szCs w:val="21"/>
                </w:rPr>
              </w:pPr>
              <w:r>
                <w:rPr>
                  <w:rFonts w:hint="eastAsia"/>
                  <w:bCs/>
                  <w:szCs w:val="21"/>
                </w:rPr>
                <w:t>执行新租赁准则对本年年初资产负债表相关项目的影响列示如下：</w:t>
              </w:r>
            </w:p>
            <w:p>
              <w:pPr>
                <w:adjustRightInd w:val="0"/>
                <w:snapToGrid w:val="0"/>
                <w:spacing w:line="360" w:lineRule="auto"/>
                <w:ind w:firstLine="420" w:firstLineChars="200"/>
                <w:jc w:val="center"/>
                <w:rPr>
                  <w:bCs/>
                  <w:szCs w:val="21"/>
                </w:rPr>
              </w:pPr>
              <w:r>
                <w:rPr>
                  <w:rFonts w:hint="eastAsia"/>
                  <w:bCs/>
                  <w:szCs w:val="21"/>
                </w:rPr>
                <w:t>合并财务报表</w:t>
              </w:r>
            </w:p>
            <w:p>
              <w:pPr>
                <w:adjustRightInd w:val="0"/>
                <w:snapToGrid w:val="0"/>
                <w:spacing w:line="360" w:lineRule="auto"/>
                <w:ind w:firstLine="420" w:firstLineChars="200"/>
                <w:jc w:val="right"/>
                <w:rPr>
                  <w:bCs/>
                  <w:szCs w:val="21"/>
                </w:rPr>
              </w:pPr>
              <w:r>
                <w:rPr>
                  <w:rFonts w:hint="eastAsia"/>
                  <w:bCs/>
                  <w:szCs w:val="21"/>
                </w:rPr>
                <w:t>单位：人民币元</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543"/>
                <w:gridCol w:w="2116"/>
                <w:gridCol w:w="2116"/>
                <w:gridCol w:w="2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1430" w:type="pct"/>
                    <w:shd w:val="clear" w:color="auto" w:fill="auto"/>
                    <w:vAlign w:val="center"/>
                  </w:tcPr>
                  <w:p>
                    <w:pPr>
                      <w:tabs>
                        <w:tab w:val="left" w:pos="196"/>
                        <w:tab w:val="left" w:pos="426"/>
                      </w:tabs>
                      <w:snapToGrid w:val="0"/>
                      <w:jc w:val="center"/>
                      <w:rPr>
                        <w:rFonts w:asciiTheme="minorEastAsia" w:hAnsiTheme="minorEastAsia" w:eastAsiaTheme="minorEastAsia" w:cstheme="minorEastAsia"/>
                        <w:szCs w:val="21"/>
                      </w:rPr>
                    </w:pPr>
                    <w:r>
                      <w:rPr>
                        <w:rFonts w:asciiTheme="minorEastAsia" w:hAnsiTheme="minorEastAsia" w:eastAsiaTheme="minorEastAsia" w:cstheme="minorEastAsia"/>
                        <w:szCs w:val="21"/>
                      </w:rPr>
                      <w:t>项目</w:t>
                    </w:r>
                  </w:p>
                </w:tc>
                <w:tc>
                  <w:tcPr>
                    <w:tcW w:w="1190"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2020年12月31日</w:t>
                    </w:r>
                  </w:p>
                </w:tc>
                <w:tc>
                  <w:tcPr>
                    <w:tcW w:w="1190" w:type="pct"/>
                    <w:vAlign w:val="center"/>
                  </w:tcPr>
                  <w:p>
                    <w:pPr>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2021年1月1日</w:t>
                    </w:r>
                  </w:p>
                </w:tc>
                <w:tc>
                  <w:tcPr>
                    <w:tcW w:w="1189" w:type="pct"/>
                    <w:vAlign w:val="center"/>
                  </w:tcPr>
                  <w:p>
                    <w:pPr>
                      <w:tabs>
                        <w:tab w:val="left" w:pos="196"/>
                        <w:tab w:val="left" w:pos="426"/>
                      </w:tabs>
                      <w:snapToGrid w:val="0"/>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影响数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shd w:val="clear" w:color="auto" w:fill="auto"/>
                    <w:vAlign w:val="center"/>
                  </w:tcPr>
                  <w:p>
                    <w:pPr>
                      <w:tabs>
                        <w:tab w:val="left" w:pos="196"/>
                        <w:tab w:val="left" w:pos="426"/>
                      </w:tabs>
                      <w:snapToGrid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使用权资产</w:t>
                    </w:r>
                  </w:p>
                </w:tc>
                <w:tc>
                  <w:tcPr>
                    <w:tcW w:w="1190" w:type="pct"/>
                    <w:shd w:val="clear" w:color="auto" w:fill="auto"/>
                    <w:vAlign w:val="center"/>
                  </w:tcPr>
                  <w:p>
                    <w:pPr>
                      <w:tabs>
                        <w:tab w:val="left" w:pos="196"/>
                        <w:tab w:val="left" w:pos="426"/>
                      </w:tabs>
                      <w:snapToGrid w:val="0"/>
                      <w:jc w:val="right"/>
                      <w:rPr>
                        <w:rFonts w:asciiTheme="minorEastAsia" w:hAnsiTheme="minorEastAsia" w:eastAsiaTheme="minorEastAsia" w:cstheme="minorEastAsia"/>
                        <w:szCs w:val="21"/>
                      </w:rPr>
                    </w:pPr>
                  </w:p>
                </w:tc>
                <w:tc>
                  <w:tcPr>
                    <w:tcW w:w="1190"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5,552,948.76</w:t>
                    </w:r>
                  </w:p>
                </w:tc>
                <w:tc>
                  <w:tcPr>
                    <w:tcW w:w="1189"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5,552,948.76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shd w:val="clear" w:color="auto" w:fill="auto"/>
                    <w:vAlign w:val="center"/>
                  </w:tcPr>
                  <w:p>
                    <w:pPr>
                      <w:tabs>
                        <w:tab w:val="left" w:pos="196"/>
                        <w:tab w:val="left" w:pos="426"/>
                      </w:tabs>
                      <w:snapToGrid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租赁负债</w:t>
                    </w:r>
                  </w:p>
                </w:tc>
                <w:tc>
                  <w:tcPr>
                    <w:tcW w:w="1190" w:type="pct"/>
                    <w:shd w:val="clear" w:color="auto" w:fill="auto"/>
                    <w:vAlign w:val="center"/>
                  </w:tcPr>
                  <w:p>
                    <w:pPr>
                      <w:tabs>
                        <w:tab w:val="left" w:pos="196"/>
                        <w:tab w:val="left" w:pos="426"/>
                      </w:tabs>
                      <w:snapToGrid w:val="0"/>
                      <w:jc w:val="right"/>
                      <w:rPr>
                        <w:rFonts w:asciiTheme="minorEastAsia" w:hAnsiTheme="minorEastAsia" w:eastAsiaTheme="minorEastAsia" w:cstheme="minorEastAsia"/>
                        <w:szCs w:val="21"/>
                      </w:rPr>
                    </w:pPr>
                  </w:p>
                </w:tc>
                <w:tc>
                  <w:tcPr>
                    <w:tcW w:w="1190"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4,054,226.72</w:t>
                    </w:r>
                  </w:p>
                </w:tc>
                <w:tc>
                  <w:tcPr>
                    <w:tcW w:w="1189"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4,054,226.72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shd w:val="clear" w:color="auto" w:fill="auto"/>
                    <w:vAlign w:val="center"/>
                  </w:tcPr>
                  <w:p>
                    <w:pPr>
                      <w:tabs>
                        <w:tab w:val="left" w:pos="196"/>
                        <w:tab w:val="left" w:pos="426"/>
                      </w:tabs>
                      <w:snapToGrid w:val="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一年内到期的非流动负债</w:t>
                    </w:r>
                  </w:p>
                </w:tc>
                <w:tc>
                  <w:tcPr>
                    <w:tcW w:w="1190" w:type="pct"/>
                    <w:shd w:val="clear" w:color="auto" w:fill="auto"/>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181,069,100.00</w:t>
                    </w:r>
                  </w:p>
                </w:tc>
                <w:tc>
                  <w:tcPr>
                    <w:tcW w:w="1190"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cstheme="minorEastAsia"/>
                        <w:szCs w:val="21"/>
                      </w:rPr>
                      <w:t>182,567,822.04</w:t>
                    </w:r>
                  </w:p>
                </w:tc>
                <w:tc>
                  <w:tcPr>
                    <w:tcW w:w="1189" w:type="pct"/>
                    <w:vAlign w:val="center"/>
                  </w:tcPr>
                  <w:p>
                    <w:pPr>
                      <w:tabs>
                        <w:tab w:val="left" w:pos="196"/>
                        <w:tab w:val="left" w:pos="426"/>
                      </w:tabs>
                      <w:snapToGrid w:val="0"/>
                      <w:jc w:val="right"/>
                      <w:rPr>
                        <w:rFonts w:asciiTheme="minorEastAsia" w:hAnsiTheme="minorEastAsia" w:eastAsiaTheme="minorEastAsia" w:cstheme="minorEastAsia"/>
                        <w:szCs w:val="21"/>
                      </w:rPr>
                    </w:pPr>
                    <w:r>
                      <w:rPr>
                        <w:rFonts w:asciiTheme="minorEastAsia" w:hAnsiTheme="minorEastAsia" w:eastAsiaTheme="minorEastAsia"/>
                        <w:szCs w:val="21"/>
                      </w:rPr>
                      <w:t>1,498,722.04</w:t>
                    </w:r>
                  </w:p>
                </w:tc>
              </w:tr>
            </w:tbl>
            <w:p>
              <w:pPr>
                <w:adjustRightInd w:val="0"/>
                <w:snapToGrid w:val="0"/>
                <w:spacing w:line="360" w:lineRule="auto"/>
                <w:ind w:firstLine="420" w:firstLineChars="200"/>
                <w:rPr>
                  <w:bCs/>
                  <w:szCs w:val="21"/>
                </w:rPr>
              </w:pPr>
              <w:r>
                <w:rPr>
                  <w:rFonts w:hint="eastAsia"/>
                  <w:bCs/>
                  <w:szCs w:val="21"/>
                </w:rPr>
                <w:t>母公司财务报表无影响。</w:t>
              </w:r>
            </w:p>
            <w:p>
              <w:pPr>
                <w:adjustRightInd w:val="0"/>
                <w:snapToGrid w:val="0"/>
                <w:spacing w:line="360" w:lineRule="auto"/>
                <w:ind w:firstLine="420" w:firstLineChars="200"/>
                <w:rPr>
                  <w:bCs/>
                  <w:szCs w:val="21"/>
                </w:rPr>
              </w:pPr>
              <w:r>
                <w:rPr>
                  <w:rFonts w:hint="eastAsia"/>
                  <w:bCs/>
                  <w:szCs w:val="21"/>
                </w:rPr>
                <w:t>2.</w:t>
              </w:r>
              <w:r>
                <w:rPr>
                  <w:rFonts w:hint="eastAsia"/>
                  <w:szCs w:val="21"/>
                </w:rPr>
                <w:t xml:space="preserve"> 会计估计变更</w:t>
              </w:r>
            </w:p>
            <w:p>
              <w:pPr>
                <w:pStyle w:val="281"/>
                <w:widowControl w:val="0"/>
                <w:spacing w:line="360" w:lineRule="auto"/>
                <w:ind w:left="0" w:leftChars="0" w:firstLine="420" w:firstLineChars="200"/>
                <w:jc w:val="both"/>
                <w:rPr>
                  <w:b w:val="0"/>
                </w:rPr>
              </w:pPr>
              <w:r>
                <w:rPr>
                  <w:rFonts w:hint="eastAsia"/>
                  <w:b w:val="0"/>
                </w:rPr>
                <w:t>本公司自2021年1月1日针对合并范围内的关联方往来纳入低风险计提信用减值损失，该会计估计变更对合并财务报表无影响。</w:t>
              </w:r>
            </w:p>
            <w:p>
              <w:pPr>
                <w:pStyle w:val="281"/>
                <w:widowControl w:val="0"/>
                <w:spacing w:line="360" w:lineRule="auto"/>
                <w:ind w:left="538" w:leftChars="0"/>
                <w:jc w:val="both"/>
                <w:rPr>
                  <w:rFonts w:ascii="Arial Narrow" w:hAnsi="Arial Narrow"/>
                  <w:b w:val="0"/>
                </w:rPr>
              </w:pPr>
            </w:p>
          </w:sdtContent>
        </w:sdt>
      </w:sdtContent>
    </w:sdt>
    <w:sdt>
      <w:sdtPr>
        <w:rPr>
          <w:rFonts w:hint="eastAsia" w:ascii="宋体" w:hAnsi="宋体" w:cs="宋体"/>
          <w:b w:val="0"/>
          <w:bCs w:val="0"/>
          <w:kern w:val="0"/>
          <w:szCs w:val="24"/>
        </w:rPr>
        <w:alias w:val="模块:董事会对重要前期差错更正的原因及影响的分析说明"/>
        <w:tag w:val="_SEC_a2664cc90b224463a6b390e3c02032b0"/>
        <w:id w:val="205224529"/>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9"/>
            </w:numPr>
          </w:pPr>
          <w:r>
            <w:rPr>
              <w:rFonts w:hint="eastAsia"/>
            </w:rPr>
            <w:t>公司对重大会计</w:t>
          </w:r>
          <w:r>
            <w:rPr>
              <w:rFonts w:hint="eastAsia"/>
              <w:bCs w:val="0"/>
              <w:szCs w:val="24"/>
            </w:rPr>
            <w:t>差错</w:t>
          </w:r>
          <w:r>
            <w:rPr>
              <w:rFonts w:hint="eastAsia"/>
            </w:rPr>
            <w:t>更正原因及影响的分析说明</w:t>
          </w:r>
        </w:p>
        <w:sdt>
          <w:sdtPr>
            <w:rPr>
              <w:rFonts w:hint="eastAsia"/>
              <w:szCs w:val="21"/>
            </w:rPr>
            <w:alias w:val="是否适用：公司对重大会计差错更正的原因及影响[双击切换]"/>
            <w:tag w:val="_GBC_20433825c59a4e308939a2a08d3b64f5"/>
            <w:id w:val="-148485349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ascii="宋体" w:hAnsi="宋体" w:cs="宋体"/>
          <w:b w:val="0"/>
          <w:bCs w:val="0"/>
          <w:kern w:val="0"/>
          <w:szCs w:val="24"/>
        </w:rPr>
        <w:alias w:val="模块:与前任会计师事务所进行的沟通情况"/>
        <w:tag w:val="_SEC_31d0510af7aa48b5949b42c21c05d191"/>
        <w:id w:val="241299106"/>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9"/>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765454634"/>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ascii="宋体" w:hAnsi="宋体" w:cs="宋体"/>
          <w:b w:val="0"/>
          <w:bCs w:val="0"/>
          <w:kern w:val="0"/>
          <w:szCs w:val="24"/>
        </w:rPr>
        <w:alias w:val="模块:其他说明"/>
        <w:tag w:val="_SEC_350b62c37aba49baa8dbca093e97c5c0"/>
        <w:id w:val="-168103090"/>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29"/>
            </w:numPr>
          </w:pPr>
          <w:r>
            <w:t>其他说明</w:t>
          </w:r>
        </w:p>
        <w:sdt>
          <w:sdtPr>
            <w:rPr>
              <w:rFonts w:hint="eastAsia"/>
            </w:rPr>
            <w:alias w:val="是否适用：公司对会计政策、会计估计变更或核算方法变更重大会计差错更正原因和影响的分析其他说明[双击切换]"/>
            <w:tag w:val="_GBC_f59e5141b9f74a2badb652a198d25993"/>
            <w:id w:val="398255053"/>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3"/>
        <w:numPr>
          <w:ilvl w:val="0"/>
          <w:numId w:val="27"/>
        </w:numPr>
        <w:rPr>
          <w:rFonts w:ascii="宋体" w:hAnsi="宋体" w:cs="宋体"/>
          <w:kern w:val="0"/>
          <w:szCs w:val="24"/>
        </w:rPr>
      </w:pPr>
      <w:r>
        <w:rPr>
          <w:rFonts w:ascii="宋体" w:hAnsi="宋体" w:cs="宋体"/>
          <w:kern w:val="0"/>
          <w:szCs w:val="24"/>
        </w:rPr>
        <w:t>聘任、解聘会计师事务所情况</w:t>
      </w:r>
    </w:p>
    <w:sdt>
      <w:sdtPr>
        <w:alias w:val="选项模块:聘任、解聘会计师事务所情况"/>
        <w:tag w:val="_SEC_4317320322b74f4fbace375f2fdcd88e"/>
        <w:id w:val="-822359263"/>
        <w:lock w:val="sdtLocked"/>
        <w:placeholder>
          <w:docPart w:val="GBC22222222222222222222222222222"/>
        </w:placeholder>
      </w:sdtPr>
      <w:sdtContent>
        <w:p>
          <w:pPr>
            <w:jc w:val="right"/>
          </w:pPr>
          <w:r>
            <w:rPr>
              <w:rFonts w:hint="eastAsia"/>
            </w:rPr>
            <w:t>单位：</w:t>
          </w:r>
          <w:sdt>
            <w:sdtPr>
              <w:rPr>
                <w:rFonts w:hint="eastAsia"/>
              </w:rPr>
              <w:alias w:val="单位：聘任、解聘会计师事务所情况"/>
              <w:tag w:val="_GBC_26e166c9302c4cd6aef51526fb663693"/>
              <w:id w:val="1611093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聘任、解聘会计师事务所情况"/>
              <w:tag w:val="_GBC_7dcaa3c6f2b646e695b35f062316b1bc"/>
              <w:id w:val="-6867501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24" w:type="dxa"/>
              </w:tcPr>
              <w:p>
                <w:pPr>
                  <w:widowControl w:val="0"/>
                  <w:jc w:val="both"/>
                  <w:rPr>
                    <w:szCs w:val="21"/>
                  </w:rPr>
                </w:pPr>
              </w:p>
            </w:tc>
            <w:sdt>
              <w:sdtPr>
                <w:tag w:val="_PLD_364aa8d2f946450c8e3aa85ae050a07e"/>
                <w:id w:val="710308044"/>
                <w:lock w:val="sdtLocked"/>
              </w:sdtPr>
              <w:sdtContent>
                <w:tc>
                  <w:tcPr>
                    <w:tcW w:w="4525" w:type="dxa"/>
                  </w:tcPr>
                  <w:p>
                    <w:pPr>
                      <w:widowControl w:val="0"/>
                      <w:jc w:val="center"/>
                      <w:rPr>
                        <w:szCs w:val="21"/>
                      </w:rPr>
                    </w:pPr>
                    <w:r>
                      <w:rPr>
                        <w:rFonts w:hint="eastAsia"/>
                        <w:szCs w:val="21"/>
                      </w:rPr>
                      <w:t>现聘任</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cb50119840415b8495bc32adcd0b31"/>
                <w:id w:val="-1735231802"/>
                <w:lock w:val="sdtLocked"/>
              </w:sdtPr>
              <w:sdtContent>
                <w:tc>
                  <w:tcPr>
                    <w:tcW w:w="4524" w:type="dxa"/>
                  </w:tcPr>
                  <w:p>
                    <w:pPr>
                      <w:widowControl w:val="0"/>
                      <w:jc w:val="both"/>
                    </w:pPr>
                    <w:r>
                      <w:rPr>
                        <w:rFonts w:hint="eastAsia"/>
                        <w:szCs w:val="21"/>
                      </w:rPr>
                      <w:t>境内会计师事务所名称</w:t>
                    </w:r>
                  </w:p>
                </w:tc>
              </w:sdtContent>
            </w:sdt>
            <w:tc>
              <w:tcPr>
                <w:tcW w:w="4525" w:type="dxa"/>
              </w:tcPr>
              <w:p>
                <w:pPr>
                  <w:widowControl w:val="0"/>
                  <w:jc w:val="center"/>
                </w:pPr>
                <w:r>
                  <w:rPr>
                    <w:rFonts w:hint="eastAsia"/>
                  </w:rPr>
                  <w:t>天衡会计师事务所（特殊普通合伙）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884016c404b70b56b51dca806a7f6"/>
                <w:id w:val="-399212193"/>
                <w:lock w:val="sdtLocked"/>
              </w:sdtPr>
              <w:sdtContent>
                <w:tc>
                  <w:tcPr>
                    <w:tcW w:w="4524" w:type="dxa"/>
                  </w:tcPr>
                  <w:p>
                    <w:pPr>
                      <w:widowControl w:val="0"/>
                      <w:jc w:val="both"/>
                    </w:pPr>
                    <w:r>
                      <w:rPr>
                        <w:rFonts w:hint="eastAsia"/>
                        <w:szCs w:val="21"/>
                      </w:rPr>
                      <w:t>境内会计师事务所报酬</w:t>
                    </w:r>
                  </w:p>
                </w:tc>
              </w:sdtContent>
            </w:sdt>
            <w:tc>
              <w:tcPr>
                <w:tcW w:w="4525" w:type="dxa"/>
              </w:tcPr>
              <w:p>
                <w:pPr>
                  <w:widowControl w:val="0"/>
                  <w:jc w:val="right"/>
                </w:pPr>
                <w:r>
                  <w:t>2,100,000.00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b34d0f60a14d41b3a048248da4532c21"/>
                <w:id w:val="1852680693"/>
                <w:lock w:val="sdtLocked"/>
              </w:sdtPr>
              <w:sdtContent>
                <w:tc>
                  <w:tcPr>
                    <w:tcW w:w="4524" w:type="dxa"/>
                  </w:tcPr>
                  <w:p>
                    <w:pPr>
                      <w:widowControl w:val="0"/>
                      <w:jc w:val="both"/>
                    </w:pPr>
                    <w:r>
                      <w:rPr>
                        <w:rFonts w:hint="eastAsia"/>
                        <w:szCs w:val="21"/>
                      </w:rPr>
                      <w:t>境内会计师事务所审计年限</w:t>
                    </w:r>
                  </w:p>
                </w:tc>
              </w:sdtContent>
            </w:sdt>
            <w:tc>
              <w:tcPr>
                <w:tcW w:w="4525" w:type="dxa"/>
              </w:tcPr>
              <w:p>
                <w:pPr>
                  <w:widowControl w:val="0"/>
                  <w:jc w:val="right"/>
                </w:pPr>
                <w:r>
                  <w:rPr>
                    <w:rFonts w:hint="eastAsia"/>
                  </w:rPr>
                  <w:t>3</w:t>
                </w:r>
              </w:p>
            </w:tc>
          </w:tr>
        </w:tbl>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6"/>
            <w:gridCol w:w="3755"/>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both"/>
                </w:pPr>
              </w:p>
            </w:tc>
            <w:sdt>
              <w:sdtPr>
                <w:tag w:val="_PLD_c9ec27d8a8454f91bb769203a75df4b3"/>
                <w:id w:val="-798525422"/>
                <w:lock w:val="sdtLocked"/>
              </w:sdtPr>
              <w:sdtContent>
                <w:tc>
                  <w:tcPr>
                    <w:tcW w:w="3755" w:type="dxa"/>
                    <w:vAlign w:val="center"/>
                  </w:tcPr>
                  <w:p>
                    <w:pPr>
                      <w:widowControl w:val="0"/>
                      <w:jc w:val="center"/>
                    </w:pPr>
                    <w:r>
                      <w:rPr>
                        <w:rFonts w:hint="eastAsia"/>
                        <w:szCs w:val="21"/>
                      </w:rPr>
                      <w:t>名称</w:t>
                    </w:r>
                  </w:p>
                </w:tc>
              </w:sdtContent>
            </w:sdt>
            <w:sdt>
              <w:sdtPr>
                <w:tag w:val="_PLD_ae4e80c7f64046dcb42116bfa53b53af"/>
                <w:id w:val="-1215350075"/>
                <w:lock w:val="sdtLocked"/>
              </w:sdtPr>
              <w:sdtContent>
                <w:tc>
                  <w:tcPr>
                    <w:tcW w:w="2278" w:type="dxa"/>
                    <w:vAlign w:val="center"/>
                  </w:tcPr>
                  <w:p>
                    <w:pPr>
                      <w:widowControl w:val="0"/>
                      <w:jc w:val="center"/>
                    </w:pPr>
                    <w:r>
                      <w:rPr>
                        <w:rFonts w:hint="eastAsia"/>
                        <w:szCs w:val="21"/>
                      </w:rPr>
                      <w:t>报酬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9b36bf86614c808ea65de10637144b"/>
                <w:id w:val="-65495820"/>
                <w:lock w:val="sdtLocked"/>
              </w:sdtPr>
              <w:sdtContent>
                <w:tc>
                  <w:tcPr>
                    <w:tcW w:w="3016" w:type="dxa"/>
                  </w:tcPr>
                  <w:p>
                    <w:pPr>
                      <w:widowControl w:val="0"/>
                      <w:jc w:val="both"/>
                    </w:pPr>
                    <w:r>
                      <w:rPr>
                        <w:rFonts w:hint="eastAsia"/>
                      </w:rPr>
                      <w:t>内部控制审计会计师事务所</w:t>
                    </w:r>
                  </w:p>
                </w:tc>
              </w:sdtContent>
            </w:sdt>
            <w:tc>
              <w:tcPr>
                <w:tcW w:w="3755" w:type="dxa"/>
              </w:tcPr>
              <w:p>
                <w:pPr>
                  <w:widowControl w:val="0"/>
                  <w:jc w:val="both"/>
                </w:pPr>
                <w:r>
                  <w:rPr>
                    <w:rFonts w:hint="eastAsia"/>
                  </w:rPr>
                  <w:t>天衡会计师事务所（特殊普通合伙）</w:t>
                </w:r>
              </w:p>
            </w:tc>
            <w:tc>
              <w:tcPr>
                <w:tcW w:w="2278" w:type="dxa"/>
              </w:tcPr>
              <w:p>
                <w:pPr>
                  <w:widowControl w:val="0"/>
                  <w:jc w:val="right"/>
                </w:pPr>
                <w:r>
                  <w:t>1,250,000.00</w:t>
                </w:r>
              </w:p>
            </w:tc>
          </w:tr>
        </w:tbl>
        <w:p/>
      </w:sdtContent>
    </w:sdt>
    <w:sdt>
      <w:sdtPr>
        <w:alias w:val="模块:聘任、解聘会计师事务所的情况说明"/>
        <w:tag w:val="_SEC_322c3d9669f246aa87ccb7f9dc50a714"/>
        <w:id w:val="996310190"/>
        <w:lock w:val="sdtLocked"/>
        <w:placeholder>
          <w:docPart w:val="GBC22222222222222222222222222222"/>
        </w:placeholder>
      </w:sdtPr>
      <w:sdtEndPr>
        <w:rPr>
          <w:rFonts w:hint="eastAsia"/>
        </w:rPr>
      </w:sdtEndPr>
      <w:sdtContent>
        <w:p>
          <w:pPr>
            <w:spacing w:line="360" w:lineRule="auto"/>
          </w:pPr>
          <w:r>
            <w:t>聘任、解聘会计师事务所的情况说明</w:t>
          </w:r>
        </w:p>
        <w:sdt>
          <w:sdtPr>
            <w:alias w:val="是否适用：聘任、解聘会计师事务所情况[双击切换]"/>
            <w:tag w:val="_GBC_376f0811302240c0a118add2061458b6"/>
            <w:id w:val="391770679"/>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883473011"/>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rFonts w:hint="eastAsia"/>
                </w:rPr>
                <w:t>2021年4月9日公司第五届董事会第二次会议决议聘任天衡会计师事务所（特殊普通合伙）为公司2021年度财务审计机构和内控审计机构，并经2020年年度股东大会审议通过。</w:t>
              </w:r>
            </w:p>
            <w:p>
              <w:pPr>
                <w:spacing w:line="360" w:lineRule="auto"/>
                <w:rPr>
                  <w:szCs w:val="21"/>
                </w:rPr>
              </w:pPr>
            </w:p>
          </w:sdtContent>
        </w:sdt>
      </w:sdtContent>
    </w:sdt>
    <w:sdt>
      <w:sdtPr>
        <w:alias w:val="模块:审计期间改聘会计师事务所的情况说明"/>
        <w:tag w:val="_SEC_9e5ff31b39074841b1732f4693c6a461"/>
        <w:id w:val="602153176"/>
        <w:lock w:val="sdtLocked"/>
        <w:placeholder>
          <w:docPart w:val="GBC22222222222222222222222222222"/>
        </w:placeholder>
      </w:sdtPr>
      <w:sdtEndPr>
        <w:rPr>
          <w:rFonts w:hint="eastAsia"/>
        </w:rPr>
      </w:sdtEndPr>
      <w:sdtContent>
        <w:p>
          <w:pPr>
            <w:spacing w:line="360" w:lineRule="auto"/>
          </w:pPr>
          <w:r>
            <w:t>审计期间改聘会计师事务所的情况说明</w:t>
          </w:r>
        </w:p>
        <w:sdt>
          <w:sdtPr>
            <w:rPr>
              <w:rFonts w:hint="eastAsia"/>
            </w:rPr>
            <w:alias w:val="是否适用：审计期间改聘会计师事务所的情况说明[双击切换]"/>
            <w:tag w:val="_GBC_34c57619e2904c83a8840614e4e5d5d0"/>
            <w:id w:val="-1909519814"/>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27"/>
        </w:numPr>
        <w:spacing w:before="0" w:after="0" w:line="360" w:lineRule="auto"/>
        <w:rPr>
          <w:rFonts w:ascii="宋体" w:hAnsi="宋体" w:cs="宋体"/>
          <w:kern w:val="0"/>
          <w:szCs w:val="24"/>
        </w:rPr>
      </w:pPr>
      <w:r>
        <w:rPr>
          <w:rFonts w:ascii="宋体" w:hAnsi="宋体" w:cs="宋体"/>
          <w:kern w:val="0"/>
          <w:szCs w:val="24"/>
          <w:shd w:val="solid" w:color="FFFFFF" w:fill="auto"/>
        </w:rPr>
        <w:t>面临</w:t>
      </w:r>
      <w:r>
        <w:rPr>
          <w:rFonts w:hint="eastAsia" w:ascii="宋体" w:hAnsi="宋体" w:cs="宋体"/>
          <w:kern w:val="0"/>
          <w:szCs w:val="24"/>
          <w:shd w:val="solid" w:color="FFFFFF" w:fill="auto"/>
        </w:rPr>
        <w:t>退</w:t>
      </w:r>
      <w:r>
        <w:rPr>
          <w:rFonts w:ascii="宋体" w:hAnsi="宋体" w:cs="宋体"/>
          <w:kern w:val="0"/>
          <w:szCs w:val="24"/>
          <w:shd w:val="solid" w:color="FFFFFF" w:fill="auto"/>
        </w:rPr>
        <w:t>市风险的情况</w:t>
      </w:r>
    </w:p>
    <w:p>
      <w:pPr>
        <w:pStyle w:val="4"/>
        <w:numPr>
          <w:ilvl w:val="0"/>
          <w:numId w:val="30"/>
        </w:numPr>
        <w:spacing w:before="0" w:after="0" w:line="360" w:lineRule="auto"/>
        <w:jc w:val="left"/>
      </w:pPr>
      <w:r>
        <w:rPr>
          <w:rFonts w:hint="eastAsia"/>
        </w:rPr>
        <w:t>导</w:t>
      </w:r>
      <w:r>
        <w:rPr>
          <w:szCs w:val="21"/>
        </w:rPr>
        <w:t>致</w:t>
      </w:r>
      <w:r>
        <w:rPr>
          <w:rFonts w:hint="eastAsia"/>
          <w:szCs w:val="21"/>
        </w:rPr>
        <w:t>退市风险警示</w:t>
      </w:r>
      <w:r>
        <w:rPr>
          <w:szCs w:val="21"/>
        </w:rPr>
        <w:t>的原因</w:t>
      </w:r>
    </w:p>
    <w:sdt>
      <w:sdtPr>
        <w:rPr>
          <w:rFonts w:hint="eastAsia"/>
          <w:szCs w:val="21"/>
        </w:rPr>
        <w:alias w:val="模块:导致退市风险警示的原因"/>
        <w:tag w:val="_SEC_f15fc49cb4ff42c5a7ce2d836dd0c3fc"/>
        <w:id w:val="395632769"/>
        <w:lock w:val="sdtLocked"/>
        <w:placeholder>
          <w:docPart w:val="GBC22222222222222222222222222222"/>
        </w:placeholder>
      </w:sdtPr>
      <w:sdtEndPr>
        <w:rPr>
          <w:rFonts w:hint="default"/>
          <w:szCs w:val="21"/>
        </w:rPr>
      </w:sdtEndPr>
      <w:sdtContent>
        <w:sdt>
          <w:sdtPr>
            <w:rPr>
              <w:rFonts w:hint="eastAsia"/>
              <w:szCs w:val="21"/>
            </w:rPr>
            <w:alias w:val="是否适用：导致暂停上市的原因[双击切换]"/>
            <w:tag w:val="_GBC_5be6e6fabf4849c7b63c5d08ac7706e1"/>
            <w:id w:val="1535152251"/>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ascii="宋体" w:hAnsi="宋体" w:cs="宋体"/>
          <w:b w:val="0"/>
          <w:bCs w:val="0"/>
          <w:kern w:val="0"/>
          <w:szCs w:val="21"/>
        </w:rPr>
        <w:alias w:val="模块:公司拟采取的应对措施"/>
        <w:tag w:val="_SEC_9dd9fc587be540dab1fcdb757f5036d7"/>
        <w:id w:val="498167250"/>
        <w:lock w:val="sdtLocked"/>
        <w:placeholder>
          <w:docPart w:val="GBC22222222222222222222222222222"/>
        </w:placeholder>
      </w:sdtPr>
      <w:sdtEndPr>
        <w:rPr>
          <w:rFonts w:ascii="宋体" w:hAnsi="宋体" w:cs="宋体"/>
          <w:b w:val="0"/>
          <w:bCs w:val="0"/>
          <w:kern w:val="0"/>
          <w:szCs w:val="21"/>
        </w:rPr>
      </w:sdtEndPr>
      <w:sdtContent>
        <w:p>
          <w:pPr>
            <w:pStyle w:val="4"/>
            <w:numPr>
              <w:ilvl w:val="0"/>
              <w:numId w:val="30"/>
            </w:numPr>
            <w:spacing w:before="0" w:after="0" w:line="360" w:lineRule="auto"/>
            <w:rPr>
              <w:szCs w:val="21"/>
            </w:rPr>
          </w:pPr>
          <w:r>
            <w:rPr>
              <w:rFonts w:hint="eastAsia"/>
              <w:szCs w:val="21"/>
            </w:rPr>
            <w:t>公司拟采取的应对措施</w:t>
          </w:r>
        </w:p>
        <w:sdt>
          <w:sdtPr>
            <w:rPr>
              <w:szCs w:val="21"/>
            </w:rPr>
            <w:alias w:val="是否适用：公司拟采取的措施[双击切换]"/>
            <w:tag w:val="_GBC_8656f473b4d943fe8fa1477037f607c5"/>
            <w:id w:val="304829662"/>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hint="eastAsia" w:ascii="宋体" w:hAnsi="宋体" w:cs="宋体"/>
          <w:b w:val="0"/>
          <w:bCs w:val="0"/>
          <w:kern w:val="0"/>
          <w:szCs w:val="21"/>
        </w:rPr>
        <w:alias w:val="模块:面临终止上市的情况和原因  "/>
        <w:tag w:val="_SEC_a0a08509d12c43b6a3c3f5de51b245bd"/>
        <w:id w:val="-31813389"/>
        <w:lock w:val="sdtLocked"/>
        <w:placeholder>
          <w:docPart w:val="GBC22222222222222222222222222222"/>
        </w:placeholder>
      </w:sdtPr>
      <w:sdtEndPr>
        <w:rPr>
          <w:rFonts w:hint="default" w:ascii="宋体" w:hAnsi="宋体" w:cs="宋体"/>
          <w:b w:val="0"/>
          <w:bCs w:val="0"/>
          <w:kern w:val="0"/>
          <w:szCs w:val="21"/>
        </w:rPr>
      </w:sdtEndPr>
      <w:sdtContent>
        <w:p>
          <w:pPr>
            <w:pStyle w:val="4"/>
            <w:numPr>
              <w:ilvl w:val="0"/>
              <w:numId w:val="30"/>
            </w:numPr>
            <w:spacing w:before="0" w:after="0" w:line="360" w:lineRule="auto"/>
            <w:rPr>
              <w:rFonts w:ascii="宋体" w:hAnsi="宋体" w:cs="宋体"/>
              <w:kern w:val="0"/>
              <w:szCs w:val="21"/>
            </w:rPr>
          </w:pPr>
          <w:bookmarkStart w:id="69" w:name="_Hlk89346186"/>
          <w:r>
            <w:rPr>
              <w:rFonts w:hint="eastAsia" w:ascii="宋体" w:hAnsi="宋体" w:cs="宋体"/>
              <w:kern w:val="0"/>
              <w:szCs w:val="21"/>
            </w:rPr>
            <w:t>面临终止上市的情况和原因</w:t>
          </w:r>
        </w:p>
        <w:sdt>
          <w:sdtPr>
            <w:rPr>
              <w:rFonts w:hint="eastAsia"/>
              <w:szCs w:val="21"/>
            </w:rPr>
            <w:alias w:val="是否适用：面临终止上市的情况和原因 [双击切换]"/>
            <w:tag w:val="_GBC_36002fff87954035b149cfd20b1790d5"/>
            <w:id w:val="1872413966"/>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bookmarkEnd w:id="69"/>
    <w:sdt>
      <w:sdtPr>
        <w:rPr>
          <w:rFonts w:ascii="宋体" w:hAnsi="宋体" w:cs="宋体"/>
          <w:b w:val="0"/>
          <w:bCs w:val="0"/>
          <w:kern w:val="0"/>
          <w:szCs w:val="24"/>
        </w:rPr>
        <w:alias w:val="模块:破产重整相关事项"/>
        <w:tag w:val="_SEC_40f00e43fb5a4ec79cf5293b027262f4"/>
        <w:id w:val="-1029793797"/>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7"/>
            </w:numPr>
            <w:spacing w:before="0" w:after="0" w:line="360" w:lineRule="auto"/>
          </w:pPr>
          <w:r>
            <w:t>破产重整相关事项</w:t>
          </w:r>
        </w:p>
        <w:sdt>
          <w:sdtPr>
            <w:alias w:val="是否适用：破产重整相关事项[双击切换]"/>
            <w:tag w:val="_GBC_5840a694c2a04f98893394e6da3bc9cc"/>
            <w:id w:val="169691197"/>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破产重整相关事项的说明"/>
            <w:tag w:val="_GBC_8ffa1798d6d14ccb803f55ae2347f159"/>
            <w:id w:val="-1590384397"/>
            <w:lock w:val="sdtLocked"/>
            <w:placeholder>
              <w:docPart w:val="GBC22222222222222222222222222222"/>
            </w:placeholder>
          </w:sdtPr>
          <w:sdtContent>
            <w:p>
              <w:pPr>
                <w:spacing w:line="360" w:lineRule="auto"/>
                <w:ind w:firstLine="525" w:firstLineChars="250"/>
                <w:rPr>
                  <w:szCs w:val="21"/>
                </w:rPr>
              </w:pPr>
              <w:r>
                <w:rPr>
                  <w:rFonts w:hint="eastAsia"/>
                </w:rPr>
                <w:t>2021年2月8日，力帆股份及重整内十家全资子公司收到重庆五中院送达的《民事裁定书》，裁定确认重整计划执行完毕，并终结重整程序。具体内容详见公司于2021年2月9日在上海证券交易所网站（www.sse.com.cn）上披露的《力帆实业（集团）股份有限公司关于公司及下属十家全资子公司重整计划执行完毕的公告》（公告编号：临2021-019）。</w:t>
              </w:r>
            </w:p>
          </w:sdtContent>
        </w:sdt>
      </w:sdtContent>
    </w:sdt>
    <w:p>
      <w:pPr>
        <w:pStyle w:val="3"/>
        <w:numPr>
          <w:ilvl w:val="0"/>
          <w:numId w:val="27"/>
        </w:numPr>
        <w:spacing w:before="0" w:after="0" w:line="360" w:lineRule="auto"/>
      </w:pPr>
      <w:r>
        <w:t>重大诉讼、仲裁事项</w:t>
      </w:r>
    </w:p>
    <w:sdt>
      <w:sdtPr>
        <w:alias w:val="本年度公司有无重大诉讼、仲裁事项"/>
        <w:tag w:val="_GBC_b7d97a978491465ca563fa610688ebef"/>
        <w:id w:val="-351572095"/>
        <w:lock w:val="sdtLocked"/>
        <w:placeholder>
          <w:docPart w:val="GBC22222222222222222222222222222"/>
        </w:placeholder>
      </w:sdtPr>
      <w:sdtContent>
        <w:p>
          <w:pPr>
            <w:spacing w:line="360" w:lineRule="auto"/>
          </w:pPr>
          <w:r>
            <w:fldChar w:fldCharType="begin"/>
          </w:r>
          <w:r>
            <w:instrText xml:space="preserve"> MACROBUTTON  SnrToggleCheckbox √本年度公司有重大诉讼、仲裁事项 </w:instrText>
          </w:r>
          <w:r>
            <w:fldChar w:fldCharType="end"/>
          </w:r>
          <w:r>
            <w:fldChar w:fldCharType="begin"/>
          </w:r>
          <w:r>
            <w:instrText xml:space="preserve"> MACROBUTTON  SnrToggleCheckbox □本年度公司无重大诉讼、仲裁事项 </w:instrText>
          </w:r>
          <w:r>
            <w:fldChar w:fldCharType="end"/>
          </w:r>
        </w:p>
      </w:sdtContent>
    </w:sdt>
    <w:sdt>
      <w:sdtPr>
        <w:rPr>
          <w:rFonts w:ascii="宋体" w:hAnsi="宋体" w:cs="宋体"/>
          <w:b w:val="0"/>
          <w:bCs w:val="0"/>
          <w:kern w:val="0"/>
          <w:sz w:val="24"/>
          <w:szCs w:val="22"/>
        </w:rPr>
        <w:alias w:val="模块:诉讼、仲裁或媒体普遍质疑事项已在临时公告披露且无后续进展"/>
        <w:tag w:val="_SEC_85550bc7e18e4ae5950dac093e9d2f00"/>
        <w:id w:val="1025988248"/>
        <w:lock w:val="sdtLocked"/>
        <w:placeholder>
          <w:docPart w:val="GBC22222222222222222222222222222"/>
        </w:placeholder>
      </w:sdtPr>
      <w:sdtEndPr>
        <w:rPr>
          <w:rFonts w:hint="eastAsia" w:cs="宋体" w:asciiTheme="minorEastAsia" w:hAnsiTheme="minorEastAsia"/>
          <w:b w:val="0"/>
          <w:bCs w:val="0"/>
          <w:kern w:val="0"/>
          <w:sz w:val="21"/>
          <w:szCs w:val="21"/>
        </w:rPr>
      </w:sdtEndPr>
      <w:sdtContent>
        <w:p>
          <w:pPr>
            <w:pStyle w:val="4"/>
            <w:numPr>
              <w:ilvl w:val="0"/>
              <w:numId w:val="31"/>
            </w:numPr>
            <w:spacing w:before="0" w:after="0" w:line="360" w:lineRule="auto"/>
          </w:pPr>
          <w:r>
            <w:t>诉讼、仲裁事项已在临时公告披露且无后续进展的</w:t>
          </w:r>
        </w:p>
        <w:sdt>
          <w:sdtPr>
            <w:alias w:val="是否适用：诉讼、仲裁事项已在临时公告披露且无后续进展的[双击切换]"/>
            <w:tag w:val="_GBC_df9c575188dd424d8b37483a3f491cca"/>
            <w:id w:val="-96877864"/>
            <w:lock w:val="sdtLocked"/>
            <w:placeholder>
              <w:docPart w:val="GBC22222222222222222222222222222"/>
            </w:placeholder>
          </w:sdtPr>
          <w:sdtContent>
            <w:p>
              <w:pPr>
                <w:spacing w:line="360" w:lineRule="auto"/>
                <w:rPr>
                  <w:rFonts w:asciiTheme="minorEastAsia" w:hAnsiTheme="minorEastAsia"/>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cs="宋体"/>
          <w:b w:val="0"/>
          <w:bCs w:val="0"/>
          <w:kern w:val="0"/>
          <w:sz w:val="24"/>
          <w:szCs w:val="22"/>
        </w:rPr>
        <w:alias w:val="模块:临时公告未披露或有后续进展的诉讼、仲裁情况"/>
        <w:tag w:val="_SEC_5418915b864f4e448357874add64e3f1"/>
        <w:id w:val="-1347250150"/>
        <w:lock w:val="sdtLocked"/>
        <w:placeholder>
          <w:docPart w:val="GBC22222222222222222222222222222"/>
        </w:placeholder>
      </w:sdtPr>
      <w:sdtEndPr>
        <w:rPr>
          <w:rFonts w:ascii="宋体" w:hAnsi="宋体" w:cs="宋体"/>
          <w:b w:val="0"/>
          <w:bCs w:val="0"/>
          <w:kern w:val="0"/>
          <w:sz w:val="21"/>
          <w:szCs w:val="24"/>
        </w:rPr>
      </w:sdtEndPr>
      <w:sdtContent>
        <w:p>
          <w:pPr>
            <w:pStyle w:val="4"/>
            <w:numPr>
              <w:ilvl w:val="0"/>
              <w:numId w:val="31"/>
            </w:numPr>
            <w:spacing w:before="0" w:after="0" w:line="360" w:lineRule="auto"/>
          </w:pPr>
          <w:r>
            <w:t>临时公告未披露或有后续进展的诉讼、仲裁情况</w:t>
          </w:r>
        </w:p>
        <w:sdt>
          <w:sdtPr>
            <w:alias w:val="是否适用：临时公告未披露或有后续进展的诉讼、仲裁情况[双击切换]"/>
            <w:tag w:val="_GBC_35f7d90461484a06aaa4de37b11de834"/>
            <w:id w:val="1846197378"/>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重大诉讼仲裁事项"/>
              <w:tag w:val="_GBC_9d97246aa01d4ad08e6284cc246abd9f"/>
              <w:id w:val="1015653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重大诉讼仲裁事项"/>
              <w:tag w:val="_GBC_a18222a537f349d088118dcd5db0706a"/>
              <w:id w:val="1943563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10958"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
            <w:gridCol w:w="1805"/>
            <w:gridCol w:w="1156"/>
            <w:gridCol w:w="681"/>
            <w:gridCol w:w="1557"/>
            <w:gridCol w:w="1161"/>
            <w:gridCol w:w="989"/>
            <w:gridCol w:w="990"/>
            <w:gridCol w:w="1097"/>
            <w:gridCol w:w="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Cs w:val="21"/>
                </w:rPr>
                <w:tag w:val="_PLD_d41f71fd1aeb4ad2847c6534560b258a"/>
                <w:id w:val="-997952624"/>
                <w:lock w:val="sdtLocked"/>
              </w:sdtPr>
              <w:sdtEndPr>
                <w:rPr>
                  <w:rFonts w:asciiTheme="minorEastAsia" w:hAnsiTheme="minorEastAsia" w:eastAsiaTheme="minorEastAsia"/>
                  <w:szCs w:val="21"/>
                </w:rPr>
              </w:sdtEndPr>
              <w:sdtContent>
                <w:tc>
                  <w:tcPr>
                    <w:tcW w:w="10958" w:type="dxa"/>
                    <w:gridSpan w:val="10"/>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报告期内: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Cs w:val="21"/>
                </w:rPr>
                <w:tag w:val="_PLD_4d9b112021884e699f90fb18615a7a2e"/>
                <w:id w:val="-1118523035"/>
                <w:lock w:val="sdtLocked"/>
              </w:sdtPr>
              <w:sdtEndPr>
                <w:rPr>
                  <w:rFonts w:asciiTheme="minorEastAsia" w:hAnsiTheme="minorEastAsia" w:eastAsiaTheme="minorEastAsia"/>
                  <w:szCs w:val="21"/>
                </w:rPr>
              </w:sdtEndPr>
              <w:sdtContent>
                <w:tc>
                  <w:tcPr>
                    <w:tcW w:w="881"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起诉(申请)方</w:t>
                    </w:r>
                  </w:p>
                </w:tc>
              </w:sdtContent>
            </w:sdt>
            <w:sdt>
              <w:sdtPr>
                <w:rPr>
                  <w:rFonts w:asciiTheme="minorEastAsia" w:hAnsiTheme="minorEastAsia" w:eastAsiaTheme="minorEastAsia"/>
                  <w:szCs w:val="21"/>
                </w:rPr>
                <w:tag w:val="_PLD_c32a293b7cc342f8b27e24280205fb5b"/>
                <w:id w:val="-614514370"/>
                <w:lock w:val="sdtLocked"/>
              </w:sdtPr>
              <w:sdtEndPr>
                <w:rPr>
                  <w:rFonts w:asciiTheme="minorEastAsia" w:hAnsiTheme="minorEastAsia" w:eastAsiaTheme="minorEastAsia"/>
                  <w:szCs w:val="21"/>
                </w:rPr>
              </w:sdtEndPr>
              <w:sdtContent>
                <w:tc>
                  <w:tcPr>
                    <w:tcW w:w="1813"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应诉</w:t>
                    </w:r>
                    <w:r>
                      <w:rPr>
                        <w:rFonts w:hint="eastAsia" w:asciiTheme="minorEastAsia" w:hAnsiTheme="minorEastAsia" w:eastAsiaTheme="minorEastAsia"/>
                        <w:szCs w:val="21"/>
                      </w:rPr>
                      <w:t>(</w:t>
                    </w:r>
                    <w:r>
                      <w:rPr>
                        <w:rFonts w:asciiTheme="minorEastAsia" w:hAnsiTheme="minorEastAsia" w:eastAsiaTheme="minorEastAsia"/>
                        <w:szCs w:val="21"/>
                      </w:rPr>
                      <w:t>被申请</w:t>
                    </w:r>
                    <w:r>
                      <w:rPr>
                        <w:rFonts w:hint="eastAsia" w:asciiTheme="minorEastAsia" w:hAnsiTheme="minorEastAsia" w:eastAsiaTheme="minorEastAsia"/>
                        <w:szCs w:val="21"/>
                      </w:rPr>
                      <w:t>)</w:t>
                    </w:r>
                    <w:r>
                      <w:rPr>
                        <w:rFonts w:asciiTheme="minorEastAsia" w:hAnsiTheme="minorEastAsia" w:eastAsiaTheme="minorEastAsia"/>
                        <w:szCs w:val="21"/>
                      </w:rPr>
                      <w:t>方</w:t>
                    </w:r>
                  </w:p>
                </w:tc>
              </w:sdtContent>
            </w:sdt>
            <w:sdt>
              <w:sdtPr>
                <w:rPr>
                  <w:rFonts w:asciiTheme="minorEastAsia" w:hAnsiTheme="minorEastAsia" w:eastAsiaTheme="minorEastAsia"/>
                  <w:szCs w:val="21"/>
                </w:rPr>
                <w:tag w:val="_PLD_eff0fb32b4bd49df8045de6cb1eb61f6"/>
                <w:id w:val="890389476"/>
                <w:lock w:val="sdtLocked"/>
              </w:sdtPr>
              <w:sdtEndPr>
                <w:rPr>
                  <w:rFonts w:asciiTheme="minorEastAsia" w:hAnsiTheme="minorEastAsia" w:eastAsiaTheme="minorEastAsia"/>
                  <w:szCs w:val="21"/>
                </w:rPr>
              </w:sdtEndPr>
              <w:sdtContent>
                <w:tc>
                  <w:tcPr>
                    <w:tcW w:w="115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承担连带责任方</w:t>
                    </w:r>
                  </w:p>
                </w:tc>
              </w:sdtContent>
            </w:sdt>
            <w:sdt>
              <w:sdtPr>
                <w:rPr>
                  <w:rFonts w:asciiTheme="minorEastAsia" w:hAnsiTheme="minorEastAsia" w:eastAsiaTheme="minorEastAsia"/>
                  <w:szCs w:val="21"/>
                </w:rPr>
                <w:tag w:val="_PLD_3182b9e352674cfca450ce843b2abe09"/>
                <w:id w:val="-809632364"/>
                <w:lock w:val="sdtLocked"/>
              </w:sdtPr>
              <w:sdtEndPr>
                <w:rPr>
                  <w:rFonts w:asciiTheme="minorEastAsia" w:hAnsiTheme="minorEastAsia" w:eastAsiaTheme="minorEastAsia"/>
                  <w:szCs w:val="21"/>
                </w:rPr>
              </w:sdtEndPr>
              <w:sdtContent>
                <w:tc>
                  <w:tcPr>
                    <w:tcW w:w="683"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诉讼仲裁类型</w:t>
                    </w:r>
                  </w:p>
                </w:tc>
              </w:sdtContent>
            </w:sdt>
            <w:sdt>
              <w:sdtPr>
                <w:rPr>
                  <w:rFonts w:asciiTheme="minorEastAsia" w:hAnsiTheme="minorEastAsia" w:eastAsiaTheme="minorEastAsia"/>
                  <w:szCs w:val="21"/>
                </w:rPr>
                <w:tag w:val="_PLD_86e4a2e13ad5461d8f77a09cb45ddc71"/>
                <w:id w:val="-1832130891"/>
                <w:lock w:val="sdtLocked"/>
              </w:sdtPr>
              <w:sdtEndPr>
                <w:rPr>
                  <w:rFonts w:asciiTheme="minorEastAsia" w:hAnsiTheme="minorEastAsia" w:eastAsiaTheme="minorEastAsia"/>
                  <w:szCs w:val="21"/>
                </w:rPr>
              </w:sdtEndPr>
              <w:sdtContent>
                <w:tc>
                  <w:tcPr>
                    <w:tcW w:w="1560"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诉讼(仲裁)基本情况</w:t>
                    </w:r>
                  </w:p>
                </w:tc>
              </w:sdtContent>
            </w:sdt>
            <w:sdt>
              <w:sdtPr>
                <w:rPr>
                  <w:rFonts w:asciiTheme="minorEastAsia" w:hAnsiTheme="minorEastAsia" w:eastAsiaTheme="minorEastAsia"/>
                  <w:szCs w:val="21"/>
                </w:rPr>
                <w:tag w:val="_PLD_b491f23ec9e248f9902c5c1b2081b024"/>
                <w:id w:val="516346540"/>
                <w:lock w:val="sdtLocked"/>
              </w:sdtPr>
              <w:sdtEndPr>
                <w:rPr>
                  <w:rFonts w:asciiTheme="minorEastAsia" w:hAnsiTheme="minorEastAsia" w:eastAsiaTheme="minorEastAsia"/>
                  <w:szCs w:val="21"/>
                </w:rPr>
              </w:sdtEndPr>
              <w:sdtContent>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诉讼(仲裁)涉及金额</w:t>
                    </w:r>
                  </w:p>
                </w:tc>
              </w:sdtContent>
            </w:sdt>
            <w:sdt>
              <w:sdtPr>
                <w:rPr>
                  <w:rFonts w:asciiTheme="minorEastAsia" w:hAnsiTheme="minorEastAsia" w:eastAsiaTheme="minorEastAsia"/>
                  <w:szCs w:val="21"/>
                </w:rPr>
                <w:tag w:val="_PLD_2b415cbc1f944f409e2c471dbfd8a1b2"/>
                <w:id w:val="-1945449761"/>
                <w:lock w:val="sdtLocked"/>
              </w:sdtPr>
              <w:sdtEndPr>
                <w:rPr>
                  <w:rFonts w:asciiTheme="minorEastAsia" w:hAnsiTheme="minorEastAsia" w:eastAsiaTheme="minorEastAsia"/>
                  <w:szCs w:val="21"/>
                </w:rPr>
              </w:sdtEndPr>
              <w:sdtContent>
                <w:tc>
                  <w:tcPr>
                    <w:tcW w:w="992"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诉讼(仲裁)是否形成预计负债及金额</w:t>
                    </w:r>
                  </w:p>
                </w:tc>
              </w:sdtContent>
            </w:sdt>
            <w:sdt>
              <w:sdtPr>
                <w:rPr>
                  <w:rFonts w:asciiTheme="minorEastAsia" w:hAnsiTheme="minorEastAsia" w:eastAsiaTheme="minorEastAsia"/>
                  <w:szCs w:val="21"/>
                </w:rPr>
                <w:tag w:val="_PLD_f02309bf6efe44ff86d44f16620b132d"/>
                <w:id w:val="1151637090"/>
                <w:lock w:val="sdtLocked"/>
              </w:sdtPr>
              <w:sdtEndPr>
                <w:rPr>
                  <w:rFonts w:asciiTheme="minorEastAsia" w:hAnsiTheme="minorEastAsia" w:eastAsiaTheme="minorEastAsia"/>
                  <w:szCs w:val="21"/>
                </w:rPr>
              </w:sdtEndPr>
              <w:sdtContent>
                <w:tc>
                  <w:tcPr>
                    <w:tcW w:w="992"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诉讼(仲裁)进展情况</w:t>
                    </w:r>
                  </w:p>
                </w:tc>
              </w:sdtContent>
            </w:sdt>
            <w:sdt>
              <w:sdtPr>
                <w:rPr>
                  <w:rFonts w:asciiTheme="minorEastAsia" w:hAnsiTheme="minorEastAsia" w:eastAsiaTheme="minorEastAsia"/>
                  <w:szCs w:val="21"/>
                </w:rPr>
                <w:tag w:val="_PLD_0716dc47d25e4a39b22e4eec6c623d38"/>
                <w:id w:val="-1790201078"/>
                <w:lock w:val="sdtLocked"/>
              </w:sdtPr>
              <w:sdtEndPr>
                <w:rPr>
                  <w:rFonts w:asciiTheme="minorEastAsia" w:hAnsiTheme="minorEastAsia" w:eastAsiaTheme="minorEastAsia"/>
                  <w:color w:val="FF0000"/>
                  <w:szCs w:val="21"/>
                </w:rPr>
              </w:sdtEndPr>
              <w:sdtContent>
                <w:tc>
                  <w:tcPr>
                    <w:tcW w:w="109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诉讼(仲裁)审理结果及影响</w:t>
                    </w:r>
                  </w:p>
                </w:tc>
              </w:sdtContent>
            </w:sdt>
            <w:sdt>
              <w:sdtPr>
                <w:rPr>
                  <w:rFonts w:asciiTheme="minorEastAsia" w:hAnsiTheme="minorEastAsia" w:eastAsiaTheme="minorEastAsia"/>
                  <w:szCs w:val="21"/>
                </w:rPr>
                <w:tag w:val="_PLD_8bc1db95a90849249b1a09fa51190e2b"/>
                <w:id w:val="-109043601"/>
                <w:lock w:val="sdtLocked"/>
              </w:sdtPr>
              <w:sdtEndPr>
                <w:rPr>
                  <w:rFonts w:asciiTheme="minorEastAsia" w:hAnsiTheme="minorEastAsia" w:eastAsiaTheme="minorEastAsia"/>
                  <w:szCs w:val="21"/>
                </w:rPr>
              </w:sdtEndPr>
              <w:sdtContent>
                <w:tc>
                  <w:tcPr>
                    <w:tcW w:w="645"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诉讼(仲裁)判决执行情况</w:t>
                    </w:r>
                  </w:p>
                </w:tc>
              </w:sdtContent>
            </w:sdt>
          </w:tr>
          <w:sdt>
            <w:sdtPr>
              <w:rPr>
                <w:rFonts w:hint="eastAsia" w:asciiTheme="minorEastAsia" w:hAnsiTheme="minorEastAsia" w:eastAsiaTheme="minorEastAsia" w:cstheme="minorBidi"/>
                <w:kern w:val="2"/>
                <w:szCs w:val="21"/>
              </w:rPr>
              <w:alias w:val="重大诉讼、仲裁事项"/>
              <w:tag w:val="_TUP_f252d4ec6fcd41908cebf11001f20989"/>
              <w:id w:val="-2142171351"/>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陈卫</w:t>
                    </w:r>
                  </w:p>
                </w:tc>
                <w:tc>
                  <w:tcPr>
                    <w:tcW w:w="1813"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力帆股份</w:t>
                    </w:r>
                  </w:p>
                </w:tc>
                <w:tc>
                  <w:tcPr>
                    <w:tcW w:w="115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c>
                  <w:tcPr>
                    <w:tcW w:w="683"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起诉方以债权纠纷为由向重庆市五中院提请诉讼，请求判决起诉方对应诉方享有10800.65万元的债权。</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10,800.65</w:t>
                    </w:r>
                  </w:p>
                </w:tc>
                <w:tc>
                  <w:tcPr>
                    <w:tcW w:w="992"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已判决，驳回陈卫请求。</w:t>
                    </w:r>
                  </w:p>
                </w:tc>
                <w:tc>
                  <w:tcPr>
                    <w:tcW w:w="109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c>
                  <w:tcPr>
                    <w:tcW w:w="645"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644436626"/>
              <w:lock w:val="sdtLocked"/>
            </w:sdtPr>
            <w:sdtEndPr>
              <w:rPr>
                <w:rFonts w:hint="default" w:cs="宋体" w:asciiTheme="minorEastAsia" w:hAnsiTheme="minorEastAsia"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cstheme="minorBidi"/>
                        <w:kern w:val="2"/>
                        <w:szCs w:val="21"/>
                      </w:rPr>
                    </w:pPr>
                    <w:r>
                      <w:rPr>
                        <w:rFonts w:asciiTheme="minorEastAsia" w:hAnsiTheme="minorEastAsia" w:eastAsiaTheme="minorEastAsia"/>
                        <w:szCs w:val="21"/>
                      </w:rPr>
                      <w:t>浙江力帆摩托车有限公司管理人</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力帆科技、林瑞玉、林华智、彭世国、谭镜池、管彦林、杨骏、杨波、岳腾、庹永贵、袁建忠、管海平</w:t>
                    </w:r>
                  </w:p>
                </w:tc>
                <w:tc>
                  <w:tcPr>
                    <w:tcW w:w="115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c>
                  <w:tcPr>
                    <w:tcW w:w="683"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w:t>
                    </w:r>
                  </w:p>
                </w:tc>
                <w:tc>
                  <w:tcPr>
                    <w:tcW w:w="1560" w:type="dxa"/>
                    <w:vAlign w:val="center"/>
                  </w:tcPr>
                  <w:p>
                    <w:pPr>
                      <w:widowControl w:val="0"/>
                      <w:jc w:val="left"/>
                      <w:rPr>
                        <w:rFonts w:asciiTheme="minorEastAsia" w:hAnsiTheme="minorEastAsia" w:eastAsiaTheme="minorEastAsia"/>
                        <w:szCs w:val="21"/>
                      </w:rPr>
                    </w:pPr>
                    <w:r>
                      <w:rPr>
                        <w:rFonts w:hint="eastAsia" w:asciiTheme="minorEastAsia" w:hAnsiTheme="minorEastAsia" w:eastAsiaTheme="minorEastAsia"/>
                        <w:szCs w:val="21"/>
                      </w:rPr>
                      <w:t>起诉方以与破产有关的纠纷为由向台州市椒江区人民法院提请诉讼，请求判令应诉方共同赔偿债权人损失</w:t>
                    </w:r>
                    <w:r>
                      <w:rPr>
                        <w:rFonts w:asciiTheme="minorEastAsia" w:hAnsiTheme="minorEastAsia" w:eastAsiaTheme="minorEastAsia"/>
                        <w:szCs w:val="21"/>
                      </w:rPr>
                      <w:t>3465.86万元。</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3,465.86</w:t>
                    </w:r>
                  </w:p>
                </w:tc>
                <w:tc>
                  <w:tcPr>
                    <w:tcW w:w="992"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未开庭</w:t>
                    </w:r>
                  </w:p>
                </w:tc>
                <w:tc>
                  <w:tcPr>
                    <w:tcW w:w="109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c>
                  <w:tcPr>
                    <w:tcW w:w="645"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1379242026"/>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杭州景仙汽车维修服务有限公司</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杭州众天汽车贸易有限公司、力帆乘用车、力帆汽车销售、陈铁生、杭州杭锅工业锅炉有限公司</w:t>
                    </w:r>
                  </w:p>
                </w:tc>
                <w:tc>
                  <w:tcPr>
                    <w:tcW w:w="115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杭州众天汽车贸易有限公司、力帆乘用车、力帆汽车销售、陈铁生、杭州杭锅工业锅炉有限公司</w:t>
                    </w:r>
                  </w:p>
                </w:tc>
                <w:tc>
                  <w:tcPr>
                    <w:tcW w:w="683"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起诉方以财产损害赔为由向浙江省杭州市余杭区人民法院提请诉讼</w:t>
                    </w:r>
                    <w:r>
                      <w:rPr>
                        <w:rFonts w:hint="eastAsia" w:asciiTheme="minorEastAsia" w:hAnsiTheme="minorEastAsia" w:eastAsiaTheme="minorEastAsia"/>
                        <w:szCs w:val="21"/>
                      </w:rPr>
                      <w:t>，</w:t>
                    </w:r>
                    <w:r>
                      <w:rPr>
                        <w:rFonts w:asciiTheme="minorEastAsia" w:hAnsiTheme="minorEastAsia" w:eastAsiaTheme="minorEastAsia"/>
                        <w:szCs w:val="21"/>
                      </w:rPr>
                      <w:t>请求</w:t>
                    </w:r>
                    <w:r>
                      <w:rPr>
                        <w:rFonts w:hint="eastAsia" w:asciiTheme="minorEastAsia" w:hAnsiTheme="minorEastAsia" w:eastAsiaTheme="minorEastAsia"/>
                        <w:szCs w:val="21"/>
                      </w:rPr>
                      <w:t>判令</w:t>
                    </w:r>
                    <w:r>
                      <w:rPr>
                        <w:rFonts w:asciiTheme="minorEastAsia" w:hAnsiTheme="minorEastAsia" w:eastAsiaTheme="minorEastAsia"/>
                        <w:szCs w:val="21"/>
                      </w:rPr>
                      <w:t>应诉方共同承担赔偿责任</w:t>
                    </w:r>
                    <w:r>
                      <w:rPr>
                        <w:rFonts w:hint="eastAsia" w:asciiTheme="minorEastAsia" w:hAnsiTheme="minorEastAsia" w:eastAsiaTheme="minorEastAsia"/>
                        <w:szCs w:val="21"/>
                      </w:rPr>
                      <w:t>。</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1,957.99</w:t>
                    </w:r>
                  </w:p>
                </w:tc>
                <w:tc>
                  <w:tcPr>
                    <w:tcW w:w="992"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未开庭</w:t>
                    </w:r>
                  </w:p>
                </w:tc>
                <w:tc>
                  <w:tcPr>
                    <w:tcW w:w="109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c>
                  <w:tcPr>
                    <w:tcW w:w="645"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1120060123"/>
              <w:lock w:val="sdtLocked"/>
            </w:sdtPr>
            <w:sdtEndPr>
              <w:rPr>
                <w:rFonts w:hint="default" w:cs="宋体" w:asciiTheme="minorEastAsia" w:hAnsiTheme="minorEastAsia"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cstheme="minorBidi"/>
                        <w:kern w:val="2"/>
                        <w:szCs w:val="21"/>
                      </w:rPr>
                    </w:pPr>
                    <w:r>
                      <w:rPr>
                        <w:rFonts w:hint="eastAsia" w:asciiTheme="minorEastAsia" w:hAnsiTheme="minorEastAsia" w:eastAsiaTheme="minorEastAsia" w:cstheme="minorBidi"/>
                        <w:kern w:val="2"/>
                        <w:szCs w:val="21"/>
                      </w:rPr>
                      <w:t>越研环境工程盐城有限公司</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河南力帆新能源电动汽车有限公司</w:t>
                    </w:r>
                  </w:p>
                </w:tc>
                <w:tc>
                  <w:tcPr>
                    <w:tcW w:w="115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c>
                  <w:tcPr>
                    <w:tcW w:w="683"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起诉方以合同纠纷为由向重庆市第一中级人民法院提请诉讼，请求判令应诉方支付剩余设备款、利息、返还保证金及诉讼费用等请求。</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1,657.81</w:t>
                    </w:r>
                  </w:p>
                </w:tc>
                <w:tc>
                  <w:tcPr>
                    <w:tcW w:w="992"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未开庭</w:t>
                    </w:r>
                  </w:p>
                </w:tc>
                <w:tc>
                  <w:tcPr>
                    <w:tcW w:w="109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c>
                  <w:tcPr>
                    <w:tcW w:w="645" w:type="dxa"/>
                    <w:vAlign w:val="center"/>
                  </w:tcPr>
                  <w:p>
                    <w:pPr>
                      <w:widowControl w:val="0"/>
                      <w:ind w:firstLine="105" w:firstLineChars="50"/>
                      <w:jc w:val="left"/>
                      <w:rPr>
                        <w:rFonts w:asciiTheme="minorEastAsia" w:hAnsiTheme="minorEastAsia" w:eastAsiaTheme="minorEastAsia"/>
                        <w:szCs w:val="21"/>
                      </w:rPr>
                    </w:pPr>
                    <w:r>
                      <w:rPr>
                        <w:rFonts w:hint="eastAsia"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111568745"/>
              <w:lock w:val="sdtLocked"/>
            </w:sdtPr>
            <w:sdtEndPr>
              <w:rPr>
                <w:rFonts w:hint="default" w:cs="宋体" w:asciiTheme="minorEastAsia" w:hAnsiTheme="minorEastAsia"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cstheme="minorBidi"/>
                        <w:kern w:val="2"/>
                        <w:szCs w:val="21"/>
                      </w:rPr>
                    </w:pPr>
                    <w:r>
                      <w:rPr>
                        <w:rFonts w:hint="eastAsia" w:asciiTheme="minorEastAsia" w:hAnsiTheme="minorEastAsia" w:eastAsiaTheme="minorEastAsia" w:cstheme="minorBidi"/>
                        <w:kern w:val="2"/>
                        <w:szCs w:val="21"/>
                      </w:rPr>
                      <w:t>廖紫鸿</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润田房地产</w:t>
                    </w:r>
                  </w:p>
                </w:tc>
                <w:tc>
                  <w:tcPr>
                    <w:tcW w:w="115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c>
                  <w:tcPr>
                    <w:tcW w:w="683"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highlight w:val="yellow"/>
                      </w:rPr>
                    </w:pPr>
                    <w:r>
                      <w:rPr>
                        <w:rFonts w:hint="eastAsia" w:asciiTheme="minorEastAsia" w:hAnsiTheme="minorEastAsia" w:eastAsiaTheme="minorEastAsia"/>
                        <w:szCs w:val="21"/>
                      </w:rPr>
                      <w:t>起诉方以商品房预约合同纠纷为由向重庆市第一中级人民法院提请诉讼，</w:t>
                    </w:r>
                    <w:r>
                      <w:rPr>
                        <w:rFonts w:asciiTheme="minorEastAsia" w:hAnsiTheme="minorEastAsia" w:eastAsiaTheme="minorEastAsia"/>
                        <w:szCs w:val="21"/>
                      </w:rPr>
                      <w:t xml:space="preserve"> 请求判令应诉方</w:t>
                    </w:r>
                    <w:r>
                      <w:rPr>
                        <w:rFonts w:hint="eastAsia" w:asciiTheme="minorEastAsia" w:hAnsiTheme="minorEastAsia" w:eastAsiaTheme="minorEastAsia"/>
                        <w:szCs w:val="21"/>
                      </w:rPr>
                      <w:t>双倍返还认购定金，并返还购房款。</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2,081.69</w:t>
                    </w:r>
                  </w:p>
                </w:tc>
                <w:tc>
                  <w:tcPr>
                    <w:tcW w:w="992"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二审中</w:t>
                    </w:r>
                  </w:p>
                </w:tc>
                <w:tc>
                  <w:tcPr>
                    <w:tcW w:w="109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一审判决返还定金及购房款</w:t>
                    </w:r>
                    <w:r>
                      <w:rPr>
                        <w:rFonts w:asciiTheme="minorEastAsia" w:hAnsiTheme="minorEastAsia" w:eastAsiaTheme="minorEastAsia"/>
                        <w:szCs w:val="21"/>
                      </w:rPr>
                      <w:t>；应诉方向重庆市高级人</w:t>
                    </w:r>
                    <w:r>
                      <w:rPr>
                        <w:rFonts w:hint="eastAsia" w:asciiTheme="minorEastAsia" w:hAnsiTheme="minorEastAsia" w:eastAsiaTheme="minorEastAsia"/>
                        <w:szCs w:val="21"/>
                      </w:rPr>
                      <w:t>民</w:t>
                    </w:r>
                    <w:r>
                      <w:rPr>
                        <w:rFonts w:asciiTheme="minorEastAsia" w:hAnsiTheme="minorEastAsia" w:eastAsiaTheme="minorEastAsia"/>
                        <w:szCs w:val="21"/>
                      </w:rPr>
                      <w:t>法院上诉撤销一审判决。</w:t>
                    </w:r>
                  </w:p>
                </w:tc>
                <w:tc>
                  <w:tcPr>
                    <w:tcW w:w="645"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2013291884"/>
              <w:lock w:val="sdtLocked"/>
            </w:sdtPr>
            <w:sdtEndPr>
              <w:rPr>
                <w:rFonts w:hint="default" w:cs="宋体" w:asciiTheme="minorEastAsia" w:hAnsiTheme="minorEastAsia"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cstheme="minorBidi"/>
                        <w:kern w:val="2"/>
                        <w:szCs w:val="21"/>
                      </w:rPr>
                    </w:pPr>
                    <w:r>
                      <w:rPr>
                        <w:rFonts w:hint="eastAsia" w:asciiTheme="minorEastAsia" w:hAnsiTheme="minorEastAsia" w:eastAsiaTheme="minorEastAsia" w:cstheme="minorBidi"/>
                        <w:kern w:val="2"/>
                        <w:szCs w:val="21"/>
                      </w:rPr>
                      <w:t>广西晟力装饰工程有限公司</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润田房地产</w:t>
                    </w:r>
                  </w:p>
                </w:tc>
                <w:tc>
                  <w:tcPr>
                    <w:tcW w:w="115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c>
                  <w:tcPr>
                    <w:tcW w:w="683"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highlight w:val="yellow"/>
                      </w:rPr>
                    </w:pPr>
                    <w:r>
                      <w:rPr>
                        <w:rFonts w:hint="eastAsia" w:asciiTheme="minorEastAsia" w:hAnsiTheme="minorEastAsia" w:eastAsiaTheme="minorEastAsia"/>
                        <w:szCs w:val="21"/>
                      </w:rPr>
                      <w:t>起诉方以装饰装修合同纠纷为由向重庆市第一中级人民法院提请诉讼， 请求判令应诉方支付原告工程款及延期付款利息。</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2,671.41</w:t>
                    </w:r>
                  </w:p>
                </w:tc>
                <w:tc>
                  <w:tcPr>
                    <w:tcW w:w="992"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二审中</w:t>
                    </w:r>
                  </w:p>
                </w:tc>
                <w:tc>
                  <w:tcPr>
                    <w:tcW w:w="109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 xml:space="preserve">一审判决支付工程 </w:t>
                    </w:r>
                    <w:r>
                      <w:rPr>
                        <w:rFonts w:asciiTheme="minorEastAsia" w:hAnsiTheme="minorEastAsia" w:eastAsiaTheme="minorEastAsia"/>
                        <w:szCs w:val="21"/>
                      </w:rPr>
                      <w:t>792</w:t>
                    </w:r>
                    <w:r>
                      <w:rPr>
                        <w:rFonts w:hint="eastAsia" w:asciiTheme="minorEastAsia" w:hAnsiTheme="minorEastAsia" w:eastAsiaTheme="minorEastAsia"/>
                        <w:szCs w:val="21"/>
                      </w:rPr>
                      <w:t>万及利息；应诉方向重庆市高级人民法院上诉撤销一审判决，目前二审中，暂无法判断对公司的影响。</w:t>
                    </w:r>
                  </w:p>
                </w:tc>
                <w:tc>
                  <w:tcPr>
                    <w:tcW w:w="645"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652300061"/>
              <w:lock w:val="sdtLocked"/>
            </w:sdtPr>
            <w:sdtEndPr>
              <w:rPr>
                <w:rFonts w:hint="eastAsia" w:cs="宋体" w:asciiTheme="minorEastAsia" w:hAnsiTheme="minorEastAsia" w:eastAsiaTheme="minorEastAsia"/>
                <w:kern w:val="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cstheme="minorBidi"/>
                        <w:kern w:val="2"/>
                        <w:szCs w:val="21"/>
                      </w:rPr>
                    </w:pPr>
                    <w:r>
                      <w:rPr>
                        <w:rFonts w:hint="eastAsia" w:asciiTheme="minorEastAsia" w:hAnsiTheme="minorEastAsia" w:eastAsiaTheme="minorEastAsia" w:cstheme="minorBidi"/>
                        <w:kern w:val="2"/>
                        <w:szCs w:val="21"/>
                      </w:rPr>
                      <w:t>重庆铭新汇耀房产经纪有限公司</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润田房地产、重庆裕弘昇物业管理有限公司</w:t>
                    </w:r>
                  </w:p>
                </w:tc>
                <w:tc>
                  <w:tcPr>
                    <w:tcW w:w="115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安柯宇、黄煜</w:t>
                    </w:r>
                  </w:p>
                </w:tc>
                <w:tc>
                  <w:tcPr>
                    <w:tcW w:w="683"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highlight w:val="yellow"/>
                      </w:rPr>
                    </w:pPr>
                    <w:r>
                      <w:rPr>
                        <w:rFonts w:hint="eastAsia" w:asciiTheme="minorEastAsia" w:hAnsiTheme="minorEastAsia" w:eastAsiaTheme="minorEastAsia"/>
                        <w:szCs w:val="21"/>
                      </w:rPr>
                      <w:t>起诉方以商品房委托代理销售合同纠纷为由向重庆市第一中级人民法院提请诉讼，请求判令应诉方支付原告渠道分销服务费及利息。</w:t>
                    </w:r>
                  </w:p>
                </w:tc>
                <w:tc>
                  <w:tcPr>
                    <w:tcW w:w="1134"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24.85</w:t>
                    </w:r>
                  </w:p>
                </w:tc>
                <w:tc>
                  <w:tcPr>
                    <w:tcW w:w="992"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二审判决</w:t>
                    </w:r>
                  </w:p>
                </w:tc>
                <w:tc>
                  <w:tcPr>
                    <w:tcW w:w="1099"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一审判决支付应诉方渠道分销服务费及利息；应诉方提起上诉，二审维持原判。</w:t>
                    </w:r>
                  </w:p>
                </w:tc>
                <w:tc>
                  <w:tcPr>
                    <w:tcW w:w="645" w:type="dxa"/>
                    <w:vAlign w:val="center"/>
                  </w:tcPr>
                  <w:p>
                    <w:pPr>
                      <w:widowControl w:val="0"/>
                      <w:jc w:val="center"/>
                      <w:rPr>
                        <w:rFonts w:asciiTheme="minorEastAsia" w:hAnsiTheme="minorEastAsia" w:eastAsiaTheme="minorEastAsia"/>
                        <w:szCs w:val="21"/>
                      </w:rPr>
                    </w:pPr>
                    <w:r>
                      <w:rPr>
                        <w:rFonts w:hint="eastAsia" w:asciiTheme="minorEastAsia" w:hAnsiTheme="minorEastAsia" w:eastAsiaTheme="minorEastAsia"/>
                        <w:szCs w:val="21"/>
                      </w:rPr>
                      <w:t>无</w:t>
                    </w:r>
                  </w:p>
                </w:tc>
              </w:tr>
            </w:sdtContent>
          </w:sdt>
          <w:sdt>
            <w:sdtPr>
              <w:rPr>
                <w:rFonts w:hint="eastAsia" w:asciiTheme="minorEastAsia" w:hAnsiTheme="minorEastAsia" w:eastAsiaTheme="minorEastAsia" w:cstheme="minorBidi"/>
                <w:kern w:val="2"/>
                <w:szCs w:val="21"/>
              </w:rPr>
              <w:alias w:val="重大诉讼、仲裁事项"/>
              <w:tag w:val="_TUP_f252d4ec6fcd41908cebf11001f20989"/>
              <w:id w:val="2113242831"/>
              <w:lock w:val="sdtLocked"/>
            </w:sdtPr>
            <w:sdtEndPr>
              <w:rPr>
                <w:rFonts w:hint="eastAsia" w:asciiTheme="minorEastAsia" w:hAnsiTheme="minor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1" w:type="dxa"/>
                    <w:vAlign w:val="center"/>
                  </w:tcPr>
                  <w:p>
                    <w:pPr>
                      <w:widowControl w:val="0"/>
                      <w:jc w:val="both"/>
                      <w:rPr>
                        <w:rFonts w:asciiTheme="minorEastAsia" w:hAnsiTheme="minorEastAsia" w:eastAsiaTheme="minorEastAsia" w:cstheme="minorBidi"/>
                        <w:kern w:val="2"/>
                        <w:szCs w:val="21"/>
                      </w:rPr>
                    </w:pPr>
                    <w:r>
                      <w:rPr>
                        <w:rFonts w:hint="eastAsia" w:asciiTheme="minorEastAsia" w:hAnsiTheme="minorEastAsia" w:eastAsiaTheme="minorEastAsia"/>
                        <w:szCs w:val="21"/>
                      </w:rPr>
                      <w:t>力帆</w:t>
                    </w:r>
                    <w:r>
                      <w:rPr>
                        <w:rFonts w:asciiTheme="minorEastAsia" w:hAnsiTheme="minorEastAsia" w:eastAsiaTheme="minorEastAsia"/>
                        <w:szCs w:val="21"/>
                      </w:rPr>
                      <w:t>乘用车</w:t>
                    </w:r>
                  </w:p>
                </w:tc>
                <w:tc>
                  <w:tcPr>
                    <w:tcW w:w="1813"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海博瑞德（北京）汽车技术有限公司、袁涛</w:t>
                    </w:r>
                  </w:p>
                </w:tc>
                <w:tc>
                  <w:tcPr>
                    <w:tcW w:w="115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袁涛</w:t>
                    </w:r>
                  </w:p>
                </w:tc>
                <w:tc>
                  <w:tcPr>
                    <w:tcW w:w="683"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诉讼</w:t>
                    </w:r>
                  </w:p>
                </w:tc>
                <w:tc>
                  <w:tcPr>
                    <w:tcW w:w="1560" w:type="dxa"/>
                    <w:vAlign w:val="center"/>
                  </w:tcPr>
                  <w:p>
                    <w:pPr>
                      <w:widowControl w:val="0"/>
                      <w:jc w:val="both"/>
                      <w:rPr>
                        <w:rFonts w:asciiTheme="minorEastAsia" w:hAnsiTheme="minorEastAsia" w:eastAsiaTheme="minorEastAsia"/>
                        <w:szCs w:val="21"/>
                      </w:rPr>
                    </w:pPr>
                    <w:r>
                      <w:rPr>
                        <w:rFonts w:asciiTheme="minorEastAsia" w:hAnsiTheme="minorEastAsia" w:eastAsiaTheme="minorEastAsia"/>
                        <w:szCs w:val="21"/>
                      </w:rPr>
                      <w:t>起诉方以合同纠纷为由向重庆市第一中级人民法院提请诉讼</w:t>
                    </w:r>
                    <w:r>
                      <w:rPr>
                        <w:rFonts w:hint="eastAsia" w:asciiTheme="minorEastAsia" w:hAnsiTheme="minorEastAsia" w:eastAsiaTheme="minorEastAsia"/>
                        <w:szCs w:val="21"/>
                      </w:rPr>
                      <w:t>，</w:t>
                    </w:r>
                    <w:r>
                      <w:rPr>
                        <w:rFonts w:asciiTheme="minorEastAsia" w:hAnsiTheme="minorEastAsia" w:eastAsiaTheme="minorEastAsia"/>
                        <w:szCs w:val="21"/>
                      </w:rPr>
                      <w:t>请求</w:t>
                    </w:r>
                    <w:r>
                      <w:rPr>
                        <w:rFonts w:hint="eastAsia" w:asciiTheme="minorEastAsia" w:hAnsiTheme="minorEastAsia" w:eastAsiaTheme="minorEastAsia"/>
                        <w:szCs w:val="21"/>
                      </w:rPr>
                      <w:t>判令海博瑞德（北京）汽车技术有限公司</w:t>
                    </w:r>
                    <w:r>
                      <w:rPr>
                        <w:rFonts w:asciiTheme="minorEastAsia" w:hAnsiTheme="minorEastAsia" w:eastAsiaTheme="minorEastAsia"/>
                        <w:szCs w:val="21"/>
                      </w:rPr>
                      <w:t>回购股权</w:t>
                    </w:r>
                    <w:r>
                      <w:rPr>
                        <w:rFonts w:hint="eastAsia" w:asciiTheme="minorEastAsia" w:hAnsiTheme="minorEastAsia" w:eastAsiaTheme="minorEastAsia"/>
                        <w:szCs w:val="21"/>
                      </w:rPr>
                      <w:t>并</w:t>
                    </w:r>
                    <w:r>
                      <w:rPr>
                        <w:rFonts w:asciiTheme="minorEastAsia" w:hAnsiTheme="minorEastAsia" w:eastAsiaTheme="minorEastAsia"/>
                        <w:szCs w:val="21"/>
                      </w:rPr>
                      <w:t>支付股权回购款</w:t>
                    </w:r>
                    <w:r>
                      <w:rPr>
                        <w:rFonts w:hint="eastAsia" w:asciiTheme="minorEastAsia" w:hAnsiTheme="minorEastAsia" w:eastAsiaTheme="minorEastAsia"/>
                        <w:szCs w:val="21"/>
                      </w:rPr>
                      <w:t>及相应利息</w:t>
                    </w:r>
                    <w:r>
                      <w:rPr>
                        <w:rFonts w:asciiTheme="minorEastAsia" w:hAnsiTheme="minorEastAsia" w:eastAsiaTheme="minorEastAsia"/>
                        <w:szCs w:val="21"/>
                      </w:rPr>
                      <w:t>。</w:t>
                    </w:r>
                  </w:p>
                </w:tc>
                <w:tc>
                  <w:tcPr>
                    <w:tcW w:w="1134"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5,111.00</w:t>
                    </w:r>
                  </w:p>
                </w:tc>
                <w:tc>
                  <w:tcPr>
                    <w:tcW w:w="992"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否</w:t>
                    </w:r>
                  </w:p>
                </w:tc>
                <w:tc>
                  <w:tcPr>
                    <w:tcW w:w="992" w:type="dxa"/>
                    <w:vAlign w:val="center"/>
                  </w:tcPr>
                  <w:p>
                    <w:pPr>
                      <w:widowControl w:val="0"/>
                      <w:jc w:val="both"/>
                      <w:rPr>
                        <w:rFonts w:asciiTheme="minorEastAsia" w:hAnsiTheme="minorEastAsia" w:eastAsiaTheme="minorEastAsia"/>
                        <w:szCs w:val="21"/>
                      </w:rPr>
                    </w:pPr>
                    <w:r>
                      <w:rPr>
                        <w:rFonts w:hint="eastAsia" w:asciiTheme="minorEastAsia" w:hAnsiTheme="minorEastAsia" w:eastAsiaTheme="minorEastAsia"/>
                        <w:szCs w:val="21"/>
                      </w:rPr>
                      <w:t>一审已判决，应诉方提起上诉</w:t>
                    </w:r>
                  </w:p>
                </w:tc>
                <w:tc>
                  <w:tcPr>
                    <w:tcW w:w="1099" w:type="dxa"/>
                    <w:vAlign w:val="center"/>
                  </w:tcPr>
                  <w:p>
                    <w:pPr>
                      <w:widowControl w:val="0"/>
                      <w:jc w:val="center"/>
                      <w:rPr>
                        <w:rFonts w:asciiTheme="minorEastAsia" w:hAnsiTheme="minorEastAsia" w:eastAsiaTheme="minorEastAsia"/>
                        <w:szCs w:val="21"/>
                      </w:rPr>
                    </w:pPr>
                    <w:r>
                      <w:rPr>
                        <w:rFonts w:asciiTheme="minorEastAsia" w:hAnsiTheme="minorEastAsia" w:eastAsiaTheme="minorEastAsia"/>
                        <w:szCs w:val="21"/>
                      </w:rPr>
                      <w:t>一审判令</w:t>
                    </w:r>
                    <w:r>
                      <w:rPr>
                        <w:rFonts w:hint="eastAsia" w:asciiTheme="minorEastAsia" w:hAnsiTheme="minorEastAsia" w:eastAsiaTheme="minorEastAsia"/>
                        <w:szCs w:val="21"/>
                      </w:rPr>
                      <w:t>海博瑞德（北京）汽车技术有限公司</w:t>
                    </w:r>
                    <w:r>
                      <w:rPr>
                        <w:rFonts w:asciiTheme="minorEastAsia" w:hAnsiTheme="minorEastAsia" w:eastAsiaTheme="minorEastAsia"/>
                        <w:szCs w:val="21"/>
                      </w:rPr>
                      <w:t>回购股权</w:t>
                    </w:r>
                    <w:r>
                      <w:rPr>
                        <w:rFonts w:hint="eastAsia" w:asciiTheme="minorEastAsia" w:hAnsiTheme="minorEastAsia" w:eastAsiaTheme="minorEastAsia"/>
                        <w:szCs w:val="21"/>
                      </w:rPr>
                      <w:t>并</w:t>
                    </w:r>
                    <w:r>
                      <w:rPr>
                        <w:rFonts w:asciiTheme="minorEastAsia" w:hAnsiTheme="minorEastAsia" w:eastAsiaTheme="minorEastAsia"/>
                        <w:szCs w:val="21"/>
                      </w:rPr>
                      <w:t>支付</w:t>
                    </w:r>
                    <w:r>
                      <w:rPr>
                        <w:rFonts w:hint="eastAsia" w:asciiTheme="minorEastAsia" w:hAnsiTheme="minorEastAsia" w:eastAsiaTheme="minorEastAsia"/>
                        <w:szCs w:val="21"/>
                      </w:rPr>
                      <w:t>股权</w:t>
                    </w:r>
                    <w:r>
                      <w:rPr>
                        <w:rFonts w:asciiTheme="minorEastAsia" w:hAnsiTheme="minorEastAsia" w:eastAsiaTheme="minorEastAsia"/>
                        <w:szCs w:val="21"/>
                      </w:rPr>
                      <w:t>回购款5,111万元</w:t>
                    </w:r>
                    <w:r>
                      <w:rPr>
                        <w:rFonts w:hint="eastAsia" w:asciiTheme="minorEastAsia" w:hAnsiTheme="minorEastAsia" w:eastAsiaTheme="minorEastAsia"/>
                        <w:szCs w:val="21"/>
                      </w:rPr>
                      <w:t>及相应利息</w:t>
                    </w:r>
                    <w:r>
                      <w:rPr>
                        <w:rFonts w:asciiTheme="minorEastAsia" w:hAnsiTheme="minorEastAsia" w:eastAsiaTheme="minorEastAsia"/>
                        <w:szCs w:val="21"/>
                      </w:rPr>
                      <w:t>，</w:t>
                    </w:r>
                    <w:r>
                      <w:rPr>
                        <w:rFonts w:hint="eastAsia" w:asciiTheme="minorEastAsia" w:hAnsiTheme="minorEastAsia" w:eastAsiaTheme="minorEastAsia"/>
                        <w:szCs w:val="21"/>
                      </w:rPr>
                      <w:t>袁涛承担连带清偿责任；应诉方向重庆市高级人民法院上诉，暂无法判断对公司的影响。</w:t>
                    </w:r>
                  </w:p>
                </w:tc>
                <w:tc>
                  <w:tcPr>
                    <w:tcW w:w="645" w:type="dxa"/>
                    <w:vAlign w:val="center"/>
                  </w:tcPr>
                  <w:p>
                    <w:pPr>
                      <w:widowControl w:val="0"/>
                      <w:jc w:val="both"/>
                      <w:rPr>
                        <w:rFonts w:asciiTheme="minorEastAsia" w:hAnsiTheme="minorEastAsia" w:eastAsiaTheme="minorEastAsia" w:cstheme="minorBidi"/>
                        <w:kern w:val="2"/>
                        <w:szCs w:val="21"/>
                      </w:rPr>
                    </w:pPr>
                    <w:r>
                      <w:rPr>
                        <w:rFonts w:hint="eastAsia" w:asciiTheme="minorEastAsia" w:hAnsiTheme="minorEastAsia" w:eastAsiaTheme="minorEastAsia" w:cstheme="minorBidi"/>
                        <w:kern w:val="2"/>
                        <w:szCs w:val="21"/>
                      </w:rPr>
                      <w:t>无</w:t>
                    </w:r>
                  </w:p>
                </w:tc>
              </w:tr>
            </w:sdtContent>
          </w:sdt>
        </w:tbl>
        <w:p/>
      </w:sdtContent>
    </w:sdt>
    <w:sdt>
      <w:sdtPr>
        <w:rPr>
          <w:rFonts w:hint="eastAsia" w:ascii="宋体" w:hAnsi="宋体" w:cs="宋体"/>
          <w:b w:val="0"/>
          <w:bCs w:val="0"/>
          <w:kern w:val="0"/>
          <w:szCs w:val="21"/>
        </w:rPr>
        <w:alias w:val="模块:重大诉讼、仲裁事项的说明"/>
        <w:tag w:val="_SEC_d48e48b1d43741b4bf7cdf012e359c8e"/>
        <w:id w:val="434404876"/>
        <w:lock w:val="sdtLocked"/>
        <w:placeholder>
          <w:docPart w:val="GBC22222222222222222222222222222"/>
        </w:placeholder>
      </w:sdtPr>
      <w:sdtEndPr>
        <w:rPr>
          <w:rFonts w:hint="eastAsia" w:cs="宋体" w:asciiTheme="minorEastAsia" w:hAnsiTheme="minorEastAsia" w:eastAsiaTheme="minorEastAsia"/>
          <w:b w:val="0"/>
          <w:bCs w:val="0"/>
          <w:kern w:val="0"/>
          <w:szCs w:val="21"/>
        </w:rPr>
      </w:sdtEndPr>
      <w:sdtContent>
        <w:p>
          <w:pPr>
            <w:pStyle w:val="4"/>
            <w:numPr>
              <w:ilvl w:val="0"/>
              <w:numId w:val="31"/>
            </w:numPr>
            <w:spacing w:before="0" w:after="0" w:line="360" w:lineRule="auto"/>
            <w:rPr>
              <w:rFonts w:asciiTheme="minorEastAsia" w:hAnsiTheme="minorEastAsia" w:eastAsiaTheme="minorEastAsia"/>
              <w:szCs w:val="21"/>
            </w:rPr>
          </w:pPr>
          <w:r>
            <w:rPr>
              <w:szCs w:val="21"/>
            </w:rPr>
            <w:t>其他</w:t>
          </w:r>
          <w:r>
            <w:rPr>
              <w:rFonts w:asciiTheme="minorEastAsia" w:hAnsiTheme="minorEastAsia" w:eastAsiaTheme="minorEastAsia"/>
              <w:szCs w:val="21"/>
            </w:rPr>
            <w:t>说明</w:t>
          </w:r>
        </w:p>
        <w:sdt>
          <w:sdtPr>
            <w:rPr>
              <w:rFonts w:hint="eastAsia" w:asciiTheme="minorEastAsia" w:hAnsiTheme="minorEastAsia" w:eastAsiaTheme="minorEastAsia"/>
              <w:szCs w:val="21"/>
            </w:rPr>
            <w:alias w:val="是否适用：重大诉讼、仲裁事项其他说明[双击切换]"/>
            <w:tag w:val="_GBC_08b4ed5586904b67b0e5328f25166753"/>
            <w:id w:val="-2009360796"/>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4"/>
        </w:rPr>
        <w:alias w:val="模块:上市公司及其董事、监事、高级管理人员、控股股东、实际控制人、..."/>
        <w:tag w:val="_SEC_ab4d5b987db046049f25c9a37c5fcef6"/>
        <w:id w:val="1105858184"/>
        <w:lock w:val="sdtLocked"/>
        <w:placeholder>
          <w:docPart w:val="GBC22222222222222222222222222222"/>
        </w:placeholder>
      </w:sdtPr>
      <w:sdtEndPr>
        <w:rPr>
          <w:rFonts w:cs="宋体" w:asciiTheme="minorEastAsia" w:hAnsiTheme="minorEastAsia" w:eastAsiaTheme="minorEastAsia"/>
          <w:b w:val="0"/>
          <w:bCs w:val="0"/>
          <w:kern w:val="0"/>
          <w:szCs w:val="24"/>
        </w:rPr>
      </w:sdtEndPr>
      <w:sdtContent>
        <w:p>
          <w:pPr>
            <w:pStyle w:val="3"/>
            <w:numPr>
              <w:ilvl w:val="0"/>
              <w:numId w:val="27"/>
            </w:numPr>
            <w:spacing w:before="0" w:after="0" w:line="360" w:lineRule="auto"/>
            <w:rPr>
              <w:rFonts w:asciiTheme="minorEastAsia" w:hAnsiTheme="minorEastAsia" w:eastAsiaTheme="minorEastAsia"/>
            </w:rPr>
          </w:pPr>
          <w:r>
            <w:rPr>
              <w:rFonts w:asciiTheme="minorEastAsia" w:hAnsiTheme="minorEastAsia" w:eastAsiaTheme="minorEastAsia"/>
            </w:rPr>
            <w:t>上市公司</w:t>
          </w:r>
          <w:r>
            <w:rPr>
              <w:rFonts w:hint="eastAsia" w:asciiTheme="minorEastAsia" w:hAnsiTheme="minorEastAsia" w:eastAsiaTheme="minorEastAsia"/>
            </w:rPr>
            <w:t>及其董事、监事、高级管理人员、控股股东、实际控制人</w:t>
          </w:r>
          <w:r>
            <w:rPr>
              <w:rFonts w:asciiTheme="minorEastAsia" w:hAnsiTheme="minorEastAsia" w:eastAsiaTheme="minorEastAsia"/>
            </w:rPr>
            <w:t>涉嫌违法违规、受到处罚及整改情况</w:t>
          </w:r>
        </w:p>
        <w:sdt>
          <w:sdtPr>
            <w:rPr>
              <w:rFonts w:asciiTheme="minorEastAsia" w:hAnsiTheme="minorEastAsia" w:eastAsiaTheme="minorEastAsia"/>
              <w:szCs w:val="21"/>
            </w:rPr>
            <w:alias w:val="是否适用：上市公司及其董事、监事、高级管理人员、持有5%以上股份的股东、实际控制人、收购人处罚及整改情况[双击切换]"/>
            <w:tag w:val="_GBC_123762bb7717485a933e24f7a072833b"/>
            <w:id w:val="-63102754"/>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szCs w:val="21"/>
            </w:rPr>
            <w:alias w:val="公司、董事会、董事受处罚及整改情况"/>
            <w:tag w:val="_GBC_22b505e911e0454088ff7cedea338e39"/>
            <w:id w:val="4639816"/>
            <w:lock w:val="sdtLocked"/>
          </w:sdtPr>
          <w:sdtEndPr>
            <w:rPr>
              <w:rFonts w:hint="eastAsia" w:asciiTheme="minorEastAsia" w:hAnsiTheme="minorEastAsia" w:eastAsiaTheme="minorEastAsia"/>
              <w:szCs w:val="21"/>
            </w:rPr>
          </w:sdtEndPr>
          <w:sdtContent>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公司原控股股东力帆控股及原实际控制人尹明善、陈巧凤、尹喜地、尹索微分别于</w:t>
              </w:r>
              <w:r>
                <w:rPr>
                  <w:rFonts w:asciiTheme="minorEastAsia" w:hAnsiTheme="minorEastAsia" w:eastAsiaTheme="minorEastAsia"/>
                  <w:szCs w:val="21"/>
                </w:rPr>
                <w:t>2020年10月收到中国证监会下发的《调查通知书》，因力帆控股、尹明善、陈巧凤、尹喜地、尹索微涉嫌信息披露违法违规，中国证监会决定对其立案调查。2021年4月收到中国证监会重庆监管局下发的《行政监管措施决定书》决定对尹明善、陈巧凤、尹喜地、尹索微、汤晓东采取出具警示函的行政监管措施；并收到中国证监会下发的《结案告知书》，本案根据有关规定符合结案条件，决定结案。详见2021年4月30日披露的《力帆科技（集团）股份有限公司关于原控股股东及原</w:t>
              </w:r>
              <w:r>
                <w:rPr>
                  <w:rFonts w:hint="eastAsia" w:asciiTheme="minorEastAsia" w:hAnsiTheme="minorEastAsia" w:eastAsiaTheme="minorEastAsia"/>
                  <w:szCs w:val="21"/>
                </w:rPr>
                <w:t>实际控制人收到中国证券监督管理委员会</w:t>
              </w:r>
              <w:r>
                <w:rPr>
                  <w:rFonts w:asciiTheme="minorEastAsia" w:hAnsiTheme="minorEastAsia" w:eastAsiaTheme="minorEastAsia"/>
                  <w:szCs w:val="21"/>
                </w:rPr>
                <w:t>&lt;行政监管措施决定书&gt;及&lt;结案告知书&gt;的公告》（公告编号：临2021-043）。</w:t>
              </w:r>
            </w:p>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上述事项发现后公司原控股股东及原实际控制人立即进行整改并已完成，且未对公司造成实际损失。公司重整完成后，公司控股股东、实际控制人已发生变更，并于</w:t>
              </w:r>
              <w:r>
                <w:rPr>
                  <w:rFonts w:asciiTheme="minorEastAsia" w:hAnsiTheme="minorEastAsia" w:eastAsiaTheme="minorEastAsia"/>
                  <w:szCs w:val="21"/>
                </w:rPr>
                <w:t>2021年1月22日选举了新一届董事会、监事会成员。</w:t>
              </w:r>
            </w:p>
          </w:sdtContent>
        </w:sdt>
      </w:sdtContent>
    </w:sdt>
    <w:sdt>
      <w:sdtPr>
        <w:rPr>
          <w:rFonts w:hint="eastAsia" w:cs="宋体" w:asciiTheme="minorEastAsia" w:hAnsiTheme="minorEastAsia" w:eastAsiaTheme="minorEastAsia"/>
          <w:b w:val="0"/>
          <w:bCs w:val="0"/>
          <w:kern w:val="0"/>
          <w:szCs w:val="24"/>
        </w:rPr>
        <w:alias w:val="模块:报告期内公司及其控股股东、实际控制人诚信状况的说明"/>
        <w:tag w:val="_SEC_a173054d21f9405fa83bf7d1309bfdc4"/>
        <w:id w:val="1838958228"/>
        <w:lock w:val="sdtLocked"/>
        <w:placeholder>
          <w:docPart w:val="GBC22222222222222222222222222222"/>
        </w:placeholder>
      </w:sdtPr>
      <w:sdtEndPr>
        <w:rPr>
          <w:rFonts w:hint="eastAsia" w:cs="宋体" w:asciiTheme="minorEastAsia" w:hAnsiTheme="minorEastAsia" w:eastAsiaTheme="minorEastAsia"/>
          <w:b w:val="0"/>
          <w:bCs w:val="0"/>
          <w:kern w:val="0"/>
          <w:szCs w:val="24"/>
        </w:rPr>
      </w:sdtEndPr>
      <w:sdtContent>
        <w:p>
          <w:pPr>
            <w:pStyle w:val="3"/>
            <w:numPr>
              <w:ilvl w:val="0"/>
              <w:numId w:val="27"/>
            </w:numPr>
            <w:spacing w:before="0" w:after="0" w:line="360" w:lineRule="auto"/>
            <w:rPr>
              <w:rFonts w:asciiTheme="minorEastAsia" w:hAnsiTheme="minorEastAsia" w:eastAsiaTheme="minorEastAsia"/>
            </w:rPr>
          </w:pPr>
          <w:r>
            <w:rPr>
              <w:rFonts w:hint="eastAsia" w:asciiTheme="minorEastAsia" w:hAnsiTheme="minorEastAsia" w:eastAsiaTheme="minorEastAsia"/>
            </w:rPr>
            <w:t>报告期内公司及其控股股东、实际控制人诚信状况的说明</w:t>
          </w:r>
        </w:p>
        <w:sdt>
          <w:sdtPr>
            <w:rPr>
              <w:rFonts w:hint="eastAsia" w:asciiTheme="minorEastAsia" w:hAnsiTheme="minorEastAsia" w:eastAsiaTheme="minorEastAsia"/>
              <w:szCs w:val="21"/>
            </w:rPr>
            <w:alias w:val="是否适用：报告期内公司及其控股股东、实际控制人诚信状况的说明[双击切换]"/>
            <w:tag w:val="_GBC_c52f51ce49eb4245a9df7baca2947656"/>
            <w:id w:val="-1069884936"/>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p>
      <w:pPr>
        <w:pStyle w:val="3"/>
        <w:numPr>
          <w:ilvl w:val="0"/>
          <w:numId w:val="27"/>
        </w:numPr>
        <w:spacing w:before="0" w:after="0" w:line="360" w:lineRule="auto"/>
        <w:rPr>
          <w:rFonts w:asciiTheme="minorEastAsia" w:hAnsiTheme="minorEastAsia" w:eastAsiaTheme="minorEastAsia"/>
        </w:rPr>
      </w:pPr>
      <w:r>
        <w:rPr>
          <w:rFonts w:hint="eastAsia" w:asciiTheme="minorEastAsia" w:hAnsiTheme="minorEastAsia" w:eastAsiaTheme="minorEastAsia"/>
        </w:rPr>
        <w:t>重大关联交易</w:t>
      </w:r>
    </w:p>
    <w:p>
      <w:pPr>
        <w:pStyle w:val="4"/>
        <w:numPr>
          <w:ilvl w:val="2"/>
          <w:numId w:val="5"/>
        </w:numPr>
        <w:spacing w:before="0" w:after="0" w:line="360" w:lineRule="auto"/>
        <w:rPr>
          <w:rFonts w:asciiTheme="minorEastAsia" w:hAnsiTheme="minorEastAsia" w:eastAsiaTheme="minorEastAsia"/>
          <w:szCs w:val="21"/>
        </w:rPr>
      </w:pPr>
      <w:bookmarkStart w:id="70" w:name="_Toc342491961"/>
      <w:bookmarkStart w:id="71" w:name="_Toc342565953"/>
      <w:r>
        <w:rPr>
          <w:rFonts w:hint="eastAsia" w:asciiTheme="minorEastAsia" w:hAnsiTheme="minorEastAsia" w:eastAsiaTheme="minorEastAsia"/>
          <w:szCs w:val="21"/>
        </w:rPr>
        <w:t>与日常经营相关的关联交易</w:t>
      </w:r>
      <w:bookmarkEnd w:id="70"/>
      <w:bookmarkEnd w:id="71"/>
    </w:p>
    <w:sdt>
      <w:sdtPr>
        <w:rPr>
          <w:rFonts w:ascii="宋体" w:hAnsi="宋体" w:eastAsia="宋体" w:cs="宋体"/>
          <w:b w:val="0"/>
          <w:bCs w:val="0"/>
          <w:kern w:val="0"/>
          <w:szCs w:val="21"/>
        </w:rPr>
        <w:alias w:val="模块:已在临时公告披露且后续实施无进展或变化的事项"/>
        <w:tag w:val="_SEC_9b2b3d5bc53a45ad87e57bafa9cc658c"/>
        <w:id w:val="-1227838206"/>
        <w:lock w:val="sdtLocked"/>
        <w:placeholder>
          <w:docPart w:val="GBC22222222222222222222222222222"/>
        </w:placeholder>
      </w:sdtPr>
      <w:sdtEndPr>
        <w:rPr>
          <w:rFonts w:ascii="宋体" w:hAnsi="宋体" w:eastAsia="宋体" w:cs="宋体"/>
          <w:b w:val="0"/>
          <w:bCs w:val="0"/>
          <w:kern w:val="0"/>
          <w:szCs w:val="21"/>
        </w:rPr>
      </w:sdtEndPr>
      <w:sdtContent>
        <w:p>
          <w:pPr>
            <w:pStyle w:val="5"/>
            <w:spacing w:before="0" w:after="0" w:line="360" w:lineRule="auto"/>
            <w:ind w:left="142"/>
            <w:rPr>
              <w:szCs w:val="21"/>
              <w:highlight w:val="yellow"/>
            </w:rPr>
          </w:pPr>
          <w:r>
            <w:rPr>
              <w:rFonts w:cs="宋体"/>
              <w:b w:val="0"/>
              <w:bCs w:val="0"/>
              <w:kern w:val="0"/>
              <w:szCs w:val="21"/>
            </w:rPr>
            <w:t>1</w:t>
          </w:r>
          <w:r>
            <w:rPr>
              <w:rFonts w:hint="eastAsia" w:cs="宋体"/>
              <w:b w:val="0"/>
              <w:bCs w:val="0"/>
              <w:kern w:val="0"/>
              <w:szCs w:val="21"/>
            </w:rPr>
            <w:t>、</w:t>
          </w:r>
          <w:r>
            <w:rPr>
              <w:szCs w:val="21"/>
            </w:rPr>
            <w:t>已在临时公告披露且后续实施无进展或变化的事项</w:t>
          </w:r>
        </w:p>
        <w:sdt>
          <w:sdtPr>
            <w:rPr>
              <w:rFonts w:asciiTheme="minorEastAsia" w:hAnsiTheme="minorEastAsia" w:eastAsiaTheme="minorEastAsia"/>
              <w:szCs w:val="21"/>
            </w:rPr>
            <w:alias w:val="是否适用：已在临时公告披露且后续实施无进展或变化的事项_与日常经营相关的关联交易[双击切换]"/>
            <w:tag w:val="_GBC_6194ac6d54054fcc9f40dc3e35772780"/>
            <w:id w:val="-532040377"/>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sdt>
      <w:sdtPr>
        <w:rPr>
          <w:rFonts w:ascii="宋体" w:hAnsi="宋体" w:eastAsia="宋体" w:cs="宋体"/>
          <w:b w:val="0"/>
          <w:bCs w:val="0"/>
          <w:kern w:val="0"/>
          <w:szCs w:val="21"/>
        </w:rPr>
        <w:alias w:val="模块:已在临时公告披露，但有后续实施的进展或变化的事项"/>
        <w:tag w:val="_SEC_c2c70cd3f9974feb98c2265569f9b212"/>
        <w:id w:val="1558864"/>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spacing w:before="0" w:after="0" w:line="360" w:lineRule="auto"/>
            <w:ind w:left="142"/>
            <w:rPr>
              <w:szCs w:val="21"/>
            </w:rPr>
          </w:pPr>
          <w:r>
            <w:rPr>
              <w:rFonts w:cs="宋体"/>
              <w:b w:val="0"/>
              <w:bCs w:val="0"/>
              <w:kern w:val="0"/>
              <w:szCs w:val="21"/>
            </w:rPr>
            <w:t>2</w:t>
          </w:r>
          <w:r>
            <w:rPr>
              <w:rFonts w:hint="eastAsia" w:cs="宋体"/>
              <w:b w:val="0"/>
              <w:bCs w:val="0"/>
              <w:kern w:val="0"/>
              <w:szCs w:val="21"/>
            </w:rPr>
            <w:t>、</w:t>
          </w:r>
          <w:r>
            <w:rPr>
              <w:szCs w:val="21"/>
            </w:rPr>
            <w:t>已在临时公告披露，但有后续实施的进展或变化的事项</w:t>
          </w:r>
        </w:p>
        <w:sdt>
          <w:sdtPr>
            <w:rPr>
              <w:rFonts w:hint="eastAsia" w:asciiTheme="minorEastAsia" w:hAnsiTheme="minorEastAsia" w:eastAsiaTheme="minorEastAsia"/>
              <w:szCs w:val="21"/>
            </w:rPr>
            <w:alias w:val="是否适用：已在临时公告披露，但有后续实施的进展或变化的事项_与日常经营相关的关联交易[双击切换]"/>
            <w:tag w:val="_GBC_19ed12f3e7b5456b8509a0a5457f26b3"/>
            <w:id w:val="-2112656492"/>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szCs w:val="21"/>
            </w:rPr>
            <w:alias w:val="与日常经营相关的关联交易事项已在临时报告披露，后续实施的进展或变化"/>
            <w:tag w:val="_GBC_5fbfc287aede44a486960ae219233887"/>
            <w:id w:val="1411501867"/>
            <w:lock w:val="sdtLocked"/>
          </w:sdtPr>
          <w:sdtEndPr>
            <w:rPr>
              <w:rFonts w:hint="eastAsia" w:asciiTheme="minorEastAsia" w:hAnsiTheme="minorEastAsia" w:eastAsiaTheme="minorEastAsia"/>
              <w:szCs w:val="21"/>
            </w:rPr>
          </w:sdtEndPr>
          <w:sdtContent>
            <w:p>
              <w:pPr>
                <w:spacing w:line="360" w:lineRule="auto"/>
                <w:ind w:firstLine="420" w:firstLineChars="200"/>
                <w:rPr>
                  <w:rFonts w:cs="Arial" w:asciiTheme="minorEastAsia" w:hAnsiTheme="minorEastAsia" w:eastAsiaTheme="minorEastAsia"/>
                  <w:szCs w:val="21"/>
                  <w:shd w:val="clear" w:color="auto" w:fill="FFFFFF"/>
                </w:rPr>
              </w:pPr>
              <w:r>
                <w:rPr>
                  <w:rFonts w:hint="eastAsia" w:asciiTheme="minorEastAsia" w:hAnsiTheme="minorEastAsia" w:eastAsiaTheme="minorEastAsia"/>
                  <w:szCs w:val="21"/>
                </w:rPr>
                <w:t>公司于</w:t>
              </w:r>
              <w:r>
                <w:rPr>
                  <w:rFonts w:hint="eastAsia" w:cs="Courier New" w:asciiTheme="minorEastAsia" w:hAnsiTheme="minorEastAsia" w:eastAsiaTheme="minorEastAsia"/>
                  <w:szCs w:val="21"/>
                  <w:shd w:val="clear" w:color="auto" w:fill="FFFFFF"/>
                </w:rPr>
                <w:t>2021年4月9日、</w:t>
              </w:r>
              <w:r>
                <w:rPr>
                  <w:rFonts w:cs="Courier New" w:asciiTheme="minorEastAsia" w:hAnsiTheme="minorEastAsia" w:eastAsiaTheme="minorEastAsia"/>
                  <w:szCs w:val="21"/>
                  <w:shd w:val="clear" w:color="auto" w:fill="FFFFFF"/>
                </w:rPr>
                <w:t>2021</w:t>
              </w:r>
              <w:r>
                <w:rPr>
                  <w:rFonts w:cs="Arial" w:asciiTheme="minorEastAsia" w:hAnsiTheme="minorEastAsia" w:eastAsiaTheme="minorEastAsia"/>
                  <w:szCs w:val="21"/>
                  <w:shd w:val="clear" w:color="auto" w:fill="FFFFFF"/>
                </w:rPr>
                <w:t>年</w:t>
              </w:r>
              <w:r>
                <w:rPr>
                  <w:rFonts w:hint="eastAsia" w:cs="Courier New" w:asciiTheme="minorEastAsia" w:hAnsiTheme="minorEastAsia" w:eastAsiaTheme="minorEastAsia"/>
                  <w:szCs w:val="21"/>
                  <w:shd w:val="clear" w:color="auto" w:fill="FFFFFF"/>
                </w:rPr>
                <w:t>4</w:t>
              </w:r>
              <w:r>
                <w:rPr>
                  <w:rFonts w:cs="Arial" w:asciiTheme="minorEastAsia" w:hAnsiTheme="minorEastAsia" w:eastAsiaTheme="minorEastAsia"/>
                  <w:szCs w:val="21"/>
                  <w:shd w:val="clear" w:color="auto" w:fill="FFFFFF"/>
                </w:rPr>
                <w:t>月</w:t>
              </w:r>
              <w:r>
                <w:rPr>
                  <w:rFonts w:hint="eastAsia" w:cs="Courier New" w:asciiTheme="minorEastAsia" w:hAnsiTheme="minorEastAsia" w:eastAsiaTheme="minorEastAsia"/>
                  <w:szCs w:val="21"/>
                  <w:shd w:val="clear" w:color="auto" w:fill="FFFFFF"/>
                </w:rPr>
                <w:t>30</w:t>
              </w:r>
              <w:r>
                <w:rPr>
                  <w:rFonts w:cs="Arial" w:asciiTheme="minorEastAsia" w:hAnsiTheme="minorEastAsia" w:eastAsiaTheme="minorEastAsia"/>
                  <w:szCs w:val="21"/>
                  <w:shd w:val="clear" w:color="auto" w:fill="FFFFFF"/>
                </w:rPr>
                <w:t>日</w:t>
              </w:r>
              <w:r>
                <w:rPr>
                  <w:rFonts w:hint="eastAsia" w:asciiTheme="minorEastAsia" w:hAnsiTheme="minorEastAsia" w:eastAsiaTheme="minorEastAsia"/>
                  <w:szCs w:val="21"/>
                </w:rPr>
                <w:t>分别</w:t>
              </w:r>
              <w:r>
                <w:rPr>
                  <w:rFonts w:hint="eastAsia" w:cs="Courier New" w:asciiTheme="minorEastAsia" w:hAnsiTheme="minorEastAsia" w:eastAsiaTheme="minorEastAsia"/>
                  <w:szCs w:val="21"/>
                  <w:shd w:val="clear" w:color="auto" w:fill="FFFFFF"/>
                </w:rPr>
                <w:t>召开</w:t>
              </w:r>
              <w:r>
                <w:rPr>
                  <w:rFonts w:hint="eastAsia" w:asciiTheme="minorEastAsia" w:hAnsiTheme="minorEastAsia" w:eastAsiaTheme="minorEastAsia"/>
                  <w:szCs w:val="21"/>
                </w:rPr>
                <w:t>第五届董事会第二次会议及</w:t>
              </w:r>
              <w:r>
                <w:rPr>
                  <w:rFonts w:cs="Courier New" w:asciiTheme="minorEastAsia" w:hAnsiTheme="minorEastAsia" w:eastAsiaTheme="minorEastAsia"/>
                  <w:szCs w:val="21"/>
                  <w:shd w:val="clear" w:color="auto" w:fill="FFFFFF"/>
                </w:rPr>
                <w:t xml:space="preserve">2020 </w:t>
              </w:r>
              <w:r>
                <w:rPr>
                  <w:rFonts w:cs="Arial" w:asciiTheme="minorEastAsia" w:hAnsiTheme="minorEastAsia" w:eastAsiaTheme="minorEastAsia"/>
                  <w:szCs w:val="21"/>
                  <w:shd w:val="clear" w:color="auto" w:fill="FFFFFF"/>
                </w:rPr>
                <w:t>年年度股东大会</w:t>
              </w:r>
              <w:r>
                <w:rPr>
                  <w:rFonts w:hint="eastAsia" w:cs="Arial" w:asciiTheme="minorEastAsia" w:hAnsiTheme="minorEastAsia" w:eastAsiaTheme="minorEastAsia"/>
                  <w:szCs w:val="21"/>
                  <w:shd w:val="clear" w:color="auto" w:fill="FFFFFF"/>
                </w:rPr>
                <w:t>审议</w:t>
              </w:r>
              <w:r>
                <w:rPr>
                  <w:rFonts w:hint="eastAsia" w:asciiTheme="minorEastAsia" w:hAnsiTheme="minorEastAsia" w:eastAsiaTheme="minorEastAsia"/>
                  <w:szCs w:val="21"/>
                </w:rPr>
                <w:t>通过《关于</w:t>
              </w:r>
              <w:r>
                <w:rPr>
                  <w:rFonts w:asciiTheme="minorEastAsia" w:hAnsiTheme="minorEastAsia" w:eastAsiaTheme="minorEastAsia"/>
                  <w:szCs w:val="21"/>
                </w:rPr>
                <w:t>2020年度日常关联交易实施情况及2021年度日常关联交易计划的议案</w:t>
              </w:r>
              <w:r>
                <w:rPr>
                  <w:rFonts w:hint="eastAsia" w:asciiTheme="minorEastAsia" w:hAnsiTheme="minorEastAsia" w:eastAsiaTheme="minorEastAsia"/>
                  <w:szCs w:val="21"/>
                </w:rPr>
                <w:t>》</w:t>
              </w:r>
              <w:r>
                <w:rPr>
                  <w:rFonts w:asciiTheme="minorEastAsia" w:hAnsiTheme="minorEastAsia" w:eastAsiaTheme="minorEastAsia"/>
                  <w:szCs w:val="21"/>
                </w:rPr>
                <w:t>，根据公司2021年生产经营的需要预计2021年度日常关联交易。</w:t>
              </w:r>
              <w:r>
                <w:rPr>
                  <w:rFonts w:cs="Arial" w:asciiTheme="minorEastAsia" w:hAnsiTheme="minorEastAsia" w:eastAsiaTheme="minorEastAsia"/>
                  <w:szCs w:val="21"/>
                  <w:shd w:val="clear" w:color="auto" w:fill="FFFFFF"/>
                </w:rPr>
                <w:t>该次关联交易预计情况具体内容</w:t>
              </w:r>
              <w:r>
                <w:rPr>
                  <w:rFonts w:hint="eastAsia" w:asciiTheme="minorEastAsia" w:hAnsiTheme="minorEastAsia" w:eastAsiaTheme="minorEastAsia"/>
                  <w:szCs w:val="21"/>
                </w:rPr>
                <w:t>详见2021年4月10日披露的</w:t>
              </w:r>
              <w:r>
                <w:rPr>
                  <w:rFonts w:asciiTheme="minorEastAsia" w:hAnsiTheme="minorEastAsia" w:eastAsiaTheme="minorEastAsia"/>
                  <w:szCs w:val="21"/>
                </w:rPr>
                <w:t>《</w:t>
              </w:r>
              <w:r>
                <w:rPr>
                  <w:rFonts w:hint="eastAsia" w:asciiTheme="minorEastAsia" w:hAnsiTheme="minorEastAsia" w:eastAsiaTheme="minorEastAsia"/>
                  <w:szCs w:val="21"/>
                </w:rPr>
                <w:t>力帆科技（集团）股份有限公司关于</w:t>
              </w:r>
              <w:r>
                <w:rPr>
                  <w:rFonts w:asciiTheme="minorEastAsia" w:hAnsiTheme="minorEastAsia" w:eastAsiaTheme="minorEastAsia"/>
                  <w:szCs w:val="21"/>
                </w:rPr>
                <w:t>2020年度日常关联交易实施情况及2021年度日常关联交易计划的公告</w:t>
              </w:r>
              <w:r>
                <w:rPr>
                  <w:rFonts w:hint="eastAsia" w:asciiTheme="minorEastAsia" w:hAnsiTheme="minorEastAsia" w:eastAsiaTheme="minorEastAsia"/>
                  <w:szCs w:val="21"/>
                </w:rPr>
                <w:t>》（</w:t>
              </w:r>
              <w:r>
                <w:rPr>
                  <w:rFonts w:asciiTheme="minorEastAsia" w:hAnsiTheme="minorEastAsia" w:eastAsiaTheme="minorEastAsia"/>
                  <w:szCs w:val="21"/>
                </w:rPr>
                <w:t>公告编号：</w:t>
              </w:r>
              <w:r>
                <w:rPr>
                  <w:rFonts w:hint="eastAsia" w:asciiTheme="minorEastAsia" w:hAnsiTheme="minorEastAsia" w:eastAsiaTheme="minorEastAsia"/>
                  <w:szCs w:val="21"/>
                </w:rPr>
                <w:t>临2021</w:t>
              </w:r>
              <w:r>
                <w:rPr>
                  <w:rFonts w:asciiTheme="minorEastAsia" w:hAnsiTheme="minorEastAsia" w:eastAsiaTheme="minorEastAsia"/>
                  <w:szCs w:val="21"/>
                </w:rPr>
                <w:t>-030</w:t>
              </w:r>
              <w:r>
                <w:rPr>
                  <w:rFonts w:hint="eastAsia" w:asciiTheme="minorEastAsia" w:hAnsiTheme="minorEastAsia" w:eastAsiaTheme="minorEastAsia"/>
                  <w:szCs w:val="21"/>
                </w:rPr>
                <w:t>）。</w:t>
              </w:r>
            </w:p>
            <w:p>
              <w:pPr>
                <w:spacing w:line="360" w:lineRule="auto"/>
                <w:ind w:firstLine="420" w:firstLineChars="200"/>
                <w:rPr>
                  <w:rFonts w:cs="Arial" w:asciiTheme="minorEastAsia" w:hAnsiTheme="minorEastAsia" w:eastAsiaTheme="minorEastAsia"/>
                  <w:szCs w:val="21"/>
                  <w:shd w:val="clear" w:color="auto" w:fill="FFFFFF"/>
                </w:rPr>
              </w:pPr>
              <w:r>
                <w:rPr>
                  <w:rFonts w:hint="eastAsia" w:cs="Courier New" w:asciiTheme="minorEastAsia" w:hAnsiTheme="minorEastAsia" w:eastAsiaTheme="minorEastAsia"/>
                  <w:szCs w:val="21"/>
                  <w:shd w:val="clear" w:color="auto" w:fill="FFFFFF"/>
                </w:rPr>
                <w:t>公司于</w:t>
              </w:r>
              <w:r>
                <w:rPr>
                  <w:rFonts w:cs="Courier New" w:asciiTheme="minorEastAsia" w:hAnsiTheme="minorEastAsia" w:eastAsiaTheme="minorEastAsia"/>
                  <w:szCs w:val="21"/>
                  <w:shd w:val="clear" w:color="auto" w:fill="FFFFFF"/>
                </w:rPr>
                <w:t>2021</w:t>
              </w:r>
              <w:r>
                <w:rPr>
                  <w:rFonts w:cs="Arial" w:asciiTheme="minorEastAsia" w:hAnsiTheme="minorEastAsia" w:eastAsiaTheme="minorEastAsia"/>
                  <w:szCs w:val="21"/>
                  <w:shd w:val="clear" w:color="auto" w:fill="FFFFFF"/>
                </w:rPr>
                <w:t>年</w:t>
              </w:r>
              <w:r>
                <w:rPr>
                  <w:rFonts w:cs="Courier New" w:asciiTheme="minorEastAsia" w:hAnsiTheme="minorEastAsia" w:eastAsiaTheme="minorEastAsia"/>
                  <w:szCs w:val="21"/>
                  <w:shd w:val="clear" w:color="auto" w:fill="FFFFFF"/>
                </w:rPr>
                <w:t>1</w:t>
              </w:r>
              <w:r>
                <w:rPr>
                  <w:rFonts w:hint="eastAsia" w:cs="Courier New" w:asciiTheme="minorEastAsia" w:hAnsiTheme="minorEastAsia" w:eastAsiaTheme="minorEastAsia"/>
                  <w:szCs w:val="21"/>
                  <w:shd w:val="clear" w:color="auto" w:fill="FFFFFF"/>
                </w:rPr>
                <w:t>2</w:t>
              </w:r>
              <w:r>
                <w:rPr>
                  <w:rFonts w:cs="Arial" w:asciiTheme="minorEastAsia" w:hAnsiTheme="minorEastAsia" w:eastAsiaTheme="minorEastAsia"/>
                  <w:szCs w:val="21"/>
                  <w:shd w:val="clear" w:color="auto" w:fill="FFFFFF"/>
                </w:rPr>
                <w:t>月</w:t>
              </w:r>
              <w:r>
                <w:rPr>
                  <w:rFonts w:hint="eastAsia" w:cs="Courier New" w:asciiTheme="minorEastAsia" w:hAnsiTheme="minorEastAsia" w:eastAsiaTheme="minorEastAsia"/>
                  <w:szCs w:val="21"/>
                  <w:shd w:val="clear" w:color="auto" w:fill="FFFFFF"/>
                </w:rPr>
                <w:t>13</w:t>
              </w:r>
              <w:r>
                <w:rPr>
                  <w:rFonts w:cs="Arial" w:asciiTheme="minorEastAsia" w:hAnsiTheme="minorEastAsia" w:eastAsiaTheme="minorEastAsia"/>
                  <w:szCs w:val="21"/>
                  <w:shd w:val="clear" w:color="auto" w:fill="FFFFFF"/>
                </w:rPr>
                <w:t>日</w:t>
              </w:r>
              <w:r>
                <w:rPr>
                  <w:rFonts w:hint="eastAsia" w:cs="Arial" w:asciiTheme="minorEastAsia" w:hAnsiTheme="minorEastAsia" w:eastAsiaTheme="minorEastAsia"/>
                  <w:szCs w:val="21"/>
                  <w:shd w:val="clear" w:color="auto" w:fill="FFFFFF"/>
                </w:rPr>
                <w:t>、</w:t>
              </w:r>
              <w:r>
                <w:rPr>
                  <w:rFonts w:cs="Courier New" w:asciiTheme="minorEastAsia" w:hAnsiTheme="minorEastAsia" w:eastAsiaTheme="minorEastAsia"/>
                  <w:szCs w:val="21"/>
                  <w:shd w:val="clear" w:color="auto" w:fill="FFFFFF"/>
                </w:rPr>
                <w:t>2021</w:t>
              </w:r>
              <w:r>
                <w:rPr>
                  <w:rFonts w:cs="Arial" w:asciiTheme="minorEastAsia" w:hAnsiTheme="minorEastAsia" w:eastAsiaTheme="minorEastAsia"/>
                  <w:szCs w:val="21"/>
                  <w:shd w:val="clear" w:color="auto" w:fill="FFFFFF"/>
                </w:rPr>
                <w:t>年</w:t>
              </w:r>
              <w:r>
                <w:rPr>
                  <w:rFonts w:hint="eastAsia" w:cs="Courier New" w:asciiTheme="minorEastAsia" w:hAnsiTheme="minorEastAsia" w:eastAsiaTheme="minorEastAsia"/>
                  <w:szCs w:val="21"/>
                  <w:shd w:val="clear" w:color="auto" w:fill="FFFFFF"/>
                </w:rPr>
                <w:t>12</w:t>
              </w:r>
              <w:r>
                <w:rPr>
                  <w:rFonts w:cs="Arial" w:asciiTheme="minorEastAsia" w:hAnsiTheme="minorEastAsia" w:eastAsiaTheme="minorEastAsia"/>
                  <w:szCs w:val="21"/>
                  <w:shd w:val="clear" w:color="auto" w:fill="FFFFFF"/>
                </w:rPr>
                <w:t>月</w:t>
              </w:r>
              <w:r>
                <w:rPr>
                  <w:rFonts w:hint="eastAsia" w:cs="Courier New" w:asciiTheme="minorEastAsia" w:hAnsiTheme="minorEastAsia" w:eastAsiaTheme="minorEastAsia"/>
                  <w:szCs w:val="21"/>
                  <w:shd w:val="clear" w:color="auto" w:fill="FFFFFF"/>
                </w:rPr>
                <w:t>29</w:t>
              </w:r>
              <w:r>
                <w:rPr>
                  <w:rFonts w:cs="Arial" w:asciiTheme="minorEastAsia" w:hAnsiTheme="minorEastAsia" w:eastAsiaTheme="minorEastAsia"/>
                  <w:szCs w:val="21"/>
                  <w:shd w:val="clear" w:color="auto" w:fill="FFFFFF"/>
                </w:rPr>
                <w:t>日</w:t>
              </w:r>
              <w:r>
                <w:rPr>
                  <w:rFonts w:hint="eastAsia" w:cs="Courier New" w:asciiTheme="minorEastAsia" w:hAnsiTheme="minorEastAsia" w:eastAsiaTheme="minorEastAsia"/>
                  <w:szCs w:val="21"/>
                  <w:shd w:val="clear" w:color="auto" w:fill="FFFFFF"/>
                </w:rPr>
                <w:t>分别</w:t>
              </w:r>
              <w:r>
                <w:rPr>
                  <w:rFonts w:cs="Arial" w:asciiTheme="minorEastAsia" w:hAnsiTheme="minorEastAsia" w:eastAsiaTheme="minorEastAsia"/>
                  <w:szCs w:val="21"/>
                  <w:shd w:val="clear" w:color="auto" w:fill="FFFFFF"/>
                </w:rPr>
                <w:t>召开</w:t>
              </w:r>
              <w:r>
                <w:rPr>
                  <w:rFonts w:hint="eastAsia" w:asciiTheme="minorEastAsia" w:hAnsiTheme="minorEastAsia" w:eastAsiaTheme="minorEastAsia"/>
                  <w:szCs w:val="21"/>
                </w:rPr>
                <w:t>第五届董事会第七次会议及</w:t>
              </w:r>
              <w:r>
                <w:rPr>
                  <w:rFonts w:hint="eastAsia" w:cs="Courier New" w:asciiTheme="minorEastAsia" w:hAnsiTheme="minorEastAsia" w:eastAsiaTheme="minorEastAsia"/>
                  <w:szCs w:val="21"/>
                  <w:shd w:val="clear" w:color="auto" w:fill="FFFFFF"/>
                </w:rPr>
                <w:t>2021年第三次临时</w:t>
              </w:r>
              <w:r>
                <w:rPr>
                  <w:rFonts w:cs="Arial" w:asciiTheme="minorEastAsia" w:hAnsiTheme="minorEastAsia" w:eastAsiaTheme="minorEastAsia"/>
                  <w:szCs w:val="21"/>
                  <w:shd w:val="clear" w:color="auto" w:fill="FFFFFF"/>
                </w:rPr>
                <w:t>股东大会</w:t>
              </w:r>
              <w:r>
                <w:rPr>
                  <w:rFonts w:hint="eastAsia" w:asciiTheme="minorEastAsia" w:hAnsiTheme="minorEastAsia" w:eastAsiaTheme="minorEastAsia"/>
                  <w:szCs w:val="21"/>
                </w:rPr>
                <w:t>审议通过《关于增加</w:t>
              </w:r>
              <w:r>
                <w:rPr>
                  <w:rFonts w:asciiTheme="minorEastAsia" w:hAnsiTheme="minorEastAsia" w:eastAsiaTheme="minorEastAsia"/>
                  <w:szCs w:val="21"/>
                </w:rPr>
                <w:t>2021年度日常关联交易预计额度的</w:t>
              </w:r>
              <w:r>
                <w:rPr>
                  <w:rFonts w:hint="eastAsia" w:asciiTheme="minorEastAsia" w:hAnsiTheme="minorEastAsia" w:eastAsiaTheme="minorEastAsia"/>
                  <w:szCs w:val="21"/>
                </w:rPr>
                <w:t>议案</w:t>
              </w:r>
              <w:r>
                <w:rPr>
                  <w:rFonts w:asciiTheme="minorEastAsia" w:hAnsiTheme="minorEastAsia" w:eastAsiaTheme="minorEastAsia"/>
                  <w:szCs w:val="21"/>
                </w:rPr>
                <w:t>》，根据实际经营的情况增加2021年度日常关联交易预计额度。</w:t>
              </w:r>
              <w:r>
                <w:rPr>
                  <w:rFonts w:cs="Arial" w:asciiTheme="minorEastAsia" w:hAnsiTheme="minorEastAsia" w:eastAsiaTheme="minorEastAsia"/>
                  <w:szCs w:val="21"/>
                  <w:shd w:val="clear" w:color="auto" w:fill="FFFFFF"/>
                </w:rPr>
                <w:t>该次增加关联交易预计情况具体内容</w:t>
              </w:r>
              <w:r>
                <w:rPr>
                  <w:rFonts w:hint="eastAsia" w:asciiTheme="minorEastAsia" w:hAnsiTheme="minorEastAsia" w:eastAsiaTheme="minorEastAsia"/>
                  <w:szCs w:val="21"/>
                </w:rPr>
                <w:t>详见</w:t>
              </w:r>
              <w:r>
                <w:rPr>
                  <w:rFonts w:asciiTheme="minorEastAsia" w:hAnsiTheme="minorEastAsia" w:eastAsiaTheme="minorEastAsia"/>
                  <w:szCs w:val="21"/>
                </w:rPr>
                <w:t>2021年</w:t>
              </w:r>
              <w:r>
                <w:rPr>
                  <w:rFonts w:hint="eastAsia" w:asciiTheme="minorEastAsia" w:hAnsiTheme="minorEastAsia" w:eastAsiaTheme="minorEastAsia"/>
                  <w:szCs w:val="21"/>
                </w:rPr>
                <w:t>1</w:t>
              </w:r>
              <w:r>
                <w:rPr>
                  <w:rFonts w:asciiTheme="minorEastAsia" w:hAnsiTheme="minorEastAsia" w:eastAsiaTheme="minorEastAsia"/>
                  <w:szCs w:val="21"/>
                </w:rPr>
                <w:t>2月14日</w:t>
              </w:r>
              <w:r>
                <w:rPr>
                  <w:rFonts w:hint="eastAsia" w:asciiTheme="minorEastAsia" w:hAnsiTheme="minorEastAsia" w:eastAsiaTheme="minorEastAsia"/>
                  <w:szCs w:val="21"/>
                </w:rPr>
                <w:t>披露的</w:t>
              </w:r>
              <w:r>
                <w:rPr>
                  <w:rFonts w:asciiTheme="minorEastAsia" w:hAnsiTheme="minorEastAsia" w:eastAsiaTheme="minorEastAsia"/>
                  <w:szCs w:val="21"/>
                </w:rPr>
                <w:t>《</w:t>
              </w:r>
              <w:r>
                <w:rPr>
                  <w:rFonts w:hint="eastAsia" w:asciiTheme="minorEastAsia" w:hAnsiTheme="minorEastAsia" w:eastAsiaTheme="minorEastAsia"/>
                  <w:szCs w:val="21"/>
                </w:rPr>
                <w:t>力帆科技（集团）股份有限公司关于增加</w:t>
              </w:r>
              <w:r>
                <w:rPr>
                  <w:rFonts w:asciiTheme="minorEastAsia" w:hAnsiTheme="minorEastAsia" w:eastAsiaTheme="minorEastAsia"/>
                  <w:szCs w:val="21"/>
                </w:rPr>
                <w:t>2021年度日常关联交易预计额度的公告</w:t>
              </w:r>
              <w:r>
                <w:rPr>
                  <w:rFonts w:hint="eastAsia" w:asciiTheme="minorEastAsia" w:hAnsiTheme="minorEastAsia" w:eastAsiaTheme="minorEastAsia"/>
                  <w:szCs w:val="21"/>
                </w:rPr>
                <w:t>》（公告编号：临</w:t>
              </w:r>
              <w:r>
                <w:rPr>
                  <w:rFonts w:asciiTheme="minorEastAsia" w:hAnsiTheme="minorEastAsia" w:eastAsiaTheme="minorEastAsia"/>
                  <w:szCs w:val="21"/>
                </w:rPr>
                <w:t>2021-065）</w:t>
              </w:r>
              <w:r>
                <w:rPr>
                  <w:rFonts w:cs="Arial" w:asciiTheme="minorEastAsia" w:hAnsiTheme="minorEastAsia" w:eastAsiaTheme="minorEastAsia"/>
                  <w:szCs w:val="21"/>
                  <w:shd w:val="clear" w:color="auto" w:fill="FFFFFF"/>
                </w:rPr>
                <w:t>。</w:t>
              </w:r>
            </w:p>
            <w:p>
              <w:pPr>
                <w:spacing w:line="360" w:lineRule="auto"/>
                <w:ind w:firstLine="420" w:firstLineChars="200"/>
                <w:rPr>
                  <w:rFonts w:asciiTheme="minorEastAsia" w:hAnsiTheme="minorEastAsia" w:eastAsiaTheme="minorEastAsia"/>
                  <w:szCs w:val="21"/>
                </w:rPr>
              </w:pPr>
              <w:r>
                <w:rPr>
                  <w:rFonts w:cs="Arial" w:asciiTheme="minorEastAsia" w:hAnsiTheme="minorEastAsia" w:eastAsiaTheme="minorEastAsia"/>
                  <w:szCs w:val="21"/>
                  <w:shd w:val="clear" w:color="auto" w:fill="FFFFFF"/>
                </w:rPr>
                <w:t>公司本年度发生的关联交易详见</w:t>
              </w:r>
              <w:r>
                <w:rPr>
                  <w:rFonts w:hint="eastAsia" w:cs="Arial" w:asciiTheme="minorEastAsia" w:hAnsiTheme="minorEastAsia" w:eastAsiaTheme="minorEastAsia"/>
                  <w:szCs w:val="21"/>
                  <w:shd w:val="clear" w:color="auto" w:fill="FFFFFF"/>
                </w:rPr>
                <w:t>第十节财务报告</w:t>
              </w:r>
              <w:r>
                <w:rPr>
                  <w:rFonts w:cs="Arial" w:asciiTheme="minorEastAsia" w:hAnsiTheme="minorEastAsia" w:eastAsiaTheme="minorEastAsia"/>
                  <w:szCs w:val="21"/>
                  <w:shd w:val="clear" w:color="auto" w:fill="FFFFFF"/>
                </w:rPr>
                <w:t>十二</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关联方及关联交易</w:t>
              </w:r>
              <w:r>
                <w:rPr>
                  <w:rFonts w:hint="eastAsia" w:cs="Arial" w:asciiTheme="minorEastAsia" w:hAnsiTheme="minorEastAsia" w:eastAsiaTheme="minorEastAsia"/>
                  <w:szCs w:val="21"/>
                  <w:shd w:val="clear" w:color="auto" w:fill="FFFFFF"/>
                </w:rPr>
                <w:t>”</w:t>
              </w:r>
              <w:r>
                <w:rPr>
                  <w:rFonts w:cs="Arial" w:asciiTheme="minorEastAsia" w:hAnsiTheme="minorEastAsia" w:eastAsiaTheme="minorEastAsia"/>
                  <w:szCs w:val="21"/>
                  <w:shd w:val="clear" w:color="auto" w:fill="FFFFFF"/>
                </w:rPr>
                <w:t>。</w:t>
              </w:r>
            </w:p>
          </w:sdtContent>
        </w:sdt>
      </w:sdtContent>
    </w:sdt>
    <w:sdt>
      <w:sdtPr>
        <w:rPr>
          <w:rFonts w:hint="eastAsia" w:ascii="宋体" w:hAnsi="宋体" w:eastAsia="宋体" w:cs="宋体"/>
          <w:b w:val="0"/>
          <w:bCs w:val="0"/>
          <w:kern w:val="0"/>
          <w:szCs w:val="21"/>
        </w:rPr>
        <w:alias w:val="模块:临时公告未披露的事项"/>
        <w:tag w:val="_SEC_18ede113eb9d4e58b96677300bb03f7d"/>
        <w:id w:val="-231385720"/>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spacing w:before="0" w:after="0" w:line="360" w:lineRule="auto"/>
            <w:rPr>
              <w:szCs w:val="21"/>
            </w:rPr>
          </w:pPr>
          <w:bookmarkStart w:id="72" w:name="_Toc342491964"/>
          <w:bookmarkStart w:id="73" w:name="_Toc342565956"/>
          <w:r>
            <w:rPr>
              <w:rFonts w:hint="eastAsia" w:cs="宋体"/>
              <w:b w:val="0"/>
              <w:bCs w:val="0"/>
              <w:kern w:val="0"/>
              <w:szCs w:val="21"/>
            </w:rPr>
            <w:t>3、</w:t>
          </w:r>
          <w:r>
            <w:rPr>
              <w:rFonts w:hint="eastAsia"/>
              <w:szCs w:val="21"/>
            </w:rPr>
            <w:t>临时公告未披露的事</w:t>
          </w:r>
          <w:bookmarkEnd w:id="72"/>
          <w:bookmarkEnd w:id="73"/>
          <w:r>
            <w:rPr>
              <w:rFonts w:hint="eastAsia"/>
              <w:szCs w:val="21"/>
            </w:rPr>
            <w:t>项</w:t>
          </w:r>
        </w:p>
        <w:sdt>
          <w:sdtPr>
            <w:rPr>
              <w:rFonts w:asciiTheme="minorEastAsia" w:hAnsiTheme="minorEastAsia" w:eastAsiaTheme="minorEastAsia"/>
              <w:szCs w:val="21"/>
            </w:rPr>
            <w:alias w:val="是否适用：与日常经营相关的关联交易_临时公告未披露的事项[双击切换]"/>
            <w:tag w:val="_GBC_3f1135e0d6d440e6a4af283441bd65d2"/>
            <w:id w:val="1506243854"/>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p>
              <w:pPr>
                <w:spacing w:line="360" w:lineRule="auto"/>
                <w:rPr>
                  <w:rFonts w:asciiTheme="minorEastAsia" w:hAnsiTheme="minorEastAsia" w:eastAsiaTheme="minorEastAsia"/>
                  <w:szCs w:val="21"/>
                </w:rPr>
              </w:pPr>
            </w:p>
          </w:sdtContent>
        </w:sdt>
      </w:sdtContent>
    </w:sdt>
    <w:p>
      <w:pPr>
        <w:pStyle w:val="4"/>
        <w:numPr>
          <w:ilvl w:val="2"/>
          <w:numId w:val="5"/>
        </w:numPr>
        <w:tabs>
          <w:tab w:val="left" w:pos="426"/>
        </w:tabs>
        <w:spacing w:before="0" w:after="0" w:line="360" w:lineRule="auto"/>
        <w:rPr>
          <w:rFonts w:asciiTheme="minorEastAsia" w:hAnsiTheme="minorEastAsia" w:eastAsiaTheme="minorEastAsia"/>
          <w:szCs w:val="21"/>
        </w:rPr>
      </w:pPr>
      <w:r>
        <w:rPr>
          <w:rFonts w:asciiTheme="minorEastAsia" w:hAnsiTheme="minorEastAsia" w:eastAsiaTheme="minorEastAsia"/>
          <w:szCs w:val="21"/>
        </w:rPr>
        <w:t>资产</w:t>
      </w:r>
      <w:r>
        <w:rPr>
          <w:rFonts w:hint="eastAsia" w:asciiTheme="minorEastAsia" w:hAnsiTheme="minorEastAsia" w:eastAsiaTheme="minorEastAsia"/>
          <w:szCs w:val="21"/>
        </w:rPr>
        <w:t>或股权</w:t>
      </w:r>
      <w:r>
        <w:rPr>
          <w:rFonts w:asciiTheme="minorEastAsia" w:hAnsiTheme="minorEastAsia" w:eastAsiaTheme="minorEastAsia"/>
          <w:szCs w:val="21"/>
        </w:rPr>
        <w:t>收购、出售发生的关联交易</w:t>
      </w:r>
    </w:p>
    <w:sdt>
      <w:sdtPr>
        <w:rPr>
          <w:rFonts w:ascii="宋体" w:hAnsi="宋体" w:eastAsia="宋体" w:cs="宋体"/>
          <w:b w:val="0"/>
          <w:bCs w:val="0"/>
          <w:kern w:val="0"/>
          <w:szCs w:val="21"/>
        </w:rPr>
        <w:alias w:val="模块:已在临时公告披露且后续实施无进展或变化的事项"/>
        <w:tag w:val="_SEC_5101ea14b3704066958f40b02b8e01b2"/>
        <w:id w:val="-1596399040"/>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32"/>
            </w:numPr>
            <w:spacing w:before="0" w:after="0" w:line="360" w:lineRule="auto"/>
            <w:rPr>
              <w:szCs w:val="21"/>
            </w:rPr>
          </w:pPr>
          <w:r>
            <w:rPr>
              <w:szCs w:val="21"/>
            </w:rPr>
            <w:t>已在临时公告披露且后续实施无进展或变化的事项</w:t>
          </w:r>
        </w:p>
        <w:sdt>
          <w:sdtPr>
            <w:rPr>
              <w:rFonts w:asciiTheme="minorEastAsia" w:hAnsiTheme="minorEastAsia" w:eastAsiaTheme="minorEastAsia"/>
              <w:szCs w:val="21"/>
            </w:rPr>
            <w:alias w:val="是否适用：已在临时公告披露且后续实施无进展或变化的事项_资产或股权收购、出售发生的关联交易[双击切换]"/>
            <w:tag w:val="_GBC_543ebf3bec89495c98a461a0509a331d"/>
            <w:id w:val="-1534108565"/>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p>
              <w:pPr>
                <w:spacing w:line="360" w:lineRule="auto"/>
                <w:rPr>
                  <w:rFonts w:asciiTheme="minorEastAsia" w:hAnsiTheme="minorEastAsia" w:eastAsiaTheme="minorEastAsia"/>
                  <w:szCs w:val="21"/>
                </w:rPr>
              </w:pPr>
            </w:p>
          </w:sdtContent>
        </w:sdt>
      </w:sdtContent>
    </w:sdt>
    <w:sdt>
      <w:sdtPr>
        <w:rPr>
          <w:rFonts w:ascii="宋体" w:hAnsi="宋体" w:eastAsia="宋体" w:cs="宋体"/>
          <w:b w:val="0"/>
          <w:bCs w:val="0"/>
          <w:kern w:val="0"/>
          <w:szCs w:val="21"/>
        </w:rPr>
        <w:alias w:val="模块:已在临时公告披露，但有后续实施的进展或变化的事项  （空..."/>
        <w:tag w:val="_SEC_212a9f990eed40aea6f3097b326c6b3f"/>
        <w:id w:val="-1595477862"/>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2"/>
            </w:numPr>
            <w:spacing w:before="0" w:after="0" w:line="360" w:lineRule="auto"/>
            <w:rPr>
              <w:szCs w:val="21"/>
            </w:rPr>
          </w:pPr>
          <w:bookmarkStart w:id="74" w:name="_Hlk90309315"/>
          <w:r>
            <w:rPr>
              <w:szCs w:val="21"/>
            </w:rPr>
            <w:t>已在临时公告披露，但有后续实施的进展或变化的事项</w:t>
          </w:r>
        </w:p>
        <w:sdt>
          <w:sdtPr>
            <w:rPr>
              <w:rFonts w:hint="eastAsia" w:asciiTheme="minorEastAsia" w:hAnsiTheme="minorEastAsia" w:eastAsiaTheme="minorEastAsia"/>
              <w:szCs w:val="21"/>
            </w:rPr>
            <w:alias w:val="是否适用：已在临时公告披露，但有后续实施的进展或变化的事项_资产或股权收购、出售发生的关联交易[双击切换]"/>
            <w:tag w:val="_GBC_f85ce314be044952b84cb0c7825e3be3"/>
            <w:id w:val="742915975"/>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bookmarkEnd w:id="74"/>
    <w:p>
      <w:pPr>
        <w:spacing w:line="360" w:lineRule="auto"/>
        <w:rPr>
          <w:rFonts w:asciiTheme="minorEastAsia" w:hAnsiTheme="minorEastAsia" w:eastAsiaTheme="minorEastAsia"/>
          <w:szCs w:val="21"/>
        </w:rPr>
      </w:pPr>
    </w:p>
    <w:sdt>
      <w:sdtPr>
        <w:rPr>
          <w:rFonts w:ascii="宋体" w:hAnsi="宋体" w:eastAsia="宋体" w:cs="宋体"/>
          <w:b w:val="0"/>
          <w:bCs w:val="0"/>
          <w:kern w:val="0"/>
          <w:szCs w:val="21"/>
        </w:rPr>
        <w:alias w:val="模块:临时公告未披露的事项"/>
        <w:tag w:val="_SEC_0cf43ef9267042f5910eeb382017750a"/>
        <w:id w:val="1526756564"/>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2"/>
            </w:numPr>
            <w:spacing w:before="0" w:after="0" w:line="360" w:lineRule="auto"/>
            <w:rPr>
              <w:szCs w:val="21"/>
            </w:rPr>
          </w:pPr>
          <w:r>
            <w:rPr>
              <w:szCs w:val="21"/>
            </w:rPr>
            <w:t>临时公告未披露的事项</w:t>
          </w:r>
        </w:p>
        <w:sdt>
          <w:sdtPr>
            <w:rPr>
              <w:rFonts w:asciiTheme="minorEastAsia" w:hAnsiTheme="minorEastAsia" w:eastAsiaTheme="minorEastAsia"/>
              <w:szCs w:val="21"/>
            </w:rPr>
            <w:alias w:val="是否适用：资产收购、出售发生的关联交易_临时公告未披露的事项[双击切换]"/>
            <w:tag w:val="_GBC_c2403e21caad4498842c2f1cf3384c0d"/>
            <w:id w:val="-1512215615"/>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sdt>
      <w:sdtPr>
        <w:rPr>
          <w:rFonts w:hint="eastAsia" w:ascii="宋体" w:hAnsi="宋体" w:eastAsia="宋体" w:cs="宋体"/>
          <w:b w:val="0"/>
          <w:bCs w:val="0"/>
          <w:kern w:val="0"/>
          <w:szCs w:val="21"/>
        </w:rPr>
        <w:alias w:val="模块:涉及业绩约定的，应当披露报告期内的业绩实现情况"/>
        <w:tag w:val="_SEC_2377f3c46fe8488f9d7f53b4f8ba80b1"/>
        <w:id w:val="-1417481734"/>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2"/>
            </w:numPr>
            <w:spacing w:before="0" w:after="0" w:line="360" w:lineRule="auto"/>
            <w:rPr>
              <w:szCs w:val="21"/>
            </w:rPr>
          </w:pPr>
          <w:r>
            <w:rPr>
              <w:rFonts w:hint="eastAsia"/>
              <w:szCs w:val="21"/>
            </w:rPr>
            <w:t>涉及业绩约定的，应当披露报告期内的业绩实现情况</w:t>
          </w:r>
        </w:p>
        <w:sdt>
          <w:sdtPr>
            <w:rPr>
              <w:rFonts w:hint="eastAsia" w:asciiTheme="minorEastAsia" w:hAnsiTheme="minorEastAsia" w:eastAsiaTheme="minorEastAsia"/>
              <w:szCs w:val="21"/>
            </w:rPr>
            <w:alias w:val="是否适用：涉及业绩约定的，应当披露报告期内的业绩实现情况[双击切换]"/>
            <w:tag w:val="_GBC_fa913cf2ab9c4bd9bb424b63073fb9b5"/>
            <w:id w:val="1069923634"/>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p>
      <w:pPr>
        <w:spacing w:line="360" w:lineRule="auto"/>
        <w:rPr>
          <w:rFonts w:asciiTheme="minorEastAsia" w:hAnsiTheme="minorEastAsia" w:eastAsiaTheme="minorEastAsia"/>
          <w:szCs w:val="21"/>
        </w:rPr>
      </w:pPr>
    </w:p>
    <w:p>
      <w:pPr>
        <w:pStyle w:val="4"/>
        <w:numPr>
          <w:ilvl w:val="2"/>
          <w:numId w:val="5"/>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共同对外投资的重大关联交易</w:t>
      </w:r>
    </w:p>
    <w:sdt>
      <w:sdtPr>
        <w:rPr>
          <w:rFonts w:ascii="宋体" w:hAnsi="宋体" w:eastAsia="宋体" w:cs="宋体"/>
          <w:b w:val="0"/>
          <w:bCs w:val="0"/>
          <w:kern w:val="0"/>
          <w:szCs w:val="21"/>
        </w:rPr>
        <w:alias w:val="模块:已在临时公告披露且后续实施无进展或变化的事项"/>
        <w:tag w:val="_SEC_51b6cf40b087426eb6434404a0feb888"/>
        <w:id w:val="1066692052"/>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33"/>
            </w:numPr>
            <w:spacing w:before="0" w:after="0" w:line="360" w:lineRule="auto"/>
            <w:rPr>
              <w:szCs w:val="21"/>
            </w:rPr>
          </w:pPr>
          <w:r>
            <w:rPr>
              <w:szCs w:val="21"/>
            </w:rPr>
            <w:t>已在临时公告披露且后续实施无进展或变化的事项</w:t>
          </w:r>
        </w:p>
        <w:sdt>
          <w:sdtPr>
            <w:rPr>
              <w:rFonts w:asciiTheme="minorEastAsia" w:hAnsiTheme="minorEastAsia" w:eastAsiaTheme="minorEastAsia"/>
              <w:szCs w:val="21"/>
            </w:rPr>
            <w:alias w:val="是否适用：已在临时公告披露且后续实施无进展或变化的事项_共同对外投资的重大关联交易[双击切换]"/>
            <w:tag w:val="_GBC_7eea3c6d3d6245c4a1388637f61fccce"/>
            <w:id w:val="1634127465"/>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p>
              <w:pPr>
                <w:spacing w:line="360" w:lineRule="auto"/>
                <w:rPr>
                  <w:rFonts w:asciiTheme="minorEastAsia" w:hAnsiTheme="minorEastAsia" w:eastAsiaTheme="minorEastAsia"/>
                  <w:szCs w:val="21"/>
                </w:rPr>
              </w:pPr>
            </w:p>
          </w:sdtContent>
        </w:sdt>
      </w:sdtContent>
    </w:sdt>
    <w:sdt>
      <w:sdtPr>
        <w:rPr>
          <w:rFonts w:ascii="宋体" w:hAnsi="宋体" w:eastAsia="宋体" w:cs="宋体"/>
          <w:b w:val="0"/>
          <w:bCs w:val="0"/>
          <w:kern w:val="0"/>
          <w:szCs w:val="21"/>
        </w:rPr>
        <w:alias w:val="模块:已在临时公告披露，但有后续实施的进展或变化的事项"/>
        <w:tag w:val="_SEC_6fb162dfa53544919d9b59362cf9fe07"/>
        <w:id w:val="11549890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3"/>
            </w:numPr>
            <w:spacing w:before="0" w:after="0" w:line="360" w:lineRule="auto"/>
            <w:rPr>
              <w:szCs w:val="21"/>
            </w:rPr>
          </w:pPr>
          <w:r>
            <w:rPr>
              <w:szCs w:val="21"/>
            </w:rPr>
            <w:t>已在临时公告披露，但有后续实施的进展或变化的事项</w:t>
          </w:r>
        </w:p>
        <w:sdt>
          <w:sdtPr>
            <w:rPr>
              <w:rFonts w:hint="eastAsia" w:asciiTheme="minorEastAsia" w:hAnsiTheme="minorEastAsia" w:eastAsiaTheme="minorEastAsia"/>
              <w:szCs w:val="21"/>
            </w:rPr>
            <w:alias w:val="是否适用：已在临时公告披露，但有后续实施的进展或变化的事项_共同对外投资的重大关联交易[双击切换]"/>
            <w:tag w:val="_GBC_5d21c9b653cf41df993294ab4dfbca74"/>
            <w:id w:val="-1206941622"/>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sdt>
      <w:sdtPr>
        <w:rPr>
          <w:rFonts w:ascii="宋体" w:hAnsi="宋体" w:eastAsia="宋体" w:cs="宋体"/>
          <w:b w:val="0"/>
          <w:bCs w:val="0"/>
          <w:kern w:val="0"/>
          <w:szCs w:val="21"/>
        </w:rPr>
        <w:alias w:val="模块:临时公告未披露的事项"/>
        <w:tag w:val="_SEC_c27b95cb91e04e0cb1142e21dcff5adc"/>
        <w:id w:val="-475688711"/>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3"/>
            </w:numPr>
            <w:spacing w:before="0" w:after="0" w:line="360" w:lineRule="auto"/>
            <w:rPr>
              <w:szCs w:val="21"/>
            </w:rPr>
          </w:pPr>
          <w:r>
            <w:rPr>
              <w:szCs w:val="21"/>
            </w:rPr>
            <w:t>临时公告未披露的事项</w:t>
          </w:r>
        </w:p>
        <w:sdt>
          <w:sdtPr>
            <w:rPr>
              <w:rFonts w:asciiTheme="minorEastAsia" w:hAnsiTheme="minorEastAsia" w:eastAsiaTheme="minorEastAsia"/>
              <w:szCs w:val="21"/>
            </w:rPr>
            <w:alias w:val="是否适用：共同对外投资的重大关联交易_临时公告未披露的事项[双击切换]"/>
            <w:tag w:val="_GBC_0a8e93fe81464e209d3619d1be6a3349"/>
            <w:id w:val="867114418"/>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p>
      <w:pPr>
        <w:pStyle w:val="4"/>
        <w:numPr>
          <w:ilvl w:val="2"/>
          <w:numId w:val="5"/>
        </w:numPr>
        <w:spacing w:before="0" w:after="0" w:line="360" w:lineRule="auto"/>
        <w:rPr>
          <w:rFonts w:asciiTheme="minorEastAsia" w:hAnsiTheme="minorEastAsia" w:eastAsiaTheme="minorEastAsia"/>
          <w:szCs w:val="21"/>
        </w:rPr>
      </w:pPr>
      <w:r>
        <w:rPr>
          <w:rFonts w:hint="eastAsia" w:asciiTheme="minorEastAsia" w:hAnsiTheme="minorEastAsia" w:eastAsiaTheme="minorEastAsia"/>
          <w:szCs w:val="21"/>
        </w:rPr>
        <w:t>关联债权债务往来</w:t>
      </w:r>
    </w:p>
    <w:sdt>
      <w:sdtPr>
        <w:rPr>
          <w:rFonts w:ascii="宋体" w:hAnsi="宋体" w:eastAsia="宋体" w:cs="宋体"/>
          <w:b w:val="0"/>
          <w:bCs w:val="0"/>
          <w:kern w:val="0"/>
          <w:szCs w:val="21"/>
        </w:rPr>
        <w:alias w:val="模块:已在临时公告披露且后续实施无进展或变化的事项"/>
        <w:tag w:val="_SEC_1159433f604446c4a73e7743924d5bde"/>
        <w:id w:val="561841167"/>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34"/>
            </w:numPr>
            <w:spacing w:before="0" w:after="0" w:line="360" w:lineRule="auto"/>
            <w:rPr>
              <w:szCs w:val="21"/>
            </w:rPr>
          </w:pPr>
          <w:r>
            <w:rPr>
              <w:szCs w:val="21"/>
            </w:rPr>
            <w:t>已在临时公告披露且后续实施无进展或变化的事项</w:t>
          </w:r>
        </w:p>
        <w:sdt>
          <w:sdtPr>
            <w:rPr>
              <w:rFonts w:asciiTheme="minorEastAsia" w:hAnsiTheme="minorEastAsia" w:eastAsiaTheme="minorEastAsia"/>
              <w:szCs w:val="21"/>
            </w:rPr>
            <w:alias w:val="是否适用：已在临时公告披露且后续实施无进展或变化的事项_关联债权债务往来[双击切换]"/>
            <w:tag w:val="_GBC_7465d4a4508a455591694c4e59f1f59b"/>
            <w:id w:val="192586810"/>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p>
              <w:pPr>
                <w:spacing w:line="360" w:lineRule="auto"/>
                <w:rPr>
                  <w:rFonts w:asciiTheme="minorEastAsia" w:hAnsiTheme="minorEastAsia" w:eastAsiaTheme="minorEastAsia"/>
                  <w:szCs w:val="21"/>
                </w:rPr>
              </w:pPr>
            </w:p>
          </w:sdtContent>
        </w:sdt>
      </w:sdtContent>
    </w:sdt>
    <w:sdt>
      <w:sdtPr>
        <w:rPr>
          <w:rFonts w:ascii="宋体" w:hAnsi="宋体" w:eastAsia="宋体" w:cs="宋体"/>
          <w:b w:val="0"/>
          <w:bCs w:val="0"/>
          <w:kern w:val="0"/>
          <w:szCs w:val="21"/>
        </w:rPr>
        <w:alias w:val="模块:已在临时公告披露，但有后续实施的进展或变化的事项"/>
        <w:tag w:val="_SEC_ce119db951414db2a004501c8a65a54b"/>
        <w:id w:val="417976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4"/>
            </w:numPr>
            <w:spacing w:before="0" w:after="0" w:line="360" w:lineRule="auto"/>
            <w:rPr>
              <w:szCs w:val="21"/>
            </w:rPr>
          </w:pPr>
          <w:r>
            <w:rPr>
              <w:szCs w:val="21"/>
            </w:rPr>
            <w:t>已在临时公告披露，但有后续实施的进展或变化的事项</w:t>
          </w:r>
        </w:p>
        <w:sdt>
          <w:sdtPr>
            <w:rPr>
              <w:rFonts w:hint="eastAsia" w:asciiTheme="minorEastAsia" w:hAnsiTheme="minorEastAsia" w:eastAsiaTheme="minorEastAsia"/>
              <w:szCs w:val="21"/>
            </w:rPr>
            <w:alias w:val="是否适用：已在临时公告披露，但有后续实施的进展或变化的事项_关联债权债务往来[双击切换]"/>
            <w:tag w:val="_GBC_fe8fc12ee5c547d690bcc3fb3f1f4e32"/>
            <w:id w:val="-305162938"/>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p>
      <w:pPr>
        <w:spacing w:line="360" w:lineRule="auto"/>
        <w:rPr>
          <w:rFonts w:asciiTheme="minorEastAsia" w:hAnsiTheme="minorEastAsia" w:eastAsiaTheme="minorEastAsia"/>
          <w:szCs w:val="21"/>
        </w:rPr>
      </w:pPr>
    </w:p>
    <w:sdt>
      <w:sdtPr>
        <w:rPr>
          <w:rFonts w:hint="eastAsia" w:ascii="宋体" w:hAnsi="宋体" w:eastAsia="宋体" w:cs="宋体"/>
          <w:b w:val="0"/>
          <w:bCs w:val="0"/>
          <w:kern w:val="0"/>
          <w:szCs w:val="21"/>
        </w:rPr>
        <w:alias w:val="模块:临时公告未披露的事项"/>
        <w:tag w:val="_SEC_5a41258e75f8445f9f091dbefa9eab6b"/>
        <w:id w:val="-1466729881"/>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34"/>
            </w:numPr>
            <w:spacing w:before="0" w:after="0" w:line="360" w:lineRule="auto"/>
            <w:rPr>
              <w:szCs w:val="21"/>
            </w:rPr>
          </w:pPr>
          <w:r>
            <w:rPr>
              <w:rFonts w:hint="eastAsia"/>
              <w:szCs w:val="21"/>
            </w:rPr>
            <w:t>临时公告未披露的事项</w:t>
          </w:r>
        </w:p>
        <w:sdt>
          <w:sdtPr>
            <w:rPr>
              <w:rFonts w:asciiTheme="minorEastAsia" w:hAnsiTheme="minorEastAsia" w:eastAsiaTheme="minorEastAsia"/>
              <w:szCs w:val="21"/>
            </w:rPr>
            <w:alias w:val="是否适用：关联债权债务往来_临时公告未披露的事项[双击切换]"/>
            <w:tag w:val="_GBC_d9a88c6705ef48d49848c2b93cb503f2"/>
            <w:id w:val="-1736002895"/>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jc w:val="right"/>
            <w:rPr>
              <w:szCs w:val="21"/>
            </w:rPr>
          </w:pPr>
          <w:r>
            <w:rPr>
              <w:rFonts w:hint="eastAsia"/>
              <w:szCs w:val="21"/>
            </w:rPr>
            <w:t>单位：</w:t>
          </w:r>
          <w:sdt>
            <w:sdtPr>
              <w:rPr>
                <w:rFonts w:hint="eastAsia"/>
                <w:szCs w:val="21"/>
              </w:rPr>
              <w:alias w:val="单位：关联债权债务往来"/>
              <w:tag w:val="_GBC_8d4c1abff8924972accec0d4fd37892b"/>
              <w:id w:val="18561253"/>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万元</w:t>
              </w:r>
            </w:sdtContent>
          </w:sdt>
          <w:r>
            <w:rPr>
              <w:rFonts w:hint="eastAsia"/>
              <w:szCs w:val="21"/>
            </w:rPr>
            <w:t xml:space="preserve">  币种：</w:t>
          </w:r>
          <w:sdt>
            <w:sdtPr>
              <w:rPr>
                <w:rFonts w:hint="eastAsia"/>
                <w:szCs w:val="21"/>
              </w:rPr>
              <w:alias w:val="币种：关联债权债务往来"/>
              <w:tag w:val="_GBC_382a3dde730d43ff96e279b4ce31f369"/>
              <w:id w:val="1856125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257"/>
            <w:gridCol w:w="1528"/>
            <w:gridCol w:w="992"/>
            <w:gridCol w:w="994"/>
            <w:gridCol w:w="1078"/>
            <w:gridCol w:w="992"/>
            <w:gridCol w:w="1009"/>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5f2c84adc8441e0ac219e05d6e8d5ba"/>
                <w:id w:val="10074337"/>
                <w:lock w:val="sdtLocked"/>
              </w:sdtPr>
              <w:sdtContent>
                <w:tc>
                  <w:tcPr>
                    <w:tcW w:w="707" w:type="pct"/>
                    <w:vMerge w:val="restart"/>
                    <w:shd w:val="clear" w:color="auto" w:fill="auto"/>
                    <w:vAlign w:val="center"/>
                  </w:tcPr>
                  <w:p>
                    <w:pPr>
                      <w:autoSpaceDE w:val="0"/>
                      <w:autoSpaceDN w:val="0"/>
                      <w:adjustRightInd w:val="0"/>
                      <w:jc w:val="center"/>
                      <w:rPr>
                        <w:szCs w:val="21"/>
                      </w:rPr>
                    </w:pPr>
                    <w:r>
                      <w:rPr>
                        <w:rFonts w:hint="eastAsia"/>
                        <w:szCs w:val="21"/>
                      </w:rPr>
                      <w:t>关联方</w:t>
                    </w:r>
                  </w:p>
                </w:tc>
              </w:sdtContent>
            </w:sdt>
            <w:sdt>
              <w:sdtPr>
                <w:tag w:val="_PLD_09ca5e393bc34d4785c49c7cee6066f5"/>
                <w:id w:val="10074338"/>
                <w:lock w:val="sdtLocked"/>
              </w:sdtPr>
              <w:sdtContent>
                <w:tc>
                  <w:tcPr>
                    <w:tcW w:w="859" w:type="pct"/>
                    <w:vMerge w:val="restart"/>
                    <w:shd w:val="clear" w:color="auto" w:fill="auto"/>
                    <w:vAlign w:val="center"/>
                  </w:tcPr>
                  <w:p>
                    <w:pPr>
                      <w:autoSpaceDE w:val="0"/>
                      <w:autoSpaceDN w:val="0"/>
                      <w:adjustRightInd w:val="0"/>
                      <w:jc w:val="center"/>
                      <w:rPr>
                        <w:szCs w:val="21"/>
                      </w:rPr>
                    </w:pPr>
                    <w:r>
                      <w:rPr>
                        <w:rFonts w:hint="eastAsia"/>
                        <w:szCs w:val="21"/>
                      </w:rPr>
                      <w:t>关联关系</w:t>
                    </w:r>
                  </w:p>
                </w:tc>
              </w:sdtContent>
            </w:sdt>
            <w:sdt>
              <w:sdtPr>
                <w:tag w:val="_PLD_3e4df3fd6b7247e1a1a853fd2fd19d58"/>
                <w:id w:val="10074339"/>
                <w:lock w:val="sdtLocked"/>
              </w:sdtPr>
              <w:sdtContent>
                <w:tc>
                  <w:tcPr>
                    <w:tcW w:w="1723" w:type="pct"/>
                    <w:gridSpan w:val="3"/>
                    <w:shd w:val="clear" w:color="auto" w:fill="auto"/>
                    <w:vAlign w:val="center"/>
                  </w:tcPr>
                  <w:p>
                    <w:pPr>
                      <w:autoSpaceDE w:val="0"/>
                      <w:autoSpaceDN w:val="0"/>
                      <w:adjustRightInd w:val="0"/>
                      <w:jc w:val="center"/>
                      <w:rPr>
                        <w:szCs w:val="21"/>
                      </w:rPr>
                    </w:pPr>
                    <w:r>
                      <w:rPr>
                        <w:rFonts w:hint="eastAsia"/>
                        <w:szCs w:val="21"/>
                      </w:rPr>
                      <w:t>向关联方提供资金</w:t>
                    </w:r>
                  </w:p>
                </w:tc>
              </w:sdtContent>
            </w:sdt>
            <w:sdt>
              <w:sdtPr>
                <w:tag w:val="_PLD_ad0c36b659684f8ea3c5e5bdac148cdc"/>
                <w:id w:val="10074340"/>
                <w:lock w:val="sdtLocked"/>
              </w:sdtPr>
              <w:sdtContent>
                <w:tc>
                  <w:tcPr>
                    <w:tcW w:w="1711" w:type="pct"/>
                    <w:gridSpan w:val="3"/>
                    <w:shd w:val="clear" w:color="auto" w:fill="auto"/>
                    <w:vAlign w:val="center"/>
                  </w:tcPr>
                  <w:p>
                    <w:pPr>
                      <w:autoSpaceDE w:val="0"/>
                      <w:autoSpaceDN w:val="0"/>
                      <w:adjustRightInd w:val="0"/>
                      <w:jc w:val="center"/>
                      <w:rPr>
                        <w:szCs w:val="21"/>
                      </w:rPr>
                    </w:pPr>
                    <w:r>
                      <w:rPr>
                        <w:rFonts w:hint="eastAsia"/>
                        <w:szCs w:val="21"/>
                      </w:rPr>
                      <w:t>关联方向上市公司</w:t>
                    </w:r>
                  </w:p>
                  <w:p>
                    <w:pPr>
                      <w:autoSpaceDE w:val="0"/>
                      <w:autoSpaceDN w:val="0"/>
                      <w:adjustRightInd w:val="0"/>
                      <w:jc w:val="center"/>
                      <w:rPr>
                        <w:szCs w:val="21"/>
                      </w:rPr>
                    </w:pPr>
                    <w:r>
                      <w:rPr>
                        <w:rFonts w:hint="eastAsia"/>
                        <w:szCs w:val="21"/>
                      </w:rPr>
                      <w:t>提供资金</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07" w:type="pct"/>
                <w:vMerge w:val="continue"/>
                <w:shd w:val="clear" w:color="auto" w:fill="auto"/>
              </w:tcPr>
              <w:p>
                <w:pPr>
                  <w:autoSpaceDE w:val="0"/>
                  <w:autoSpaceDN w:val="0"/>
                  <w:adjustRightInd w:val="0"/>
                  <w:jc w:val="center"/>
                  <w:rPr>
                    <w:szCs w:val="21"/>
                  </w:rPr>
                </w:pPr>
              </w:p>
            </w:tc>
            <w:tc>
              <w:tcPr>
                <w:tcW w:w="859" w:type="pct"/>
                <w:vMerge w:val="continue"/>
                <w:shd w:val="clear" w:color="auto" w:fill="auto"/>
              </w:tcPr>
              <w:p>
                <w:pPr>
                  <w:autoSpaceDE w:val="0"/>
                  <w:autoSpaceDN w:val="0"/>
                  <w:adjustRightInd w:val="0"/>
                  <w:jc w:val="center"/>
                  <w:rPr>
                    <w:szCs w:val="21"/>
                  </w:rPr>
                </w:pPr>
              </w:p>
            </w:tc>
            <w:sdt>
              <w:sdtPr>
                <w:tag w:val="_PLD_bc90d01618414b799fa4cad9c98b74a6"/>
                <w:id w:val="10074341"/>
                <w:lock w:val="sdtLocked"/>
              </w:sdtPr>
              <w:sdtContent>
                <w:tc>
                  <w:tcPr>
                    <w:tcW w:w="558" w:type="pct"/>
                    <w:shd w:val="clear" w:color="auto" w:fill="auto"/>
                    <w:vAlign w:val="center"/>
                  </w:tcPr>
                  <w:p>
                    <w:pPr>
                      <w:autoSpaceDE w:val="0"/>
                      <w:autoSpaceDN w:val="0"/>
                      <w:adjustRightInd w:val="0"/>
                      <w:jc w:val="center"/>
                      <w:rPr>
                        <w:szCs w:val="21"/>
                      </w:rPr>
                    </w:pPr>
                    <w:r>
                      <w:rPr>
                        <w:rFonts w:hint="eastAsia"/>
                        <w:szCs w:val="21"/>
                      </w:rPr>
                      <w:t>期初余额</w:t>
                    </w:r>
                  </w:p>
                </w:tc>
              </w:sdtContent>
            </w:sdt>
            <w:sdt>
              <w:sdtPr>
                <w:tag w:val="_PLD_e16dc40d23d64bebbedef23ef5c9d0c1"/>
                <w:id w:val="10074342"/>
                <w:lock w:val="sdtLocked"/>
              </w:sdtPr>
              <w:sdtContent>
                <w:tc>
                  <w:tcPr>
                    <w:tcW w:w="559" w:type="pct"/>
                    <w:shd w:val="clear" w:color="auto" w:fill="auto"/>
                    <w:vAlign w:val="center"/>
                  </w:tcPr>
                  <w:p>
                    <w:pPr>
                      <w:autoSpaceDE w:val="0"/>
                      <w:autoSpaceDN w:val="0"/>
                      <w:adjustRightInd w:val="0"/>
                      <w:jc w:val="center"/>
                      <w:rPr>
                        <w:szCs w:val="21"/>
                      </w:rPr>
                    </w:pPr>
                    <w:r>
                      <w:rPr>
                        <w:rFonts w:hint="eastAsia"/>
                        <w:szCs w:val="21"/>
                      </w:rPr>
                      <w:t>发生额</w:t>
                    </w:r>
                  </w:p>
                </w:tc>
              </w:sdtContent>
            </w:sdt>
            <w:sdt>
              <w:sdtPr>
                <w:tag w:val="_PLD_dc98a14d0d3f4efcbab28c24fdffba08"/>
                <w:id w:val="10074343"/>
                <w:lock w:val="sdtLocked"/>
              </w:sdtPr>
              <w:sdtContent>
                <w:tc>
                  <w:tcPr>
                    <w:tcW w:w="606" w:type="pct"/>
                    <w:shd w:val="clear" w:color="auto" w:fill="auto"/>
                    <w:vAlign w:val="center"/>
                  </w:tcPr>
                  <w:p>
                    <w:pPr>
                      <w:autoSpaceDE w:val="0"/>
                      <w:autoSpaceDN w:val="0"/>
                      <w:adjustRightInd w:val="0"/>
                      <w:jc w:val="center"/>
                      <w:rPr>
                        <w:szCs w:val="21"/>
                      </w:rPr>
                    </w:pPr>
                    <w:r>
                      <w:rPr>
                        <w:rFonts w:hint="eastAsia"/>
                        <w:szCs w:val="21"/>
                      </w:rPr>
                      <w:t>期末余额</w:t>
                    </w:r>
                  </w:p>
                </w:tc>
              </w:sdtContent>
            </w:sdt>
            <w:sdt>
              <w:sdtPr>
                <w:tag w:val="_PLD_b79e4e4eaa1b414ab5065d2b3095a515"/>
                <w:id w:val="10074344"/>
                <w:lock w:val="sdtLocked"/>
              </w:sdtPr>
              <w:sdtContent>
                <w:tc>
                  <w:tcPr>
                    <w:tcW w:w="558" w:type="pct"/>
                    <w:shd w:val="clear" w:color="auto" w:fill="auto"/>
                    <w:vAlign w:val="center"/>
                  </w:tcPr>
                  <w:p>
                    <w:pPr>
                      <w:autoSpaceDE w:val="0"/>
                      <w:autoSpaceDN w:val="0"/>
                      <w:adjustRightInd w:val="0"/>
                      <w:jc w:val="center"/>
                      <w:rPr>
                        <w:szCs w:val="21"/>
                      </w:rPr>
                    </w:pPr>
                    <w:r>
                      <w:rPr>
                        <w:rFonts w:hint="eastAsia"/>
                        <w:szCs w:val="21"/>
                      </w:rPr>
                      <w:t>期初余额</w:t>
                    </w:r>
                  </w:p>
                </w:tc>
              </w:sdtContent>
            </w:sdt>
            <w:sdt>
              <w:sdtPr>
                <w:tag w:val="_PLD_5a0b8d29aa6b43eba1f17db944949c32"/>
                <w:id w:val="10074345"/>
                <w:lock w:val="sdtLocked"/>
              </w:sdtPr>
              <w:sdtContent>
                <w:tc>
                  <w:tcPr>
                    <w:tcW w:w="567" w:type="pct"/>
                    <w:shd w:val="clear" w:color="auto" w:fill="auto"/>
                    <w:vAlign w:val="center"/>
                  </w:tcPr>
                  <w:p>
                    <w:pPr>
                      <w:autoSpaceDE w:val="0"/>
                      <w:autoSpaceDN w:val="0"/>
                      <w:adjustRightInd w:val="0"/>
                      <w:jc w:val="center"/>
                      <w:rPr>
                        <w:szCs w:val="21"/>
                      </w:rPr>
                    </w:pPr>
                    <w:r>
                      <w:rPr>
                        <w:rFonts w:hint="eastAsia"/>
                        <w:szCs w:val="21"/>
                      </w:rPr>
                      <w:t>发生额</w:t>
                    </w:r>
                  </w:p>
                </w:tc>
              </w:sdtContent>
            </w:sdt>
            <w:sdt>
              <w:sdtPr>
                <w:tag w:val="_PLD_703f2ac3dbfc48e986849e07e3e11448"/>
                <w:id w:val="10074346"/>
                <w:lock w:val="sdtLocked"/>
              </w:sdtPr>
              <w:sdtContent>
                <w:tc>
                  <w:tcPr>
                    <w:tcW w:w="587" w:type="pct"/>
                    <w:shd w:val="clear" w:color="auto" w:fill="auto"/>
                    <w:vAlign w:val="center"/>
                  </w:tcPr>
                  <w:p>
                    <w:pPr>
                      <w:autoSpaceDE w:val="0"/>
                      <w:autoSpaceDN w:val="0"/>
                      <w:adjustRightInd w:val="0"/>
                      <w:jc w:val="center"/>
                      <w:rPr>
                        <w:szCs w:val="21"/>
                      </w:rPr>
                    </w:pPr>
                    <w:r>
                      <w:rPr>
                        <w:rFonts w:hint="eastAsia"/>
                        <w:szCs w:val="21"/>
                      </w:rPr>
                      <w:t>期末余额</w:t>
                    </w:r>
                  </w:p>
                </w:tc>
              </w:sdtContent>
            </w:sdt>
          </w:tr>
          <w:sdt>
            <w:sdtPr>
              <w:rPr>
                <w:szCs w:val="21"/>
              </w:rPr>
              <w:alias w:val="关联债权债务往来"/>
              <w:tag w:val="_TUP_870eac52461e4729be049dad664ed5e4"/>
              <w:id w:val="1007434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07" w:type="pct"/>
                    <w:shd w:val="clear" w:color="auto" w:fill="auto"/>
                  </w:tcPr>
                  <w:p>
                    <w:pPr>
                      <w:autoSpaceDE w:val="0"/>
                      <w:autoSpaceDN w:val="0"/>
                      <w:adjustRightInd w:val="0"/>
                      <w:rPr>
                        <w:szCs w:val="21"/>
                      </w:rPr>
                    </w:pPr>
                    <w:r>
                      <w:t>重庆力帆控股有限公司</w:t>
                    </w:r>
                  </w:p>
                </w:tc>
                <w:sdt>
                  <w:sdtPr>
                    <w:rPr>
                      <w:szCs w:val="21"/>
                    </w:rPr>
                    <w:alias w:val="关联债权债务往来的关联方关系"/>
                    <w:tag w:val="_GBC_8f67ef005f224f5caa48a28757043bc8"/>
                    <w:id w:val="10074347"/>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859" w:type="pct"/>
                        <w:shd w:val="clear" w:color="auto" w:fill="auto"/>
                      </w:tcPr>
                      <w:p>
                        <w:pPr>
                          <w:autoSpaceDE w:val="0"/>
                          <w:autoSpaceDN w:val="0"/>
                          <w:adjustRightInd w:val="0"/>
                          <w:rPr>
                            <w:szCs w:val="21"/>
                          </w:rPr>
                        </w:pPr>
                        <w:r>
                          <w:rPr>
                            <w:szCs w:val="21"/>
                          </w:rPr>
                          <w:t>前控股股东</w:t>
                        </w:r>
                      </w:p>
                    </w:tc>
                  </w:sdtContent>
                </w:sdt>
                <w:tc>
                  <w:tcPr>
                    <w:tcW w:w="558" w:type="pct"/>
                    <w:shd w:val="clear" w:color="auto" w:fill="auto"/>
                  </w:tcPr>
                  <w:p>
                    <w:pPr>
                      <w:autoSpaceDE w:val="0"/>
                      <w:autoSpaceDN w:val="0"/>
                      <w:adjustRightInd w:val="0"/>
                      <w:ind w:right="84" w:rightChars="40"/>
                      <w:jc w:val="right"/>
                      <w:rPr>
                        <w:szCs w:val="21"/>
                      </w:rPr>
                    </w:pPr>
                  </w:p>
                </w:tc>
                <w:tc>
                  <w:tcPr>
                    <w:tcW w:w="559" w:type="pct"/>
                    <w:shd w:val="clear" w:color="auto" w:fill="auto"/>
                    <w:vAlign w:val="center"/>
                  </w:tcPr>
                  <w:p>
                    <w:pPr>
                      <w:jc w:val="right"/>
                      <w:rPr>
                        <w:sz w:val="24"/>
                      </w:rPr>
                    </w:pPr>
                    <w:r>
                      <w:t>903.54</w:t>
                    </w:r>
                  </w:p>
                </w:tc>
                <w:tc>
                  <w:tcPr>
                    <w:tcW w:w="606" w:type="pct"/>
                    <w:shd w:val="clear" w:color="auto" w:fill="auto"/>
                    <w:vAlign w:val="center"/>
                  </w:tcPr>
                  <w:p>
                    <w:pPr>
                      <w:jc w:val="right"/>
                      <w:rPr>
                        <w:sz w:val="24"/>
                      </w:rPr>
                    </w:pPr>
                    <w:r>
                      <w:t>903.54</w:t>
                    </w:r>
                  </w:p>
                </w:tc>
                <w:tc>
                  <w:tcPr>
                    <w:tcW w:w="558" w:type="pct"/>
                    <w:shd w:val="clear" w:color="auto" w:fill="auto"/>
                  </w:tcPr>
                  <w:p>
                    <w:pPr>
                      <w:autoSpaceDE w:val="0"/>
                      <w:autoSpaceDN w:val="0"/>
                      <w:adjustRightInd w:val="0"/>
                      <w:ind w:right="84" w:rightChars="40"/>
                      <w:jc w:val="right"/>
                      <w:rPr>
                        <w:szCs w:val="21"/>
                      </w:rPr>
                    </w:pPr>
                  </w:p>
                </w:tc>
                <w:tc>
                  <w:tcPr>
                    <w:tcW w:w="567" w:type="pct"/>
                    <w:shd w:val="clear" w:color="auto" w:fill="auto"/>
                  </w:tcPr>
                  <w:p>
                    <w:pPr>
                      <w:autoSpaceDE w:val="0"/>
                      <w:autoSpaceDN w:val="0"/>
                      <w:adjustRightInd w:val="0"/>
                      <w:ind w:right="84" w:rightChars="40"/>
                      <w:jc w:val="right"/>
                      <w:rPr>
                        <w:szCs w:val="21"/>
                      </w:rPr>
                    </w:pPr>
                  </w:p>
                </w:tc>
                <w:tc>
                  <w:tcPr>
                    <w:tcW w:w="587" w:type="pct"/>
                    <w:shd w:val="clear" w:color="auto" w:fill="auto"/>
                  </w:tcPr>
                  <w:p>
                    <w:pPr>
                      <w:autoSpaceDE w:val="0"/>
                      <w:autoSpaceDN w:val="0"/>
                      <w:adjustRightInd w:val="0"/>
                      <w:ind w:right="84" w:rightChars="40"/>
                      <w:jc w:val="right"/>
                      <w:rPr>
                        <w:szCs w:val="21"/>
                      </w:rPr>
                    </w:pPr>
                  </w:p>
                </w:tc>
              </w:tr>
            </w:sdtContent>
          </w:sdt>
          <w:sdt>
            <w:sdtPr>
              <w:rPr>
                <w:szCs w:val="21"/>
              </w:rPr>
              <w:alias w:val="关联债权债务往来"/>
              <w:tag w:val="_TUP_870eac52461e4729be049dad664ed5e4"/>
              <w:id w:val="1007435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707" w:type="pct"/>
                    <w:shd w:val="clear" w:color="auto" w:fill="auto"/>
                  </w:tcPr>
                  <w:p>
                    <w:pPr>
                      <w:autoSpaceDE w:val="0"/>
                      <w:autoSpaceDN w:val="0"/>
                      <w:adjustRightInd w:val="0"/>
                      <w:rPr>
                        <w:szCs w:val="21"/>
                      </w:rPr>
                    </w:pPr>
                    <w:r>
                      <w:t>力帆融资租赁（上海）有限公司</w:t>
                    </w:r>
                  </w:p>
                </w:tc>
                <w:sdt>
                  <w:sdtPr>
                    <w:rPr>
                      <w:szCs w:val="21"/>
                    </w:rPr>
                    <w:alias w:val="关联债权债务往来的关联方关系"/>
                    <w:tag w:val="_GBC_8f67ef005f224f5caa48a28757043bc8"/>
                    <w:id w:val="1007434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859" w:type="pct"/>
                        <w:shd w:val="clear" w:color="auto" w:fill="auto"/>
                      </w:tcPr>
                      <w:p>
                        <w:pPr>
                          <w:autoSpaceDE w:val="0"/>
                          <w:autoSpaceDN w:val="0"/>
                          <w:adjustRightInd w:val="0"/>
                          <w:rPr>
                            <w:szCs w:val="21"/>
                          </w:rPr>
                        </w:pPr>
                        <w:r>
                          <w:rPr>
                            <w:szCs w:val="21"/>
                          </w:rPr>
                          <w:t>前实际控制人直接控制的其他附属企业</w:t>
                        </w:r>
                      </w:p>
                    </w:tc>
                  </w:sdtContent>
                </w:sdt>
                <w:tc>
                  <w:tcPr>
                    <w:tcW w:w="558" w:type="pct"/>
                    <w:shd w:val="clear" w:color="auto" w:fill="auto"/>
                  </w:tcPr>
                  <w:p>
                    <w:pPr>
                      <w:autoSpaceDE w:val="0"/>
                      <w:autoSpaceDN w:val="0"/>
                      <w:adjustRightInd w:val="0"/>
                      <w:ind w:right="84" w:rightChars="40"/>
                      <w:jc w:val="right"/>
                      <w:rPr>
                        <w:szCs w:val="21"/>
                      </w:rPr>
                    </w:pPr>
                  </w:p>
                </w:tc>
                <w:tc>
                  <w:tcPr>
                    <w:tcW w:w="559" w:type="pct"/>
                    <w:shd w:val="clear" w:color="auto" w:fill="auto"/>
                    <w:vAlign w:val="center"/>
                  </w:tcPr>
                  <w:p>
                    <w:pPr>
                      <w:jc w:val="right"/>
                      <w:rPr>
                        <w:sz w:val="24"/>
                      </w:rPr>
                    </w:pPr>
                    <w:r>
                      <w:t>7,136.00</w:t>
                    </w:r>
                  </w:p>
                </w:tc>
                <w:tc>
                  <w:tcPr>
                    <w:tcW w:w="606" w:type="pct"/>
                    <w:shd w:val="clear" w:color="auto" w:fill="auto"/>
                    <w:vAlign w:val="center"/>
                  </w:tcPr>
                  <w:p>
                    <w:pPr>
                      <w:jc w:val="right"/>
                      <w:rPr>
                        <w:sz w:val="24"/>
                      </w:rPr>
                    </w:pPr>
                    <w:r>
                      <w:t>7,136.00</w:t>
                    </w:r>
                  </w:p>
                </w:tc>
                <w:tc>
                  <w:tcPr>
                    <w:tcW w:w="558" w:type="pct"/>
                    <w:shd w:val="clear" w:color="auto" w:fill="auto"/>
                  </w:tcPr>
                  <w:p>
                    <w:pPr>
                      <w:autoSpaceDE w:val="0"/>
                      <w:autoSpaceDN w:val="0"/>
                      <w:adjustRightInd w:val="0"/>
                      <w:ind w:right="84" w:rightChars="40"/>
                      <w:jc w:val="right"/>
                      <w:rPr>
                        <w:szCs w:val="21"/>
                      </w:rPr>
                    </w:pPr>
                  </w:p>
                </w:tc>
                <w:tc>
                  <w:tcPr>
                    <w:tcW w:w="567" w:type="pct"/>
                    <w:shd w:val="clear" w:color="auto" w:fill="auto"/>
                  </w:tcPr>
                  <w:p>
                    <w:pPr>
                      <w:autoSpaceDE w:val="0"/>
                      <w:autoSpaceDN w:val="0"/>
                      <w:adjustRightInd w:val="0"/>
                      <w:ind w:right="84" w:rightChars="40"/>
                      <w:jc w:val="right"/>
                      <w:rPr>
                        <w:szCs w:val="21"/>
                      </w:rPr>
                    </w:pPr>
                  </w:p>
                </w:tc>
                <w:tc>
                  <w:tcPr>
                    <w:tcW w:w="587" w:type="pct"/>
                    <w:shd w:val="clear" w:color="auto" w:fill="auto"/>
                  </w:tcPr>
                  <w:p>
                    <w:pPr>
                      <w:autoSpaceDE w:val="0"/>
                      <w:autoSpaceDN w:val="0"/>
                      <w:adjustRightInd w:val="0"/>
                      <w:ind w:right="84" w:rightChars="40"/>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f694f736407343888e4308a34d5b8c41"/>
                <w:id w:val="10074351"/>
                <w:lock w:val="sdtLocked"/>
              </w:sdtPr>
              <w:sdtContent>
                <w:tc>
                  <w:tcPr>
                    <w:tcW w:w="1566" w:type="pct"/>
                    <w:gridSpan w:val="2"/>
                    <w:shd w:val="clear" w:color="auto" w:fill="auto"/>
                    <w:vAlign w:val="center"/>
                  </w:tcPr>
                  <w:p>
                    <w:pPr>
                      <w:pStyle w:val="15"/>
                      <w:autoSpaceDE w:val="0"/>
                      <w:autoSpaceDN w:val="0"/>
                      <w:adjustRightInd w:val="0"/>
                      <w:jc w:val="center"/>
                      <w:rPr>
                        <w:rFonts w:ascii="宋体" w:hAnsi="宋体"/>
                      </w:rPr>
                    </w:pPr>
                    <w:r>
                      <w:rPr>
                        <w:rFonts w:hint="eastAsia" w:ascii="宋体" w:hAnsi="宋体"/>
                      </w:rPr>
                      <w:t>合计</w:t>
                    </w:r>
                  </w:p>
                </w:tc>
              </w:sdtContent>
            </w:sdt>
            <w:tc>
              <w:tcPr>
                <w:tcW w:w="558" w:type="pct"/>
                <w:tcBorders>
                  <w:bottom w:val="nil"/>
                </w:tcBorders>
                <w:shd w:val="clear" w:color="auto" w:fill="auto"/>
              </w:tcPr>
              <w:p>
                <w:pPr>
                  <w:autoSpaceDE w:val="0"/>
                  <w:autoSpaceDN w:val="0"/>
                  <w:adjustRightInd w:val="0"/>
                  <w:ind w:right="84" w:rightChars="40"/>
                  <w:jc w:val="right"/>
                  <w:rPr>
                    <w:szCs w:val="21"/>
                  </w:rPr>
                </w:pPr>
              </w:p>
            </w:tc>
            <w:tc>
              <w:tcPr>
                <w:tcW w:w="559" w:type="pct"/>
                <w:tcBorders>
                  <w:bottom w:val="nil"/>
                </w:tcBorders>
                <w:shd w:val="clear" w:color="auto" w:fill="auto"/>
              </w:tcPr>
              <w:p>
                <w:pPr>
                  <w:autoSpaceDE w:val="0"/>
                  <w:autoSpaceDN w:val="0"/>
                  <w:adjustRightInd w:val="0"/>
                  <w:ind w:right="84" w:rightChars="40"/>
                  <w:jc w:val="right"/>
                  <w:rPr>
                    <w:szCs w:val="21"/>
                  </w:rPr>
                </w:pPr>
                <w:r>
                  <w:rPr>
                    <w:szCs w:val="21"/>
                  </w:rPr>
                  <w:t>8,039.54</w:t>
                </w:r>
              </w:p>
            </w:tc>
            <w:tc>
              <w:tcPr>
                <w:tcW w:w="606" w:type="pct"/>
                <w:tcBorders>
                  <w:bottom w:val="nil"/>
                </w:tcBorders>
                <w:shd w:val="clear" w:color="auto" w:fill="auto"/>
              </w:tcPr>
              <w:p>
                <w:pPr>
                  <w:ind w:right="84" w:rightChars="40"/>
                  <w:jc w:val="right"/>
                  <w:rPr>
                    <w:szCs w:val="21"/>
                  </w:rPr>
                </w:pPr>
                <w:r>
                  <w:rPr>
                    <w:szCs w:val="21"/>
                  </w:rPr>
                  <w:t>8,039.54</w:t>
                </w:r>
              </w:p>
            </w:tc>
            <w:tc>
              <w:tcPr>
                <w:tcW w:w="558" w:type="pct"/>
                <w:tcBorders>
                  <w:bottom w:val="nil"/>
                </w:tcBorders>
                <w:shd w:val="clear" w:color="auto" w:fill="auto"/>
              </w:tcPr>
              <w:p>
                <w:pPr>
                  <w:autoSpaceDE w:val="0"/>
                  <w:autoSpaceDN w:val="0"/>
                  <w:adjustRightInd w:val="0"/>
                  <w:ind w:right="84" w:rightChars="40"/>
                  <w:jc w:val="right"/>
                  <w:rPr>
                    <w:szCs w:val="21"/>
                  </w:rPr>
                </w:pPr>
              </w:p>
            </w:tc>
            <w:tc>
              <w:tcPr>
                <w:tcW w:w="567" w:type="pct"/>
                <w:tcBorders>
                  <w:bottom w:val="nil"/>
                </w:tcBorders>
                <w:shd w:val="clear" w:color="auto" w:fill="auto"/>
              </w:tcPr>
              <w:p>
                <w:pPr>
                  <w:autoSpaceDE w:val="0"/>
                  <w:autoSpaceDN w:val="0"/>
                  <w:adjustRightInd w:val="0"/>
                  <w:ind w:right="84" w:rightChars="40"/>
                  <w:jc w:val="right"/>
                  <w:rPr>
                    <w:szCs w:val="21"/>
                  </w:rPr>
                </w:pPr>
              </w:p>
            </w:tc>
            <w:tc>
              <w:tcPr>
                <w:tcW w:w="587" w:type="pct"/>
                <w:tcBorders>
                  <w:bottom w:val="nil"/>
                </w:tcBorders>
                <w:shd w:val="clear" w:color="auto" w:fill="auto"/>
              </w:tcPr>
              <w:p>
                <w:pPr>
                  <w:autoSpaceDE w:val="0"/>
                  <w:autoSpaceDN w:val="0"/>
                  <w:adjustRightInd w:val="0"/>
                  <w:ind w:right="84" w:rightChars="40"/>
                  <w:jc w:val="right"/>
                  <w:rPr>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sdt>
              <w:sdtPr>
                <w:tag w:val="_PLD_6b267ea8a4794efea08e1a308da9e927"/>
                <w:id w:val="10074352"/>
                <w:lock w:val="sdtLocked"/>
              </w:sdtPr>
              <w:sdtContent>
                <w:tc>
                  <w:tcPr>
                    <w:tcW w:w="1566"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关联债权债务形成原因</w:t>
                    </w:r>
                  </w:p>
                </w:tc>
              </w:sdtContent>
            </w:sdt>
            <w:tc>
              <w:tcPr>
                <w:tcW w:w="3434" w:type="pct"/>
                <w:gridSpan w:val="6"/>
                <w:tcBorders>
                  <w:top w:val="single" w:color="auto" w:sz="4" w:space="0"/>
                  <w:left w:val="single" w:color="auto" w:sz="4" w:space="0"/>
                  <w:bottom w:val="single" w:color="auto" w:sz="4" w:space="0"/>
                  <w:right w:val="single" w:color="auto" w:sz="4" w:space="0"/>
                </w:tcBorders>
                <w:shd w:val="clear" w:color="auto" w:fill="auto"/>
              </w:tcPr>
              <w:p>
                <w:pPr>
                  <w:rPr>
                    <w:color w:val="000000"/>
                    <w:szCs w:val="21"/>
                  </w:rPr>
                </w:pPr>
                <w:r>
                  <w:rPr>
                    <w:rFonts w:hint="eastAsia"/>
                    <w:color w:val="000000"/>
                    <w:szCs w:val="21"/>
                  </w:rPr>
                  <w:t>债权转让、担保责任代偿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30" w:type="dxa"/>
                <w:bottom w:w="0" w:type="dxa"/>
                <w:right w:w="30" w:type="dxa"/>
              </w:tblCellMar>
            </w:tblPrEx>
            <w:sdt>
              <w:sdtPr>
                <w:tag w:val="_PLD_2918fe02eca0402b9be61b0b098d7055"/>
                <w:id w:val="10074353"/>
                <w:lock w:val="sdtLocked"/>
              </w:sdtPr>
              <w:sdtContent>
                <w:tc>
                  <w:tcPr>
                    <w:tcW w:w="1566" w:type="pct"/>
                    <w:gridSpan w:val="2"/>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关联债权债务对公司的影响</w:t>
                    </w:r>
                  </w:p>
                </w:tc>
              </w:sdtContent>
            </w:sdt>
            <w:tc>
              <w:tcPr>
                <w:tcW w:w="3434" w:type="pct"/>
                <w:gridSpan w:val="6"/>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无</w:t>
                </w:r>
              </w:p>
            </w:tc>
          </w:tr>
        </w:tbl>
        <w:p>
          <w:pPr>
            <w:spacing w:line="360" w:lineRule="auto"/>
            <w:rPr>
              <w:rFonts w:asciiTheme="minorEastAsia" w:hAnsiTheme="minorEastAsia" w:eastAsiaTheme="minorEastAsia"/>
              <w:szCs w:val="21"/>
            </w:rPr>
          </w:pPr>
        </w:p>
      </w:sdtContent>
    </w:sdt>
    <w:p>
      <w:pPr>
        <w:pStyle w:val="4"/>
        <w:numPr>
          <w:ilvl w:val="2"/>
          <w:numId w:val="5"/>
        </w:numPr>
        <w:spacing w:before="0" w:after="0" w:line="360" w:lineRule="auto"/>
        <w:rPr>
          <w:rFonts w:asciiTheme="minorEastAsia" w:hAnsiTheme="minorEastAsia" w:eastAsiaTheme="minorEastAsia"/>
          <w:szCs w:val="21"/>
        </w:rPr>
      </w:pPr>
      <w:bookmarkStart w:id="75" w:name="_Hlk89953756"/>
      <w:bookmarkStart w:id="76" w:name="_Hlk89346519"/>
      <w:r>
        <w:rPr>
          <w:rFonts w:asciiTheme="minorEastAsia" w:hAnsiTheme="minorEastAsia" w:eastAsiaTheme="minorEastAsia"/>
          <w:szCs w:val="21"/>
        </w:rPr>
        <w:t>公司与存在关联关系的财务公司、公司控股财务公司与关联方之间的金融业务</w:t>
      </w:r>
    </w:p>
    <w:sdt>
      <w:sdtPr>
        <w:rPr>
          <w:rFonts w:asciiTheme="minorEastAsia" w:hAnsiTheme="minorEastAsia" w:eastAsiaTheme="minorEastAsia"/>
          <w:szCs w:val="21"/>
        </w:rPr>
        <w:alias w:val="是否适用：公司与存在关联关系的财务公司、公司控股财务公司与关联方之间的金融业务 [双击切换]"/>
        <w:tag w:val="_GBC_5a345568387542318c17a9fa2dcc2dbc"/>
        <w:id w:val="630364767"/>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color w:val="000000" w:themeColor="text1"/>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color w:val="000000" w:themeColor="text1"/>
          <w:szCs w:val="21"/>
        </w:rPr>
      </w:pPr>
      <w:bookmarkStart w:id="77" w:name="_Hlk41316022"/>
    </w:p>
    <w:bookmarkEnd w:id="75"/>
    <w:bookmarkEnd w:id="76"/>
    <w:bookmarkEnd w:id="77"/>
    <w:sdt>
      <w:sdtPr>
        <w:rPr>
          <w:rFonts w:hint="eastAsia" w:cs="宋体" w:asciiTheme="minorEastAsia" w:hAnsiTheme="minorEastAsia" w:eastAsiaTheme="minorEastAsia"/>
          <w:b w:val="0"/>
          <w:bCs w:val="0"/>
          <w:kern w:val="0"/>
          <w:szCs w:val="21"/>
        </w:rPr>
        <w:alias w:val="模块:其他"/>
        <w:tag w:val="_SEC_fdaa9d4446c44111831efafcc3898613"/>
        <w:id w:val="-659151360"/>
        <w:lock w:val="sdtLocked"/>
        <w:placeholder>
          <w:docPart w:val="GBC22222222222222222222222222222"/>
        </w:placeholder>
      </w:sdtPr>
      <w:sdtEndPr>
        <w:rPr>
          <w:rFonts w:hint="default" w:cs="宋体" w:asciiTheme="minorEastAsia" w:hAnsiTheme="minorEastAsia" w:eastAsiaTheme="minorEastAsia"/>
          <w:b w:val="0"/>
          <w:bCs w:val="0"/>
          <w:kern w:val="0"/>
          <w:szCs w:val="21"/>
        </w:rPr>
      </w:sdtEndPr>
      <w:sdtContent>
        <w:p>
          <w:pPr>
            <w:pStyle w:val="4"/>
            <w:numPr>
              <w:ilvl w:val="2"/>
              <w:numId w:val="5"/>
            </w:numPr>
            <w:spacing w:before="0" w:after="0" w:line="360" w:lineRule="auto"/>
            <w:rPr>
              <w:rFonts w:asciiTheme="minorEastAsia" w:hAnsiTheme="minorEastAsia" w:eastAsiaTheme="minorEastAsia"/>
              <w:szCs w:val="21"/>
            </w:rPr>
          </w:pPr>
          <w:r>
            <w:rPr>
              <w:rFonts w:hint="eastAsia" w:asciiTheme="minorEastAsia" w:hAnsiTheme="minorEastAsia" w:eastAsiaTheme="minorEastAsia"/>
              <w:szCs w:val="21"/>
            </w:rPr>
            <w:t>其他</w:t>
          </w:r>
        </w:p>
        <w:sdt>
          <w:sdtPr>
            <w:rPr>
              <w:rFonts w:hint="eastAsia" w:asciiTheme="minorEastAsia" w:hAnsiTheme="minorEastAsia" w:eastAsiaTheme="minorEastAsia"/>
              <w:szCs w:val="21"/>
            </w:rPr>
            <w:alias w:val="是否适用：重大关联交易其他说明[双击切换]"/>
            <w:tag w:val="_GBC_49b04883b7a84a83b6a8bfec05cbb445"/>
            <w:id w:val="-2042438285"/>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p>
      <w:pPr>
        <w:rPr>
          <w:szCs w:val="21"/>
        </w:rPr>
      </w:pPr>
    </w:p>
    <w:p>
      <w:pPr>
        <w:pStyle w:val="3"/>
        <w:numPr>
          <w:ilvl w:val="0"/>
          <w:numId w:val="27"/>
        </w:numPr>
      </w:pPr>
      <w:r>
        <w:rPr>
          <w:rFonts w:hint="eastAsia"/>
        </w:rPr>
        <w:t>重大合同及其履行情况</w:t>
      </w:r>
    </w:p>
    <w:p>
      <w:pPr>
        <w:pStyle w:val="4"/>
        <w:numPr>
          <w:ilvl w:val="0"/>
          <w:numId w:val="35"/>
        </w:numPr>
        <w:rPr>
          <w:szCs w:val="21"/>
        </w:rPr>
      </w:pPr>
      <w:r>
        <w:rPr>
          <w:szCs w:val="21"/>
        </w:rPr>
        <w:t>托管、承包、租赁事项</w:t>
      </w:r>
    </w:p>
    <w:sdt>
      <w:sdtPr>
        <w:rPr>
          <w:rFonts w:hint="eastAsia" w:ascii="Calibri" w:hAnsi="Calibri" w:eastAsia="宋体" w:cs="宋体"/>
          <w:b w:val="0"/>
          <w:bCs w:val="0"/>
          <w:kern w:val="0"/>
          <w:sz w:val="24"/>
          <w:szCs w:val="24"/>
        </w:rPr>
        <w:alias w:val="模块:托管情况"/>
        <w:tag w:val="_SEC_0543ebbac7a94a11b10d8648f7254d13"/>
        <w:id w:val="1108312081"/>
        <w:lock w:val="sdtLocked"/>
        <w:placeholder>
          <w:docPart w:val="GBC22222222222222222222222222222"/>
        </w:placeholder>
      </w:sdtPr>
      <w:sdtEndPr>
        <w:rPr>
          <w:rFonts w:hint="eastAsia" w:ascii="宋体" w:hAnsi="宋体" w:eastAsia="宋体" w:cs="宋体"/>
          <w:b w:val="0"/>
          <w:bCs w:val="0"/>
          <w:kern w:val="0"/>
          <w:sz w:val="21"/>
          <w:szCs w:val="21"/>
          <w:shd w:val="pct10" w:color="auto" w:fill="FFFFFF"/>
        </w:rPr>
      </w:sdtEndPr>
      <w:sdtContent>
        <w:p>
          <w:pPr>
            <w:pStyle w:val="5"/>
            <w:numPr>
              <w:ilvl w:val="0"/>
              <w:numId w:val="36"/>
            </w:numPr>
          </w:pPr>
          <w:r>
            <w:rPr>
              <w:rFonts w:hint="eastAsia"/>
            </w:rPr>
            <w:t>托管情况</w:t>
          </w:r>
        </w:p>
        <w:sdt>
          <w:sdtPr>
            <w:alias w:val="是否适用：托管情况[双击切换]"/>
            <w:tag w:val="_GBC_f528f5eedb9346f6b0fbdbe3967882e7"/>
            <w:id w:val="66228514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shd w:val="pct10" w:color="auto" w:fill="FFFFFF"/>
            </w:rPr>
          </w:pPr>
        </w:p>
      </w:sdtContent>
    </w:sdt>
    <w:sdt>
      <w:sdtPr>
        <w:rPr>
          <w:rFonts w:ascii="Calibri" w:hAnsi="Calibri" w:eastAsia="宋体" w:cs="宋体"/>
          <w:b w:val="0"/>
          <w:bCs w:val="0"/>
          <w:kern w:val="0"/>
          <w:sz w:val="24"/>
          <w:szCs w:val="24"/>
        </w:rPr>
        <w:alias w:val="模块:承包情况                         ..."/>
        <w:tag w:val="_SEC_d3e1b22be78242a687413a4836e3009d"/>
        <w:id w:val="-1121832591"/>
        <w:lock w:val="sdtLocked"/>
        <w:placeholder>
          <w:docPart w:val="GBC22222222222222222222222222222"/>
        </w:placeholder>
      </w:sdtPr>
      <w:sdtEndPr>
        <w:rPr>
          <w:rFonts w:hint="eastAsia" w:ascii="宋体" w:hAnsi="宋体" w:eastAsia="宋体" w:cs="宋体"/>
          <w:b w:val="0"/>
          <w:bCs w:val="0"/>
          <w:kern w:val="0"/>
          <w:sz w:val="21"/>
          <w:szCs w:val="21"/>
          <w:shd w:val="pct10" w:color="auto" w:fill="FFFFFF"/>
        </w:rPr>
      </w:sdtEndPr>
      <w:sdtContent>
        <w:p>
          <w:pPr>
            <w:pStyle w:val="5"/>
            <w:numPr>
              <w:ilvl w:val="0"/>
              <w:numId w:val="36"/>
            </w:numPr>
          </w:pPr>
          <w:r>
            <w:t>承包情况</w:t>
          </w:r>
        </w:p>
        <w:sdt>
          <w:sdtPr>
            <w:alias w:val="是否适用：承包情况[双击切换]"/>
            <w:tag w:val="_GBC_ef45025eb2d84c78907511abec2bd222"/>
            <w:id w:val="1668588200"/>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shd w:val="pct10" w:color="auto" w:fill="FFFFFF"/>
            </w:rPr>
          </w:pPr>
        </w:p>
      </w:sdtContent>
    </w:sdt>
    <w:sdt>
      <w:sdtPr>
        <w:rPr>
          <w:rFonts w:ascii="Calibri" w:hAnsi="Calibri" w:eastAsia="宋体" w:cs="宋体"/>
          <w:b w:val="0"/>
          <w:bCs w:val="0"/>
          <w:kern w:val="0"/>
          <w:sz w:val="24"/>
          <w:szCs w:val="24"/>
        </w:rPr>
        <w:alias w:val="模块:租赁情况                         ..."/>
        <w:tag w:val="_SEC_7309f241ae4444d2a7c93aa358e3eb6f"/>
        <w:id w:val="1326552411"/>
        <w:lock w:val="sdtLocked"/>
        <w:placeholder>
          <w:docPart w:val="GBC22222222222222222222222222222"/>
        </w:placeholder>
      </w:sdtPr>
      <w:sdtEndPr>
        <w:rPr>
          <w:rFonts w:hint="eastAsia" w:ascii="宋体" w:hAnsi="宋体" w:eastAsia="宋体" w:cs="宋体"/>
          <w:b w:val="0"/>
          <w:bCs w:val="0"/>
          <w:kern w:val="0"/>
          <w:sz w:val="21"/>
          <w:szCs w:val="21"/>
          <w:shd w:val="pct10" w:color="auto" w:fill="FFFFFF"/>
        </w:rPr>
      </w:sdtEndPr>
      <w:sdtContent>
        <w:p>
          <w:pPr>
            <w:pStyle w:val="5"/>
            <w:numPr>
              <w:ilvl w:val="0"/>
              <w:numId w:val="36"/>
            </w:numPr>
          </w:pPr>
          <w:r>
            <w:t>租赁情况</w:t>
          </w:r>
        </w:p>
        <w:sdt>
          <w:sdtPr>
            <w:alias w:val="是否适用：租赁情况[双击切换]"/>
            <w:tag w:val="_GBC_c1d0d78a63af4d48a7427277c2db3ac5"/>
            <w:id w:val="-1330293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shd w:val="pct10" w:color="auto" w:fill="FFFFFF"/>
            </w:rPr>
          </w:pPr>
        </w:p>
      </w:sdtContent>
    </w:sdt>
    <w:p>
      <w:pPr>
        <w:rPr>
          <w:szCs w:val="21"/>
          <w:shd w:val="pct10" w:color="auto" w:fill="FFFFFF"/>
        </w:rPr>
        <w:sectPr>
          <w:pgSz w:w="11906" w:h="16838"/>
          <w:pgMar w:top="1525" w:right="1276" w:bottom="1440" w:left="1797" w:header="855" w:footer="992" w:gutter="0"/>
          <w:cols w:space="425" w:num="1"/>
          <w:docGrid w:linePitch="312" w:charSpace="0"/>
        </w:sectPr>
      </w:pPr>
    </w:p>
    <w:p>
      <w:pPr>
        <w:pStyle w:val="4"/>
        <w:numPr>
          <w:ilvl w:val="0"/>
          <w:numId w:val="35"/>
        </w:numPr>
        <w:rPr>
          <w:szCs w:val="21"/>
        </w:rPr>
      </w:pPr>
      <w:bookmarkStart w:id="78" w:name="_Toc342565974"/>
      <w:bookmarkStart w:id="79" w:name="_Toc342491982"/>
      <w:bookmarkStart w:id="80" w:name="OLE_LINK2"/>
      <w:bookmarkStart w:id="81" w:name="OLE_LINK3"/>
      <w:r>
        <w:rPr>
          <w:rFonts w:hint="eastAsia"/>
          <w:szCs w:val="21"/>
        </w:rPr>
        <w:t>担保情况</w:t>
      </w:r>
      <w:bookmarkEnd w:id="78"/>
      <w:bookmarkEnd w:id="79"/>
    </w:p>
    <w:bookmarkEnd w:id="80"/>
    <w:bookmarkEnd w:id="81"/>
    <w:sdt>
      <w:sdtPr>
        <w:rPr>
          <w:szCs w:val="21"/>
        </w:rPr>
        <w:alias w:val="是否适用：担保情况[双击切换]"/>
        <w:tag w:val="_GBC_b799a3ac65f846e088fcfb2dd2591ede"/>
        <w:id w:val="515974844"/>
        <w:lock w:val="sdt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模块:担保情况"/>
        <w:tag w:val="_SEC_2430c7d32ec94e8094e76c237c9505e6"/>
        <w:id w:val="-121852754"/>
        <w:lock w:val="sdtLocked"/>
        <w:placeholder>
          <w:docPart w:val="GBC22222222222222222222222222222"/>
        </w:placeholder>
      </w:sdtPr>
      <w:sdtEndPr>
        <w:rPr>
          <w:rFonts w:hint="eastAsia" w:asciiTheme="minorEastAsia" w:hAnsiTheme="minorEastAsia" w:eastAsiaTheme="minorEastAsia"/>
          <w:szCs w:val="21"/>
        </w:rPr>
      </w:sdtEndPr>
      <w:sdtContent>
        <w:p>
          <w:pPr>
            <w:jc w:val="right"/>
            <w:rPr>
              <w:szCs w:val="21"/>
            </w:rPr>
          </w:pPr>
          <w:r>
            <w:rPr>
              <w:rFonts w:hint="eastAsia"/>
              <w:szCs w:val="21"/>
            </w:rPr>
            <w:t>单位</w:t>
          </w:r>
          <w:r>
            <w:rPr>
              <w:szCs w:val="21"/>
            </w:rPr>
            <w:t xml:space="preserve">: </w:t>
          </w:r>
          <w:sdt>
            <w:sdtPr>
              <w:rPr>
                <w:szCs w:val="21"/>
              </w:rPr>
              <w:alias w:val="单位：担保情况"/>
              <w:tag w:val="_GBC_c5b429695c6d4556a9d11f55a5e736d3"/>
              <w:id w:val="120020300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2287265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8"/>
            <w:tblW w:w="5240" w:type="pct"/>
            <w:tblInd w:w="-39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30" w:type="dxa"/>
              <w:bottom w:w="0" w:type="dxa"/>
              <w:right w:w="30" w:type="dxa"/>
            </w:tblCellMar>
          </w:tblPr>
          <w:tblGrid>
            <w:gridCol w:w="995"/>
            <w:gridCol w:w="993"/>
            <w:gridCol w:w="1133"/>
            <w:gridCol w:w="1110"/>
            <w:gridCol w:w="1005"/>
            <w:gridCol w:w="1005"/>
            <w:gridCol w:w="479"/>
            <w:gridCol w:w="631"/>
            <w:gridCol w:w="879"/>
            <w:gridCol w:w="879"/>
            <w:gridCol w:w="879"/>
            <w:gridCol w:w="876"/>
            <w:gridCol w:w="981"/>
            <w:gridCol w:w="876"/>
            <w:gridCol w:w="879"/>
            <w:gridCol w:w="100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47382e1239d84f6f9f6c6d4b5423c108"/>
                <w:id w:val="405430681"/>
                <w:lock w:val="sdtLocked"/>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jc w:val="center"/>
                      <w:rPr>
                        <w:szCs w:val="21"/>
                      </w:rPr>
                    </w:pPr>
                    <w:r>
                      <w:rPr>
                        <w:rFonts w:hint="eastAsia"/>
                        <w:szCs w:val="21"/>
                      </w:rPr>
                      <w:t>公司对外担保情况（不包括对子公司的担保）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sdt>
              <w:sdtPr>
                <w:tag w:val="_PLD_09b2f27e560e48058fd68a7522d4a21e"/>
                <w:id w:val="-2117676400"/>
                <w:lock w:val="sdtLocked"/>
              </w:sdtPr>
              <w:sdtContent>
                <w:tc>
                  <w:tcPr>
                    <w:tcW w:w="341" w:type="pct"/>
                    <w:tcBorders>
                      <w:top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担保方</w:t>
                    </w:r>
                  </w:p>
                </w:tc>
              </w:sdtContent>
            </w:sdt>
            <w:sdt>
              <w:sdtPr>
                <w:tag w:val="_PLD_3052f673b3b345d3a7af649302ea170a"/>
                <w:id w:val="947889318"/>
                <w:lock w:val="sdtLocked"/>
              </w:sdtPr>
              <w:sdtContent>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担保方与上市公司的关系</w:t>
                    </w:r>
                  </w:p>
                </w:tc>
              </w:sdtContent>
            </w:sdt>
            <w:sdt>
              <w:sdtPr>
                <w:tag w:val="_PLD_fb4029fae7cf48a79a41443b882f9109"/>
                <w:id w:val="-433048959"/>
                <w:lock w:val="sdtLocked"/>
              </w:sdtPr>
              <w:sdtContent>
                <w:tc>
                  <w:tcPr>
                    <w:tcW w:w="388"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被担保方</w:t>
                    </w:r>
                  </w:p>
                </w:tc>
              </w:sdtContent>
            </w:sdt>
            <w:sdt>
              <w:sdtPr>
                <w:tag w:val="_PLD_f9cf7e1836e34488ac32b6e51fd66dc5"/>
                <w:id w:val="-1033270920"/>
                <w:lock w:val="sdtLocked"/>
              </w:sdtPr>
              <w:sdtContent>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担保金额</w:t>
                    </w:r>
                  </w:p>
                </w:tc>
              </w:sdtContent>
            </w:sdt>
            <w:sdt>
              <w:sdtPr>
                <w:tag w:val="_PLD_2605894e64924e1c948143543497b30d"/>
                <w:id w:val="510032139"/>
                <w:lock w:val="sdtLocked"/>
              </w:sdtPr>
              <w:sdtContent>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担保发生日期</w:t>
                    </w:r>
                    <w:r>
                      <w:rPr>
                        <w:szCs w:val="21"/>
                      </w:rPr>
                      <w:t>(</w:t>
                    </w:r>
                    <w:r>
                      <w:rPr>
                        <w:rFonts w:hint="eastAsia"/>
                        <w:szCs w:val="21"/>
                      </w:rPr>
                      <w:t>协议签署日</w:t>
                    </w:r>
                    <w:r>
                      <w:rPr>
                        <w:szCs w:val="21"/>
                      </w:rPr>
                      <w:t>)</w:t>
                    </w:r>
                  </w:p>
                </w:tc>
              </w:sdtContent>
            </w:sdt>
            <w:sdt>
              <w:sdtPr>
                <w:tag w:val="_PLD_360b2c68827a4d0ca9316c3726b16cc0"/>
                <w:id w:val="-262690224"/>
                <w:lock w:val="sdtLocked"/>
              </w:sdtPr>
              <w:sdtContent>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w:t>
                    </w:r>
                  </w:p>
                  <w:p>
                    <w:pPr>
                      <w:autoSpaceDE w:val="0"/>
                      <w:autoSpaceDN w:val="0"/>
                      <w:adjustRightInd w:val="0"/>
                      <w:jc w:val="center"/>
                      <w:rPr>
                        <w:szCs w:val="21"/>
                      </w:rPr>
                    </w:pPr>
                    <w:r>
                      <w:rPr>
                        <w:rFonts w:hint="eastAsia"/>
                        <w:szCs w:val="21"/>
                      </w:rPr>
                      <w:t>起始日</w:t>
                    </w:r>
                  </w:p>
                </w:tc>
              </w:sdtContent>
            </w:sdt>
            <w:sdt>
              <w:sdtPr>
                <w:tag w:val="_PLD_6e343c1dd4c74b69b0e199f26aa0fc9a"/>
                <w:id w:val="512266482"/>
                <w:lock w:val="sdtLocked"/>
              </w:sdtPr>
              <w:sdtContent>
                <w:tc>
                  <w:tcPr>
                    <w:tcW w:w="3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w:t>
                    </w:r>
                  </w:p>
                  <w:p>
                    <w:pPr>
                      <w:autoSpaceDE w:val="0"/>
                      <w:autoSpaceDN w:val="0"/>
                      <w:adjustRightInd w:val="0"/>
                      <w:jc w:val="center"/>
                      <w:rPr>
                        <w:szCs w:val="21"/>
                      </w:rPr>
                    </w:pPr>
                    <w:r>
                      <w:rPr>
                        <w:rFonts w:hint="eastAsia"/>
                        <w:szCs w:val="21"/>
                      </w:rPr>
                      <w:t>到期日</w:t>
                    </w:r>
                  </w:p>
                </w:tc>
              </w:sdtContent>
            </w:sdt>
            <w:sdt>
              <w:sdtPr>
                <w:tag w:val="_PLD_85aaff970e8f4025937e66f170fc0506"/>
                <w:id w:val="98697520"/>
                <w:lock w:val="sdtLocked"/>
              </w:sdt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担保类型</w:t>
                    </w:r>
                  </w:p>
                </w:tc>
              </w:sdtContent>
            </w:sdt>
            <w:tc>
              <w:tcPr>
                <w:tcW w:w="301" w:type="pct"/>
                <w:tcBorders>
                  <w:top w:val="single" w:color="auto" w:sz="4" w:space="0"/>
                  <w:left w:val="single" w:color="auto" w:sz="4" w:space="0"/>
                  <w:bottom w:val="single" w:color="auto" w:sz="4" w:space="0"/>
                  <w:right w:val="single" w:color="auto" w:sz="4" w:space="0"/>
                </w:tcBorders>
                <w:vAlign w:val="center"/>
              </w:tcPr>
              <w:sdt>
                <w:sdtPr>
                  <w:rPr>
                    <w:rFonts w:hint="eastAsia"/>
                  </w:rPr>
                  <w:tag w:val="_PLD_d3fba9513b1742aeaf3cc03df939c3a6"/>
                  <w:id w:val="-764375399"/>
                  <w:lock w:val="sdtLocked"/>
                </w:sdtPr>
                <w:sdtEndPr>
                  <w:rPr>
                    <w:rFonts w:hint="eastAsia"/>
                  </w:rPr>
                </w:sdtEndPr>
                <w:sdtContent>
                  <w:p>
                    <w:pPr>
                      <w:autoSpaceDE w:val="0"/>
                      <w:autoSpaceDN w:val="0"/>
                      <w:adjustRightInd w:val="0"/>
                      <w:jc w:val="center"/>
                    </w:pPr>
                    <w:r>
                      <w:rPr>
                        <w:rFonts w:hint="eastAsia"/>
                      </w:rPr>
                      <w:t>担保物（如有）</w:t>
                    </w:r>
                  </w:p>
                </w:sdtContent>
              </w:sdt>
            </w:tc>
            <w:sdt>
              <w:sdtPr>
                <w:tag w:val="_PLD_fad806f6aed64969a9f500fc55be69bf"/>
                <w:id w:val="-746419148"/>
                <w:lock w:val="sdtLocked"/>
              </w:sdt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担保是否已经履行完毕</w:t>
                    </w:r>
                  </w:p>
                </w:tc>
              </w:sdtContent>
            </w:sdt>
            <w:sdt>
              <w:sdtPr>
                <w:tag w:val="_PLD_355a8c82bc68409495d9bf25a926ed62"/>
                <w:id w:val="272915273"/>
                <w:lock w:val="sdtLocked"/>
              </w:sdtPr>
              <w:sdtContent>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担保是否逾期</w:t>
                    </w:r>
                  </w:p>
                </w:tc>
              </w:sdtContent>
            </w:sdt>
            <w:sdt>
              <w:sdtPr>
                <w:tag w:val="_PLD_e8056176e7db49139234d1df564f5c3a"/>
                <w:id w:val="1330719046"/>
                <w:lock w:val="sdtLocked"/>
              </w:sdtPr>
              <w:sdtContent>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担保逾期金额</w:t>
                    </w:r>
                  </w:p>
                </w:tc>
              </w:sdtContent>
            </w:sdt>
            <w:sdt>
              <w:sdtPr>
                <w:tag w:val="_PLD_5c3b131124fe44f69e4b80cf09f7c755"/>
                <w:id w:val="-1520226599"/>
                <w:lock w:val="sdtLocked"/>
              </w:sdtPr>
              <w:sdtContent>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反担保情况</w:t>
                    </w:r>
                  </w:p>
                </w:tc>
              </w:sdtContent>
            </w:sdt>
            <w:sdt>
              <w:sdtPr>
                <w:tag w:val="_PLD_5a6bd2cf94e8411b88105a2190c5b4fb"/>
                <w:id w:val="2046247280"/>
                <w:lock w:val="sdtLocked"/>
              </w:sdt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rFonts w:hint="eastAsia"/>
                        <w:szCs w:val="21"/>
                      </w:rPr>
                      <w:t>是否为关联方担保</w:t>
                    </w:r>
                  </w:p>
                </w:tc>
              </w:sdtContent>
            </w:sdt>
            <w:sdt>
              <w:sdtPr>
                <w:tag w:val="_PLD_70390fe8c4804a7da41d8a62ace59586"/>
                <w:id w:val="-1110127727"/>
                <w:lock w:val="sdtLocked"/>
              </w:sdtPr>
              <w:sdtContent>
                <w:tc>
                  <w:tcPr>
                    <w:tcW w:w="341"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szCs w:val="21"/>
                      </w:rPr>
                    </w:pPr>
                    <w:r>
                      <w:rPr>
                        <w:rFonts w:hint="eastAsia"/>
                        <w:szCs w:val="21"/>
                      </w:rPr>
                      <w:t>关联</w:t>
                    </w:r>
                  </w:p>
                  <w:p>
                    <w:pPr>
                      <w:autoSpaceDE w:val="0"/>
                      <w:autoSpaceDN w:val="0"/>
                      <w:adjustRightInd w:val="0"/>
                      <w:jc w:val="center"/>
                      <w:rPr>
                        <w:szCs w:val="21"/>
                      </w:rPr>
                    </w:pPr>
                    <w:r>
                      <w:rPr>
                        <w:rFonts w:hint="eastAsia"/>
                        <w:szCs w:val="21"/>
                      </w:rPr>
                      <w:t>关系</w:t>
                    </w:r>
                  </w:p>
                </w:tc>
              </w:sdtContent>
            </w:sdt>
          </w:tr>
          <w:sdt>
            <w:sdtPr>
              <w:rPr>
                <w:rFonts w:asciiTheme="minorHAnsi" w:hAnsiTheme="minorHAnsi" w:eastAsiaTheme="minorEastAsia" w:cstheme="minorBidi"/>
                <w:kern w:val="2"/>
                <w:szCs w:val="21"/>
              </w:rPr>
              <w:alias w:val="担保情况"/>
              <w:tag w:val="_TUP_adfe31bb7cfc45dc9c8db4004890a06c"/>
              <w:id w:val="-1577358481"/>
              <w:lock w:val="sdtLocked"/>
            </w:sdtPr>
            <w:sdtEndPr>
              <w:rPr>
                <w:rFonts w:asciiTheme="minorHAnsi" w:hAnsiTheme="minorHAnsi" w:eastAsiaTheme="minorEastAsia" w:cstheme="minorBidi"/>
                <w:color w:val="FFC000"/>
                <w:kern w:val="2"/>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41" w:type="pct"/>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t>力帆科技（集团）股份有限公司</w:t>
                    </w:r>
                  </w:p>
                </w:tc>
                <w:sdt>
                  <w:sdtPr>
                    <w:rPr>
                      <w:rFonts w:hint="eastAsia"/>
                      <w:bCs/>
                      <w:szCs w:val="21"/>
                    </w:rPr>
                    <w:alias w:val="担保方与上市公司的关联关系"/>
                    <w:tag w:val="_GBC_2e446bc7579a4b2db650f2a8defc57b7"/>
                    <w:id w:val="-298463037"/>
                    <w:lock w:val="sdtLocked"/>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公司本部</w:t>
                        </w:r>
                      </w:p>
                    </w:tc>
                  </w:sdtContent>
                </w:sdt>
                <w:tc>
                  <w:tcPr>
                    <w:tcW w:w="38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重庆力帆控股有限公司</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9,749.96</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2019.4.1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2019.4.1</w:t>
                    </w:r>
                  </w:p>
                </w:tc>
                <w:tc>
                  <w:tcPr>
                    <w:tcW w:w="3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2025.11.30</w:t>
                    </w:r>
                  </w:p>
                </w:tc>
                <w:sdt>
                  <w:sdtPr>
                    <w:rPr>
                      <w:szCs w:val="21"/>
                    </w:rPr>
                    <w:alias w:val="担保类型"/>
                    <w:tag w:val="_GBC_affd72f534db4dbea735ffb69233d55c"/>
                    <w:id w:val="661667608"/>
                    <w:lock w:val="sdtLocked"/>
                    <w:comboBox>
                      <w:listItem w:displayText="一般担保" w:value="一般担保"/>
                      <w:listItem w:displayText="连带责任担保" w:value="连带责任担保"/>
                    </w:comboBox>
                  </w:sdtPr>
                  <w:sdtEndPr>
                    <w:rPr>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szCs w:val="21"/>
                          </w:rPr>
                          <w:t>连带责任担保</w:t>
                        </w:r>
                      </w:p>
                    </w:tc>
                  </w:sdtContent>
                </w:sdt>
                <w:tc>
                  <w:tcPr>
                    <w:tcW w:w="3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Cs/>
                        <w:szCs w:val="21"/>
                      </w:rPr>
                    </w:pPr>
                  </w:p>
                </w:tc>
                <w:sdt>
                  <w:sdtPr>
                    <w:rPr>
                      <w:rFonts w:hint="eastAsia"/>
                      <w:bCs/>
                      <w:szCs w:val="21"/>
                    </w:rPr>
                    <w:alias w:val="担保是否已经履行完毕"/>
                    <w:tag w:val="_GBC_61f81248895641f4b3a03b6d7bf72a1b"/>
                    <w:id w:val="-1071115907"/>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sdt>
                  <w:sdtPr>
                    <w:rPr>
                      <w:rFonts w:hint="eastAsia"/>
                      <w:bCs/>
                      <w:szCs w:val="21"/>
                    </w:rPr>
                    <w:alias w:val="担保是否逾期"/>
                    <w:tag w:val="_GBC_c6b9d1f792064d3f8a852d307386846b"/>
                    <w:id w:val="849602041"/>
                    <w:lock w:val="sdtLocked"/>
                    <w:comboBox>
                      <w:listItem w:displayText="是" w:value="true"/>
                      <w:listItem w:displayText="否" w:value="false"/>
                    </w:comboBox>
                  </w:sdtPr>
                  <w:sdtEndPr>
                    <w:rPr>
                      <w:rFonts w:hint="eastAsia"/>
                      <w:bCs/>
                      <w:szCs w:val="21"/>
                    </w:rPr>
                  </w:sdtEndPr>
                  <w:sdtContent>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center"/>
                      <w:rPr>
                        <w:bCs/>
                        <w:szCs w:val="21"/>
                      </w:rPr>
                    </w:pP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p>
                </w:tc>
                <w:sdt>
                  <w:sdtPr>
                    <w:rPr>
                      <w:rFonts w:hint="eastAsia"/>
                      <w:bCs/>
                      <w:szCs w:val="21"/>
                    </w:rPr>
                    <w:alias w:val="是否为关联方担保"/>
                    <w:tag w:val="_GBC_44554d74636543a7b143039de86b7494"/>
                    <w:id w:val="-386184195"/>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是</w:t>
                        </w:r>
                      </w:p>
                    </w:tc>
                  </w:sdtContent>
                </w:sdt>
                <w:sdt>
                  <w:sdtPr>
                    <w:rPr>
                      <w:szCs w:val="21"/>
                    </w:rPr>
                    <w:alias w:val="担保中关联方与本公司关系"/>
                    <w:tag w:val="_GBC_e5957983376e4a2f82b346d338d10f40"/>
                    <w:id w:val="207176743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41"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color w:val="FFC000"/>
                            <w:szCs w:val="21"/>
                          </w:rPr>
                        </w:pPr>
                        <w:r>
                          <w:rPr>
                            <w:szCs w:val="21"/>
                          </w:rPr>
                          <w:t>参股股东</w:t>
                        </w:r>
                      </w:p>
                    </w:tc>
                  </w:sdtContent>
                </w:sdt>
              </w:tr>
            </w:sdtContent>
          </w:sdt>
          <w:sdt>
            <w:sdtPr>
              <w:rPr>
                <w:rFonts w:asciiTheme="minorHAnsi" w:hAnsiTheme="minorHAnsi" w:eastAsiaTheme="minorEastAsia" w:cstheme="minorBidi"/>
                <w:kern w:val="2"/>
                <w:szCs w:val="21"/>
              </w:rPr>
              <w:alias w:val="担保情况"/>
              <w:tag w:val="_TUP_adfe31bb7cfc45dc9c8db4004890a06c"/>
              <w:id w:val="-14497471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41" w:type="pct"/>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t>力帆科技（集团）股份有限公司</w:t>
                    </w:r>
                  </w:p>
                </w:tc>
                <w:sdt>
                  <w:sdtPr>
                    <w:rPr>
                      <w:rFonts w:hint="eastAsia"/>
                      <w:bCs/>
                      <w:szCs w:val="21"/>
                    </w:rPr>
                    <w:alias w:val="担保方与上市公司的关联关系"/>
                    <w:tag w:val="_GBC_2e446bc7579a4b2db650f2a8defc57b7"/>
                    <w:id w:val="-415323064"/>
                    <w:lock w:val="sdtLocked"/>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公司本部</w:t>
                        </w:r>
                      </w:p>
                    </w:tc>
                  </w:sdtContent>
                </w:sdt>
                <w:tc>
                  <w:tcPr>
                    <w:tcW w:w="38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重庆力帆控股有限公司</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119,762.39</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2020.7.1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2017.9.22</w:t>
                    </w:r>
                  </w:p>
                </w:tc>
                <w:tc>
                  <w:tcPr>
                    <w:tcW w:w="3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2025.11.30</w:t>
                    </w:r>
                  </w:p>
                </w:tc>
                <w:sdt>
                  <w:sdtPr>
                    <w:rPr>
                      <w:szCs w:val="21"/>
                    </w:rPr>
                    <w:alias w:val="担保类型"/>
                    <w:tag w:val="_GBC_affd72f534db4dbea735ffb69233d55c"/>
                    <w:id w:val="-1719279824"/>
                    <w:lock w:val="sdtLocked"/>
                    <w:comboBox>
                      <w:listItem w:displayText="一般担保" w:value="一般担保"/>
                      <w:listItem w:displayText="连带责任担保" w:value="连带责任担保"/>
                    </w:comboBox>
                  </w:sdtPr>
                  <w:sdtEndPr>
                    <w:rPr>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szCs w:val="21"/>
                          </w:rPr>
                          <w:t>连带责任担保</w:t>
                        </w:r>
                      </w:p>
                    </w:tc>
                  </w:sdtContent>
                </w:sdt>
                <w:tc>
                  <w:tcPr>
                    <w:tcW w:w="3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Cs/>
                        <w:szCs w:val="21"/>
                      </w:rPr>
                    </w:pPr>
                  </w:p>
                </w:tc>
                <w:sdt>
                  <w:sdtPr>
                    <w:rPr>
                      <w:rFonts w:hint="eastAsia"/>
                      <w:bCs/>
                      <w:szCs w:val="21"/>
                    </w:rPr>
                    <w:alias w:val="担保是否已经履行完毕"/>
                    <w:tag w:val="_GBC_61f81248895641f4b3a03b6d7bf72a1b"/>
                    <w:id w:val="-1802531847"/>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否</w:t>
                        </w:r>
                      </w:p>
                    </w:tc>
                  </w:sdtContent>
                </w:sdt>
                <w:sdt>
                  <w:sdtPr>
                    <w:rPr>
                      <w:rFonts w:hint="eastAsia"/>
                      <w:bCs/>
                      <w:szCs w:val="21"/>
                    </w:rPr>
                    <w:alias w:val="担保是否逾期"/>
                    <w:tag w:val="_GBC_c6b9d1f792064d3f8a852d307386846b"/>
                    <w:id w:val="465624331"/>
                    <w:lock w:val="sdtLocked"/>
                    <w:comboBox>
                      <w:listItem w:displayText="是" w:value="true"/>
                      <w:listItem w:displayText="否" w:value="false"/>
                    </w:comboBox>
                  </w:sdtPr>
                  <w:sdtEndPr>
                    <w:rPr>
                      <w:rFonts w:hint="eastAsia"/>
                      <w:bCs/>
                      <w:szCs w:val="21"/>
                    </w:rPr>
                  </w:sdtEndPr>
                  <w:sdtContent>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否</w:t>
                        </w:r>
                      </w:p>
                    </w:tc>
                  </w:sdtContent>
                </w:sdt>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center"/>
                      <w:rPr>
                        <w:bCs/>
                        <w:szCs w:val="21"/>
                      </w:rPr>
                    </w:pP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p>
                </w:tc>
                <w:sdt>
                  <w:sdtPr>
                    <w:rPr>
                      <w:rFonts w:hint="eastAsia"/>
                      <w:bCs/>
                      <w:szCs w:val="21"/>
                    </w:rPr>
                    <w:alias w:val="是否为关联方担保"/>
                    <w:tag w:val="_GBC_44554d74636543a7b143039de86b7494"/>
                    <w:id w:val="1766498283"/>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是</w:t>
                        </w:r>
                      </w:p>
                    </w:tc>
                  </w:sdtContent>
                </w:sdt>
                <w:sdt>
                  <w:sdtPr>
                    <w:rPr>
                      <w:szCs w:val="21"/>
                    </w:rPr>
                    <w:alias w:val="担保中关联方与本公司关系"/>
                    <w:tag w:val="_GBC_e5957983376e4a2f82b346d338d10f40"/>
                    <w:id w:val="126943307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41"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szCs w:val="21"/>
                          </w:rPr>
                        </w:pPr>
                        <w:r>
                          <w:rPr>
                            <w:szCs w:val="21"/>
                          </w:rPr>
                          <w:t>参股股东</w:t>
                        </w:r>
                      </w:p>
                    </w:tc>
                  </w:sdtContent>
                </w:sdt>
              </w:tr>
            </w:sdtContent>
          </w:sdt>
          <w:sdt>
            <w:sdtPr>
              <w:rPr>
                <w:rFonts w:asciiTheme="minorHAnsi" w:hAnsiTheme="minorHAnsi" w:eastAsiaTheme="minorEastAsia" w:cstheme="minorBidi"/>
                <w:kern w:val="2"/>
                <w:szCs w:val="21"/>
              </w:rPr>
              <w:alias w:val="担保情况"/>
              <w:tag w:val="_TUP_adfe31bb7cfc45dc9c8db4004890a06c"/>
              <w:id w:val="-1290430151"/>
              <w:lock w:val="sdtLocked"/>
            </w:sdtPr>
            <w:sdtEndPr>
              <w:rPr>
                <w:rFonts w:asciiTheme="minorHAnsi" w:hAnsiTheme="minorHAnsi" w:eastAsiaTheme="minorEastAsia" w:cstheme="minorBidi"/>
                <w:color w:val="FFC000"/>
                <w:kern w:val="2"/>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41" w:type="pct"/>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t>力帆科技（集团）股份有限公司</w:t>
                    </w:r>
                  </w:p>
                </w:tc>
                <w:sdt>
                  <w:sdtPr>
                    <w:rPr>
                      <w:rFonts w:hint="eastAsia"/>
                      <w:bCs/>
                      <w:szCs w:val="21"/>
                    </w:rPr>
                    <w:alias w:val="担保方与上市公司的关联关系"/>
                    <w:tag w:val="_GBC_2e446bc7579a4b2db650f2a8defc57b7"/>
                    <w:id w:val="-672330032"/>
                    <w:lock w:val="sdtLocked"/>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公司本部</w:t>
                        </w:r>
                      </w:p>
                    </w:tc>
                  </w:sdtContent>
                </w:sdt>
                <w:tc>
                  <w:tcPr>
                    <w:tcW w:w="38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重庆力帆控股有限公司、尹明善</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20,642.09</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2019.3.29</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2019.3.29</w:t>
                    </w:r>
                  </w:p>
                </w:tc>
                <w:tc>
                  <w:tcPr>
                    <w:tcW w:w="3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2025.11.30</w:t>
                    </w:r>
                  </w:p>
                </w:tc>
                <w:sdt>
                  <w:sdtPr>
                    <w:rPr>
                      <w:szCs w:val="21"/>
                    </w:rPr>
                    <w:alias w:val="担保类型"/>
                    <w:tag w:val="_GBC_affd72f534db4dbea735ffb69233d55c"/>
                    <w:id w:val="-1869369332"/>
                    <w:lock w:val="sdtLocked"/>
                    <w:comboBox>
                      <w:listItem w:displayText="一般担保" w:value="一般担保"/>
                      <w:listItem w:displayText="连带责任担保" w:value="连带责任担保"/>
                    </w:comboBox>
                  </w:sdtPr>
                  <w:sdtEndPr>
                    <w:rPr>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szCs w:val="21"/>
                          </w:rPr>
                          <w:t>连带责任担保</w:t>
                        </w:r>
                      </w:p>
                    </w:tc>
                  </w:sdtContent>
                </w:sdt>
                <w:tc>
                  <w:tcPr>
                    <w:tcW w:w="3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Cs/>
                        <w:szCs w:val="21"/>
                      </w:rPr>
                    </w:pPr>
                  </w:p>
                </w:tc>
                <w:sdt>
                  <w:sdtPr>
                    <w:rPr>
                      <w:rFonts w:hint="eastAsia"/>
                      <w:bCs/>
                      <w:szCs w:val="21"/>
                    </w:rPr>
                    <w:alias w:val="担保是否已经履行完毕"/>
                    <w:tag w:val="_GBC_61f81248895641f4b3a03b6d7bf72a1b"/>
                    <w:id w:val="737827764"/>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sdt>
                  <w:sdtPr>
                    <w:rPr>
                      <w:rFonts w:hint="eastAsia"/>
                      <w:bCs/>
                      <w:szCs w:val="21"/>
                    </w:rPr>
                    <w:alias w:val="担保是否逾期"/>
                    <w:tag w:val="_GBC_c6b9d1f792064d3f8a852d307386846b"/>
                    <w:id w:val="1666667845"/>
                    <w:lock w:val="sdtLocked"/>
                    <w:comboBox>
                      <w:listItem w:displayText="是" w:value="true"/>
                      <w:listItem w:displayText="否" w:value="false"/>
                    </w:comboBox>
                  </w:sdtPr>
                  <w:sdtEndPr>
                    <w:rPr>
                      <w:rFonts w:hint="eastAsia"/>
                      <w:bCs/>
                      <w:szCs w:val="21"/>
                    </w:rPr>
                  </w:sdtEndPr>
                  <w:sdtContent>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否</w:t>
                        </w:r>
                      </w:p>
                    </w:tc>
                  </w:sdtContent>
                </w:sdt>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center"/>
                      <w:rPr>
                        <w:bCs/>
                        <w:szCs w:val="21"/>
                      </w:rPr>
                    </w:pP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p>
                </w:tc>
                <w:sdt>
                  <w:sdtPr>
                    <w:rPr>
                      <w:rFonts w:hint="eastAsia"/>
                      <w:bCs/>
                      <w:szCs w:val="21"/>
                    </w:rPr>
                    <w:alias w:val="是否为关联方担保"/>
                    <w:tag w:val="_GBC_44554d74636543a7b143039de86b7494"/>
                    <w:id w:val="-1779403620"/>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color w:val="FFC000"/>
                            <w:szCs w:val="21"/>
                          </w:rPr>
                        </w:pPr>
                        <w:r>
                          <w:rPr>
                            <w:rFonts w:hint="eastAsia"/>
                            <w:bCs/>
                            <w:szCs w:val="21"/>
                          </w:rPr>
                          <w:t>是</w:t>
                        </w:r>
                      </w:p>
                    </w:tc>
                  </w:sdtContent>
                </w:sdt>
                <w:sdt>
                  <w:sdtPr>
                    <w:rPr>
                      <w:szCs w:val="21"/>
                    </w:rPr>
                    <w:alias w:val="担保中关联方与本公司关系"/>
                    <w:tag w:val="_GBC_e5957983376e4a2f82b346d338d10f40"/>
                    <w:id w:val="-42565854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41"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color w:val="FFC000"/>
                            <w:szCs w:val="21"/>
                          </w:rPr>
                        </w:pPr>
                        <w:r>
                          <w:rPr>
                            <w:szCs w:val="21"/>
                          </w:rPr>
                          <w:t>参股股东</w:t>
                        </w:r>
                      </w:p>
                    </w:tc>
                  </w:sdtContent>
                </w:sdt>
              </w:tr>
            </w:sdtContent>
          </w:sdt>
          <w:sdt>
            <w:sdtPr>
              <w:rPr>
                <w:rFonts w:asciiTheme="minorHAnsi" w:hAnsiTheme="minorHAnsi" w:eastAsiaTheme="minorEastAsia" w:cstheme="minorBidi"/>
                <w:kern w:val="2"/>
                <w:szCs w:val="21"/>
              </w:rPr>
              <w:alias w:val="担保情况"/>
              <w:tag w:val="_TUP_adfe31bb7cfc45dc9c8db4004890a06c"/>
              <w:id w:val="3972065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293" w:hRule="atLeast"/>
                </w:trPr>
                <w:tc>
                  <w:tcPr>
                    <w:tcW w:w="341" w:type="pct"/>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t>力帆科技（集团）股份有限公司</w:t>
                    </w:r>
                  </w:p>
                </w:tc>
                <w:sdt>
                  <w:sdtPr>
                    <w:rPr>
                      <w:rFonts w:hint="eastAsia"/>
                      <w:bCs/>
                      <w:szCs w:val="21"/>
                    </w:rPr>
                    <w:alias w:val="担保方与上市公司的关联关系"/>
                    <w:tag w:val="_GBC_2e446bc7579a4b2db650f2a8defc57b7"/>
                    <w:id w:val="1841729204"/>
                    <w:lock w:val="sdtLocked"/>
                    <w:comboBox>
                      <w:listItem w:displayText="公司本部" w:value="公司本部"/>
                      <w:listItem w:displayText="控股子公司" w:value="控股子公司"/>
                      <w:listItem w:displayText="全资子公司" w:value="全资子公司"/>
                    </w:comboBox>
                  </w:sdtPr>
                  <w:sdtEndPr>
                    <w:rPr>
                      <w:rFonts w:hint="eastAsia"/>
                      <w:bCs/>
                      <w:szCs w:val="21"/>
                    </w:rPr>
                  </w:sdtEndPr>
                  <w:sdtContent>
                    <w:tc>
                      <w:tcPr>
                        <w:tcW w:w="34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公司本部</w:t>
                        </w:r>
                      </w:p>
                    </w:tc>
                  </w:sdtContent>
                </w:sdt>
                <w:tc>
                  <w:tcPr>
                    <w:tcW w:w="388" w:type="pct"/>
                    <w:tcBorders>
                      <w:top w:val="single" w:color="auto" w:sz="4" w:space="0"/>
                      <w:left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重庆力帆控股有限公司、尹明善</w:t>
                    </w:r>
                  </w:p>
                </w:tc>
                <w:tc>
                  <w:tcPr>
                    <w:tcW w:w="3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61,374.18</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2020.7.1</w:t>
                    </w:r>
                  </w:p>
                </w:tc>
                <w:tc>
                  <w:tcPr>
                    <w:tcW w:w="3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2019.4.3</w:t>
                    </w:r>
                  </w:p>
                </w:tc>
                <w:tc>
                  <w:tcPr>
                    <w:tcW w:w="38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2025.11.30</w:t>
                    </w:r>
                  </w:p>
                </w:tc>
                <w:sdt>
                  <w:sdtPr>
                    <w:rPr>
                      <w:szCs w:val="21"/>
                    </w:rPr>
                    <w:alias w:val="担保类型"/>
                    <w:tag w:val="_GBC_affd72f534db4dbea735ffb69233d55c"/>
                    <w:id w:val="-589464501"/>
                    <w:lock w:val="sdtLocked"/>
                    <w:comboBox>
                      <w:listItem w:displayText="一般担保" w:value="一般担保"/>
                      <w:listItem w:displayText="连带责任担保" w:value="连带责任担保"/>
                    </w:comboBox>
                  </w:sdtPr>
                  <w:sdtEndPr>
                    <w:rPr>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r>
                          <w:rPr>
                            <w:szCs w:val="21"/>
                          </w:rPr>
                          <w:t>连带责任担保</w:t>
                        </w:r>
                      </w:p>
                    </w:tc>
                  </w:sdtContent>
                </w:sdt>
                <w:tc>
                  <w:tcPr>
                    <w:tcW w:w="3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bCs/>
                        <w:szCs w:val="21"/>
                      </w:rPr>
                    </w:pPr>
                  </w:p>
                </w:tc>
                <w:sdt>
                  <w:sdtPr>
                    <w:rPr>
                      <w:rFonts w:hint="eastAsia"/>
                      <w:bCs/>
                      <w:szCs w:val="21"/>
                    </w:rPr>
                    <w:alias w:val="担保是否已经履行完毕"/>
                    <w:tag w:val="_GBC_61f81248895641f4b3a03b6d7bf72a1b"/>
                    <w:id w:val="-1739849405"/>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否</w:t>
                        </w:r>
                      </w:p>
                    </w:tc>
                  </w:sdtContent>
                </w:sdt>
                <w:sdt>
                  <w:sdtPr>
                    <w:rPr>
                      <w:rFonts w:hint="eastAsia"/>
                      <w:bCs/>
                      <w:szCs w:val="21"/>
                    </w:rPr>
                    <w:alias w:val="担保是否逾期"/>
                    <w:tag w:val="_GBC_c6b9d1f792064d3f8a852d307386846b"/>
                    <w:id w:val="-1554231254"/>
                    <w:lock w:val="sdtLocked"/>
                    <w:comboBox>
                      <w:listItem w:displayText="是" w:value="true"/>
                      <w:listItem w:displayText="否" w:value="false"/>
                    </w:comboBox>
                  </w:sdtPr>
                  <w:sdtEndPr>
                    <w:rPr>
                      <w:rFonts w:hint="eastAsia"/>
                      <w:bCs/>
                      <w:szCs w:val="21"/>
                    </w:rPr>
                  </w:sdtEndPr>
                  <w:sdtContent>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否</w:t>
                        </w:r>
                      </w:p>
                    </w:tc>
                  </w:sdtContent>
                </w:sdt>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ind w:right="84" w:rightChars="40"/>
                      <w:jc w:val="center"/>
                      <w:rPr>
                        <w:bCs/>
                        <w:szCs w:val="21"/>
                      </w:rPr>
                    </w:pPr>
                  </w:p>
                </w:tc>
                <w:tc>
                  <w:tcPr>
                    <w:tcW w:w="300"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szCs w:val="21"/>
                      </w:rPr>
                    </w:pPr>
                  </w:p>
                </w:tc>
                <w:sdt>
                  <w:sdtPr>
                    <w:rPr>
                      <w:rFonts w:hint="eastAsia"/>
                      <w:bCs/>
                      <w:szCs w:val="21"/>
                    </w:rPr>
                    <w:alias w:val="是否为关联方担保"/>
                    <w:tag w:val="_GBC_44554d74636543a7b143039de86b7494"/>
                    <w:id w:val="-1412696017"/>
                    <w:lock w:val="sdtLocked"/>
                    <w:comboBox>
                      <w:listItem w:displayText="是" w:value="true"/>
                      <w:listItem w:displayText="否" w:value="false"/>
                    </w:comboBox>
                  </w:sdtPr>
                  <w:sdtEndPr>
                    <w:rPr>
                      <w:rFonts w:hint="eastAsia"/>
                      <w:bCs/>
                      <w:szCs w:val="21"/>
                    </w:rPr>
                  </w:sdtEndPr>
                  <w:sdtContent>
                    <w:tc>
                      <w:tcPr>
                        <w:tcW w:w="301"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jc w:val="center"/>
                          <w:rPr>
                            <w:bCs/>
                            <w:szCs w:val="21"/>
                          </w:rPr>
                        </w:pPr>
                        <w:r>
                          <w:rPr>
                            <w:rFonts w:hint="eastAsia"/>
                            <w:bCs/>
                            <w:szCs w:val="21"/>
                          </w:rPr>
                          <w:t>是</w:t>
                        </w:r>
                      </w:p>
                    </w:tc>
                  </w:sdtContent>
                </w:sdt>
                <w:sdt>
                  <w:sdtPr>
                    <w:rPr>
                      <w:szCs w:val="21"/>
                    </w:rPr>
                    <w:alias w:val="担保中关联方与本公司关系"/>
                    <w:tag w:val="_GBC_e5957983376e4a2f82b346d338d10f40"/>
                    <w:id w:val="-172043080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EndPr>
                    <w:rPr>
                      <w:szCs w:val="21"/>
                    </w:rPr>
                  </w:sdtEndPr>
                  <w:sdtContent>
                    <w:tc>
                      <w:tcPr>
                        <w:tcW w:w="341" w:type="pct"/>
                        <w:tcBorders>
                          <w:top w:val="single" w:color="auto" w:sz="4" w:space="0"/>
                          <w:left w:val="single" w:color="auto" w:sz="4" w:space="0"/>
                          <w:bottom w:val="single" w:color="auto" w:sz="4" w:space="0"/>
                        </w:tcBorders>
                        <w:shd w:val="clear" w:color="auto" w:fill="auto"/>
                        <w:vAlign w:val="center"/>
                      </w:tcPr>
                      <w:p>
                        <w:pPr>
                          <w:autoSpaceDE w:val="0"/>
                          <w:autoSpaceDN w:val="0"/>
                          <w:adjustRightInd w:val="0"/>
                          <w:jc w:val="center"/>
                          <w:rPr>
                            <w:szCs w:val="21"/>
                          </w:rPr>
                        </w:pPr>
                        <w:r>
                          <w:rPr>
                            <w:szCs w:val="21"/>
                          </w:rPr>
                          <w:t>参股股东</w:t>
                        </w:r>
                      </w:p>
                    </w:tc>
                  </w:sdtContent>
                </w:sdt>
              </w:tr>
            </w:sdtContent>
          </w:sd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2bbd9416ce924e6baeb4bb75899a8721"/>
                <w:id w:val="651720736"/>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报告期内担保发生额合计（不包括对子公司的担保）</w:t>
                    </w:r>
                  </w:p>
                </w:tc>
              </w:sdtContent>
            </w:sdt>
            <w:tc>
              <w:tcPr>
                <w:tcW w:w="2699"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562efe08f15c423d939d15f2bf8a1274"/>
                <w:id w:val="-1121453814"/>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报告期末担保余额合计（</w:t>
                    </w:r>
                    <w:r>
                      <w:rPr>
                        <w:szCs w:val="21"/>
                      </w:rPr>
                      <w:t>A</w:t>
                    </w:r>
                    <w:r>
                      <w:rPr>
                        <w:rFonts w:hint="eastAsia"/>
                        <w:szCs w:val="21"/>
                      </w:rPr>
                      <w:t>）（不包括对子公司的担保）</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r>
                  <w:rPr>
                    <w:szCs w:val="21"/>
                  </w:rPr>
                  <w:t>211,528.62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0209e1df4d9c45da9415f0566332a134"/>
                <w:id w:val="1418680426"/>
                <w:lock w:val="sdtLocked"/>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szCs w:val="21"/>
                      </w:rPr>
                    </w:pPr>
                    <w:r>
                      <w:rPr>
                        <w:rFonts w:hint="eastAsia"/>
                        <w:szCs w:val="21"/>
                      </w:rPr>
                      <w:t>公司及其子公司对子公司的担保情况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f1ef7fd66cd24c3e9477255f64383f30"/>
                <w:id w:val="644170125"/>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color w:val="FF0000"/>
                        <w:szCs w:val="21"/>
                      </w:rPr>
                    </w:pPr>
                    <w:r>
                      <w:rPr>
                        <w:rFonts w:hint="eastAsia"/>
                        <w:szCs w:val="21"/>
                      </w:rPr>
                      <w:t>报告期内对子公司担保发生额合计</w:t>
                    </w:r>
                  </w:p>
                </w:tc>
              </w:sdtContent>
            </w:sdt>
            <w:tc>
              <w:tcPr>
                <w:tcW w:w="2699"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3cd11ead60c24b4db1767011d51198b4"/>
                <w:id w:val="58922002"/>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color w:val="FF0000"/>
                        <w:szCs w:val="21"/>
                      </w:rPr>
                    </w:pPr>
                    <w:r>
                      <w:rPr>
                        <w:rFonts w:hint="eastAsia"/>
                        <w:szCs w:val="21"/>
                      </w:rPr>
                      <w:t>报告期末对子公司担保余额合计（</w:t>
                    </w:r>
                    <w:r>
                      <w:rPr>
                        <w:szCs w:val="21"/>
                      </w:rPr>
                      <w:t>B</w:t>
                    </w:r>
                    <w:r>
                      <w:rPr>
                        <w:rFonts w:hint="eastAsia"/>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r>
                  <w:rPr>
                    <w:szCs w:val="21"/>
                  </w:rPr>
                  <w:t>19,048.73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b5d1fceb6fbd4fadb84d698d3eb35967"/>
                <w:id w:val="1150642278"/>
                <w:lock w:val="sdtLocked"/>
              </w:sdtPr>
              <w:sdtContent>
                <w:tc>
                  <w:tcPr>
                    <w:tcW w:w="5000" w:type="pct"/>
                    <w:gridSpan w:val="16"/>
                    <w:tcBorders>
                      <w:top w:val="single" w:color="auto" w:sz="4" w:space="0"/>
                      <w:bottom w:val="single" w:color="auto" w:sz="4" w:space="0"/>
                    </w:tcBorders>
                    <w:shd w:val="clear" w:color="auto" w:fill="auto"/>
                    <w:vAlign w:val="center"/>
                  </w:tcPr>
                  <w:p>
                    <w:pPr>
                      <w:autoSpaceDE w:val="0"/>
                      <w:autoSpaceDN w:val="0"/>
                      <w:adjustRightInd w:val="0"/>
                      <w:ind w:right="84" w:rightChars="40"/>
                      <w:jc w:val="center"/>
                      <w:rPr>
                        <w:szCs w:val="21"/>
                      </w:rPr>
                    </w:pPr>
                    <w:r>
                      <w:rPr>
                        <w:rFonts w:hint="eastAsia"/>
                        <w:szCs w:val="21"/>
                      </w:rPr>
                      <w:t>公司担保总额情况（包括对子公司的担保）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470" w:hRule="atLeast"/>
            </w:trPr>
            <w:sdt>
              <w:sdtPr>
                <w:tag w:val="_PLD_97cf9dc93a8b49cfb6030a7de370518b"/>
                <w:id w:val="1922838050"/>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szCs w:val="21"/>
                      </w:rPr>
                    </w:pPr>
                    <w:r>
                      <w:rPr>
                        <w:rFonts w:hint="eastAsia"/>
                        <w:szCs w:val="21"/>
                      </w:rPr>
                      <w:t>担保总额（</w:t>
                    </w:r>
                    <w:r>
                      <w:rPr>
                        <w:szCs w:val="21"/>
                      </w:rPr>
                      <w:t>A+B</w:t>
                    </w:r>
                    <w:r>
                      <w:rPr>
                        <w:rFonts w:hint="eastAsia"/>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r>
                  <w:rPr>
                    <w:szCs w:val="21"/>
                  </w:rPr>
                  <w:t>230,577.35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d21a7917b9ff4d6dbd8483eff1afbd82"/>
                <w:id w:val="-1451546607"/>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ind w:right="84" w:rightChars="40"/>
                      <w:rPr>
                        <w:szCs w:val="21"/>
                      </w:rPr>
                    </w:pPr>
                    <w:r>
                      <w:rPr>
                        <w:rFonts w:hint="eastAsia"/>
                        <w:szCs w:val="21"/>
                      </w:rPr>
                      <w:t>担保总额占公司净资产的比例</w:t>
                    </w:r>
                    <w:r>
                      <w:rPr>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r>
                  <w:rPr>
                    <w:rFonts w:hint="eastAsia"/>
                    <w:szCs w:val="21"/>
                  </w:rPr>
                  <w:t>20.44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5975855d5ef9445cb4cf0cccb044de3a"/>
                <w:id w:val="1838336983"/>
                <w:lock w:val="sdtLocked"/>
              </w:sdtPr>
              <w:sdtContent>
                <w:tc>
                  <w:tcPr>
                    <w:tcW w:w="5000" w:type="pct"/>
                    <w:gridSpan w:val="16"/>
                    <w:tcBorders>
                      <w:top w:val="single" w:color="auto" w:sz="4" w:space="0"/>
                      <w:bottom w:val="single" w:color="auto" w:sz="4" w:space="0"/>
                    </w:tcBorders>
                    <w:shd w:val="clear" w:color="auto" w:fill="auto"/>
                  </w:tcPr>
                  <w:p>
                    <w:pPr>
                      <w:pStyle w:val="15"/>
                      <w:autoSpaceDE w:val="0"/>
                      <w:autoSpaceDN w:val="0"/>
                      <w:adjustRightInd w:val="0"/>
                      <w:ind w:right="84" w:rightChars="40"/>
                      <w:rPr>
                        <w:rFonts w:ascii="宋体" w:hAnsi="宋体"/>
                      </w:rPr>
                    </w:pPr>
                    <w:r>
                      <w:rPr>
                        <w:rFonts w:hint="eastAsia" w:ascii="宋体" w:hAnsi="宋体"/>
                      </w:rPr>
                      <w:t>其中：</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30e2076758ce45debdae6789989817df"/>
                <w:id w:val="1313064112"/>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为股东、实际控制人及其关联方提供担保的金额（</w:t>
                    </w:r>
                    <w:r>
                      <w:rPr>
                        <w:szCs w:val="21"/>
                      </w:rPr>
                      <w:t>C</w:t>
                    </w:r>
                    <w:r>
                      <w:rPr>
                        <w:rFonts w:hint="eastAsia"/>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r>
                  <w:rPr>
                    <w:szCs w:val="21"/>
                  </w:rPr>
                  <w:t>211,528.62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e527b526e0d24f5982870686d243c818"/>
                <w:id w:val="74634292"/>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直接或间接为资产负债率超过</w:t>
                    </w:r>
                    <w:r>
                      <w:rPr>
                        <w:szCs w:val="21"/>
                      </w:rPr>
                      <w:t>70</w:t>
                    </w:r>
                    <w:r>
                      <w:rPr>
                        <w:rFonts w:hint="eastAsia"/>
                        <w:szCs w:val="21"/>
                      </w:rPr>
                      <w:t>%的被担保对象提供的债务担保金额（</w:t>
                    </w:r>
                    <w:r>
                      <w:rPr>
                        <w:szCs w:val="21"/>
                      </w:rPr>
                      <w:t>D</w:t>
                    </w:r>
                    <w:r>
                      <w:rPr>
                        <w:rFonts w:hint="eastAsia"/>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r>
                  <w:rPr>
                    <w:szCs w:val="21"/>
                  </w:rPr>
                  <w:t>19,048.73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c38dcad268724b6bac72df7893ce62db"/>
                <w:id w:val="1025285612"/>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担保总额超过净资产</w:t>
                    </w:r>
                    <w:r>
                      <w:rPr>
                        <w:szCs w:val="21"/>
                      </w:rPr>
                      <w:t>50</w:t>
                    </w:r>
                    <w:r>
                      <w:rPr>
                        <w:rFonts w:hint="eastAsia"/>
                        <w:szCs w:val="21"/>
                      </w:rPr>
                      <w:t>%部分的金额（</w:t>
                    </w:r>
                    <w:r>
                      <w:rPr>
                        <w:szCs w:val="21"/>
                      </w:rPr>
                      <w:t>E</w:t>
                    </w:r>
                    <w:r>
                      <w:rPr>
                        <w:rFonts w:hint="eastAsia"/>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ind w:right="84" w:rightChars="40"/>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7512871b7304408389a5ea305fc55c96"/>
                <w:id w:val="-1060251602"/>
                <w:lock w:val="sdtLocked"/>
              </w:sdtPr>
              <w:sdtContent>
                <w:tc>
                  <w:tcPr>
                    <w:tcW w:w="2301" w:type="pct"/>
                    <w:gridSpan w:val="7"/>
                    <w:tcBorders>
                      <w:top w:val="single" w:color="auto" w:sz="4" w:space="0"/>
                      <w:bottom w:val="single" w:color="auto" w:sz="4" w:space="0"/>
                      <w:right w:val="single" w:color="auto" w:sz="4" w:space="0"/>
                    </w:tcBorders>
                    <w:shd w:val="clear" w:color="auto" w:fill="auto"/>
                    <w:vAlign w:val="center"/>
                  </w:tcPr>
                  <w:p>
                    <w:pPr>
                      <w:autoSpaceDE w:val="0"/>
                      <w:autoSpaceDN w:val="0"/>
                      <w:adjustRightInd w:val="0"/>
                      <w:rPr>
                        <w:szCs w:val="21"/>
                      </w:rPr>
                    </w:pPr>
                    <w:r>
                      <w:rPr>
                        <w:rFonts w:hint="eastAsia"/>
                        <w:szCs w:val="21"/>
                      </w:rPr>
                      <w:t>上述三项担保金额合计（</w:t>
                    </w:r>
                    <w:r>
                      <w:rPr>
                        <w:szCs w:val="21"/>
                      </w:rPr>
                      <w:t>C+D+E</w:t>
                    </w:r>
                    <w:r>
                      <w:rPr>
                        <w:rFonts w:hint="eastAsia"/>
                        <w:szCs w:val="21"/>
                      </w:rPr>
                      <w:t>）</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ind w:right="84" w:rightChars="40"/>
                  <w:jc w:val="right"/>
                  <w:rPr>
                    <w:szCs w:val="21"/>
                  </w:rPr>
                </w:pPr>
                <w:r>
                  <w:rPr>
                    <w:szCs w:val="21"/>
                  </w:rPr>
                  <w:t>230,577.35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dc6ba07e028f446dbbaf6b0897841a8f"/>
                <w:id w:val="-792596461"/>
                <w:lock w:val="sdtLocked"/>
              </w:sdtPr>
              <w:sdtContent>
                <w:tc>
                  <w:tcPr>
                    <w:tcW w:w="2301" w:type="pct"/>
                    <w:gridSpan w:val="7"/>
                    <w:tcBorders>
                      <w:top w:val="single" w:color="auto" w:sz="4" w:space="0"/>
                      <w:bottom w:val="single" w:color="auto" w:sz="4" w:space="0"/>
                      <w:right w:val="single" w:color="auto" w:sz="4" w:space="0"/>
                    </w:tcBorders>
                    <w:shd w:val="clear" w:color="auto" w:fill="auto"/>
                    <w:vAlign w:val="center"/>
                  </w:tcPr>
                  <w:p>
                    <w:pPr>
                      <w:pStyle w:val="15"/>
                      <w:autoSpaceDE w:val="0"/>
                      <w:autoSpaceDN w:val="0"/>
                      <w:adjustRightInd w:val="0"/>
                      <w:rPr>
                        <w:rFonts w:ascii="宋体" w:hAnsi="宋体"/>
                      </w:rPr>
                    </w:pPr>
                    <w:r>
                      <w:rPr>
                        <w:rFonts w:hint="eastAsia" w:ascii="宋体" w:hAnsi="宋体"/>
                      </w:rPr>
                      <w:t>未到期担保可能承担连带清偿责任说明</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30" w:type="dxa"/>
                <w:bottom w:w="0" w:type="dxa"/>
                <w:right w:w="30" w:type="dxa"/>
              </w:tblCellMar>
            </w:tblPrEx>
            <w:trPr>
              <w:trHeight w:val="308" w:hRule="atLeast"/>
            </w:trPr>
            <w:sdt>
              <w:sdtPr>
                <w:tag w:val="_PLD_4a19c6649f7a44079219c22961b8203f"/>
                <w:id w:val="1916434894"/>
                <w:lock w:val="sdtLocked"/>
              </w:sdtPr>
              <w:sdtContent>
                <w:tc>
                  <w:tcPr>
                    <w:tcW w:w="2301" w:type="pct"/>
                    <w:gridSpan w:val="7"/>
                    <w:tcBorders>
                      <w:top w:val="single" w:color="auto" w:sz="4" w:space="0"/>
                      <w:bottom w:val="single" w:color="auto" w:sz="4" w:space="0"/>
                      <w:right w:val="single" w:color="auto" w:sz="4" w:space="0"/>
                    </w:tcBorders>
                    <w:shd w:val="clear" w:color="auto" w:fill="auto"/>
                  </w:tcPr>
                  <w:p>
                    <w:pPr>
                      <w:autoSpaceDE w:val="0"/>
                      <w:autoSpaceDN w:val="0"/>
                      <w:adjustRightInd w:val="0"/>
                      <w:rPr>
                        <w:szCs w:val="21"/>
                      </w:rPr>
                    </w:pPr>
                    <w:r>
                      <w:rPr>
                        <w:rFonts w:hint="eastAsia"/>
                        <w:szCs w:val="21"/>
                      </w:rPr>
                      <w:t>担保情况说明</w:t>
                    </w:r>
                  </w:p>
                </w:tc>
              </w:sdtContent>
            </w:sdt>
            <w:tc>
              <w:tcPr>
                <w:tcW w:w="2699" w:type="pct"/>
                <w:gridSpan w:val="9"/>
                <w:tcBorders>
                  <w:top w:val="single" w:color="auto" w:sz="4" w:space="0"/>
                  <w:left w:val="single" w:color="auto" w:sz="4" w:space="0"/>
                  <w:bottom w:val="single" w:color="auto" w:sz="4" w:space="0"/>
                </w:tcBorders>
                <w:shd w:val="clear" w:color="auto" w:fill="auto"/>
              </w:tcPr>
              <w:p>
                <w:pPr>
                  <w:autoSpaceDE w:val="0"/>
                  <w:autoSpaceDN w:val="0"/>
                  <w:adjustRightInd w:val="0"/>
                  <w:rPr>
                    <w:szCs w:val="21"/>
                  </w:rPr>
                </w:pPr>
                <w:r>
                  <w:rPr>
                    <w:szCs w:val="21"/>
                  </w:rPr>
                  <w:t>1、</w:t>
                </w:r>
                <w:r>
                  <w:rPr>
                    <w:rFonts w:hint="eastAsia"/>
                    <w:szCs w:val="21"/>
                  </w:rPr>
                  <w:t>原控股股东重庆力帆控股有限公司及其原实控人以其自身信用或资产为本公司及控股子公司在向金融机构及其他机构申请借款提供连带责任担保，为此，本公司及控股子公司向重庆力帆控股有限公司及其实际控制人提供反担保。</w:t>
                </w:r>
              </w:p>
              <w:p>
                <w:pPr>
                  <w:autoSpaceDE w:val="0"/>
                  <w:autoSpaceDN w:val="0"/>
                  <w:adjustRightInd w:val="0"/>
                  <w:rPr>
                    <w:szCs w:val="21"/>
                  </w:rPr>
                </w:pPr>
                <w:r>
                  <w:rPr>
                    <w:szCs w:val="21"/>
                  </w:rPr>
                  <w:t>2、直接或间接为资产负债率超过70%的被担保对象提供的债务担保的公司均为公司下属子公司，风险可控。</w:t>
                </w:r>
              </w:p>
            </w:tc>
          </w:tr>
        </w:tbl>
        <w:p/>
        <w:p>
          <w:pPr>
            <w:rPr>
              <w:rFonts w:asciiTheme="minorEastAsia" w:hAnsiTheme="minorEastAsia" w:eastAsiaTheme="minorEastAsia"/>
              <w:szCs w:val="21"/>
            </w:rPr>
          </w:pPr>
        </w:p>
      </w:sdtContent>
    </w:sdt>
    <w:p>
      <w:pPr>
        <w:rPr>
          <w:rFonts w:asciiTheme="minorEastAsia" w:hAnsiTheme="minorEastAsia" w:eastAsiaTheme="minorEastAsia"/>
          <w:szCs w:val="21"/>
        </w:rPr>
        <w:sectPr>
          <w:pgSz w:w="16838" w:h="11906" w:orient="landscape"/>
          <w:pgMar w:top="1797" w:right="1525" w:bottom="1276" w:left="1440" w:header="855" w:footer="992" w:gutter="0"/>
          <w:cols w:space="425" w:num="1"/>
          <w:docGrid w:linePitch="312" w:charSpace="0"/>
        </w:sectPr>
      </w:pPr>
    </w:p>
    <w:p>
      <w:pPr>
        <w:pStyle w:val="4"/>
        <w:numPr>
          <w:ilvl w:val="0"/>
          <w:numId w:val="35"/>
        </w:numPr>
        <w:rPr>
          <w:szCs w:val="21"/>
        </w:rPr>
      </w:pPr>
      <w:r>
        <w:rPr>
          <w:rFonts w:hint="eastAsia"/>
          <w:szCs w:val="21"/>
        </w:rPr>
        <w:t>委托他人进行现金资产管理的情况</w:t>
      </w:r>
    </w:p>
    <w:p>
      <w:pPr>
        <w:pStyle w:val="5"/>
        <w:numPr>
          <w:ilvl w:val="0"/>
          <w:numId w:val="37"/>
        </w:numPr>
      </w:pPr>
      <w:r>
        <w:rPr>
          <w:rFonts w:hint="eastAsia"/>
        </w:rPr>
        <w:t>委托理财情况</w:t>
      </w:r>
    </w:p>
    <w:sdt>
      <w:sdtPr>
        <w:rPr>
          <w:rFonts w:ascii="宋体" w:hAnsi="宋体" w:cs="宋体"/>
          <w:b w:val="0"/>
          <w:bCs w:val="0"/>
          <w:kern w:val="0"/>
          <w:szCs w:val="24"/>
        </w:rPr>
        <w:alias w:val="模块:委托理财总体情况"/>
        <w:tag w:val="_SEC_1e15b8524c82495dad9c5426489ba6b9"/>
        <w:id w:val="1048109561"/>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38"/>
            </w:numPr>
          </w:pPr>
          <w:r>
            <w:t>委托理财总体情况</w:t>
          </w:r>
        </w:p>
        <w:sdt>
          <w:sdtPr>
            <w:rPr>
              <w:rFonts w:hint="eastAsia"/>
            </w:rPr>
            <w:alias w:val="是否适用：委托理财总体情况[双击切换]"/>
            <w:tag w:val="_GBC_939edce711f74cc3bede852019388a3e"/>
            <w:id w:val="-144200772"/>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委托理财总体情况"/>
              <w:tag w:val="_GBC_995d6d32b0f247b897c1e3683394b78e"/>
              <w:id w:val="-12206646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委托理财总体情况"/>
              <w:tag w:val="_GBC_4eea93464f564ac386eb7f3f2731c982"/>
              <w:id w:val="19164320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9"/>
            <w:gridCol w:w="1701"/>
            <w:gridCol w:w="1701"/>
            <w:gridCol w:w="1701"/>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adc56e4902a44336b31583f6d92ae8fe"/>
                <w:id w:val="661891443"/>
                <w:lock w:val="sdtLocked"/>
              </w:sdtPr>
              <w:sdtEndPr>
                <w:rPr>
                  <w:rFonts w:hint="eastAsia"/>
                  <w:szCs w:val="21"/>
                </w:rPr>
              </w:sdtEndPr>
              <w:sdtContent>
                <w:tc>
                  <w:tcPr>
                    <w:tcW w:w="922" w:type="pct"/>
                    <w:shd w:val="clear" w:color="auto" w:fill="auto"/>
                    <w:vAlign w:val="center"/>
                  </w:tcPr>
                  <w:p>
                    <w:pPr>
                      <w:widowControl w:val="0"/>
                      <w:ind w:left="2" w:leftChars="-2" w:hanging="6" w:hangingChars="3"/>
                      <w:jc w:val="center"/>
                      <w:rPr>
                        <w:szCs w:val="21"/>
                      </w:rPr>
                    </w:pPr>
                    <w:r>
                      <w:rPr>
                        <w:rFonts w:hint="eastAsia"/>
                        <w:szCs w:val="21"/>
                      </w:rPr>
                      <w:t>类型</w:t>
                    </w:r>
                  </w:p>
                </w:tc>
              </w:sdtContent>
            </w:sdt>
            <w:sdt>
              <w:sdtPr>
                <w:rPr>
                  <w:rFonts w:hint="eastAsia"/>
                  <w:szCs w:val="21"/>
                </w:rPr>
                <w:tag w:val="_PLD_1e4b1b71c269470f8c1a8d2bf4482c76"/>
                <w:id w:val="132839706"/>
                <w:lock w:val="sdtLocked"/>
              </w:sdtPr>
              <w:sdtEndPr>
                <w:rPr>
                  <w:rFonts w:hint="eastAsia"/>
                  <w:szCs w:val="21"/>
                </w:rPr>
              </w:sdtEndPr>
              <w:sdtContent>
                <w:tc>
                  <w:tcPr>
                    <w:tcW w:w="940" w:type="pct"/>
                    <w:shd w:val="clear" w:color="auto" w:fill="auto"/>
                    <w:vAlign w:val="center"/>
                  </w:tcPr>
                  <w:p>
                    <w:pPr>
                      <w:widowControl w:val="0"/>
                      <w:jc w:val="center"/>
                      <w:rPr>
                        <w:szCs w:val="21"/>
                      </w:rPr>
                    </w:pPr>
                    <w:r>
                      <w:rPr>
                        <w:rFonts w:hint="eastAsia"/>
                        <w:szCs w:val="21"/>
                      </w:rPr>
                      <w:t>资金来源</w:t>
                    </w:r>
                  </w:p>
                </w:tc>
              </w:sdtContent>
            </w:sdt>
            <w:sdt>
              <w:sdtPr>
                <w:rPr>
                  <w:rFonts w:hint="eastAsia"/>
                  <w:szCs w:val="21"/>
                </w:rPr>
                <w:tag w:val="_PLD_7b0c91758b05423d8c85e6e2043dcc9e"/>
                <w:id w:val="-870994461"/>
                <w:lock w:val="sdtLocked"/>
              </w:sdtPr>
              <w:sdtEndPr>
                <w:rPr>
                  <w:rFonts w:hint="eastAsia"/>
                  <w:szCs w:val="21"/>
                </w:rPr>
              </w:sdtEndPr>
              <w:sdtContent>
                <w:tc>
                  <w:tcPr>
                    <w:tcW w:w="940" w:type="pct"/>
                    <w:shd w:val="clear" w:color="auto" w:fill="auto"/>
                    <w:vAlign w:val="center"/>
                  </w:tcPr>
                  <w:p>
                    <w:pPr>
                      <w:widowControl w:val="0"/>
                      <w:jc w:val="center"/>
                      <w:rPr>
                        <w:szCs w:val="21"/>
                      </w:rPr>
                    </w:pPr>
                    <w:r>
                      <w:rPr>
                        <w:rFonts w:hint="eastAsia"/>
                        <w:szCs w:val="21"/>
                      </w:rPr>
                      <w:t>发生额</w:t>
                    </w:r>
                  </w:p>
                </w:tc>
              </w:sdtContent>
            </w:sdt>
            <w:sdt>
              <w:sdtPr>
                <w:rPr>
                  <w:rFonts w:hint="eastAsia"/>
                  <w:szCs w:val="21"/>
                </w:rPr>
                <w:tag w:val="_PLD_c5c1ba65289743f390012a22166fda71"/>
                <w:id w:val="904341376"/>
                <w:lock w:val="sdtLocked"/>
              </w:sdtPr>
              <w:sdtEndPr>
                <w:rPr>
                  <w:rFonts w:hint="eastAsia"/>
                  <w:szCs w:val="21"/>
                </w:rPr>
              </w:sdtEndPr>
              <w:sdtContent>
                <w:tc>
                  <w:tcPr>
                    <w:tcW w:w="940" w:type="pct"/>
                    <w:shd w:val="clear" w:color="auto" w:fill="auto"/>
                    <w:vAlign w:val="center"/>
                  </w:tcPr>
                  <w:p>
                    <w:pPr>
                      <w:widowControl w:val="0"/>
                      <w:jc w:val="center"/>
                      <w:rPr>
                        <w:szCs w:val="21"/>
                      </w:rPr>
                    </w:pPr>
                    <w:r>
                      <w:rPr>
                        <w:rFonts w:hint="eastAsia"/>
                        <w:szCs w:val="21"/>
                      </w:rPr>
                      <w:t>未到期余额</w:t>
                    </w:r>
                  </w:p>
                </w:tc>
              </w:sdtContent>
            </w:sdt>
            <w:sdt>
              <w:sdtPr>
                <w:rPr>
                  <w:rFonts w:hint="eastAsia"/>
                  <w:szCs w:val="21"/>
                </w:rPr>
                <w:tag w:val="_PLD_ac496413cc194196b7b6f3a280315c67"/>
                <w:id w:val="-1148594757"/>
                <w:lock w:val="sdtLocked"/>
              </w:sdtPr>
              <w:sdtEndPr>
                <w:rPr>
                  <w:rFonts w:hint="eastAsia"/>
                  <w:szCs w:val="21"/>
                </w:rPr>
              </w:sdtEndPr>
              <w:sdtContent>
                <w:tc>
                  <w:tcPr>
                    <w:tcW w:w="1258" w:type="pct"/>
                    <w:shd w:val="clear" w:color="auto" w:fill="auto"/>
                    <w:vAlign w:val="center"/>
                  </w:tcPr>
                  <w:p>
                    <w:pPr>
                      <w:widowControl w:val="0"/>
                      <w:jc w:val="center"/>
                      <w:rPr>
                        <w:szCs w:val="21"/>
                      </w:rPr>
                    </w:pPr>
                    <w:r>
                      <w:rPr>
                        <w:rFonts w:hint="eastAsia"/>
                        <w:szCs w:val="21"/>
                      </w:rPr>
                      <w:t>逾期未收回金额</w:t>
                    </w:r>
                  </w:p>
                </w:tc>
              </w:sdtContent>
            </w:sdt>
          </w:tr>
          <w:sdt>
            <w:sdtPr>
              <w:rPr>
                <w:rFonts w:hint="eastAsia"/>
              </w:rPr>
              <w:alias w:val="委托理财总体情况"/>
              <w:tag w:val="_TUP_6e0fe7a0f5b84cf79e45a3ba6528bf07"/>
              <w:id w:val="-1101719474"/>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shd w:val="clear" w:color="auto" w:fill="auto"/>
                  </w:tcPr>
                  <w:p>
                    <w:pPr>
                      <w:jc w:val="center"/>
                    </w:pPr>
                    <w:r>
                      <w:rPr>
                        <w:rFonts w:hint="eastAsia"/>
                      </w:rPr>
                      <w:t>银行理财</w:t>
                    </w:r>
                  </w:p>
                </w:tc>
                <w:tc>
                  <w:tcPr>
                    <w:tcW w:w="940" w:type="pct"/>
                    <w:shd w:val="clear" w:color="auto" w:fill="auto"/>
                  </w:tcPr>
                  <w:p>
                    <w:pPr>
                      <w:jc w:val="center"/>
                    </w:pPr>
                    <w:r>
                      <w:rPr>
                        <w:rFonts w:hint="eastAsia"/>
                      </w:rPr>
                      <w:t>自有资金</w:t>
                    </w:r>
                  </w:p>
                </w:tc>
                <w:tc>
                  <w:tcPr>
                    <w:tcW w:w="940" w:type="pct"/>
                    <w:shd w:val="clear" w:color="auto" w:fill="auto"/>
                  </w:tcPr>
                  <w:p>
                    <w:pPr>
                      <w:jc w:val="center"/>
                    </w:pPr>
                    <w:r>
                      <w:rPr>
                        <w:rFonts w:hint="eastAsia"/>
                      </w:rPr>
                      <w:t>7,8</w:t>
                    </w:r>
                    <w:r>
                      <w:t>0</w:t>
                    </w:r>
                    <w:r>
                      <w:rPr>
                        <w:rFonts w:hint="eastAsia"/>
                      </w:rPr>
                      <w:t>0</w:t>
                    </w:r>
                    <w:r>
                      <w:t>,000.00</w:t>
                    </w:r>
                  </w:p>
                </w:tc>
                <w:tc>
                  <w:tcPr>
                    <w:tcW w:w="940" w:type="pct"/>
                    <w:shd w:val="clear" w:color="auto" w:fill="auto"/>
                  </w:tcPr>
                  <w:p>
                    <w:pPr>
                      <w:jc w:val="center"/>
                    </w:pPr>
                    <w:r>
                      <w:rPr>
                        <w:rFonts w:hint="eastAsia"/>
                      </w:rPr>
                      <w:t>0.00</w:t>
                    </w:r>
                  </w:p>
                </w:tc>
                <w:tc>
                  <w:tcPr>
                    <w:tcW w:w="1258" w:type="pct"/>
                    <w:shd w:val="clear" w:color="auto" w:fill="auto"/>
                  </w:tcPr>
                  <w:p>
                    <w:pPr>
                      <w:jc w:val="center"/>
                    </w:pPr>
                    <w:r>
                      <w:rPr>
                        <w:rFonts w:hint="eastAsia"/>
                      </w:rPr>
                      <w:t>0.00</w:t>
                    </w:r>
                  </w:p>
                </w:tc>
              </w:tr>
            </w:sdtContent>
          </w:sdt>
        </w:tbl>
        <w:p>
          <w:pPr>
            <w:spacing w:line="360" w:lineRule="auto"/>
          </w:pPr>
          <w:r>
            <w:rPr>
              <w:rFonts w:hint="eastAsia"/>
            </w:rPr>
            <w:t>说明：公司控股子公司在休息日及法定节假日将剩余资金购买保本型理财产品以提高资金的收益率。</w:t>
          </w:r>
        </w:p>
      </w:sdtContent>
    </w:sdt>
    <w:sdt>
      <w:sdtPr>
        <w:rPr>
          <w:rFonts w:hint="eastAsia"/>
        </w:rPr>
        <w:alias w:val="模块:委托理财总体其他情况"/>
        <w:tag w:val="_SEC_c74546ff2eb54c40a95f3d7a5ec247ac"/>
        <w:id w:val="888770566"/>
        <w:lock w:val="sdtLocked"/>
        <w:placeholder>
          <w:docPart w:val="GBC22222222222222222222222222222"/>
        </w:placeholder>
      </w:sdtPr>
      <w:sdtEndPr>
        <w:rPr>
          <w:rFonts w:hint="eastAsia"/>
        </w:rPr>
      </w:sdtEndPr>
      <w:sdtContent>
        <w:p>
          <w:pPr>
            <w:spacing w:line="360" w:lineRule="auto"/>
            <w:rPr>
              <w:b/>
            </w:rPr>
          </w:pPr>
          <w:r>
            <w:rPr>
              <w:rFonts w:hint="eastAsia"/>
              <w:b/>
            </w:rPr>
            <w:t>其他情况</w:t>
          </w:r>
        </w:p>
        <w:sdt>
          <w:sdtPr>
            <w:rPr>
              <w:rFonts w:hint="eastAsia"/>
            </w:rPr>
            <w:alias w:val="是否适用：委托理财总体其他情况[双击切换]"/>
            <w:tag w:val="_GBC_4fb72032e5bd4642bf5eb2d83d5ca874"/>
            <w:id w:val="-1989087411"/>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ascii="宋体" w:hAnsi="宋体" w:cs="宋体"/>
          <w:b w:val="0"/>
          <w:bCs w:val="0"/>
          <w:kern w:val="0"/>
          <w:szCs w:val="24"/>
        </w:rPr>
        <w:alias w:val="模块:单项委托理财情况"/>
        <w:tag w:val="_SEC_b54bd17bb0da4771a60d17a9a56131e4"/>
        <w:id w:val="-205713561"/>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38"/>
            </w:numPr>
            <w:spacing w:before="0" w:after="0" w:line="360" w:lineRule="auto"/>
          </w:pPr>
          <w:r>
            <w:t>单项委托理财情况</w:t>
          </w:r>
        </w:p>
        <w:sdt>
          <w:sdtPr>
            <w:rPr>
              <w:rFonts w:hint="eastAsia"/>
            </w:rPr>
            <w:alias w:val="是否适用：单项委托理财情况[双击切换]"/>
            <w:tag w:val="_GBC_049960b74e79480d8781c2d7d6a997dc"/>
            <w:id w:val="-1492095086"/>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cs="Times New Roman"/>
          <w:kern w:val="2"/>
          <w:szCs w:val="21"/>
        </w:rPr>
        <w:alias w:val="模块:单项委托理财其他情况"/>
        <w:tag w:val="_SEC_758c95ca546e4d8d9735adf2c606a653"/>
        <w:id w:val="145479402"/>
        <w:lock w:val="sdtLocked"/>
        <w:placeholder>
          <w:docPart w:val="GBC22222222222222222222222222222"/>
        </w:placeholder>
      </w:sdtPr>
      <w:sdtEndPr>
        <w:rPr>
          <w:rFonts w:hint="eastAsia" w:cs="Times New Roman"/>
          <w:kern w:val="2"/>
          <w:szCs w:val="21"/>
        </w:rPr>
      </w:sdtEndPr>
      <w:sdtContent>
        <w:p>
          <w:pPr>
            <w:spacing w:line="360" w:lineRule="auto"/>
            <w:rPr>
              <w:b/>
            </w:rPr>
          </w:pPr>
          <w:r>
            <w:rPr>
              <w:rFonts w:hint="eastAsia"/>
              <w:b/>
            </w:rPr>
            <w:t>其他情况</w:t>
          </w:r>
        </w:p>
        <w:sdt>
          <w:sdtPr>
            <w:rPr>
              <w:rFonts w:hint="eastAsia"/>
            </w:rPr>
            <w:alias w:val="是否适用：单项委托理财其他情况[双击切换]"/>
            <w:tag w:val="_GBC_627c77e5ab674442a3b768741f653602"/>
            <w:id w:val="588895695"/>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ascii="宋体" w:hAnsi="宋体" w:cs="宋体"/>
          <w:b w:val="0"/>
          <w:bCs w:val="0"/>
          <w:kern w:val="0"/>
          <w:szCs w:val="24"/>
        </w:rPr>
        <w:alias w:val="模块:委托理财减值准备"/>
        <w:tag w:val="_SEC_7452a82862434316834423d06c71379a"/>
        <w:id w:val="250941258"/>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38"/>
            </w:numPr>
            <w:spacing w:before="0" w:after="0" w:line="360" w:lineRule="auto"/>
          </w:pPr>
          <w:r>
            <w:t>委托理财减值准备</w:t>
          </w:r>
        </w:p>
        <w:sdt>
          <w:sdtPr>
            <w:rPr>
              <w:rFonts w:hint="eastAsia"/>
            </w:rPr>
            <w:alias w:val="是否适用：委托理财减值准备[双击切换]"/>
            <w:tag w:val="_GBC_8db4f6600a6746739610ffaaa34abeac"/>
            <w:id w:val="636231924"/>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p>
      <w:pPr>
        <w:pStyle w:val="5"/>
        <w:numPr>
          <w:ilvl w:val="0"/>
          <w:numId w:val="37"/>
        </w:numPr>
        <w:spacing w:before="0" w:after="0" w:line="360" w:lineRule="auto"/>
      </w:pPr>
      <w:r>
        <w:t>委托贷款情况</w:t>
      </w:r>
    </w:p>
    <w:sdt>
      <w:sdtPr>
        <w:rPr>
          <w:rFonts w:ascii="宋体" w:hAnsi="宋体" w:cs="宋体"/>
          <w:b w:val="0"/>
          <w:bCs w:val="0"/>
          <w:kern w:val="0"/>
          <w:szCs w:val="24"/>
        </w:rPr>
        <w:alias w:val="模块:委托贷款总体情况"/>
        <w:tag w:val="_SEC_9a8143f870bc4e57b202f414052a0b80"/>
        <w:id w:val="671532417"/>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39"/>
            </w:numPr>
            <w:spacing w:before="0" w:after="0" w:line="360" w:lineRule="auto"/>
          </w:pPr>
          <w:r>
            <w:t>委托贷款总体情况</w:t>
          </w:r>
        </w:p>
        <w:sdt>
          <w:sdtPr>
            <w:rPr>
              <w:rFonts w:hint="eastAsia"/>
            </w:rPr>
            <w:alias w:val="是否适用：委托贷款总体情况[双击切换]"/>
            <w:tag w:val="_GBC_6f663504a9e74d5c978e23554b4b84e4"/>
            <w:id w:val="-538129179"/>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委托贷款总体其他情况"/>
        <w:tag w:val="_SEC_34e1ed3df0e1441ebcf87d7eb2c64ec3"/>
        <w:id w:val="-1165780552"/>
        <w:lock w:val="sdtLocked"/>
        <w:placeholder>
          <w:docPart w:val="GBC22222222222222222222222222222"/>
        </w:placeholder>
      </w:sdtPr>
      <w:sdtEndPr>
        <w:rPr>
          <w:rFonts w:hint="eastAsia"/>
        </w:rPr>
      </w:sdtEndPr>
      <w:sdtContent>
        <w:p>
          <w:pPr>
            <w:spacing w:line="360" w:lineRule="auto"/>
            <w:rPr>
              <w:b/>
            </w:rPr>
          </w:pPr>
          <w:r>
            <w:rPr>
              <w:rFonts w:hint="eastAsia"/>
              <w:b/>
            </w:rPr>
            <w:t>其他情况</w:t>
          </w:r>
        </w:p>
        <w:sdt>
          <w:sdtPr>
            <w:rPr>
              <w:rFonts w:hint="eastAsia"/>
            </w:rPr>
            <w:alias w:val="是否适用：委托贷款总体其他情况[双击切换]"/>
            <w:tag w:val="_GBC_a071e3ce40374c6bb1b2f2dc2158413e"/>
            <w:id w:val="1395089787"/>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ascii="宋体" w:hAnsi="宋体" w:cs="宋体"/>
          <w:b w:val="0"/>
          <w:bCs w:val="0"/>
          <w:kern w:val="0"/>
          <w:szCs w:val="24"/>
        </w:rPr>
        <w:alias w:val="模块:单项委托贷款情况"/>
        <w:tag w:val="_SEC_b6646f10bd22442798f985fd4ebdd061"/>
        <w:id w:val="1723637316"/>
        <w:lock w:val="sdtLocked"/>
        <w:placeholder>
          <w:docPart w:val="GBC22222222222222222222222222222"/>
        </w:placeholder>
      </w:sdtPr>
      <w:sdtEndPr>
        <w:rPr>
          <w:rFonts w:hint="eastAsia" w:ascii="宋体" w:hAnsi="宋体" w:cs="宋体"/>
          <w:b w:val="0"/>
          <w:bCs w:val="0"/>
          <w:kern w:val="0"/>
          <w:szCs w:val="24"/>
        </w:rPr>
      </w:sdtEndPr>
      <w:sdtContent>
        <w:p>
          <w:pPr>
            <w:pStyle w:val="6"/>
            <w:numPr>
              <w:ilvl w:val="0"/>
              <w:numId w:val="39"/>
            </w:numPr>
            <w:spacing w:before="0" w:after="0" w:line="360" w:lineRule="auto"/>
          </w:pPr>
          <w:r>
            <w:t>单项委托贷款情况</w:t>
          </w:r>
        </w:p>
        <w:sdt>
          <w:sdtPr>
            <w:rPr>
              <w:rFonts w:hint="eastAsia"/>
            </w:rPr>
            <w:alias w:val="是否适用：单项委托贷款情况[双击切换]"/>
            <w:tag w:val="_GBC_30b7c4837f704dff80c05190f23d6f3e"/>
            <w:id w:val="-1744172419"/>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cs="Times New Roman"/>
          <w:kern w:val="2"/>
          <w:szCs w:val="21"/>
        </w:rPr>
        <w:alias w:val="模块:单项委托贷款其他情况 "/>
        <w:tag w:val="_SEC_5b2e19ddb1654e038c545d348ccbd530"/>
        <w:id w:val="-114676589"/>
        <w:lock w:val="sdtLocked"/>
        <w:placeholder>
          <w:docPart w:val="GBC22222222222222222222222222222"/>
        </w:placeholder>
      </w:sdtPr>
      <w:sdtEndPr>
        <w:rPr>
          <w:rFonts w:hint="eastAsia" w:cs="Times New Roman"/>
          <w:kern w:val="2"/>
          <w:szCs w:val="21"/>
        </w:rPr>
      </w:sdtEndPr>
      <w:sdtContent>
        <w:p>
          <w:pPr>
            <w:spacing w:line="360" w:lineRule="auto"/>
            <w:rPr>
              <w:b/>
            </w:rPr>
          </w:pPr>
          <w:r>
            <w:rPr>
              <w:rFonts w:hint="eastAsia"/>
              <w:b/>
            </w:rPr>
            <w:t>其他情况</w:t>
          </w:r>
        </w:p>
        <w:sdt>
          <w:sdtPr>
            <w:rPr>
              <w:rFonts w:hint="eastAsia"/>
            </w:rPr>
            <w:alias w:val="是否适用：单项委托贷款其他情况[双击切换]"/>
            <w:tag w:val="_GBC_7fbd63dcaf8a4899bcd830951796a261"/>
            <w:id w:val="-315334107"/>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ascii="宋体" w:hAnsi="宋体" w:cs="宋体"/>
          <w:b w:val="0"/>
          <w:bCs w:val="0"/>
          <w:kern w:val="0"/>
          <w:szCs w:val="24"/>
        </w:rPr>
        <w:alias w:val="模块:委托贷款减值准"/>
        <w:tag w:val="_SEC_0b6195f8785f4def8fa24b4658c28dab"/>
        <w:id w:val="-957032691"/>
        <w:lock w:val="sdtLocked"/>
        <w:placeholder>
          <w:docPart w:val="GBC22222222222222222222222222222"/>
        </w:placeholder>
      </w:sdtPr>
      <w:sdtEndPr>
        <w:rPr>
          <w:rFonts w:ascii="宋体" w:hAnsi="宋体" w:cs="宋体"/>
          <w:b w:val="0"/>
          <w:bCs w:val="0"/>
          <w:kern w:val="0"/>
          <w:szCs w:val="24"/>
        </w:rPr>
      </w:sdtEndPr>
      <w:sdtContent>
        <w:p>
          <w:pPr>
            <w:pStyle w:val="6"/>
            <w:numPr>
              <w:ilvl w:val="0"/>
              <w:numId w:val="39"/>
            </w:numPr>
            <w:spacing w:before="0" w:after="0" w:line="360" w:lineRule="auto"/>
          </w:pPr>
          <w:r>
            <w:t>委托贷款减值</w:t>
          </w:r>
          <w:r>
            <w:rPr>
              <w:rFonts w:hint="eastAsia"/>
            </w:rPr>
            <w:t>准备</w:t>
          </w:r>
        </w:p>
        <w:sdt>
          <w:sdtPr>
            <w:rPr>
              <w:rFonts w:hint="eastAsia"/>
            </w:rPr>
            <w:alias w:val="是否适用：委托贷款减值准备[双击切换]"/>
            <w:tag w:val="_GBC_72dc10eff44f4851bd80447a1199a033"/>
            <w:id w:val="1635915781"/>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sdt>
      <w:sdtPr>
        <w:rPr>
          <w:rFonts w:ascii="宋体" w:hAnsi="宋体" w:eastAsia="宋体" w:cs="宋体"/>
          <w:b w:val="0"/>
          <w:bCs w:val="0"/>
          <w:kern w:val="0"/>
          <w:szCs w:val="24"/>
        </w:rPr>
        <w:alias w:val="模块:其他情况"/>
        <w:tag w:val="_SEC_3420a5610d744b6da7aed50323c980c9"/>
        <w:id w:val="392549525"/>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37"/>
            </w:numPr>
            <w:spacing w:before="0" w:after="0" w:line="360" w:lineRule="auto"/>
          </w:pPr>
          <w:r>
            <w:t>其他</w:t>
          </w:r>
          <w:r>
            <w:rPr>
              <w:rFonts w:hint="eastAsia"/>
            </w:rPr>
            <w:t>情况</w:t>
          </w:r>
        </w:p>
        <w:sdt>
          <w:sdtPr>
            <w:rPr>
              <w:rFonts w:hint="eastAsia"/>
            </w:rPr>
            <w:alias w:val="是否适用：委托他人进行现金资产管理的其他情况[双击切换]"/>
            <w:tag w:val="_GBC_c408f1ecbaff4ed08e4dcfbbac8e0ccd"/>
            <w:id w:val="2044408195"/>
            <w:lock w:val="sdtLocked"/>
            <w:placeholder>
              <w:docPart w:val="GBC22222222222222222222222222222"/>
            </w:placeholder>
          </w:sdtPr>
          <w:sdtEndPr>
            <w:rPr>
              <w:rFonts w:hint="eastAsia"/>
            </w:rPr>
          </w:sdtEnd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ascii="宋体" w:hAnsi="宋体" w:cs="宋体"/>
          <w:b w:val="0"/>
          <w:bCs w:val="0"/>
          <w:kern w:val="0"/>
          <w:szCs w:val="21"/>
        </w:rPr>
        <w:alias w:val="模块:其他重大合同或交易"/>
        <w:tag w:val="_SEC_9d125c8ad0cb430d9249029482fa1530"/>
        <w:id w:val="1810978244"/>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35"/>
            </w:numPr>
            <w:spacing w:before="0" w:after="0" w:line="360" w:lineRule="auto"/>
            <w:rPr>
              <w:szCs w:val="21"/>
            </w:rPr>
          </w:pPr>
          <w:r>
            <w:rPr>
              <w:szCs w:val="21"/>
            </w:rPr>
            <w:t>其他重大合同</w:t>
          </w:r>
        </w:p>
        <w:sdt>
          <w:sdtPr>
            <w:rPr>
              <w:rFonts w:hint="eastAsia"/>
              <w:szCs w:val="21"/>
            </w:rPr>
            <w:alias w:val="是否适用：其他重大合同[双击切换]"/>
            <w:tag w:val="_GBC_541dd80939ae4bafb641675f942c4c14"/>
            <w:id w:val="-1176726712"/>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hint="eastAsia" w:ascii="宋体" w:hAnsi="宋体" w:cs="宋体"/>
          <w:b w:val="0"/>
          <w:bCs w:val="0"/>
          <w:kern w:val="0"/>
          <w:szCs w:val="24"/>
        </w:rPr>
        <w:alias w:val="模块:"/>
        <w:tag w:val="_SEC_5c3258d364b244e3bd64f661e4156e0c"/>
        <w:id w:val="169580476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27"/>
            </w:numPr>
            <w:spacing w:before="0" w:after="0" w:line="360" w:lineRule="auto"/>
          </w:pPr>
          <w:r>
            <w:rPr>
              <w:rFonts w:hint="eastAsia"/>
            </w:rPr>
            <w:t>其</w:t>
          </w:r>
          <w:r>
            <w:t>他</w:t>
          </w:r>
          <w:r>
            <w:rPr>
              <w:rFonts w:hint="eastAsia"/>
            </w:rPr>
            <w:t>对投资者作出价值判断和投资决策有重大影响的重大事项的说明</w:t>
          </w:r>
        </w:p>
        <w:sdt>
          <w:sdtPr>
            <w:rPr>
              <w:szCs w:val="21"/>
            </w:rPr>
            <w:alias w:val="是否适用：其他对投资者作出价值判断和投资决策有重大影响的重大事项的说明[双击切换]"/>
            <w:tag w:val="_GBC_a560f17fa4c7429db7d87dca59f4df08"/>
            <w:id w:val="-1454783584"/>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62"/>
    <w:p>
      <w:pPr>
        <w:pStyle w:val="2"/>
        <w:numPr>
          <w:ilvl w:val="0"/>
          <w:numId w:val="2"/>
        </w:numPr>
        <w:ind w:left="0" w:firstLine="0"/>
        <w:rPr>
          <w:szCs w:val="28"/>
        </w:rPr>
      </w:pPr>
      <w:bookmarkStart w:id="82" w:name="_Toc409437607"/>
      <w:bookmarkStart w:id="83" w:name="_Toc437440713"/>
      <w:bookmarkStart w:id="84" w:name="_Toc89790254"/>
      <w:r>
        <w:rPr>
          <w:rFonts w:hint="eastAsia"/>
          <w:szCs w:val="28"/>
        </w:rPr>
        <w:t>股份变动及股东情况</w:t>
      </w:r>
      <w:bookmarkEnd w:id="82"/>
      <w:bookmarkEnd w:id="83"/>
      <w:bookmarkEnd w:id="84"/>
    </w:p>
    <w:p>
      <w:pPr>
        <w:pStyle w:val="3"/>
        <w:numPr>
          <w:ilvl w:val="0"/>
          <w:numId w:val="40"/>
        </w:numPr>
      </w:pPr>
      <w:bookmarkStart w:id="85" w:name="_Toc342059476"/>
      <w:bookmarkStart w:id="86" w:name="_Toc342565989"/>
      <w:r>
        <w:t>股</w:t>
      </w:r>
      <w:r>
        <w:rPr>
          <w:rFonts w:hint="eastAsia"/>
        </w:rPr>
        <w:t>本变动情况</w:t>
      </w:r>
      <w:bookmarkEnd w:id="85"/>
      <w:bookmarkEnd w:id="86"/>
    </w:p>
    <w:p>
      <w:pPr>
        <w:pStyle w:val="4"/>
        <w:numPr>
          <w:ilvl w:val="1"/>
          <w:numId w:val="41"/>
        </w:numPr>
        <w:tabs>
          <w:tab w:val="left" w:pos="3686"/>
        </w:tabs>
        <w:rPr>
          <w:szCs w:val="21"/>
        </w:rPr>
      </w:pPr>
      <w:bookmarkStart w:id="87" w:name="_Toc342059477"/>
      <w:bookmarkStart w:id="88" w:name="_Toc342565990"/>
      <w:r>
        <w:rPr>
          <w:rFonts w:hint="eastAsia"/>
          <w:szCs w:val="21"/>
        </w:rPr>
        <w:t>股份变动情况表</w:t>
      </w:r>
      <w:bookmarkEnd w:id="87"/>
      <w:bookmarkEnd w:id="88"/>
    </w:p>
    <w:p>
      <w:pPr>
        <w:pStyle w:val="5"/>
        <w:numPr>
          <w:ilvl w:val="2"/>
          <w:numId w:val="42"/>
        </w:numPr>
      </w:pPr>
      <w:r>
        <w:rPr>
          <w:rFonts w:hint="eastAsia"/>
        </w:rPr>
        <w:t>股份变动情况表</w:t>
      </w:r>
    </w:p>
    <w:sdt>
      <w:sdtPr>
        <w:rPr>
          <w:rFonts w:hint="eastAsia"/>
          <w:szCs w:val="21"/>
        </w:rPr>
        <w:tag w:val="_SEC_a3956f57fcc041c88cfbf8c43b765028"/>
        <w:id w:val="-1211026418"/>
        <w:lock w:val="sdtLocked"/>
        <w:placeholder>
          <w:docPart w:val="GBC22222222222222222222222222222"/>
        </w:placeholder>
      </w:sdtPr>
      <w:sdtEndPr>
        <w:rPr>
          <w:rFonts w:hint="eastAsia"/>
          <w:szCs w:val="21"/>
        </w:rPr>
      </w:sdtEndPr>
      <w:sdtContent>
        <w:p>
          <w:pPr>
            <w:jc w:val="right"/>
            <w:rPr>
              <w:szCs w:val="21"/>
            </w:rPr>
          </w:pPr>
          <w:r>
            <w:rPr>
              <w:szCs w:val="21"/>
            </w:rPr>
            <w:t>单位：</w:t>
          </w:r>
          <w:sdt>
            <w:sdtPr>
              <w:rPr>
                <w:rFonts w:hint="eastAsia"/>
                <w:szCs w:val="21"/>
              </w:rPr>
              <w:alias w:val="单位：股份变动情况表"/>
              <w:tag w:val="_GBC_852d31b746dd490d9366194fca5e9598"/>
              <w:id w:val="-135441024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108"/>
            <w:tblW w:w="556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9"/>
            <w:gridCol w:w="1386"/>
            <w:gridCol w:w="846"/>
            <w:gridCol w:w="426"/>
            <w:gridCol w:w="426"/>
            <w:gridCol w:w="426"/>
            <w:gridCol w:w="1206"/>
            <w:gridCol w:w="1206"/>
            <w:gridCol w:w="1386"/>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38" w:type="pct"/>
                <w:vMerge w:val="restart"/>
                <w:shd w:val="clear" w:color="auto" w:fill="auto"/>
              </w:tcPr>
              <w:p>
                <w:pPr>
                  <w:jc w:val="center"/>
                  <w:rPr>
                    <w:szCs w:val="21"/>
                  </w:rPr>
                </w:pPr>
              </w:p>
            </w:tc>
            <w:sdt>
              <w:sdtPr>
                <w:tag w:val="_PLD_b9527a064e50418b9212da4d2a1d0df3"/>
                <w:id w:val="-173109573"/>
                <w:lock w:val="sdtLocked"/>
              </w:sdtPr>
              <w:sdtContent>
                <w:tc>
                  <w:tcPr>
                    <w:tcW w:w="1141" w:type="pct"/>
                    <w:gridSpan w:val="2"/>
                    <w:shd w:val="clear" w:color="auto" w:fill="auto"/>
                    <w:vAlign w:val="center"/>
                  </w:tcPr>
                  <w:p>
                    <w:pPr>
                      <w:pStyle w:val="14"/>
                      <w:jc w:val="center"/>
                      <w:rPr>
                        <w:rFonts w:hAnsi="宋体"/>
                      </w:rPr>
                    </w:pPr>
                    <w:r>
                      <w:rPr>
                        <w:rFonts w:hAnsi="宋体"/>
                      </w:rPr>
                      <w:t>本次变动前</w:t>
                    </w:r>
                  </w:p>
                </w:tc>
              </w:sdtContent>
            </w:sdt>
            <w:sdt>
              <w:sdtPr>
                <w:tag w:val="_PLD_ca58bf210de644a080d50250f302f3c8"/>
                <w:id w:val="-13534907"/>
                <w:lock w:val="sdtLocked"/>
              </w:sdtPr>
              <w:sdtContent>
                <w:tc>
                  <w:tcPr>
                    <w:tcW w:w="1710" w:type="pct"/>
                    <w:gridSpan w:val="5"/>
                    <w:shd w:val="clear" w:color="auto" w:fill="auto"/>
                    <w:vAlign w:val="center"/>
                  </w:tcPr>
                  <w:p>
                    <w:pPr>
                      <w:jc w:val="center"/>
                      <w:rPr>
                        <w:szCs w:val="21"/>
                      </w:rPr>
                    </w:pPr>
                    <w:r>
                      <w:rPr>
                        <w:szCs w:val="21"/>
                      </w:rPr>
                      <w:t>本次变动增减（＋，－）</w:t>
                    </w:r>
                  </w:p>
                </w:tc>
              </w:sdtContent>
            </w:sdt>
            <w:sdt>
              <w:sdtPr>
                <w:tag w:val="_PLD_257b6e7d34b34e838617d3ec2e88c450"/>
                <w:id w:val="-1490780007"/>
                <w:lock w:val="sdtLocked"/>
              </w:sdtPr>
              <w:sdtContent>
                <w:tc>
                  <w:tcPr>
                    <w:tcW w:w="811" w:type="pct"/>
                    <w:gridSpan w:val="2"/>
                    <w:shd w:val="clear" w:color="auto" w:fill="auto"/>
                    <w:vAlign w:val="center"/>
                  </w:tcPr>
                  <w:p>
                    <w:pPr>
                      <w:jc w:val="center"/>
                      <w:rPr>
                        <w:szCs w:val="21"/>
                      </w:rPr>
                    </w:pPr>
                    <w:r>
                      <w:rPr>
                        <w:szCs w:val="21"/>
                      </w:rPr>
                      <w:t>本次变动后</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338" w:type="pct"/>
                <w:vMerge w:val="continue"/>
                <w:shd w:val="clear" w:color="auto" w:fill="auto"/>
              </w:tcPr>
              <w:p>
                <w:pPr>
                  <w:jc w:val="center"/>
                  <w:rPr>
                    <w:szCs w:val="21"/>
                  </w:rPr>
                </w:pPr>
              </w:p>
            </w:tc>
            <w:sdt>
              <w:sdtPr>
                <w:tag w:val="_PLD_795b6515b9ff4e1db17e1116ff60e13f"/>
                <w:id w:val="-871993853"/>
                <w:lock w:val="sdtLocked"/>
              </w:sdtPr>
              <w:sdtContent>
                <w:tc>
                  <w:tcPr>
                    <w:tcW w:w="807" w:type="pct"/>
                    <w:shd w:val="clear" w:color="auto" w:fill="auto"/>
                    <w:vAlign w:val="center"/>
                  </w:tcPr>
                  <w:p>
                    <w:pPr>
                      <w:pStyle w:val="14"/>
                      <w:jc w:val="center"/>
                      <w:rPr>
                        <w:rFonts w:hAnsi="宋体"/>
                      </w:rPr>
                    </w:pPr>
                    <w:r>
                      <w:rPr>
                        <w:rFonts w:hAnsi="宋体"/>
                      </w:rPr>
                      <w:t>数量</w:t>
                    </w:r>
                  </w:p>
                </w:tc>
              </w:sdtContent>
            </w:sdt>
            <w:sdt>
              <w:sdtPr>
                <w:tag w:val="_PLD_73d5343b919442adb141c63d11c2cfe3"/>
                <w:id w:val="-1009827140"/>
                <w:lock w:val="sdtLocked"/>
              </w:sdtPr>
              <w:sdtContent>
                <w:tc>
                  <w:tcPr>
                    <w:tcW w:w="333" w:type="pct"/>
                    <w:shd w:val="clear" w:color="auto" w:fill="auto"/>
                    <w:vAlign w:val="center"/>
                  </w:tcPr>
                  <w:p>
                    <w:pPr>
                      <w:pStyle w:val="14"/>
                      <w:jc w:val="center"/>
                      <w:rPr>
                        <w:rFonts w:hAnsi="宋体"/>
                      </w:rPr>
                    </w:pPr>
                    <w:r>
                      <w:rPr>
                        <w:rFonts w:hAnsi="宋体"/>
                      </w:rPr>
                      <w:t>比例(%)</w:t>
                    </w:r>
                  </w:p>
                </w:tc>
              </w:sdtContent>
            </w:sdt>
            <w:sdt>
              <w:sdtPr>
                <w:tag w:val="_PLD_ed98679a849f41f4aed274ab444cfaf5"/>
                <w:id w:val="1914811372"/>
                <w:lock w:val="sdtLocked"/>
              </w:sdtPr>
              <w:sdtContent>
                <w:tc>
                  <w:tcPr>
                    <w:tcW w:w="212" w:type="pct"/>
                    <w:shd w:val="clear" w:color="auto" w:fill="auto"/>
                    <w:vAlign w:val="center"/>
                  </w:tcPr>
                  <w:p>
                    <w:pPr>
                      <w:pStyle w:val="14"/>
                      <w:jc w:val="center"/>
                      <w:rPr>
                        <w:rFonts w:hAnsi="宋体"/>
                      </w:rPr>
                    </w:pPr>
                    <w:r>
                      <w:rPr>
                        <w:rFonts w:hAnsi="宋体"/>
                      </w:rPr>
                      <w:t>发行新股</w:t>
                    </w:r>
                  </w:p>
                </w:tc>
              </w:sdtContent>
            </w:sdt>
            <w:sdt>
              <w:sdtPr>
                <w:tag w:val="_PLD_9a9769412f3c455c9ccdd17bf518a278"/>
                <w:id w:val="-737394136"/>
                <w:lock w:val="sdtLocked"/>
              </w:sdtPr>
              <w:sdtContent>
                <w:tc>
                  <w:tcPr>
                    <w:tcW w:w="212" w:type="pct"/>
                    <w:shd w:val="clear" w:color="auto" w:fill="auto"/>
                    <w:vAlign w:val="center"/>
                  </w:tcPr>
                  <w:p>
                    <w:pPr>
                      <w:jc w:val="center"/>
                      <w:rPr>
                        <w:szCs w:val="21"/>
                      </w:rPr>
                    </w:pPr>
                    <w:r>
                      <w:rPr>
                        <w:szCs w:val="21"/>
                      </w:rPr>
                      <w:t>送股</w:t>
                    </w:r>
                  </w:p>
                </w:tc>
              </w:sdtContent>
            </w:sdt>
            <w:sdt>
              <w:sdtPr>
                <w:tag w:val="_PLD_a08a8657c2504fb0907fe95adcc9b83a"/>
                <w:id w:val="1176613675"/>
                <w:lock w:val="sdtLocked"/>
              </w:sdtPr>
              <w:sdtContent>
                <w:tc>
                  <w:tcPr>
                    <w:tcW w:w="359" w:type="pct"/>
                    <w:shd w:val="clear" w:color="auto" w:fill="auto"/>
                    <w:vAlign w:val="center"/>
                  </w:tcPr>
                  <w:p>
                    <w:pPr>
                      <w:jc w:val="center"/>
                      <w:rPr>
                        <w:szCs w:val="21"/>
                      </w:rPr>
                    </w:pPr>
                    <w:r>
                      <w:rPr>
                        <w:szCs w:val="21"/>
                      </w:rPr>
                      <w:t>公积金转股</w:t>
                    </w:r>
                  </w:p>
                </w:tc>
              </w:sdtContent>
            </w:sdt>
            <w:sdt>
              <w:sdtPr>
                <w:tag w:val="_PLD_8ec878ba584746ca9ce366f5c50b97db"/>
                <w:id w:val="-362522087"/>
                <w:lock w:val="sdtLocked"/>
              </w:sdtPr>
              <w:sdtContent>
                <w:tc>
                  <w:tcPr>
                    <w:tcW w:w="463" w:type="pct"/>
                    <w:shd w:val="clear" w:color="auto" w:fill="auto"/>
                    <w:vAlign w:val="center"/>
                  </w:tcPr>
                  <w:p>
                    <w:pPr>
                      <w:pStyle w:val="14"/>
                      <w:jc w:val="center"/>
                      <w:rPr>
                        <w:rFonts w:hAnsi="宋体"/>
                      </w:rPr>
                    </w:pPr>
                    <w:r>
                      <w:rPr>
                        <w:rFonts w:hAnsi="宋体"/>
                      </w:rPr>
                      <w:t>其他</w:t>
                    </w:r>
                  </w:p>
                </w:tc>
              </w:sdtContent>
            </w:sdt>
            <w:sdt>
              <w:sdtPr>
                <w:tag w:val="_PLD_0597d73f82274779afc0a06c1888e731"/>
                <w:id w:val="-57010011"/>
                <w:lock w:val="sdtLocked"/>
              </w:sdtPr>
              <w:sdtContent>
                <w:tc>
                  <w:tcPr>
                    <w:tcW w:w="464" w:type="pct"/>
                    <w:shd w:val="clear" w:color="auto" w:fill="auto"/>
                    <w:vAlign w:val="center"/>
                  </w:tcPr>
                  <w:p>
                    <w:pPr>
                      <w:pStyle w:val="14"/>
                      <w:jc w:val="center"/>
                      <w:rPr>
                        <w:rFonts w:hAnsi="宋体"/>
                      </w:rPr>
                    </w:pPr>
                    <w:r>
                      <w:rPr>
                        <w:rFonts w:hAnsi="宋体"/>
                      </w:rPr>
                      <w:t>小计</w:t>
                    </w:r>
                  </w:p>
                </w:tc>
              </w:sdtContent>
            </w:sdt>
            <w:sdt>
              <w:sdtPr>
                <w:tag w:val="_PLD_95f452be51ff468b8cac4a86637d7617"/>
                <w:id w:val="-1204473981"/>
                <w:lock w:val="sdtLocked"/>
              </w:sdtPr>
              <w:sdtContent>
                <w:tc>
                  <w:tcPr>
                    <w:tcW w:w="528" w:type="pct"/>
                    <w:shd w:val="clear" w:color="auto" w:fill="auto"/>
                    <w:vAlign w:val="center"/>
                  </w:tcPr>
                  <w:p>
                    <w:pPr>
                      <w:pStyle w:val="14"/>
                      <w:jc w:val="center"/>
                      <w:rPr>
                        <w:rFonts w:hAnsi="宋体"/>
                      </w:rPr>
                    </w:pPr>
                    <w:r>
                      <w:rPr>
                        <w:rFonts w:hAnsi="宋体"/>
                      </w:rPr>
                      <w:t>数量</w:t>
                    </w:r>
                  </w:p>
                </w:tc>
              </w:sdtContent>
            </w:sdt>
            <w:sdt>
              <w:sdtPr>
                <w:tag w:val="_PLD_27544b89219e425da5c77cd21408a3b6"/>
                <w:id w:val="215562305"/>
                <w:lock w:val="sdtLocked"/>
              </w:sdtPr>
              <w:sdtContent>
                <w:tc>
                  <w:tcPr>
                    <w:tcW w:w="283" w:type="pct"/>
                    <w:shd w:val="clear" w:color="auto" w:fill="auto"/>
                    <w:vAlign w:val="center"/>
                  </w:tcPr>
                  <w:p>
                    <w:pPr>
                      <w:pStyle w:val="14"/>
                      <w:jc w:val="center"/>
                      <w:rPr>
                        <w:rFonts w:hAnsi="宋体"/>
                      </w:rPr>
                    </w:pPr>
                    <w:r>
                      <w:rPr>
                        <w:rFonts w:hAnsi="宋体"/>
                      </w:rPr>
                      <w:t>比例(%)</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2bbfc03703e4b4c8a12b707058663e0"/>
                <w:id w:val="1993296651"/>
                <w:lock w:val="sdtLocked"/>
              </w:sdtPr>
              <w:sdtContent>
                <w:tc>
                  <w:tcPr>
                    <w:tcW w:w="1338" w:type="pct"/>
                    <w:shd w:val="clear" w:color="auto" w:fill="auto"/>
                  </w:tcPr>
                  <w:p>
                    <w:pPr>
                      <w:rPr>
                        <w:szCs w:val="21"/>
                      </w:rPr>
                    </w:pPr>
                    <w:r>
                      <w:rPr>
                        <w:szCs w:val="21"/>
                      </w:rPr>
                      <w:t>一、有限售条件股份</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2,277,481,300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50.2985</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-27,931,300</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-27,931,300</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2,249,550,000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8c603b32eea49d7b9a47f8c496da1fc"/>
                <w:id w:val="974259336"/>
                <w:lock w:val="sdtLocked"/>
              </w:sdtPr>
              <w:sdtContent>
                <w:tc>
                  <w:tcPr>
                    <w:tcW w:w="1338" w:type="pct"/>
                    <w:shd w:val="clear" w:color="auto" w:fill="auto"/>
                  </w:tcPr>
                  <w:p>
                    <w:pPr>
                      <w:rPr>
                        <w:szCs w:val="21"/>
                      </w:rPr>
                    </w:pPr>
                    <w:r>
                      <w:rPr>
                        <w:szCs w:val="21"/>
                      </w:rPr>
                      <w:t>1、国家持股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7c96ca2c1654be8adf1c925e83e93a5"/>
                <w:id w:val="749073970"/>
                <w:lock w:val="sdtLocked"/>
              </w:sdtPr>
              <w:sdtContent>
                <w:tc>
                  <w:tcPr>
                    <w:tcW w:w="1338" w:type="pct"/>
                    <w:shd w:val="clear" w:color="auto" w:fill="auto"/>
                  </w:tcPr>
                  <w:p>
                    <w:pPr>
                      <w:rPr>
                        <w:szCs w:val="21"/>
                      </w:rPr>
                    </w:pPr>
                    <w:r>
                      <w:rPr>
                        <w:szCs w:val="21"/>
                      </w:rPr>
                      <w:t>2、国有法人持股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f333fab44b442279b77f1825ded41f9"/>
                <w:id w:val="1046956674"/>
                <w:lock w:val="sdtLocked"/>
              </w:sdtPr>
              <w:sdtContent>
                <w:tc>
                  <w:tcPr>
                    <w:tcW w:w="1338" w:type="pct"/>
                    <w:shd w:val="clear" w:color="auto" w:fill="auto"/>
                  </w:tcPr>
                  <w:p>
                    <w:pPr>
                      <w:rPr>
                        <w:szCs w:val="21"/>
                      </w:rPr>
                    </w:pPr>
                    <w:r>
                      <w:rPr>
                        <w:szCs w:val="21"/>
                      </w:rPr>
                      <w:t>3、其他内资持股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2,277,451,300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50.2978</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-27,901,300</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-27,901,300</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2,249,550,000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614d95404a4379905be7a3374644f5"/>
                <w:id w:val="-1462566727"/>
                <w:lock w:val="sdtLocked"/>
              </w:sdtPr>
              <w:sdtContent>
                <w:tc>
                  <w:tcPr>
                    <w:tcW w:w="1338" w:type="pct"/>
                    <w:shd w:val="clear" w:color="auto" w:fill="auto"/>
                  </w:tcPr>
                  <w:p>
                    <w:pPr>
                      <w:rPr>
                        <w:szCs w:val="21"/>
                      </w:rPr>
                    </w:pPr>
                    <w:r>
                      <w:rPr>
                        <w:szCs w:val="21"/>
                      </w:rPr>
                      <w:t>其中：境内非国有法人持股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2,249,550,000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49.6816</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2,249,550,000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8df9bdb70fc4213acb79eb58d1b77de"/>
                <w:id w:val="173848161"/>
                <w:lock w:val="sdtLocked"/>
              </w:sdtPr>
              <w:sdtContent>
                <w:tc>
                  <w:tcPr>
                    <w:tcW w:w="1338" w:type="pct"/>
                    <w:shd w:val="clear" w:color="auto" w:fill="auto"/>
                  </w:tcPr>
                  <w:p>
                    <w:pPr>
                      <w:ind w:firstLine="630" w:firstLineChars="300"/>
                      <w:rPr>
                        <w:szCs w:val="21"/>
                      </w:rPr>
                    </w:pPr>
                    <w:r>
                      <w:rPr>
                        <w:szCs w:val="21"/>
                      </w:rPr>
                      <w:t>境内自然人持股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27,901,300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0.6162</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-27,901,300</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-27,901,300</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a5ee65349040cd91b772c7bf80de26"/>
                <w:id w:val="396564054"/>
                <w:lock w:val="sdtLocked"/>
              </w:sdtPr>
              <w:sdtContent>
                <w:tc>
                  <w:tcPr>
                    <w:tcW w:w="1338" w:type="pct"/>
                    <w:shd w:val="clear" w:color="auto" w:fill="auto"/>
                  </w:tcPr>
                  <w:p>
                    <w:pPr>
                      <w:rPr>
                        <w:szCs w:val="21"/>
                      </w:rPr>
                    </w:pPr>
                    <w:r>
                      <w:rPr>
                        <w:rFonts w:hint="eastAsia"/>
                        <w:szCs w:val="21"/>
                      </w:rPr>
                      <w:t>4、</w:t>
                    </w:r>
                    <w:r>
                      <w:rPr>
                        <w:szCs w:val="21"/>
                      </w:rPr>
                      <w:t>外资持股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30,000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0.0007</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-30,000</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-30,000</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735b1fe7a21415dae47c1f540097fcb"/>
                <w:id w:val="754020504"/>
                <w:lock w:val="sdtLocked"/>
              </w:sdtPr>
              <w:sdtContent>
                <w:tc>
                  <w:tcPr>
                    <w:tcW w:w="1338" w:type="pct"/>
                    <w:shd w:val="clear" w:color="auto" w:fill="auto"/>
                  </w:tcPr>
                  <w:p>
                    <w:pPr>
                      <w:rPr>
                        <w:szCs w:val="21"/>
                      </w:rPr>
                    </w:pPr>
                    <w:r>
                      <w:rPr>
                        <w:szCs w:val="21"/>
                      </w:rPr>
                      <w:t>其中：境外法人持股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6cb13b898e423097f0a1595b38fe4f"/>
                <w:id w:val="-926654289"/>
                <w:lock w:val="sdtLocked"/>
              </w:sdtPr>
              <w:sdtContent>
                <w:tc>
                  <w:tcPr>
                    <w:tcW w:w="1338" w:type="pct"/>
                    <w:shd w:val="clear" w:color="auto" w:fill="auto"/>
                  </w:tcPr>
                  <w:p>
                    <w:pPr>
                      <w:ind w:firstLine="630" w:firstLineChars="300"/>
                      <w:rPr>
                        <w:szCs w:val="21"/>
                      </w:rPr>
                    </w:pPr>
                    <w:r>
                      <w:rPr>
                        <w:szCs w:val="21"/>
                      </w:rPr>
                      <w:t>境外自然人持股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30,000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0.0007</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-30,000</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-30,000</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a2c4bfd7c324819b355554c67cb7089"/>
                <w:id w:val="-2127529327"/>
                <w:lock w:val="sdtLocked"/>
              </w:sdtPr>
              <w:sdtContent>
                <w:tc>
                  <w:tcPr>
                    <w:tcW w:w="1338" w:type="pct"/>
                    <w:shd w:val="clear" w:color="auto" w:fill="auto"/>
                  </w:tcPr>
                  <w:p>
                    <w:r>
                      <w:t>二、无限售条件流通股份</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2,250,450,000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49.7015</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2,250,450,000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3cbfb2523af4d8e991c931c273a9e12"/>
                <w:id w:val="1637987342"/>
                <w:lock w:val="sdtLocked"/>
              </w:sdtPr>
              <w:sdtContent>
                <w:tc>
                  <w:tcPr>
                    <w:tcW w:w="1338" w:type="pct"/>
                    <w:shd w:val="clear" w:color="auto" w:fill="auto"/>
                  </w:tcPr>
                  <w:p>
                    <w:pPr>
                      <w:rPr>
                        <w:szCs w:val="21"/>
                      </w:rPr>
                    </w:pPr>
                    <w:r>
                      <w:rPr>
                        <w:szCs w:val="21"/>
                      </w:rPr>
                      <w:t>1、人民币普通股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2,250,450,000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49.7015</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2,250,450,000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50.01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0c3f86802444fefbebe0786738df71c"/>
                <w:id w:val="-417394960"/>
                <w:lock w:val="sdtLocked"/>
              </w:sdtPr>
              <w:sdtContent>
                <w:tc>
                  <w:tcPr>
                    <w:tcW w:w="1338" w:type="pct"/>
                    <w:shd w:val="clear" w:color="auto" w:fill="auto"/>
                  </w:tcPr>
                  <w:p>
                    <w:pPr>
                      <w:rPr>
                        <w:szCs w:val="21"/>
                      </w:rPr>
                    </w:pPr>
                    <w:r>
                      <w:rPr>
                        <w:szCs w:val="21"/>
                      </w:rPr>
                      <w:t>2、境内上市的外资股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c211613837648f9b5f5a27f5795b9f9"/>
                <w:id w:val="1677764202"/>
                <w:lock w:val="sdtLocked"/>
              </w:sdtPr>
              <w:sdtContent>
                <w:tc>
                  <w:tcPr>
                    <w:tcW w:w="1338" w:type="pct"/>
                    <w:shd w:val="clear" w:color="auto" w:fill="auto"/>
                  </w:tcPr>
                  <w:p>
                    <w:pPr>
                      <w:rPr>
                        <w:szCs w:val="21"/>
                      </w:rPr>
                    </w:pPr>
                    <w:r>
                      <w:rPr>
                        <w:szCs w:val="21"/>
                      </w:rPr>
                      <w:t>3、境外上市的外资股</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5eb9083c11c4fbeb84810eb5d83eb87"/>
                <w:id w:val="-1629315618"/>
                <w:lock w:val="sdtLocked"/>
              </w:sdtPr>
              <w:sdtContent>
                <w:tc>
                  <w:tcPr>
                    <w:tcW w:w="1338" w:type="pct"/>
                    <w:shd w:val="clear" w:color="auto" w:fill="auto"/>
                  </w:tcPr>
                  <w:p>
                    <w:pPr>
                      <w:rPr>
                        <w:szCs w:val="21"/>
                      </w:rPr>
                    </w:pPr>
                    <w:r>
                      <w:rPr>
                        <w:szCs w:val="21"/>
                      </w:rPr>
                      <w:t>4、其他</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83" w:type="pct"/>
                <w:shd w:val="clear" w:color="auto" w:fill="auto"/>
                <w:vAlign w:val="center"/>
              </w:tcPr>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b1d688c7b284c9ebacd5343838eda0e"/>
                <w:id w:val="-1162623012"/>
                <w:lock w:val="sdtLocked"/>
              </w:sdtPr>
              <w:sdtContent>
                <w:tc>
                  <w:tcPr>
                    <w:tcW w:w="1338" w:type="pct"/>
                    <w:shd w:val="clear" w:color="auto" w:fill="auto"/>
                  </w:tcPr>
                  <w:p>
                    <w:pPr>
                      <w:rPr>
                        <w:szCs w:val="21"/>
                      </w:rPr>
                    </w:pPr>
                    <w:r>
                      <w:rPr>
                        <w:szCs w:val="21"/>
                      </w:rPr>
                      <w:t>三、股份</w:t>
                    </w:r>
                    <w:r>
                      <w:rPr>
                        <w:rFonts w:hint="eastAsia"/>
                        <w:szCs w:val="21"/>
                      </w:rPr>
                      <w:t>总数</w:t>
                    </w:r>
                  </w:p>
                </w:tc>
              </w:sdtContent>
            </w:sdt>
            <w:tc>
              <w:tcPr>
                <w:tcW w:w="807"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4,527,931,300</w:t>
                </w:r>
              </w:p>
            </w:tc>
            <w:tc>
              <w:tcPr>
                <w:tcW w:w="33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212"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359"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w:t>
                </w:r>
              </w:p>
            </w:tc>
            <w:tc>
              <w:tcPr>
                <w:tcW w:w="46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-27,931,300</w:t>
                </w:r>
              </w:p>
            </w:tc>
            <w:tc>
              <w:tcPr>
                <w:tcW w:w="464"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-27,931,300</w:t>
                </w:r>
              </w:p>
            </w:tc>
            <w:tc>
              <w:tcPr>
                <w:tcW w:w="528"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4,500,000,000</w:t>
                </w:r>
              </w:p>
            </w:tc>
            <w:tc>
              <w:tcPr>
                <w:tcW w:w="283" w:type="pct"/>
                <w:shd w:val="clear" w:color="auto" w:fill="auto"/>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100</w:t>
                </w:r>
              </w:p>
            </w:tc>
          </w:tr>
        </w:tbl>
        <w:p/>
      </w:sdtContent>
    </w:sdt>
    <w:sdt>
      <w:sdtPr>
        <w:rPr>
          <w:rFonts w:ascii="Calibri" w:hAnsi="Calibri" w:eastAsia="宋体" w:cs="宋体"/>
          <w:b w:val="0"/>
          <w:bCs w:val="0"/>
          <w:kern w:val="0"/>
          <w:sz w:val="24"/>
          <w:szCs w:val="22"/>
        </w:rPr>
        <w:alias w:val="模块:股份变动情况说明"/>
        <w:tag w:val="_SEC_cff93b3516844dffa00c7117b3d7105d"/>
        <w:id w:val="-939605921"/>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42"/>
            </w:numPr>
          </w:pPr>
          <w:r>
            <w:t>股份变动情况说明</w:t>
          </w:r>
        </w:p>
        <w:sdt>
          <w:sdtPr>
            <w:rPr>
              <w:rFonts w:hint="eastAsia"/>
              <w:szCs w:val="21"/>
            </w:rPr>
            <w:alias w:val="是否适用：普通股股份变动情况说明[双击切换]"/>
            <w:tag w:val="_GBC_b52413c1d37b456ba72aa8b8840cb9d8"/>
            <w:id w:val="159575071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股份变动情况说明"/>
            <w:tag w:val="_GBC_0049817ff5b44e28a8751c37cab3f894"/>
            <w:id w:val="-627704413"/>
            <w:lock w:val="sdtLocked"/>
            <w:placeholder>
              <w:docPart w:val="GBC22222222222222222222222222222"/>
            </w:placeholder>
          </w:sdtPr>
          <w:sdtEndPr>
            <w:rPr>
              <w:rFonts w:hint="eastAsia"/>
              <w:szCs w:val="21"/>
            </w:rPr>
          </w:sdtEndPr>
          <w:sdtContent>
            <w:p>
              <w:pPr>
                <w:ind w:firstLine="420" w:firstLineChars="200"/>
                <w:rPr>
                  <w:szCs w:val="21"/>
                </w:rPr>
              </w:pPr>
              <w:r>
                <w:rPr>
                  <w:szCs w:val="21"/>
                </w:rPr>
                <w:t>2021年4月22日，公司完成对已获授权但尚未解锁的限制性股票的回购注销，共注销限制性股票27,931,300股。注销完成后，公司总股本由4,527,931,300股减少为 4,500,000,000股。具体内容详见公司在上海证券交易所网站（www.sse.com.cn）上披露的《力帆科技（集团）股份有限公司关于部分股权激励限制性股票回购注销实施公告》（公告编号：临2021-038）。</w:t>
              </w:r>
            </w:p>
          </w:sdtContent>
        </w:sdt>
      </w:sdtContent>
    </w:sdt>
    <w:sdt>
      <w:sdtPr>
        <w:rPr>
          <w:rFonts w:ascii="Calibri" w:hAnsi="Calibri" w:eastAsia="宋体" w:cs="宋体"/>
          <w:b w:val="0"/>
          <w:bCs w:val="0"/>
          <w:kern w:val="0"/>
          <w:sz w:val="24"/>
          <w:szCs w:val="24"/>
        </w:rPr>
        <w:alias w:val="模块:股份变动对最近一年和最近一期财务指标的影响"/>
        <w:tag w:val="_SEC_a02e0bd8061b48758da5b49301b9d61c"/>
        <w:id w:val="-1485159209"/>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42"/>
            </w:numPr>
          </w:pPr>
          <w:r>
            <w:rPr>
              <w:rFonts w:hint="eastAsia"/>
            </w:rPr>
            <w:t>股份变动对最近一年和最近一期</w:t>
          </w:r>
          <w:r>
            <w:t>每股收益、每股净资产等财务指标的影响（如有）</w:t>
          </w:r>
        </w:p>
        <w:sdt>
          <w:sdtPr>
            <w:rPr>
              <w:rFonts w:hint="eastAsia"/>
              <w:szCs w:val="21"/>
            </w:rPr>
            <w:alias w:val="是否适用：普通股股份变动对最近一年和最近一期每股收益、每股净资产等财务指标的影响[双击切换]"/>
            <w:tag w:val="_GBC_f6d6c5b3580241f5b23493659505a79e"/>
            <w:id w:val="154510072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ascii="Calibri" w:hAnsi="Calibri" w:eastAsia="宋体" w:cs="宋体"/>
          <w:b w:val="0"/>
          <w:bCs w:val="0"/>
          <w:kern w:val="0"/>
          <w:sz w:val="24"/>
          <w:szCs w:val="24"/>
        </w:rPr>
        <w:alias w:val="模块:公司认为必要或证券监管机构要求披露的其他内容"/>
        <w:tag w:val="_SEC_0585cd9d958541589e59afceb5c63546"/>
        <w:id w:val="-106119870"/>
        <w:lock w:val="sdtLocked"/>
        <w:placeholder>
          <w:docPart w:val="GBC22222222222222222222222222222"/>
        </w:placeholder>
      </w:sdtPr>
      <w:sdtEndPr>
        <w:rPr>
          <w:rFonts w:hint="eastAsia" w:ascii="宋体" w:hAnsi="宋体" w:eastAsia="宋体" w:cs="宋体"/>
          <w:b w:val="0"/>
          <w:bCs w:val="0"/>
          <w:kern w:val="0"/>
          <w:sz w:val="21"/>
          <w:szCs w:val="21"/>
        </w:rPr>
      </w:sdtEndPr>
      <w:sdtContent>
        <w:p>
          <w:pPr>
            <w:pStyle w:val="5"/>
            <w:numPr>
              <w:ilvl w:val="2"/>
              <w:numId w:val="42"/>
            </w:numPr>
          </w:pPr>
          <w:r>
            <w:t>公司认为必要或证券监管机构要求披露的其他内容</w:t>
          </w:r>
        </w:p>
        <w:sdt>
          <w:sdtPr>
            <w:rPr>
              <w:rFonts w:hint="eastAsia"/>
              <w:szCs w:val="21"/>
            </w:rPr>
            <w:alias w:val="是否适用：公司认为必要或证券监管机构要求披露的其他内容[双击切换]"/>
            <w:tag w:val="_GBC_b944a9eaa1de4bf49df496a2cfe2824e"/>
            <w:id w:val="1253471963"/>
            <w:lock w:val="sdtLocked"/>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4"/>
        <w:numPr>
          <w:ilvl w:val="1"/>
          <w:numId w:val="41"/>
        </w:numPr>
        <w:rPr>
          <w:szCs w:val="21"/>
        </w:rPr>
      </w:pPr>
      <w:r>
        <w:rPr>
          <w:szCs w:val="21"/>
        </w:rPr>
        <w:t>限售股份变动情况</w:t>
      </w:r>
    </w:p>
    <w:sdt>
      <w:sdtPr>
        <w:alias w:val="是否适用：限售股份变动情况表[双击切换]"/>
        <w:tag w:val="_GBC_c7cc39830d364bf68db1ac8777908a9e"/>
        <w:id w:val="-187306986"/>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限售股份变动情况"/>
        <w:tag w:val="_SEC_b581ae438cd94fb9a75a700daa2c1a5a"/>
        <w:id w:val="38639162"/>
        <w:lock w:val="sdtLocked"/>
        <w:placeholder>
          <w:docPart w:val="GBC22222222222222222222222222222"/>
        </w:placeholder>
      </w:sdtPr>
      <w:sdtEndPr>
        <w:rPr>
          <w:rFonts w:hint="eastAsia" w:asciiTheme="minorEastAsia" w:hAnsiTheme="minorEastAsia" w:eastAsiaTheme="minorEastAsia"/>
          <w:szCs w:val="21"/>
        </w:rPr>
      </w:sdtEndPr>
      <w:sdtContent>
        <w:p>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8374347"/>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rFonts w:hint="eastAsia"/>
                <w:szCs w:val="21"/>
              </w:rPr>
            </w:sdtEndPr>
            <w:sdtContent>
              <w:r>
                <w:rPr>
                  <w:rFonts w:hint="eastAsia"/>
                  <w:szCs w:val="21"/>
                </w:rPr>
                <w:t>股</w:t>
              </w:r>
            </w:sdtContent>
          </w:sdt>
        </w:p>
        <w:tbl>
          <w:tblPr>
            <w:tblStyle w:val="37"/>
            <w:tblW w:w="90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1266"/>
            <w:gridCol w:w="1230"/>
            <w:gridCol w:w="1246"/>
            <w:gridCol w:w="915"/>
            <w:gridCol w:w="1246"/>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7a1e2914e714458adc9ffc59c440205"/>
                <w:id w:val="1525978996"/>
                <w:lock w:val="sdtLocked"/>
              </w:sdtPr>
              <w:sdtContent>
                <w:tc>
                  <w:tcPr>
                    <w:tcW w:w="1951" w:type="dxa"/>
                    <w:vAlign w:val="center"/>
                  </w:tcPr>
                  <w:p>
                    <w:pPr>
                      <w:widowControl w:val="0"/>
                      <w:jc w:val="center"/>
                      <w:rPr>
                        <w:szCs w:val="21"/>
                      </w:rPr>
                    </w:pPr>
                    <w:r>
                      <w:rPr>
                        <w:szCs w:val="21"/>
                      </w:rPr>
                      <w:t>股东名称</w:t>
                    </w:r>
                  </w:p>
                </w:tc>
              </w:sdtContent>
            </w:sdt>
            <w:sdt>
              <w:sdtPr>
                <w:tag w:val="_PLD_bb0180621bd444d18234e236bd4fa08b"/>
                <w:id w:val="-1524861852"/>
                <w:lock w:val="sdtLocked"/>
              </w:sdtPr>
              <w:sdtContent>
                <w:tc>
                  <w:tcPr>
                    <w:tcW w:w="992" w:type="dxa"/>
                    <w:vAlign w:val="center"/>
                  </w:tcPr>
                  <w:p>
                    <w:pPr>
                      <w:widowControl w:val="0"/>
                      <w:jc w:val="center"/>
                      <w:rPr>
                        <w:szCs w:val="21"/>
                      </w:rPr>
                    </w:pPr>
                    <w:r>
                      <w:rPr>
                        <w:rFonts w:hint="eastAsia"/>
                        <w:szCs w:val="21"/>
                      </w:rPr>
                      <w:t>年</w:t>
                    </w:r>
                    <w:r>
                      <w:rPr>
                        <w:szCs w:val="21"/>
                      </w:rPr>
                      <w:t>初限售股数</w:t>
                    </w:r>
                  </w:p>
                </w:tc>
              </w:sdtContent>
            </w:sdt>
            <w:sdt>
              <w:sdtPr>
                <w:tag w:val="_PLD_7b8d307040e34fe88a61e345f5c229e7"/>
                <w:id w:val="1900172171"/>
                <w:lock w:val="sdtLocked"/>
              </w:sdtPr>
              <w:sdtContent>
                <w:tc>
                  <w:tcPr>
                    <w:tcW w:w="1276" w:type="dxa"/>
                    <w:vAlign w:val="center"/>
                  </w:tcPr>
                  <w:p>
                    <w:pPr>
                      <w:widowControl w:val="0"/>
                      <w:jc w:val="center"/>
                      <w:rPr>
                        <w:szCs w:val="21"/>
                      </w:rPr>
                    </w:pPr>
                    <w:r>
                      <w:rPr>
                        <w:rFonts w:hint="eastAsia"/>
                        <w:szCs w:val="21"/>
                      </w:rPr>
                      <w:t>本年</w:t>
                    </w:r>
                    <w:r>
                      <w:rPr>
                        <w:szCs w:val="21"/>
                      </w:rPr>
                      <w:t>解除限售股数</w:t>
                    </w:r>
                  </w:p>
                </w:tc>
              </w:sdtContent>
            </w:sdt>
            <w:sdt>
              <w:sdtPr>
                <w:tag w:val="_PLD_f494b239f14f47d2818db9a79506f1ae"/>
                <w:id w:val="1050504880"/>
                <w:lock w:val="sdtLocked"/>
              </w:sdtPr>
              <w:sdtContent>
                <w:tc>
                  <w:tcPr>
                    <w:tcW w:w="1293" w:type="dxa"/>
                    <w:vAlign w:val="center"/>
                  </w:tcPr>
                  <w:p>
                    <w:pPr>
                      <w:widowControl w:val="0"/>
                      <w:jc w:val="center"/>
                      <w:rPr>
                        <w:szCs w:val="21"/>
                      </w:rPr>
                    </w:pPr>
                    <w:r>
                      <w:rPr>
                        <w:rFonts w:hint="eastAsia"/>
                        <w:szCs w:val="21"/>
                      </w:rPr>
                      <w:t>本年</w:t>
                    </w:r>
                    <w:r>
                      <w:rPr>
                        <w:szCs w:val="21"/>
                      </w:rPr>
                      <w:t>增加限售股数</w:t>
                    </w:r>
                  </w:p>
                </w:tc>
              </w:sdtContent>
            </w:sdt>
            <w:sdt>
              <w:sdtPr>
                <w:tag w:val="_PLD_7f6e541d006347e7a584639c7f427833"/>
                <w:id w:val="-1302064818"/>
                <w:lock w:val="sdtLocked"/>
              </w:sdtPr>
              <w:sdtContent>
                <w:tc>
                  <w:tcPr>
                    <w:tcW w:w="943" w:type="dxa"/>
                    <w:vAlign w:val="center"/>
                  </w:tcPr>
                  <w:p>
                    <w:pPr>
                      <w:widowControl w:val="0"/>
                      <w:jc w:val="center"/>
                      <w:rPr>
                        <w:szCs w:val="21"/>
                      </w:rPr>
                    </w:pPr>
                    <w:r>
                      <w:rPr>
                        <w:rFonts w:hint="eastAsia"/>
                        <w:szCs w:val="21"/>
                      </w:rPr>
                      <w:t>年</w:t>
                    </w:r>
                    <w:r>
                      <w:rPr>
                        <w:szCs w:val="21"/>
                      </w:rPr>
                      <w:t>末限售股数</w:t>
                    </w:r>
                  </w:p>
                </w:tc>
              </w:sdtContent>
            </w:sdt>
            <w:sdt>
              <w:sdtPr>
                <w:tag w:val="_PLD_d37fee9a3155489fbf6351ef4190eda4"/>
                <w:id w:val="503014180"/>
                <w:lock w:val="sdtLocked"/>
              </w:sdtPr>
              <w:sdtContent>
                <w:tc>
                  <w:tcPr>
                    <w:tcW w:w="1293" w:type="dxa"/>
                    <w:vAlign w:val="center"/>
                  </w:tcPr>
                  <w:p>
                    <w:pPr>
                      <w:widowControl w:val="0"/>
                      <w:jc w:val="center"/>
                      <w:rPr>
                        <w:szCs w:val="21"/>
                      </w:rPr>
                    </w:pPr>
                    <w:r>
                      <w:rPr>
                        <w:szCs w:val="21"/>
                      </w:rPr>
                      <w:t>限售原因</w:t>
                    </w:r>
                  </w:p>
                </w:tc>
              </w:sdtContent>
            </w:sdt>
            <w:sdt>
              <w:sdtPr>
                <w:tag w:val="_PLD_ca5e79dfa7e44389b18b3a663f85094b"/>
                <w:id w:val="-1066418263"/>
                <w:lock w:val="sdtLocked"/>
              </w:sdtPr>
              <w:sdtContent>
                <w:tc>
                  <w:tcPr>
                    <w:tcW w:w="1293" w:type="dxa"/>
                    <w:vAlign w:val="center"/>
                  </w:tcPr>
                  <w:p>
                    <w:pPr>
                      <w:widowControl w:val="0"/>
                      <w:jc w:val="center"/>
                      <w:rPr>
                        <w:szCs w:val="21"/>
                      </w:rPr>
                    </w:pPr>
                    <w:r>
                      <w:rPr>
                        <w:szCs w:val="21"/>
                      </w:rPr>
                      <w:t>解除限售日期</w:t>
                    </w:r>
                  </w:p>
                </w:tc>
              </w:sdtContent>
            </w:sdt>
          </w:tr>
          <w:sdt>
            <w:sdtPr>
              <w:rPr>
                <w:rFonts w:hint="eastAsia" w:cstheme="minorBidi"/>
                <w:kern w:val="2"/>
                <w:szCs w:val="21"/>
              </w:rPr>
              <w:alias w:val="限售股份变动情况明细"/>
              <w:tag w:val="_TUP_fe09e7b1cf1d416fb3d522fe001e0974"/>
              <w:id w:val="445045210"/>
              <w:lock w:val="sdtLocked"/>
            </w:sdtPr>
            <w:sdtEndPr>
              <w:rPr>
                <w:rFonts w:hint="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1" w:type="dxa"/>
                  </w:tcPr>
                  <w:p>
                    <w:pPr>
                      <w:widowControl w:val="0"/>
                      <w:jc w:val="both"/>
                      <w:rPr>
                        <w:szCs w:val="21"/>
                      </w:rPr>
                    </w:pPr>
                    <w:r>
                      <w:rPr>
                        <w:szCs w:val="21"/>
                      </w:rPr>
                      <w:t>公司《A股限制性股票激励计划（2017年度）》股权激励对象</w:t>
                    </w:r>
                  </w:p>
                </w:tc>
                <w:tc>
                  <w:tcPr>
                    <w:tcW w:w="992" w:type="dxa"/>
                    <w:vAlign w:val="center"/>
                  </w:tcPr>
                  <w:p>
                    <w:pPr>
                      <w:widowControl w:val="0"/>
                      <w:jc w:val="right"/>
                      <w:rPr>
                        <w:szCs w:val="21"/>
                      </w:rPr>
                    </w:pPr>
                    <w:r>
                      <w:rPr>
                        <w:szCs w:val="21"/>
                      </w:rPr>
                      <w:t>27,931,300</w:t>
                    </w:r>
                  </w:p>
                </w:tc>
                <w:tc>
                  <w:tcPr>
                    <w:tcW w:w="1276" w:type="dxa"/>
                    <w:vAlign w:val="center"/>
                  </w:tcPr>
                  <w:p>
                    <w:pPr>
                      <w:widowControl w:val="0"/>
                      <w:jc w:val="center"/>
                      <w:rPr>
                        <w:szCs w:val="21"/>
                      </w:rPr>
                    </w:pPr>
                    <w:r>
                      <w:rPr>
                        <w:szCs w:val="21"/>
                      </w:rPr>
                      <w:t>0</w:t>
                    </w:r>
                  </w:p>
                </w:tc>
                <w:tc>
                  <w:tcPr>
                    <w:tcW w:w="1293" w:type="dxa"/>
                    <w:vAlign w:val="center"/>
                  </w:tcPr>
                  <w:p>
                    <w:pPr>
                      <w:widowControl w:val="0"/>
                      <w:jc w:val="center"/>
                      <w:rPr>
                        <w:szCs w:val="21"/>
                      </w:rPr>
                    </w:pPr>
                    <w:r>
                      <w:rPr>
                        <w:szCs w:val="21"/>
                      </w:rPr>
                      <w:t>0</w:t>
                    </w:r>
                  </w:p>
                </w:tc>
                <w:tc>
                  <w:tcPr>
                    <w:tcW w:w="943" w:type="dxa"/>
                    <w:vAlign w:val="center"/>
                  </w:tcPr>
                  <w:p>
                    <w:pPr>
                      <w:widowControl w:val="0"/>
                      <w:jc w:val="center"/>
                      <w:rPr>
                        <w:szCs w:val="21"/>
                      </w:rPr>
                    </w:pPr>
                    <w:r>
                      <w:rPr>
                        <w:szCs w:val="21"/>
                      </w:rPr>
                      <w:t>0</w:t>
                    </w:r>
                  </w:p>
                </w:tc>
                <w:tc>
                  <w:tcPr>
                    <w:tcW w:w="1293" w:type="dxa"/>
                    <w:vAlign w:val="center"/>
                  </w:tcPr>
                  <w:p>
                    <w:pPr>
                      <w:widowControl w:val="0"/>
                      <w:jc w:val="both"/>
                      <w:rPr>
                        <w:szCs w:val="21"/>
                      </w:rPr>
                    </w:pPr>
                    <w:r>
                      <w:rPr>
                        <w:szCs w:val="21"/>
                      </w:rPr>
                      <w:t>股权激励</w:t>
                    </w:r>
                  </w:p>
                </w:tc>
                <w:tc>
                  <w:tcPr>
                    <w:tcW w:w="1293" w:type="dxa"/>
                    <w:vAlign w:val="center"/>
                  </w:tcPr>
                  <w:p>
                    <w:pPr>
                      <w:widowControl w:val="0"/>
                      <w:jc w:val="both"/>
                      <w:rPr>
                        <w:szCs w:val="21"/>
                      </w:rPr>
                    </w:pPr>
                    <w:r>
                      <w:rPr>
                        <w:szCs w:val="21"/>
                      </w:rPr>
                      <w:t>已回购注销</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imes New Roman" w:hAnsi="Times New Roman"/>
                  <w:szCs w:val="21"/>
                </w:rPr>
                <w:tag w:val="_PLD_67f69b1f97844837950dfb8f6113c8d4"/>
                <w:id w:val="-422493311"/>
                <w:lock w:val="sdtLocked"/>
              </w:sdtPr>
              <w:sdtEndPr>
                <w:rPr>
                  <w:rFonts w:ascii="Times New Roman" w:hAnsi="Times New Roman"/>
                  <w:szCs w:val="21"/>
                </w:rPr>
              </w:sdtEndPr>
              <w:sdtContent>
                <w:tc>
                  <w:tcPr>
                    <w:tcW w:w="1951" w:type="dxa"/>
                    <w:vAlign w:val="center"/>
                  </w:tcPr>
                  <w:p>
                    <w:pPr>
                      <w:widowControl w:val="0"/>
                      <w:jc w:val="center"/>
                      <w:rPr>
                        <w:szCs w:val="21"/>
                      </w:rPr>
                    </w:pPr>
                    <w:r>
                      <w:rPr>
                        <w:szCs w:val="21"/>
                      </w:rPr>
                      <w:t>合计</w:t>
                    </w:r>
                  </w:p>
                </w:tc>
              </w:sdtContent>
            </w:sdt>
            <w:tc>
              <w:tcPr>
                <w:tcW w:w="992" w:type="dxa"/>
              </w:tcPr>
              <w:p>
                <w:pPr>
                  <w:widowControl w:val="0"/>
                  <w:jc w:val="right"/>
                  <w:rPr>
                    <w:szCs w:val="21"/>
                  </w:rPr>
                </w:pPr>
                <w:r>
                  <w:rPr>
                    <w:szCs w:val="21"/>
                  </w:rPr>
                  <w:t>27,931,300</w:t>
                </w:r>
              </w:p>
            </w:tc>
            <w:tc>
              <w:tcPr>
                <w:tcW w:w="1276" w:type="dxa"/>
                <w:vAlign w:val="center"/>
              </w:tcPr>
              <w:p>
                <w:pPr>
                  <w:widowControl w:val="0"/>
                  <w:jc w:val="center"/>
                  <w:rPr>
                    <w:szCs w:val="21"/>
                  </w:rPr>
                </w:pPr>
                <w:r>
                  <w:rPr>
                    <w:szCs w:val="21"/>
                  </w:rPr>
                  <w:t>0</w:t>
                </w:r>
              </w:p>
            </w:tc>
            <w:tc>
              <w:tcPr>
                <w:tcW w:w="1293" w:type="dxa"/>
                <w:vAlign w:val="center"/>
              </w:tcPr>
              <w:p>
                <w:pPr>
                  <w:widowControl w:val="0"/>
                  <w:jc w:val="center"/>
                  <w:rPr>
                    <w:szCs w:val="21"/>
                  </w:rPr>
                </w:pPr>
                <w:r>
                  <w:rPr>
                    <w:szCs w:val="21"/>
                  </w:rPr>
                  <w:t>0</w:t>
                </w:r>
              </w:p>
            </w:tc>
            <w:tc>
              <w:tcPr>
                <w:tcW w:w="943" w:type="dxa"/>
                <w:vAlign w:val="center"/>
              </w:tcPr>
              <w:p>
                <w:pPr>
                  <w:widowControl w:val="0"/>
                  <w:jc w:val="center"/>
                  <w:rPr>
                    <w:szCs w:val="21"/>
                  </w:rPr>
                </w:pPr>
                <w:r>
                  <w:rPr>
                    <w:szCs w:val="21"/>
                  </w:rPr>
                  <w:t>0</w:t>
                </w:r>
              </w:p>
            </w:tc>
            <w:tc>
              <w:tcPr>
                <w:tcW w:w="1293" w:type="dxa"/>
              </w:tcPr>
              <w:p>
                <w:pPr>
                  <w:widowControl w:val="0"/>
                  <w:jc w:val="center"/>
                  <w:rPr>
                    <w:szCs w:val="21"/>
                  </w:rPr>
                </w:pPr>
                <w:r>
                  <w:rPr>
                    <w:rFonts w:hint="eastAsia"/>
                    <w:szCs w:val="21"/>
                  </w:rPr>
                  <w:t>/</w:t>
                </w:r>
              </w:p>
            </w:tc>
            <w:tc>
              <w:tcPr>
                <w:tcW w:w="1293" w:type="dxa"/>
              </w:tcPr>
              <w:p>
                <w:pPr>
                  <w:widowControl w:val="0"/>
                  <w:jc w:val="center"/>
                  <w:rPr>
                    <w:szCs w:val="21"/>
                  </w:rPr>
                </w:pPr>
                <w:r>
                  <w:rPr>
                    <w:rFonts w:hint="eastAsia"/>
                    <w:szCs w:val="21"/>
                  </w:rPr>
                  <w:t>/</w:t>
                </w:r>
              </w:p>
            </w:tc>
          </w:tr>
        </w:tbl>
        <w:p>
          <w:pPr>
            <w:rPr>
              <w:rFonts w:asciiTheme="minorEastAsia" w:hAnsiTheme="minorEastAsia" w:eastAsiaTheme="minorEastAsia"/>
              <w:szCs w:val="21"/>
            </w:rPr>
          </w:pPr>
        </w:p>
      </w:sdtContent>
    </w:sdt>
    <w:p>
      <w:pPr>
        <w:pStyle w:val="3"/>
        <w:numPr>
          <w:ilvl w:val="0"/>
          <w:numId w:val="40"/>
        </w:numPr>
        <w:spacing w:before="0" w:after="0" w:line="360" w:lineRule="auto"/>
      </w:pPr>
      <w:r>
        <w:t>证券发行与上市情况</w:t>
      </w:r>
    </w:p>
    <w:sdt>
      <w:sdtPr>
        <w:rPr>
          <w:rFonts w:ascii="宋体" w:hAnsi="宋体" w:cs="宋体"/>
          <w:b w:val="0"/>
          <w:bCs w:val="0"/>
          <w:kern w:val="0"/>
          <w:szCs w:val="24"/>
        </w:rPr>
        <w:alias w:val="模块:截至报告期内证券发行情况"/>
        <w:tag w:val="_SEC_314fe0a7461349b58ad8d67ad9671220"/>
        <w:id w:val="1150483149"/>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3"/>
            </w:numPr>
            <w:spacing w:before="0" w:after="0" w:line="360" w:lineRule="auto"/>
          </w:pPr>
          <w:bookmarkStart w:id="89" w:name="_Hlk89954403"/>
          <w:r>
            <w:t>截至</w:t>
          </w:r>
          <w:r>
            <w:rPr>
              <w:rFonts w:hint="eastAsia"/>
            </w:rPr>
            <w:t>报告期内</w:t>
          </w:r>
          <w:r>
            <w:t>证券发行情况</w:t>
          </w:r>
        </w:p>
        <w:sdt>
          <w:sdtPr>
            <w:alias w:val="是否适用：截至报告期内证券发行情况[双击切换]"/>
            <w:tag w:val="_GBC_a9b53137ff4442baa307fbc68ebc8cbc"/>
            <w:id w:val="-1844767626"/>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pPr>
                <w:spacing w:line="360" w:lineRule="auto"/>
                <w:rPr>
                  <w:szCs w:val="21"/>
                </w:rPr>
              </w:pPr>
            </w:p>
          </w:sdtContent>
        </w:sdt>
        <w:p>
          <w:pPr>
            <w:spacing w:line="360" w:lineRule="auto"/>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是否适用：截至报告期内证券发行情况的说明[双击切换]"/>
            <w:tag w:val="_GBC_41eee01683bd43189dc24a776753e295"/>
            <w:id w:val="829716642"/>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89"/>
    <w:p>
      <w:pPr>
        <w:spacing w:line="360" w:lineRule="auto"/>
        <w:rPr>
          <w:szCs w:val="21"/>
        </w:rPr>
      </w:pPr>
    </w:p>
    <w:sdt>
      <w:sdtPr>
        <w:rPr>
          <w:rFonts w:hint="eastAsia" w:ascii="宋体" w:hAnsi="宋体" w:cs="宋体"/>
          <w:b w:val="0"/>
          <w:bCs w:val="0"/>
          <w:kern w:val="0"/>
          <w:szCs w:val="21"/>
        </w:rPr>
        <w:alias w:val="模块:公司普通股股份总数及股东结构变动及公司资产和负债结构的变动情况"/>
        <w:tag w:val="_SEC_55d557f291e34d7aa9de8836ddc0e9d1"/>
        <w:id w:val="-1260518657"/>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3"/>
            </w:numPr>
            <w:spacing w:before="0" w:after="0" w:line="360" w:lineRule="auto"/>
            <w:rPr>
              <w:szCs w:val="21"/>
            </w:rPr>
          </w:pPr>
          <w:r>
            <w:rPr>
              <w:rFonts w:hint="eastAsia"/>
              <w:szCs w:val="21"/>
            </w:rPr>
            <w:t>公司股份总数及股东结构变动及公司资产和负债结构的变动情况</w:t>
          </w:r>
        </w:p>
        <w:sdt>
          <w:sdtPr>
            <w:rPr>
              <w:rFonts w:hint="eastAsia"/>
              <w:szCs w:val="21"/>
            </w:rPr>
            <w:alias w:val="是否适用：公司普通股股份总数及股东结构变动及公司资产和负债结构的变动情况[双击切换]"/>
            <w:tag w:val="_GBC_fb36c697d5b04775a7cf181dc8c2e9c2"/>
            <w:id w:val="-131949949"/>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公司股份总数及结构的变动的说明"/>
            <w:tag w:val="_GBC_f052eac1038944c191b4dbc4a4fa7ea9"/>
            <w:id w:val="-394969027"/>
            <w:lock w:val="sdtLocked"/>
            <w:placeholder>
              <w:docPart w:val="GBC22222222222222222222222222222"/>
            </w:placeholder>
          </w:sdtPr>
          <w:sdtEndPr>
            <w:rPr>
              <w:rFonts w:hint="eastAsia"/>
              <w:szCs w:val="21"/>
            </w:rPr>
          </w:sdtEndPr>
          <w:sdtContent>
            <w:p>
              <w:pPr>
                <w:spacing w:line="360" w:lineRule="auto"/>
                <w:ind w:firstLine="420" w:firstLineChars="200"/>
                <w:rPr>
                  <w:szCs w:val="21"/>
                </w:rPr>
              </w:pPr>
              <w:r>
                <w:rPr>
                  <w:szCs w:val="21"/>
                </w:rPr>
                <w:t>2021年4月22日，公司完成对已获授权但尚未解锁的限制性股票的回购注销，共注销限制性股票27,931,300股。注销完成后，公司总股本由4,527,931,300股减少为 4,500,000,000股。</w:t>
              </w:r>
            </w:p>
            <w:p>
              <w:pPr>
                <w:spacing w:line="360" w:lineRule="auto"/>
                <w:rPr>
                  <w:szCs w:val="21"/>
                </w:rPr>
              </w:pPr>
              <w:r>
                <w:rPr>
                  <w:rFonts w:hint="eastAsia"/>
                  <w:szCs w:val="21"/>
                </w:rPr>
                <w:t>报告期初公司资产总额为</w:t>
              </w:r>
              <w:r>
                <w:rPr>
                  <w:szCs w:val="21"/>
                </w:rPr>
                <w:t>1,794,050.3</w:t>
              </w:r>
              <w:r>
                <w:rPr>
                  <w:rFonts w:hint="eastAsia"/>
                  <w:szCs w:val="21"/>
                </w:rPr>
                <w:t>5</w:t>
              </w:r>
              <w:r>
                <w:rPr>
                  <w:szCs w:val="21"/>
                </w:rPr>
                <w:t>万元，负债总额为672,855.46万元，资产负债率为37.50%；报告期末公司资产总额为</w:t>
              </w:r>
              <w:r>
                <w:rPr>
                  <w:rFonts w:hint="eastAsia"/>
                  <w:szCs w:val="21"/>
                </w:rPr>
                <w:t>1,763,213.92</w:t>
              </w:r>
              <w:r>
                <w:rPr>
                  <w:szCs w:val="21"/>
                </w:rPr>
                <w:t>万元，负债总额为</w:t>
              </w:r>
              <w:r>
                <w:rPr>
                  <w:rFonts w:hint="eastAsia"/>
                  <w:szCs w:val="21"/>
                </w:rPr>
                <w:t>633,169.24</w:t>
              </w:r>
              <w:r>
                <w:rPr>
                  <w:szCs w:val="21"/>
                </w:rPr>
                <w:t>万元，资产负债率为</w:t>
              </w:r>
              <w:r>
                <w:rPr>
                  <w:rFonts w:hint="eastAsia"/>
                  <w:szCs w:val="21"/>
                </w:rPr>
                <w:t>35.91</w:t>
              </w:r>
              <w:r>
                <w:rPr>
                  <w:szCs w:val="21"/>
                </w:rPr>
                <w:t>%。</w:t>
              </w:r>
            </w:p>
          </w:sdtContent>
        </w:sdt>
      </w:sdtContent>
    </w:sdt>
    <w:p>
      <w:pPr>
        <w:spacing w:line="360" w:lineRule="auto"/>
        <w:rPr>
          <w:szCs w:val="21"/>
        </w:rPr>
      </w:pPr>
    </w:p>
    <w:sdt>
      <w:sdtPr>
        <w:rPr>
          <w:rFonts w:hint="eastAsia" w:ascii="宋体" w:hAnsi="宋体" w:cs="宋体"/>
          <w:b w:val="0"/>
          <w:bCs w:val="0"/>
          <w:kern w:val="0"/>
          <w:szCs w:val="21"/>
        </w:rPr>
        <w:alias w:val="模块:现存的内部职工股情况"/>
        <w:tag w:val="_SEC_7d189716ca09434ba6cf788f2153af73"/>
        <w:id w:val="-2111498340"/>
        <w:lock w:val="sdtLocked"/>
        <w:placeholder>
          <w:docPart w:val="GBC22222222222222222222222222222"/>
        </w:placeholder>
      </w:sdtPr>
      <w:sdtEndPr>
        <w:rPr>
          <w:rFonts w:hint="eastAsia" w:ascii="宋体" w:hAnsi="宋体" w:cs="宋体"/>
          <w:b w:val="0"/>
          <w:bCs w:val="0"/>
          <w:kern w:val="0"/>
          <w:szCs w:val="21"/>
        </w:rPr>
      </w:sdtEndPr>
      <w:sdtContent>
        <w:p>
          <w:pPr>
            <w:pStyle w:val="4"/>
            <w:numPr>
              <w:ilvl w:val="0"/>
              <w:numId w:val="43"/>
            </w:numPr>
            <w:spacing w:before="0" w:after="0" w:line="360" w:lineRule="auto"/>
            <w:rPr>
              <w:szCs w:val="21"/>
            </w:rPr>
          </w:pPr>
          <w:r>
            <w:rPr>
              <w:rFonts w:hint="eastAsia"/>
              <w:szCs w:val="21"/>
            </w:rPr>
            <w:t>现存的内部职工股情况</w:t>
          </w:r>
        </w:p>
        <w:sdt>
          <w:sdtPr>
            <w:alias w:val="是否适用：现存的内部职工股情况[双击切换]"/>
            <w:tag w:val="_GBC_fa5e90226e14408b891f1c5a9dbbf2c5"/>
            <w:id w:val="1191102487"/>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40"/>
        </w:numPr>
      </w:pPr>
      <w:r>
        <w:t>股东</w:t>
      </w:r>
      <w:r>
        <w:rPr>
          <w:rFonts w:hint="eastAsia"/>
        </w:rPr>
        <w:t>和实际控制人</w:t>
      </w:r>
      <w:r>
        <w:t>情况</w:t>
      </w:r>
    </w:p>
    <w:sdt>
      <w:sdtPr>
        <w:rPr>
          <w:rFonts w:ascii="宋体" w:hAnsi="宋体" w:cs="宋体"/>
          <w:b w:val="0"/>
          <w:bCs w:val="0"/>
          <w:kern w:val="0"/>
          <w:sz w:val="24"/>
          <w:szCs w:val="21"/>
        </w:rPr>
        <w:alias w:val="模块:股东总数"/>
        <w:tag w:val="_SEC_ec591f1129e84625a91f2b73f19be202"/>
        <w:id w:val="844666961"/>
        <w:lock w:val="sdtLocked"/>
        <w:placeholder>
          <w:docPart w:val="GBC22222222222222222222222222222"/>
        </w:placeholder>
      </w:sdtPr>
      <w:sdtEndPr>
        <w:rPr>
          <w:rFonts w:hint="eastAsia" w:ascii="宋体" w:hAnsi="宋体" w:cs="宋体"/>
          <w:b w:val="0"/>
          <w:bCs w:val="0"/>
          <w:kern w:val="0"/>
          <w:sz w:val="21"/>
          <w:szCs w:val="21"/>
        </w:rPr>
      </w:sdtEndPr>
      <w:sdtContent>
        <w:p>
          <w:pPr>
            <w:pStyle w:val="4"/>
            <w:numPr>
              <w:ilvl w:val="1"/>
              <w:numId w:val="44"/>
            </w:numPr>
            <w:tabs>
              <w:tab w:val="left" w:pos="851"/>
            </w:tabs>
            <w:ind w:left="426" w:hanging="426"/>
            <w:rPr>
              <w:szCs w:val="21"/>
            </w:rPr>
          </w:pPr>
          <w:r>
            <w:rPr>
              <w:rFonts w:hint="eastAsia"/>
              <w:szCs w:val="21"/>
            </w:rPr>
            <w:t>股东总数</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24"/>
            <w:gridCol w:w="4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738880649c43ac9597effd663adc10"/>
                <w:id w:val="358473172"/>
                <w:lock w:val="sdtLocked"/>
              </w:sdtPr>
              <w:sdtContent>
                <w:tc>
                  <w:tcPr>
                    <w:tcW w:w="4524" w:type="dxa"/>
                  </w:tcPr>
                  <w:p>
                    <w:pPr>
                      <w:widowControl w:val="0"/>
                      <w:jc w:val="both"/>
                      <w:rPr>
                        <w:szCs w:val="21"/>
                      </w:rPr>
                    </w:pPr>
                    <w:r>
                      <w:rPr>
                        <w:szCs w:val="21"/>
                      </w:rPr>
                      <w:t>截</w:t>
                    </w:r>
                    <w:r>
                      <w:rPr>
                        <w:rFonts w:hint="eastAsia"/>
                        <w:szCs w:val="21"/>
                      </w:rPr>
                      <w:t>至</w:t>
                    </w:r>
                    <w:r>
                      <w:rPr>
                        <w:szCs w:val="21"/>
                      </w:rPr>
                      <w:t>报告期末</w:t>
                    </w:r>
                    <w:r>
                      <w:rPr>
                        <w:rFonts w:hint="eastAsia"/>
                        <w:szCs w:val="21"/>
                      </w:rPr>
                      <w:t>普通股</w:t>
                    </w:r>
                    <w:r>
                      <w:rPr>
                        <w:szCs w:val="21"/>
                      </w:rPr>
                      <w:t>股东总数(户)</w:t>
                    </w:r>
                  </w:p>
                </w:tc>
              </w:sdtContent>
            </w:sdt>
            <w:sdt>
              <w:sdtPr>
                <w:rPr>
                  <w:rFonts w:ascii="Times New Roman" w:hAnsi="Times New Roman"/>
                  <w:szCs w:val="21"/>
                </w:rPr>
                <w:alias w:val="报告期末股东总数"/>
                <w:tag w:val="_GBC_510087fb1e024fb293d32127713e45f8"/>
                <w:id w:val="1882985141"/>
                <w:lock w:val="sdtLocked"/>
              </w:sdtPr>
              <w:sdtEndPr>
                <w:rPr>
                  <w:rFonts w:ascii="Times New Roman" w:hAnsi="Times New Roman"/>
                  <w:szCs w:val="21"/>
                </w:rPr>
              </w:sdtEndPr>
              <w:sdtContent>
                <w:tc>
                  <w:tcPr>
                    <w:tcW w:w="4524" w:type="dxa"/>
                    <w:vAlign w:val="center"/>
                  </w:tcPr>
                  <w:p>
                    <w:pPr>
                      <w:widowControl w:val="0"/>
                      <w:jc w:val="center"/>
                      <w:rPr>
                        <w:szCs w:val="21"/>
                      </w:rPr>
                    </w:pPr>
                    <w:r>
                      <w:t>53,217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41b7c4d29ef4d5cb2701ef9955403fb"/>
                <w:id w:val="-70043615"/>
                <w:lock w:val="sdtLocked"/>
              </w:sdtPr>
              <w:sdtEndPr>
                <w:rPr>
                  <w:color w:val="FF0000"/>
                </w:rPr>
              </w:sdtEndPr>
              <w:sdtContent>
                <w:tc>
                  <w:tcPr>
                    <w:tcW w:w="4524" w:type="dxa"/>
                  </w:tcPr>
                  <w:p>
                    <w:pPr>
                      <w:widowControl w:val="0"/>
                      <w:jc w:val="both"/>
                      <w:rPr>
                        <w:szCs w:val="21"/>
                      </w:rPr>
                    </w:pPr>
                    <w:r>
                      <w:rPr>
                        <w:rFonts w:hint="eastAsia"/>
                        <w:szCs w:val="21"/>
                      </w:rPr>
                      <w:t>年度报告披露日前上一月末的普通股股东总数</w:t>
                    </w:r>
                    <w:r>
                      <w:rPr>
                        <w:szCs w:val="21"/>
                      </w:rPr>
                      <w:t>(户)</w:t>
                    </w:r>
                  </w:p>
                </w:tc>
              </w:sdtContent>
            </w:sdt>
            <w:tc>
              <w:tcPr>
                <w:tcW w:w="4524" w:type="dxa"/>
                <w:vAlign w:val="center"/>
              </w:tcPr>
              <w:p>
                <w:pPr>
                  <w:widowControl w:val="0"/>
                  <w:jc w:val="center"/>
                  <w:rPr>
                    <w:szCs w:val="21"/>
                  </w:rPr>
                </w:pPr>
                <w:r>
                  <w:rPr>
                    <w:szCs w:val="21"/>
                  </w:rPr>
                  <w:t>54,895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28bf4883d704a5b968c7e3ad90ab399"/>
                <w:id w:val="-1507050145"/>
                <w:lock w:val="sdtLocked"/>
              </w:sdtPr>
              <w:sdtContent>
                <w:tc>
                  <w:tcPr>
                    <w:tcW w:w="4524" w:type="dxa"/>
                  </w:tcPr>
                  <w:p>
                    <w:pPr>
                      <w:widowControl w:val="0"/>
                      <w:jc w:val="both"/>
                      <w:rPr>
                        <w:szCs w:val="21"/>
                      </w:rPr>
                    </w:pPr>
                    <w:r>
                      <w:rPr>
                        <w:rFonts w:hint="eastAsia"/>
                        <w:szCs w:val="21"/>
                      </w:rPr>
                      <w:t>截至报告期末表决权恢复的优先股股东总数（户）</w:t>
                    </w:r>
                  </w:p>
                </w:tc>
              </w:sdtContent>
            </w:sdt>
            <w:tc>
              <w:tcPr>
                <w:tcW w:w="4524" w:type="dxa"/>
                <w:vAlign w:val="center"/>
              </w:tcPr>
              <w:p>
                <w:pPr>
                  <w:widowControl w:val="0"/>
                  <w:jc w:val="center"/>
                  <w:rPr>
                    <w:szCs w:val="21"/>
                  </w:rPr>
                </w:pPr>
                <w:r>
                  <w:rPr>
                    <w:rFonts w:hint="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05812c57c24247e4acc80620ba300bf1"/>
                <w:id w:val="-1362514455"/>
                <w:lock w:val="sdtLocked"/>
              </w:sdtPr>
              <w:sdtContent>
                <w:tc>
                  <w:tcPr>
                    <w:tcW w:w="4524" w:type="dxa"/>
                  </w:tcPr>
                  <w:p>
                    <w:pPr>
                      <w:widowControl w:val="0"/>
                      <w:jc w:val="both"/>
                      <w:rPr>
                        <w:szCs w:val="21"/>
                      </w:rPr>
                    </w:pPr>
                    <w:r>
                      <w:rPr>
                        <w:rFonts w:hint="eastAsia"/>
                        <w:szCs w:val="21"/>
                      </w:rPr>
                      <w:t>年度报告披露日前上一月末表决权恢复的优先股股东总数（户）</w:t>
                    </w:r>
                  </w:p>
                </w:tc>
              </w:sdtContent>
            </w:sdt>
            <w:tc>
              <w:tcPr>
                <w:tcW w:w="4524" w:type="dxa"/>
                <w:vAlign w:val="center"/>
              </w:tcPr>
              <w:p>
                <w:pPr>
                  <w:widowControl w:val="0"/>
                  <w:jc w:val="center"/>
                  <w:rPr>
                    <w:szCs w:val="21"/>
                  </w:rPr>
                </w:pPr>
                <w:r>
                  <w:rPr>
                    <w:rFonts w:hint="eastAsia"/>
                    <w:szCs w:val="21"/>
                  </w:rPr>
                  <w:t>0</w:t>
                </w:r>
              </w:p>
            </w:tc>
          </w:tr>
        </w:tbl>
        <w:p>
          <w:pPr>
            <w:rPr>
              <w:szCs w:val="21"/>
            </w:rPr>
          </w:pPr>
        </w:p>
      </w:sdtContent>
    </w:sdt>
    <w:p>
      <w:pPr>
        <w:pStyle w:val="4"/>
        <w:numPr>
          <w:ilvl w:val="1"/>
          <w:numId w:val="44"/>
        </w:numPr>
        <w:ind w:left="426" w:hanging="426"/>
      </w:pPr>
      <w:bookmarkStart w:id="90" w:name="_Toc342565998"/>
      <w:bookmarkStart w:id="91" w:name="_Toc342059485"/>
      <w:r>
        <w:rPr>
          <w:rFonts w:hint="eastAsia"/>
          <w:szCs w:val="21"/>
        </w:rPr>
        <w:t>截至报告期末前十名股东、前十名流通股东（或无限售条件股东）持股情况表</w:t>
      </w:r>
    </w:p>
    <w:bookmarkEnd w:id="90"/>
    <w:bookmarkEnd w:id="91"/>
    <w:sdt>
      <w:sdtPr>
        <w:rPr>
          <w:rFonts w:hint="eastAsia"/>
          <w:szCs w:val="21"/>
        </w:rPr>
        <w:alias w:val="选项模块:前十名股东持股情况(已完成或不涉及股改)"/>
        <w:tag w:val="_SEC_f0d49341729546c79e65e551f2f6d5d7"/>
        <w:id w:val="-647050163"/>
        <w:lock w:val="sdtLocked"/>
        <w:placeholder>
          <w:docPart w:val="GBC22222222222222222222222222222"/>
        </w:placeholder>
      </w:sdtPr>
      <w:sdtEndPr>
        <w:rPr>
          <w:rFonts w:hint="eastAsia"/>
          <w:szCs w:val="21"/>
        </w:rPr>
      </w:sdtEndPr>
      <w:sdtContent>
        <w:p>
          <w:pPr>
            <w:ind w:firstLine="3990" w:firstLineChars="1900"/>
            <w:jc w:val="right"/>
            <w:rPr>
              <w:szCs w:val="21"/>
            </w:rPr>
          </w:pPr>
          <w:bookmarkStart w:id="92" w:name="_Hlk27487213"/>
          <w:r>
            <w:rPr>
              <w:bCs/>
              <w:szCs w:val="21"/>
            </w:rPr>
            <w:t>单位:</w:t>
          </w:r>
          <w:sdt>
            <w:sdtPr>
              <w:rPr>
                <w:bCs/>
                <w:szCs w:val="21"/>
              </w:rPr>
              <w:alias w:val="单位：前十名股东持股情况"/>
              <w:tag w:val="_GBC_b59e95c09d914c83b42ae5b68d0d6987"/>
              <w:id w:val="-946934311"/>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bCs/>
                <w:szCs w:val="21"/>
              </w:rPr>
            </w:sdtEndPr>
            <w:sdtContent>
              <w:r>
                <w:rPr>
                  <w:bCs/>
                  <w:szCs w:val="21"/>
                </w:rPr>
                <w:t>股</w:t>
              </w:r>
            </w:sdtContent>
          </w:sdt>
        </w:p>
        <w:tbl>
          <w:tblPr>
            <w:tblStyle w:val="108"/>
            <w:tblW w:w="10065"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379"/>
            <w:gridCol w:w="180"/>
            <w:gridCol w:w="1701"/>
            <w:gridCol w:w="851"/>
            <w:gridCol w:w="1283"/>
            <w:gridCol w:w="418"/>
            <w:gridCol w:w="567"/>
            <w:gridCol w:w="567"/>
            <w:gridCol w:w="85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宋体" w:hAnsi="宋体"/>
                </w:rPr>
                <w:tag w:val="_PLD_12180439b5ff4b00a01ff1f87b70f1de"/>
                <w:id w:val="105401753"/>
                <w:lock w:val="sdtLocked"/>
              </w:sdtPr>
              <w:sdtEndPr>
                <w:rPr>
                  <w:rFonts w:ascii="宋体" w:hAnsi="宋体"/>
                </w:rPr>
              </w:sdtEndPr>
              <w:sdtContent>
                <w:tc>
                  <w:tcPr>
                    <w:tcW w:w="10065" w:type="dxa"/>
                    <w:gridSpan w:val="11"/>
                    <w:shd w:val="clear" w:color="auto" w:fill="auto"/>
                    <w:vAlign w:val="center"/>
                  </w:tcPr>
                  <w:p>
                    <w:pPr>
                      <w:pStyle w:val="15"/>
                      <w:jc w:val="center"/>
                      <w:rPr>
                        <w:rFonts w:ascii="宋体" w:hAnsi="宋体"/>
                      </w:rPr>
                    </w:pPr>
                    <w:r>
                      <w:rPr>
                        <w:rFonts w:ascii="宋体" w:hAnsi="宋体"/>
                      </w:rPr>
                      <w:t>前十名股东持股情况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4e40ad86e5ee4c0cb28f819aa3924fb2"/>
                <w:id w:val="1100759877"/>
                <w:lock w:val="sdtLocked"/>
              </w:sdtPr>
              <w:sdtContent>
                <w:tc>
                  <w:tcPr>
                    <w:tcW w:w="1418" w:type="dxa"/>
                    <w:vMerge w:val="restart"/>
                    <w:shd w:val="clear" w:color="auto" w:fill="auto"/>
                    <w:vAlign w:val="center"/>
                  </w:tcPr>
                  <w:p>
                    <w:pPr>
                      <w:jc w:val="center"/>
                      <w:rPr>
                        <w:szCs w:val="21"/>
                      </w:rPr>
                    </w:pPr>
                    <w:r>
                      <w:rPr>
                        <w:szCs w:val="21"/>
                      </w:rPr>
                      <w:t>股东名称</w:t>
                    </w:r>
                  </w:p>
                  <w:p>
                    <w:pPr>
                      <w:jc w:val="center"/>
                      <w:rPr>
                        <w:szCs w:val="21"/>
                      </w:rPr>
                    </w:pPr>
                    <w:r>
                      <w:rPr>
                        <w:rFonts w:hint="eastAsia"/>
                        <w:szCs w:val="21"/>
                      </w:rPr>
                      <w:t>（全称）</w:t>
                    </w:r>
                  </w:p>
                </w:tc>
              </w:sdtContent>
            </w:sdt>
            <w:sdt>
              <w:sdtPr>
                <w:tag w:val="_PLD_587b672a54ed4481b14f0963f010aefb"/>
                <w:id w:val="-65037290"/>
                <w:lock w:val="sdtLocked"/>
              </w:sdtPr>
              <w:sdtContent>
                <w:tc>
                  <w:tcPr>
                    <w:tcW w:w="1559" w:type="dxa"/>
                    <w:gridSpan w:val="2"/>
                    <w:vMerge w:val="restart"/>
                    <w:shd w:val="clear" w:color="auto" w:fill="auto"/>
                    <w:vAlign w:val="center"/>
                  </w:tcPr>
                  <w:p>
                    <w:pPr>
                      <w:jc w:val="center"/>
                      <w:rPr>
                        <w:szCs w:val="21"/>
                      </w:rPr>
                    </w:pPr>
                    <w:r>
                      <w:rPr>
                        <w:szCs w:val="21"/>
                      </w:rPr>
                      <w:t>报告期内增减</w:t>
                    </w:r>
                  </w:p>
                </w:tc>
              </w:sdtContent>
            </w:sdt>
            <w:sdt>
              <w:sdtPr>
                <w:tag w:val="_PLD_580f25e9dfa24c1d91f3845b6a6a42e5"/>
                <w:id w:val="1771045934"/>
                <w:lock w:val="sdtLocked"/>
              </w:sdtPr>
              <w:sdtContent>
                <w:tc>
                  <w:tcPr>
                    <w:tcW w:w="1701" w:type="dxa"/>
                    <w:vMerge w:val="restart"/>
                    <w:shd w:val="clear" w:color="auto" w:fill="auto"/>
                    <w:vAlign w:val="center"/>
                  </w:tcPr>
                  <w:p>
                    <w:pPr>
                      <w:jc w:val="center"/>
                      <w:rPr>
                        <w:szCs w:val="21"/>
                      </w:rPr>
                    </w:pPr>
                    <w:r>
                      <w:rPr>
                        <w:szCs w:val="21"/>
                      </w:rPr>
                      <w:t>期末持股数量</w:t>
                    </w:r>
                  </w:p>
                </w:tc>
              </w:sdtContent>
            </w:sdt>
            <w:sdt>
              <w:sdtPr>
                <w:tag w:val="_PLD_e80658c5388c4bb0871489372e62334d"/>
                <w:id w:val="-1423563273"/>
                <w:lock w:val="sdtLocked"/>
              </w:sdtPr>
              <w:sdtContent>
                <w:tc>
                  <w:tcPr>
                    <w:tcW w:w="851" w:type="dxa"/>
                    <w:vMerge w:val="restart"/>
                    <w:shd w:val="clear" w:color="auto" w:fill="auto"/>
                    <w:vAlign w:val="center"/>
                  </w:tcPr>
                  <w:p>
                    <w:pPr>
                      <w:jc w:val="center"/>
                      <w:rPr>
                        <w:szCs w:val="21"/>
                      </w:rPr>
                    </w:pPr>
                    <w:r>
                      <w:rPr>
                        <w:szCs w:val="21"/>
                      </w:rPr>
                      <w:t>比例(%)</w:t>
                    </w:r>
                  </w:p>
                </w:tc>
              </w:sdtContent>
            </w:sdt>
            <w:sdt>
              <w:sdtPr>
                <w:rPr>
                  <w:rFonts w:ascii="宋体" w:hAnsi="宋体"/>
                </w:rPr>
                <w:tag w:val="_PLD_0ed52eb839784cb0ab83b1692dc8b283"/>
                <w:id w:val="-812174171"/>
                <w:lock w:val="sdtLocked"/>
              </w:sdtPr>
              <w:sdtEndPr>
                <w:rPr>
                  <w:rFonts w:ascii="宋体" w:hAnsi="宋体"/>
                </w:rPr>
              </w:sdtEndPr>
              <w:sdtContent>
                <w:tc>
                  <w:tcPr>
                    <w:tcW w:w="1701" w:type="dxa"/>
                    <w:gridSpan w:val="2"/>
                    <w:vMerge w:val="restart"/>
                    <w:shd w:val="clear" w:color="auto" w:fill="auto"/>
                    <w:vAlign w:val="center"/>
                  </w:tcPr>
                  <w:p>
                    <w:pPr>
                      <w:pStyle w:val="10"/>
                      <w:rPr>
                        <w:rFonts w:ascii="宋体" w:hAnsi="宋体"/>
                        <w:bCs/>
                        <w:color w:val="00B050"/>
                      </w:rPr>
                    </w:pPr>
                    <w:r>
                      <w:rPr>
                        <w:rFonts w:ascii="宋体" w:hAnsi="宋体"/>
                        <w:bCs/>
                      </w:rPr>
                      <w:t>持有有限售条件股份数量</w:t>
                    </w:r>
                  </w:p>
                </w:tc>
              </w:sdtContent>
            </w:sdt>
            <w:sdt>
              <w:sdtPr>
                <w:tag w:val="_PLD_6d0fce9e7c914a578f4702348340f346"/>
                <w:id w:val="-133099249"/>
                <w:lock w:val="sdtLocked"/>
              </w:sdtPr>
              <w:sdtContent>
                <w:tc>
                  <w:tcPr>
                    <w:tcW w:w="1984" w:type="dxa"/>
                    <w:gridSpan w:val="3"/>
                    <w:shd w:val="clear" w:color="auto" w:fill="auto"/>
                    <w:vAlign w:val="center"/>
                  </w:tcPr>
                  <w:p>
                    <w:pPr>
                      <w:jc w:val="center"/>
                      <w:rPr>
                        <w:szCs w:val="21"/>
                      </w:rPr>
                    </w:pPr>
                    <w:r>
                      <w:rPr>
                        <w:szCs w:val="21"/>
                      </w:rPr>
                      <w:t>质押</w:t>
                    </w:r>
                    <w:r>
                      <w:rPr>
                        <w:rFonts w:hint="eastAsia"/>
                        <w:szCs w:val="21"/>
                      </w:rPr>
                      <w:t>、标记</w:t>
                    </w:r>
                    <w:r>
                      <w:rPr>
                        <w:szCs w:val="21"/>
                      </w:rPr>
                      <w:t>或冻结情况</w:t>
                    </w:r>
                  </w:p>
                </w:tc>
              </w:sdtContent>
            </w:sdt>
            <w:sdt>
              <w:sdtPr>
                <w:tag w:val="_PLD_57b1e0d0ab2d4113aada0c0394d1589d"/>
                <w:id w:val="-1321809647"/>
                <w:lock w:val="sdtLocked"/>
              </w:sdtPr>
              <w:sdtContent>
                <w:tc>
                  <w:tcPr>
                    <w:tcW w:w="851" w:type="dxa"/>
                    <w:vMerge w:val="restart"/>
                    <w:shd w:val="clear" w:color="auto" w:fill="auto"/>
                    <w:vAlign w:val="center"/>
                  </w:tcPr>
                  <w:p>
                    <w:pPr>
                      <w:jc w:val="center"/>
                      <w:rPr>
                        <w:szCs w:val="21"/>
                      </w:rPr>
                    </w:pPr>
                    <w:r>
                      <w:rPr>
                        <w:szCs w:val="21"/>
                      </w:rPr>
                      <w:t>股东性质</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vMerge w:val="continue"/>
                <w:tcBorders>
                  <w:bottom w:val="single" w:color="auto" w:sz="4" w:space="0"/>
                </w:tcBorders>
                <w:shd w:val="clear" w:color="auto" w:fill="auto"/>
                <w:vAlign w:val="center"/>
              </w:tcPr>
              <w:p>
                <w:pPr>
                  <w:jc w:val="center"/>
                  <w:rPr>
                    <w:szCs w:val="21"/>
                  </w:rPr>
                </w:pPr>
              </w:p>
            </w:tc>
            <w:tc>
              <w:tcPr>
                <w:tcW w:w="1559" w:type="dxa"/>
                <w:gridSpan w:val="2"/>
                <w:vMerge w:val="continue"/>
                <w:tcBorders>
                  <w:bottom w:val="single" w:color="auto" w:sz="4" w:space="0"/>
                </w:tcBorders>
                <w:shd w:val="clear" w:color="auto" w:fill="auto"/>
                <w:vAlign w:val="center"/>
              </w:tcPr>
              <w:p>
                <w:pPr>
                  <w:jc w:val="center"/>
                  <w:rPr>
                    <w:szCs w:val="21"/>
                  </w:rPr>
                </w:pPr>
              </w:p>
            </w:tc>
            <w:tc>
              <w:tcPr>
                <w:tcW w:w="1701" w:type="dxa"/>
                <w:vMerge w:val="continue"/>
                <w:tcBorders>
                  <w:bottom w:val="single" w:color="auto" w:sz="4" w:space="0"/>
                </w:tcBorders>
                <w:shd w:val="clear" w:color="auto" w:fill="auto"/>
                <w:vAlign w:val="center"/>
              </w:tcPr>
              <w:p>
                <w:pPr>
                  <w:jc w:val="center"/>
                  <w:rPr>
                    <w:szCs w:val="21"/>
                  </w:rPr>
                </w:pPr>
              </w:p>
            </w:tc>
            <w:tc>
              <w:tcPr>
                <w:tcW w:w="851" w:type="dxa"/>
                <w:vMerge w:val="continue"/>
                <w:tcBorders>
                  <w:bottom w:val="single" w:color="auto" w:sz="4" w:space="0"/>
                </w:tcBorders>
                <w:shd w:val="clear" w:color="auto" w:fill="auto"/>
                <w:vAlign w:val="center"/>
              </w:tcPr>
              <w:p>
                <w:pPr>
                  <w:jc w:val="center"/>
                  <w:rPr>
                    <w:szCs w:val="21"/>
                  </w:rPr>
                </w:pPr>
              </w:p>
            </w:tc>
            <w:tc>
              <w:tcPr>
                <w:tcW w:w="1701" w:type="dxa"/>
                <w:gridSpan w:val="2"/>
                <w:vMerge w:val="continue"/>
                <w:tcBorders>
                  <w:bottom w:val="single" w:color="auto" w:sz="4" w:space="0"/>
                </w:tcBorders>
                <w:shd w:val="clear" w:color="auto" w:fill="auto"/>
                <w:vAlign w:val="center"/>
              </w:tcPr>
              <w:p>
                <w:pPr>
                  <w:jc w:val="center"/>
                  <w:rPr>
                    <w:szCs w:val="21"/>
                  </w:rPr>
                </w:pPr>
              </w:p>
            </w:tc>
            <w:sdt>
              <w:sdtPr>
                <w:tag w:val="_PLD_72b090b1925c46349c7beb3ca6c0032f"/>
                <w:id w:val="796755"/>
                <w:lock w:val="sdtLocked"/>
              </w:sdtPr>
              <w:sdtContent>
                <w:tc>
                  <w:tcPr>
                    <w:tcW w:w="567" w:type="dxa"/>
                    <w:tcBorders>
                      <w:bottom w:val="single" w:color="auto" w:sz="4" w:space="0"/>
                    </w:tcBorders>
                    <w:shd w:val="clear" w:color="auto" w:fill="auto"/>
                    <w:vAlign w:val="center"/>
                  </w:tcPr>
                  <w:p>
                    <w:pPr>
                      <w:jc w:val="center"/>
                      <w:rPr>
                        <w:szCs w:val="21"/>
                      </w:rPr>
                    </w:pPr>
                    <w:r>
                      <w:rPr>
                        <w:szCs w:val="21"/>
                      </w:rPr>
                      <w:t>股份状态</w:t>
                    </w:r>
                  </w:p>
                </w:tc>
              </w:sdtContent>
            </w:sdt>
            <w:sdt>
              <w:sdtPr>
                <w:tag w:val="_PLD_76e0ca0392384ff795b7613d764041da"/>
                <w:id w:val="1504700693"/>
                <w:lock w:val="sdtLocked"/>
              </w:sdtPr>
              <w:sdtContent>
                <w:tc>
                  <w:tcPr>
                    <w:tcW w:w="1417" w:type="dxa"/>
                    <w:gridSpan w:val="2"/>
                    <w:tcBorders>
                      <w:bottom w:val="single" w:color="auto" w:sz="4" w:space="0"/>
                    </w:tcBorders>
                    <w:shd w:val="clear" w:color="auto" w:fill="auto"/>
                    <w:vAlign w:val="center"/>
                  </w:tcPr>
                  <w:p>
                    <w:pPr>
                      <w:jc w:val="center"/>
                      <w:rPr>
                        <w:szCs w:val="21"/>
                      </w:rPr>
                    </w:pPr>
                    <w:r>
                      <w:rPr>
                        <w:szCs w:val="21"/>
                      </w:rPr>
                      <w:t>数量</w:t>
                    </w:r>
                  </w:p>
                </w:tc>
              </w:sdtContent>
            </w:sdt>
            <w:tc>
              <w:tcPr>
                <w:tcW w:w="851" w:type="dxa"/>
                <w:vMerge w:val="continue"/>
                <w:shd w:val="clear" w:color="auto" w:fill="auto"/>
                <w:vAlign w:val="center"/>
              </w:tcPr>
              <w:p>
                <w:pPr>
                  <w:jc w:val="center"/>
                  <w:rPr>
                    <w:szCs w:val="21"/>
                  </w:rPr>
                </w:pPr>
              </w:p>
            </w:tc>
          </w:tr>
          <w:sdt>
            <w:sdtPr>
              <w:rPr>
                <w:szCs w:val="21"/>
              </w:rPr>
              <w:alias w:val="前十名股东持股情况"/>
              <w:tag w:val="_TUP_dfb07f5d24d04bbbad485e33c5e2bd12"/>
              <w:id w:val="-1511750829"/>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重庆满江红股权投资基金合伙企业(有限合伙)</w:t>
                    </w:r>
                  </w:p>
                </w:tc>
                <w:tc>
                  <w:tcPr>
                    <w:tcW w:w="1559" w:type="dxa"/>
                    <w:gridSpan w:val="2"/>
                    <w:shd w:val="clear" w:color="auto" w:fill="auto"/>
                    <w:vAlign w:val="center"/>
                  </w:tcPr>
                  <w:p>
                    <w:pPr>
                      <w:jc w:val="center"/>
                      <w:rPr>
                        <w:szCs w:val="21"/>
                      </w:rPr>
                    </w:pPr>
                    <w:r>
                      <w:rPr>
                        <w:szCs w:val="21"/>
                      </w:rPr>
                      <w:t>-</w:t>
                    </w:r>
                  </w:p>
                </w:tc>
                <w:tc>
                  <w:tcPr>
                    <w:tcW w:w="1701" w:type="dxa"/>
                    <w:shd w:val="clear" w:color="auto" w:fill="auto"/>
                    <w:vAlign w:val="center"/>
                  </w:tcPr>
                  <w:p>
                    <w:pPr>
                      <w:jc w:val="center"/>
                      <w:rPr>
                        <w:szCs w:val="21"/>
                      </w:rPr>
                    </w:pPr>
                    <w:r>
                      <w:rPr>
                        <w:szCs w:val="21"/>
                      </w:rPr>
                      <w:t>1,349,550,000</w:t>
                    </w:r>
                  </w:p>
                </w:tc>
                <w:tc>
                  <w:tcPr>
                    <w:tcW w:w="851" w:type="dxa"/>
                    <w:shd w:val="clear" w:color="auto" w:fill="auto"/>
                    <w:vAlign w:val="center"/>
                  </w:tcPr>
                  <w:p>
                    <w:pPr>
                      <w:jc w:val="center"/>
                      <w:rPr>
                        <w:szCs w:val="21"/>
                      </w:rPr>
                    </w:pPr>
                    <w:r>
                      <w:rPr>
                        <w:szCs w:val="21"/>
                      </w:rPr>
                      <w:t>29.99</w:t>
                    </w:r>
                  </w:p>
                </w:tc>
                <w:tc>
                  <w:tcPr>
                    <w:tcW w:w="1701" w:type="dxa"/>
                    <w:gridSpan w:val="2"/>
                    <w:shd w:val="clear" w:color="auto" w:fill="auto"/>
                    <w:vAlign w:val="center"/>
                  </w:tcPr>
                  <w:p>
                    <w:pPr>
                      <w:jc w:val="center"/>
                      <w:rPr>
                        <w:szCs w:val="21"/>
                      </w:rPr>
                    </w:pPr>
                    <w:r>
                      <w:rPr>
                        <w:szCs w:val="21"/>
                      </w:rPr>
                      <w:t>1,349,550,000</w:t>
                    </w:r>
                  </w:p>
                </w:tc>
                <w:sdt>
                  <w:sdtPr>
                    <w:rPr>
                      <w:szCs w:val="21"/>
                    </w:rPr>
                    <w:alias w:val="前十名股东持有股份状态"/>
                    <w:tag w:val="_GBC_46a2e2b7fded452b84eec75a5e47296b"/>
                    <w:id w:val="706373660"/>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44395902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sdt>
            <w:sdtPr>
              <w:rPr>
                <w:szCs w:val="21"/>
              </w:rPr>
              <w:alias w:val="前十名股东持股情况"/>
              <w:tag w:val="_TUP_dfb07f5d24d04bbbad485e33c5e2bd12"/>
              <w:id w:val="1870028501"/>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重庆江河汇企业管理有限责任公司</w:t>
                    </w:r>
                  </w:p>
                </w:tc>
                <w:tc>
                  <w:tcPr>
                    <w:tcW w:w="1559" w:type="dxa"/>
                    <w:gridSpan w:val="2"/>
                    <w:shd w:val="clear" w:color="auto" w:fill="auto"/>
                    <w:vAlign w:val="center"/>
                  </w:tcPr>
                  <w:p>
                    <w:pPr>
                      <w:jc w:val="center"/>
                      <w:rPr>
                        <w:szCs w:val="21"/>
                      </w:rPr>
                    </w:pPr>
                    <w:r>
                      <w:rPr>
                        <w:szCs w:val="21"/>
                      </w:rPr>
                      <w:t>-</w:t>
                    </w:r>
                  </w:p>
                </w:tc>
                <w:tc>
                  <w:tcPr>
                    <w:tcW w:w="1701" w:type="dxa"/>
                    <w:shd w:val="clear" w:color="auto" w:fill="auto"/>
                    <w:vAlign w:val="center"/>
                  </w:tcPr>
                  <w:p>
                    <w:pPr>
                      <w:jc w:val="center"/>
                      <w:rPr>
                        <w:szCs w:val="21"/>
                      </w:rPr>
                    </w:pPr>
                    <w:r>
                      <w:rPr>
                        <w:szCs w:val="21"/>
                      </w:rPr>
                      <w:t>900,000,000</w:t>
                    </w:r>
                  </w:p>
                </w:tc>
                <w:tc>
                  <w:tcPr>
                    <w:tcW w:w="851" w:type="dxa"/>
                    <w:shd w:val="clear" w:color="auto" w:fill="auto"/>
                    <w:vAlign w:val="center"/>
                  </w:tcPr>
                  <w:p>
                    <w:pPr>
                      <w:jc w:val="center"/>
                      <w:rPr>
                        <w:szCs w:val="21"/>
                      </w:rPr>
                    </w:pPr>
                    <w:r>
                      <w:rPr>
                        <w:szCs w:val="21"/>
                      </w:rPr>
                      <w:t>20.00</w:t>
                    </w:r>
                  </w:p>
                </w:tc>
                <w:tc>
                  <w:tcPr>
                    <w:tcW w:w="1701" w:type="dxa"/>
                    <w:gridSpan w:val="2"/>
                    <w:shd w:val="clear" w:color="auto" w:fill="auto"/>
                    <w:vAlign w:val="center"/>
                  </w:tcPr>
                  <w:p>
                    <w:pPr>
                      <w:jc w:val="center"/>
                      <w:rPr>
                        <w:szCs w:val="21"/>
                      </w:rPr>
                    </w:pPr>
                    <w:r>
                      <w:rPr>
                        <w:szCs w:val="21"/>
                      </w:rPr>
                      <w:t>900,000,000</w:t>
                    </w:r>
                  </w:p>
                </w:tc>
                <w:sdt>
                  <w:sdtPr>
                    <w:rPr>
                      <w:szCs w:val="21"/>
                    </w:rPr>
                    <w:alias w:val="前十名股东持有股份状态"/>
                    <w:tag w:val="_GBC_46a2e2b7fded452b84eec75a5e47296b"/>
                    <w:id w:val="1782297999"/>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5346450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境内非国有法人</w:t>
                        </w:r>
                      </w:p>
                    </w:tc>
                  </w:sdtContent>
                </w:sdt>
              </w:tr>
            </w:sdtContent>
          </w:sdt>
          <w:sdt>
            <w:sdtPr>
              <w:rPr>
                <w:szCs w:val="21"/>
              </w:rPr>
              <w:alias w:val="前十名股东持股情况"/>
              <w:tag w:val="_TUP_dfb07f5d24d04bbbad485e33c5e2bd12"/>
              <w:id w:val="-1690523026"/>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重庆力帆控股有限公司</w:t>
                    </w:r>
                  </w:p>
                </w:tc>
                <w:tc>
                  <w:tcPr>
                    <w:tcW w:w="1559" w:type="dxa"/>
                    <w:gridSpan w:val="2"/>
                    <w:shd w:val="clear" w:color="auto" w:fill="auto"/>
                    <w:vAlign w:val="center"/>
                  </w:tcPr>
                  <w:p>
                    <w:pPr>
                      <w:jc w:val="center"/>
                      <w:rPr>
                        <w:szCs w:val="21"/>
                      </w:rPr>
                    </w:pPr>
                    <w:r>
                      <w:rPr>
                        <w:szCs w:val="21"/>
                      </w:rPr>
                      <w:t>-</w:t>
                    </w:r>
                  </w:p>
                </w:tc>
                <w:tc>
                  <w:tcPr>
                    <w:tcW w:w="1701" w:type="dxa"/>
                    <w:shd w:val="clear" w:color="auto" w:fill="auto"/>
                    <w:vAlign w:val="center"/>
                  </w:tcPr>
                  <w:p>
                    <w:pPr>
                      <w:jc w:val="center"/>
                      <w:rPr>
                        <w:szCs w:val="21"/>
                      </w:rPr>
                    </w:pPr>
                    <w:r>
                      <w:rPr>
                        <w:szCs w:val="21"/>
                      </w:rPr>
                      <w:t>618,542,656</w:t>
                    </w:r>
                  </w:p>
                </w:tc>
                <w:tc>
                  <w:tcPr>
                    <w:tcW w:w="851" w:type="dxa"/>
                    <w:shd w:val="clear" w:color="auto" w:fill="auto"/>
                    <w:vAlign w:val="center"/>
                  </w:tcPr>
                  <w:p>
                    <w:pPr>
                      <w:jc w:val="center"/>
                      <w:rPr>
                        <w:szCs w:val="21"/>
                      </w:rPr>
                    </w:pPr>
                    <w:r>
                      <w:rPr>
                        <w:szCs w:val="21"/>
                      </w:rPr>
                      <w:t>13.75</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146230311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冻结</w:t>
                        </w:r>
                      </w:p>
                    </w:tc>
                  </w:sdtContent>
                </w:sdt>
                <w:tc>
                  <w:tcPr>
                    <w:tcW w:w="1417" w:type="dxa"/>
                    <w:gridSpan w:val="2"/>
                    <w:shd w:val="clear" w:color="auto" w:fill="auto"/>
                    <w:vAlign w:val="center"/>
                  </w:tcPr>
                  <w:p>
                    <w:pPr>
                      <w:jc w:val="center"/>
                      <w:rPr>
                        <w:szCs w:val="21"/>
                      </w:rPr>
                    </w:pPr>
                    <w:r>
                      <w:rPr>
                        <w:szCs w:val="21"/>
                      </w:rPr>
                      <w:t>615,772,656</w:t>
                    </w:r>
                  </w:p>
                </w:tc>
                <w:sdt>
                  <w:sdtPr>
                    <w:rPr>
                      <w:szCs w:val="21"/>
                    </w:rPr>
                    <w:alias w:val="前十名股东的股东性质"/>
                    <w:tag w:val="_GBC_84391eccdbd14aa7bbd07a260ff9d747"/>
                    <w:id w:val="85161355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境内非国有法人</w:t>
                        </w:r>
                      </w:p>
                    </w:tc>
                  </w:sdtContent>
                </w:sdt>
              </w:tr>
            </w:sdtContent>
          </w:sdt>
          <w:sdt>
            <w:sdtPr>
              <w:rPr>
                <w:szCs w:val="21"/>
              </w:rPr>
              <w:alias w:val="前十名股东持股情况"/>
              <w:tag w:val="_TUP_dfb07f5d24d04bbbad485e33c5e2bd12"/>
              <w:id w:val="1357231892"/>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力帆实业（集团）股份有限公司破产企业财产处置专用账户</w:t>
                    </w:r>
                  </w:p>
                </w:tc>
                <w:tc>
                  <w:tcPr>
                    <w:tcW w:w="1559" w:type="dxa"/>
                    <w:gridSpan w:val="2"/>
                    <w:shd w:val="clear" w:color="auto" w:fill="auto"/>
                    <w:vAlign w:val="center"/>
                  </w:tcPr>
                  <w:p>
                    <w:pPr>
                      <w:jc w:val="center"/>
                      <w:rPr>
                        <w:szCs w:val="21"/>
                      </w:rPr>
                    </w:pPr>
                    <w:r>
                      <w:rPr>
                        <w:szCs w:val="21"/>
                      </w:rPr>
                      <w:t>-385,435,813</w:t>
                    </w:r>
                  </w:p>
                </w:tc>
                <w:tc>
                  <w:tcPr>
                    <w:tcW w:w="1701" w:type="dxa"/>
                    <w:shd w:val="clear" w:color="auto" w:fill="auto"/>
                    <w:vAlign w:val="center"/>
                  </w:tcPr>
                  <w:p>
                    <w:pPr>
                      <w:jc w:val="center"/>
                      <w:rPr>
                        <w:szCs w:val="21"/>
                      </w:rPr>
                    </w:pPr>
                    <w:r>
                      <w:rPr>
                        <w:szCs w:val="21"/>
                      </w:rPr>
                      <w:t>253,867,055</w:t>
                    </w:r>
                  </w:p>
                </w:tc>
                <w:tc>
                  <w:tcPr>
                    <w:tcW w:w="851" w:type="dxa"/>
                    <w:shd w:val="clear" w:color="auto" w:fill="auto"/>
                    <w:vAlign w:val="center"/>
                  </w:tcPr>
                  <w:p>
                    <w:pPr>
                      <w:jc w:val="center"/>
                      <w:rPr>
                        <w:szCs w:val="21"/>
                      </w:rPr>
                    </w:pPr>
                    <w:r>
                      <w:rPr>
                        <w:szCs w:val="21"/>
                      </w:rPr>
                      <w:t>5.64</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1731837838"/>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73323164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sdt>
            <w:sdtPr>
              <w:rPr>
                <w:szCs w:val="21"/>
              </w:rPr>
              <w:alias w:val="前十名股东持股情况"/>
              <w:tag w:val="_TUP_dfb07f5d24d04bbbad485e33c5e2bd12"/>
              <w:id w:val="1378664174"/>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中国农业银行股份有限公司重庆市分行</w:t>
                    </w:r>
                  </w:p>
                </w:tc>
                <w:tc>
                  <w:tcPr>
                    <w:tcW w:w="1559" w:type="dxa"/>
                    <w:gridSpan w:val="2"/>
                    <w:shd w:val="clear" w:color="auto" w:fill="auto"/>
                    <w:vAlign w:val="center"/>
                  </w:tcPr>
                  <w:p>
                    <w:pPr>
                      <w:jc w:val="center"/>
                      <w:rPr>
                        <w:szCs w:val="21"/>
                      </w:rPr>
                    </w:pPr>
                    <w:r>
                      <w:rPr>
                        <w:szCs w:val="21"/>
                      </w:rPr>
                      <w:t>71,094,499</w:t>
                    </w:r>
                  </w:p>
                </w:tc>
                <w:tc>
                  <w:tcPr>
                    <w:tcW w:w="1701" w:type="dxa"/>
                    <w:shd w:val="clear" w:color="auto" w:fill="auto"/>
                    <w:vAlign w:val="center"/>
                  </w:tcPr>
                  <w:p>
                    <w:pPr>
                      <w:jc w:val="center"/>
                      <w:rPr>
                        <w:szCs w:val="21"/>
                      </w:rPr>
                    </w:pPr>
                    <w:r>
                      <w:rPr>
                        <w:szCs w:val="21"/>
                      </w:rPr>
                      <w:t>71,094,499</w:t>
                    </w:r>
                  </w:p>
                </w:tc>
                <w:tc>
                  <w:tcPr>
                    <w:tcW w:w="851" w:type="dxa"/>
                    <w:shd w:val="clear" w:color="auto" w:fill="auto"/>
                    <w:vAlign w:val="center"/>
                  </w:tcPr>
                  <w:p>
                    <w:pPr>
                      <w:jc w:val="center"/>
                      <w:rPr>
                        <w:szCs w:val="21"/>
                      </w:rPr>
                    </w:pPr>
                    <w:r>
                      <w:rPr>
                        <w:szCs w:val="21"/>
                      </w:rPr>
                      <w:t>1.58</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736172346"/>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70292488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sdt>
            <w:sdtPr>
              <w:rPr>
                <w:szCs w:val="21"/>
              </w:rPr>
              <w:alias w:val="前十名股东持股情况"/>
              <w:tag w:val="_TUP_dfb07f5d24d04bbbad485e33c5e2bd12"/>
              <w:id w:val="-1978213829"/>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上海浦东发展银行股份有限公司重庆分行</w:t>
                    </w:r>
                  </w:p>
                </w:tc>
                <w:tc>
                  <w:tcPr>
                    <w:tcW w:w="1559" w:type="dxa"/>
                    <w:gridSpan w:val="2"/>
                    <w:shd w:val="clear" w:color="auto" w:fill="auto"/>
                    <w:vAlign w:val="center"/>
                  </w:tcPr>
                  <w:p>
                    <w:pPr>
                      <w:jc w:val="center"/>
                      <w:rPr>
                        <w:szCs w:val="21"/>
                      </w:rPr>
                    </w:pPr>
                    <w:r>
                      <w:rPr>
                        <w:szCs w:val="21"/>
                      </w:rPr>
                      <w:t>50,133,194</w:t>
                    </w:r>
                  </w:p>
                </w:tc>
                <w:tc>
                  <w:tcPr>
                    <w:tcW w:w="1701" w:type="dxa"/>
                    <w:shd w:val="clear" w:color="auto" w:fill="auto"/>
                    <w:vAlign w:val="center"/>
                  </w:tcPr>
                  <w:p>
                    <w:pPr>
                      <w:jc w:val="center"/>
                      <w:rPr>
                        <w:szCs w:val="21"/>
                      </w:rPr>
                    </w:pPr>
                    <w:r>
                      <w:rPr>
                        <w:szCs w:val="21"/>
                      </w:rPr>
                      <w:t>50,133,194</w:t>
                    </w:r>
                  </w:p>
                </w:tc>
                <w:tc>
                  <w:tcPr>
                    <w:tcW w:w="851" w:type="dxa"/>
                    <w:shd w:val="clear" w:color="auto" w:fill="auto"/>
                    <w:vAlign w:val="center"/>
                  </w:tcPr>
                  <w:p>
                    <w:pPr>
                      <w:jc w:val="center"/>
                      <w:rPr>
                        <w:szCs w:val="21"/>
                      </w:rPr>
                    </w:pPr>
                    <w:r>
                      <w:rPr>
                        <w:szCs w:val="21"/>
                      </w:rPr>
                      <w:t>1.11</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29803687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2623305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sdt>
            <w:sdtPr>
              <w:rPr>
                <w:szCs w:val="21"/>
              </w:rPr>
              <w:alias w:val="前十名股东持股情况"/>
              <w:tag w:val="_TUP_dfb07f5d24d04bbbad485e33c5e2bd12"/>
              <w:id w:val="1903636966"/>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浙商银行股份有限公司重庆分行</w:t>
                    </w:r>
                  </w:p>
                </w:tc>
                <w:tc>
                  <w:tcPr>
                    <w:tcW w:w="1559" w:type="dxa"/>
                    <w:gridSpan w:val="2"/>
                    <w:shd w:val="clear" w:color="auto" w:fill="auto"/>
                    <w:vAlign w:val="center"/>
                  </w:tcPr>
                  <w:p>
                    <w:pPr>
                      <w:jc w:val="center"/>
                      <w:rPr>
                        <w:szCs w:val="21"/>
                      </w:rPr>
                    </w:pPr>
                    <w:r>
                      <w:rPr>
                        <w:szCs w:val="21"/>
                      </w:rPr>
                      <w:t>-</w:t>
                    </w:r>
                  </w:p>
                </w:tc>
                <w:tc>
                  <w:tcPr>
                    <w:tcW w:w="1701" w:type="dxa"/>
                    <w:shd w:val="clear" w:color="auto" w:fill="auto"/>
                    <w:vAlign w:val="center"/>
                  </w:tcPr>
                  <w:p>
                    <w:pPr>
                      <w:jc w:val="center"/>
                      <w:rPr>
                        <w:szCs w:val="21"/>
                      </w:rPr>
                    </w:pPr>
                    <w:r>
                      <w:rPr>
                        <w:szCs w:val="21"/>
                      </w:rPr>
                      <w:t>33,230,173</w:t>
                    </w:r>
                  </w:p>
                </w:tc>
                <w:tc>
                  <w:tcPr>
                    <w:tcW w:w="851" w:type="dxa"/>
                    <w:shd w:val="clear" w:color="auto" w:fill="auto"/>
                    <w:vAlign w:val="center"/>
                  </w:tcPr>
                  <w:p>
                    <w:pPr>
                      <w:jc w:val="center"/>
                      <w:rPr>
                        <w:szCs w:val="21"/>
                      </w:rPr>
                    </w:pPr>
                    <w:r>
                      <w:rPr>
                        <w:szCs w:val="21"/>
                      </w:rPr>
                      <w:t>0.74</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2072684945"/>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91754488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sdt>
            <w:sdtPr>
              <w:rPr>
                <w:szCs w:val="21"/>
              </w:rPr>
              <w:alias w:val="前十名股东持股情况"/>
              <w:tag w:val="_TUP_dfb07f5d24d04bbbad485e33c5e2bd12"/>
              <w:id w:val="1013640661"/>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平安银行股份有限公司</w:t>
                    </w:r>
                  </w:p>
                </w:tc>
                <w:tc>
                  <w:tcPr>
                    <w:tcW w:w="1559" w:type="dxa"/>
                    <w:gridSpan w:val="2"/>
                    <w:shd w:val="clear" w:color="auto" w:fill="auto"/>
                    <w:vAlign w:val="center"/>
                  </w:tcPr>
                  <w:p>
                    <w:pPr>
                      <w:jc w:val="center"/>
                      <w:rPr>
                        <w:szCs w:val="21"/>
                      </w:rPr>
                    </w:pPr>
                    <w:r>
                      <w:rPr>
                        <w:szCs w:val="21"/>
                      </w:rPr>
                      <w:t>-</w:t>
                    </w:r>
                  </w:p>
                </w:tc>
                <w:tc>
                  <w:tcPr>
                    <w:tcW w:w="1701" w:type="dxa"/>
                    <w:shd w:val="clear" w:color="auto" w:fill="auto"/>
                    <w:vAlign w:val="center"/>
                  </w:tcPr>
                  <w:p>
                    <w:pPr>
                      <w:jc w:val="center"/>
                      <w:rPr>
                        <w:szCs w:val="21"/>
                      </w:rPr>
                    </w:pPr>
                    <w:r>
                      <w:rPr>
                        <w:szCs w:val="21"/>
                      </w:rPr>
                      <w:t>30,948,646</w:t>
                    </w:r>
                  </w:p>
                </w:tc>
                <w:tc>
                  <w:tcPr>
                    <w:tcW w:w="851" w:type="dxa"/>
                    <w:shd w:val="clear" w:color="auto" w:fill="auto"/>
                    <w:vAlign w:val="center"/>
                  </w:tcPr>
                  <w:p>
                    <w:pPr>
                      <w:jc w:val="center"/>
                      <w:rPr>
                        <w:szCs w:val="21"/>
                      </w:rPr>
                    </w:pPr>
                    <w:r>
                      <w:rPr>
                        <w:szCs w:val="21"/>
                      </w:rPr>
                      <w:t>0.69</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1831046794"/>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6653278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境内非国有法人</w:t>
                        </w:r>
                      </w:p>
                    </w:tc>
                  </w:sdtContent>
                </w:sdt>
              </w:tr>
            </w:sdtContent>
          </w:sdt>
          <w:sdt>
            <w:sdtPr>
              <w:rPr>
                <w:szCs w:val="21"/>
              </w:rPr>
              <w:alias w:val="前十名股东持股情况"/>
              <w:tag w:val="_TUP_dfb07f5d24d04bbbad485e33c5e2bd12"/>
              <w:id w:val="-1736465917"/>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渤海银行股份有限公司重庆分行</w:t>
                    </w:r>
                  </w:p>
                </w:tc>
                <w:tc>
                  <w:tcPr>
                    <w:tcW w:w="1559" w:type="dxa"/>
                    <w:gridSpan w:val="2"/>
                    <w:shd w:val="clear" w:color="auto" w:fill="auto"/>
                    <w:vAlign w:val="center"/>
                  </w:tcPr>
                  <w:p>
                    <w:pPr>
                      <w:jc w:val="center"/>
                      <w:rPr>
                        <w:szCs w:val="21"/>
                      </w:rPr>
                    </w:pPr>
                    <w:r>
                      <w:rPr>
                        <w:szCs w:val="21"/>
                      </w:rPr>
                      <w:t>-</w:t>
                    </w:r>
                  </w:p>
                </w:tc>
                <w:tc>
                  <w:tcPr>
                    <w:tcW w:w="1701" w:type="dxa"/>
                    <w:shd w:val="clear" w:color="auto" w:fill="auto"/>
                    <w:vAlign w:val="center"/>
                  </w:tcPr>
                  <w:p>
                    <w:pPr>
                      <w:jc w:val="center"/>
                      <w:rPr>
                        <w:szCs w:val="21"/>
                      </w:rPr>
                    </w:pPr>
                    <w:r>
                      <w:rPr>
                        <w:szCs w:val="21"/>
                      </w:rPr>
                      <w:t>25,204,108</w:t>
                    </w:r>
                  </w:p>
                </w:tc>
                <w:tc>
                  <w:tcPr>
                    <w:tcW w:w="851" w:type="dxa"/>
                    <w:shd w:val="clear" w:color="auto" w:fill="auto"/>
                    <w:vAlign w:val="center"/>
                  </w:tcPr>
                  <w:p>
                    <w:pPr>
                      <w:jc w:val="center"/>
                      <w:rPr>
                        <w:szCs w:val="21"/>
                      </w:rPr>
                    </w:pPr>
                    <w:r>
                      <w:rPr>
                        <w:szCs w:val="21"/>
                      </w:rPr>
                      <w:t>0.56</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2112925161"/>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3454562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sdt>
            <w:sdtPr>
              <w:rPr>
                <w:szCs w:val="21"/>
              </w:rPr>
              <w:alias w:val="前十名股东持股情况"/>
              <w:tag w:val="_TUP_dfb07f5d24d04bbbad485e33c5e2bd12"/>
              <w:id w:val="175930137"/>
              <w:lock w:val="sdtLocked"/>
            </w:sdtPr>
            <w:sdtEndPr>
              <w:rPr>
                <w:color w:val="FF99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18" w:type="dxa"/>
                    <w:shd w:val="clear" w:color="auto" w:fill="auto"/>
                    <w:vAlign w:val="center"/>
                  </w:tcPr>
                  <w:p>
                    <w:pPr>
                      <w:rPr>
                        <w:szCs w:val="21"/>
                      </w:rPr>
                    </w:pPr>
                    <w:r>
                      <w:rPr>
                        <w:szCs w:val="21"/>
                      </w:rPr>
                      <w:t>四川天府银行股份有限公司成都锦江支行</w:t>
                    </w:r>
                  </w:p>
                </w:tc>
                <w:tc>
                  <w:tcPr>
                    <w:tcW w:w="1559" w:type="dxa"/>
                    <w:gridSpan w:val="2"/>
                    <w:shd w:val="clear" w:color="auto" w:fill="auto"/>
                    <w:vAlign w:val="center"/>
                  </w:tcPr>
                  <w:p>
                    <w:pPr>
                      <w:jc w:val="center"/>
                      <w:rPr>
                        <w:szCs w:val="21"/>
                      </w:rPr>
                    </w:pPr>
                    <w:r>
                      <w:rPr>
                        <w:szCs w:val="21"/>
                      </w:rPr>
                      <w:t>24,265,105</w:t>
                    </w:r>
                  </w:p>
                </w:tc>
                <w:tc>
                  <w:tcPr>
                    <w:tcW w:w="1701" w:type="dxa"/>
                    <w:shd w:val="clear" w:color="auto" w:fill="auto"/>
                    <w:vAlign w:val="center"/>
                  </w:tcPr>
                  <w:p>
                    <w:pPr>
                      <w:jc w:val="center"/>
                      <w:rPr>
                        <w:szCs w:val="21"/>
                      </w:rPr>
                    </w:pPr>
                    <w:r>
                      <w:rPr>
                        <w:szCs w:val="21"/>
                      </w:rPr>
                      <w:t>24,265,105</w:t>
                    </w:r>
                  </w:p>
                </w:tc>
                <w:tc>
                  <w:tcPr>
                    <w:tcW w:w="851" w:type="dxa"/>
                    <w:shd w:val="clear" w:color="auto" w:fill="auto"/>
                    <w:vAlign w:val="center"/>
                  </w:tcPr>
                  <w:p>
                    <w:pPr>
                      <w:jc w:val="center"/>
                      <w:rPr>
                        <w:szCs w:val="21"/>
                      </w:rPr>
                    </w:pPr>
                    <w:r>
                      <w:rPr>
                        <w:szCs w:val="21"/>
                      </w:rPr>
                      <w:t>0.54</w:t>
                    </w:r>
                  </w:p>
                </w:tc>
                <w:tc>
                  <w:tcPr>
                    <w:tcW w:w="1701" w:type="dxa"/>
                    <w:gridSpan w:val="2"/>
                    <w:shd w:val="clear" w:color="auto" w:fill="auto"/>
                    <w:vAlign w:val="center"/>
                  </w:tcPr>
                  <w:p>
                    <w:pPr>
                      <w:jc w:val="center"/>
                      <w:rPr>
                        <w:szCs w:val="21"/>
                      </w:rPr>
                    </w:pPr>
                    <w:r>
                      <w:rPr>
                        <w:szCs w:val="21"/>
                      </w:rPr>
                      <w:t>0</w:t>
                    </w:r>
                  </w:p>
                </w:tc>
                <w:sdt>
                  <w:sdtPr>
                    <w:rPr>
                      <w:szCs w:val="21"/>
                    </w:rPr>
                    <w:alias w:val="前十名股东持有股份状态"/>
                    <w:tag w:val="_GBC_46a2e2b7fded452b84eec75a5e47296b"/>
                    <w:id w:val="-1328819732"/>
                    <w:lock w:val="sdtLocked"/>
                    <w:comboBox>
                      <w:listItem w:displayText="无" w:value="无"/>
                      <w:listItem w:displayText="质押" w:value="质押"/>
                      <w:listItem w:displayText="标记" w:value="标记"/>
                      <w:listItem w:displayText="冻结" w:value="冻结"/>
                      <w:listItem w:displayText="托管" w:value="托管"/>
                      <w:listItem w:displayText="未知" w:value="未知"/>
                    </w:comboBox>
                  </w:sdtPr>
                  <w:sdtEndPr>
                    <w:rPr>
                      <w:szCs w:val="21"/>
                    </w:rPr>
                  </w:sdtEndPr>
                  <w:sdtContent>
                    <w:tc>
                      <w:tcPr>
                        <w:tcW w:w="567" w:type="dxa"/>
                        <w:shd w:val="clear" w:color="auto" w:fill="auto"/>
                        <w:vAlign w:val="center"/>
                      </w:tcPr>
                      <w:p>
                        <w:pPr>
                          <w:jc w:val="center"/>
                          <w:rPr>
                            <w:szCs w:val="21"/>
                          </w:rPr>
                        </w:pPr>
                        <w:r>
                          <w:rPr>
                            <w:szCs w:val="21"/>
                          </w:rPr>
                          <w:t>无</w:t>
                        </w:r>
                      </w:p>
                    </w:tc>
                  </w:sdtContent>
                </w:sdt>
                <w:tc>
                  <w:tcPr>
                    <w:tcW w:w="1417" w:type="dxa"/>
                    <w:gridSpan w:val="2"/>
                    <w:shd w:val="clear" w:color="auto" w:fill="auto"/>
                    <w:vAlign w:val="center"/>
                  </w:tcPr>
                  <w:p>
                    <w:pPr>
                      <w:jc w:val="center"/>
                      <w:rPr>
                        <w:szCs w:val="21"/>
                      </w:rPr>
                    </w:pPr>
                    <w:r>
                      <w:rPr>
                        <w:szCs w:val="21"/>
                      </w:rPr>
                      <w:t>0</w:t>
                    </w:r>
                  </w:p>
                </w:tc>
                <w:sdt>
                  <w:sdtPr>
                    <w:rPr>
                      <w:szCs w:val="21"/>
                    </w:rPr>
                    <w:alias w:val="前十名股东的股东性质"/>
                    <w:tag w:val="_GBC_84391eccdbd14aa7bbd07a260ff9d747"/>
                    <w:id w:val="-128164775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rPr>
                      <w:szCs w:val="21"/>
                    </w:rPr>
                  </w:sdtEndPr>
                  <w:sdtContent>
                    <w:tc>
                      <w:tcPr>
                        <w:tcW w:w="851" w:type="dxa"/>
                        <w:shd w:val="clear" w:color="auto" w:fill="auto"/>
                        <w:vAlign w:val="center"/>
                      </w:tcPr>
                      <w:p>
                        <w:pPr>
                          <w:jc w:val="center"/>
                          <w:rPr>
                            <w:szCs w:val="21"/>
                          </w:rPr>
                        </w:pPr>
                        <w:r>
                          <w:rPr>
                            <w:szCs w:val="21"/>
                          </w:rPr>
                          <w:t>其他</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7f241e5dc05a4ae7b61268f4f1627ca0"/>
                <w:id w:val="-839391915"/>
                <w:lock w:val="sdtLocked"/>
              </w:sdtPr>
              <w:sdtContent>
                <w:tc>
                  <w:tcPr>
                    <w:tcW w:w="10065" w:type="dxa"/>
                    <w:gridSpan w:val="11"/>
                    <w:shd w:val="clear" w:color="auto" w:fill="auto"/>
                    <w:vAlign w:val="center"/>
                  </w:tcPr>
                  <w:p>
                    <w:pPr>
                      <w:jc w:val="center"/>
                      <w:rPr>
                        <w:color w:val="FF9900"/>
                        <w:szCs w:val="21"/>
                      </w:rPr>
                    </w:pPr>
                    <w:r>
                      <w:rPr>
                        <w:szCs w:val="21"/>
                      </w:rPr>
                      <w:t>前十名无限售条件股东持股情况</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443ad39720a4d59be87cdf7b0bc4970"/>
                <w:id w:val="1541783113"/>
                <w:lock w:val="sdtLocked"/>
              </w:sdtPr>
              <w:sdtContent>
                <w:tc>
                  <w:tcPr>
                    <w:tcW w:w="2797" w:type="dxa"/>
                    <w:gridSpan w:val="2"/>
                    <w:vMerge w:val="restart"/>
                    <w:shd w:val="clear" w:color="auto" w:fill="auto"/>
                    <w:vAlign w:val="center"/>
                  </w:tcPr>
                  <w:p>
                    <w:pPr>
                      <w:jc w:val="center"/>
                      <w:rPr>
                        <w:color w:val="FF9900"/>
                        <w:szCs w:val="21"/>
                      </w:rPr>
                    </w:pPr>
                    <w:r>
                      <w:t>股东名称</w:t>
                    </w:r>
                  </w:p>
                </w:tc>
              </w:sdtContent>
            </w:sdt>
            <w:sdt>
              <w:sdtPr>
                <w:tag w:val="_PLD_a7f143afa2b94466a44af03e770016b0"/>
                <w:id w:val="1251006485"/>
                <w:lock w:val="sdtLocked"/>
              </w:sdtPr>
              <w:sdtContent>
                <w:tc>
                  <w:tcPr>
                    <w:tcW w:w="4015" w:type="dxa"/>
                    <w:gridSpan w:val="4"/>
                    <w:vMerge w:val="restart"/>
                    <w:shd w:val="clear" w:color="auto" w:fill="auto"/>
                    <w:vAlign w:val="center"/>
                  </w:tcPr>
                  <w:p>
                    <w:pPr>
                      <w:jc w:val="center"/>
                      <w:rPr>
                        <w:color w:val="FF9900"/>
                        <w:szCs w:val="21"/>
                      </w:rPr>
                    </w:pPr>
                    <w:r>
                      <w:t>持有无限售条件流通股的数量</w:t>
                    </w:r>
                  </w:p>
                </w:tc>
              </w:sdtContent>
            </w:sdt>
            <w:sdt>
              <w:sdtPr>
                <w:tag w:val="_PLD_fa97ca004a544042af7e1d7463bea345"/>
                <w:id w:val="387929279"/>
                <w:lock w:val="sdtLocked"/>
              </w:sdtPr>
              <w:sdtContent>
                <w:tc>
                  <w:tcPr>
                    <w:tcW w:w="3253" w:type="dxa"/>
                    <w:gridSpan w:val="5"/>
                    <w:tcBorders>
                      <w:bottom w:val="single" w:color="auto" w:sz="4" w:space="0"/>
                    </w:tcBorders>
                    <w:shd w:val="clear" w:color="auto" w:fill="auto"/>
                    <w:vAlign w:val="center"/>
                  </w:tcPr>
                  <w:p>
                    <w:pPr>
                      <w:jc w:val="center"/>
                      <w:rPr>
                        <w:color w:val="FF9900"/>
                        <w:szCs w:val="21"/>
                      </w:rPr>
                    </w:pPr>
                    <w:r>
                      <w:rPr>
                        <w:szCs w:val="21"/>
                      </w:rPr>
                      <w:t>股份种类</w:t>
                    </w:r>
                    <w:r>
                      <w:rPr>
                        <w:rFonts w:hint="eastAsia"/>
                        <w:szCs w:val="21"/>
                      </w:rPr>
                      <w:t>及数量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vMerge w:val="continue"/>
                <w:shd w:val="clear" w:color="auto" w:fill="auto"/>
                <w:vAlign w:val="center"/>
              </w:tcPr>
              <w:p>
                <w:pPr>
                  <w:jc w:val="center"/>
                  <w:rPr>
                    <w:color w:val="FF9900"/>
                    <w:szCs w:val="21"/>
                  </w:rPr>
                </w:pPr>
              </w:p>
            </w:tc>
            <w:tc>
              <w:tcPr>
                <w:tcW w:w="4015" w:type="dxa"/>
                <w:gridSpan w:val="4"/>
                <w:vMerge w:val="continue"/>
                <w:shd w:val="clear" w:color="auto" w:fill="auto"/>
                <w:vAlign w:val="center"/>
              </w:tcPr>
              <w:p>
                <w:pPr>
                  <w:jc w:val="center"/>
                  <w:rPr>
                    <w:color w:val="FF9900"/>
                    <w:szCs w:val="21"/>
                  </w:rPr>
                </w:pPr>
              </w:p>
            </w:tc>
            <w:sdt>
              <w:sdtPr>
                <w:tag w:val="_PLD_e67773187f2f4233a6666596947248e8"/>
                <w:id w:val="1976022513"/>
                <w:lock w:val="sdtLocked"/>
              </w:sdtPr>
              <w:sdtContent>
                <w:tc>
                  <w:tcPr>
                    <w:tcW w:w="1552" w:type="dxa"/>
                    <w:gridSpan w:val="3"/>
                    <w:shd w:val="clear" w:color="auto" w:fill="auto"/>
                    <w:vAlign w:val="center"/>
                  </w:tcPr>
                  <w:p>
                    <w:pPr>
                      <w:jc w:val="center"/>
                      <w:rPr>
                        <w:color w:val="008000"/>
                        <w:szCs w:val="21"/>
                      </w:rPr>
                    </w:pPr>
                    <w:r>
                      <w:rPr>
                        <w:rFonts w:hint="eastAsia"/>
                        <w:szCs w:val="21"/>
                      </w:rPr>
                      <w:t>种类</w:t>
                    </w:r>
                  </w:p>
                </w:tc>
              </w:sdtContent>
            </w:sdt>
            <w:sdt>
              <w:sdtPr>
                <w:tag w:val="_PLD_2f2fd5088a82440f9265e00f4e298be0"/>
                <w:id w:val="869962085"/>
                <w:lock w:val="sdtLocked"/>
              </w:sdtPr>
              <w:sdtContent>
                <w:tc>
                  <w:tcPr>
                    <w:tcW w:w="1701" w:type="dxa"/>
                    <w:gridSpan w:val="2"/>
                    <w:shd w:val="clear" w:color="auto" w:fill="auto"/>
                    <w:vAlign w:val="center"/>
                  </w:tcPr>
                  <w:p>
                    <w:pPr>
                      <w:jc w:val="center"/>
                      <w:rPr>
                        <w:color w:val="008000"/>
                        <w:szCs w:val="21"/>
                      </w:rPr>
                    </w:pPr>
                    <w:r>
                      <w:rPr>
                        <w:rFonts w:hint="eastAsia"/>
                        <w:szCs w:val="21"/>
                      </w:rPr>
                      <w:t>数量</w:t>
                    </w:r>
                  </w:p>
                </w:tc>
              </w:sdtContent>
            </w:sdt>
          </w:tr>
          <w:sdt>
            <w:sdtPr>
              <w:rPr>
                <w:szCs w:val="21"/>
              </w:rPr>
              <w:alias w:val="前十名无限售条件股东持股情况"/>
              <w:tag w:val="_TUP_9ca3e52e0a074358925f5b9f3eb76189"/>
              <w:id w:val="176649340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重庆力帆控股有限公司</w:t>
                    </w:r>
                  </w:p>
                </w:tc>
                <w:tc>
                  <w:tcPr>
                    <w:tcW w:w="4015" w:type="dxa"/>
                    <w:gridSpan w:val="4"/>
                    <w:shd w:val="clear" w:color="auto" w:fill="auto"/>
                    <w:vAlign w:val="center"/>
                  </w:tcPr>
                  <w:p>
                    <w:pPr>
                      <w:jc w:val="center"/>
                      <w:rPr>
                        <w:szCs w:val="21"/>
                      </w:rPr>
                    </w:pPr>
                    <w:r>
                      <w:t>618,542,656</w:t>
                    </w:r>
                  </w:p>
                </w:tc>
                <w:sdt>
                  <w:sdtPr>
                    <w:rPr>
                      <w:bCs/>
                      <w:szCs w:val="21"/>
                    </w:rPr>
                    <w:alias w:val="前十名无限售条件股东期末持有流通股的种类"/>
                    <w:tag w:val="_GBC_b35ef493948141e0b9d0c3fd14aad59a"/>
                    <w:id w:val="484674698"/>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618,542,656</w:t>
                    </w:r>
                  </w:p>
                </w:tc>
              </w:tr>
            </w:sdtContent>
          </w:sdt>
          <w:sdt>
            <w:sdtPr>
              <w:rPr>
                <w:szCs w:val="21"/>
              </w:rPr>
              <w:alias w:val="前十名无限售条件股东持股情况"/>
              <w:tag w:val="_TUP_9ca3e52e0a074358925f5b9f3eb76189"/>
              <w:id w:val="33264910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力帆实业（集团）股份有限公司破产企业财产处置专用账户</w:t>
                    </w:r>
                  </w:p>
                </w:tc>
                <w:tc>
                  <w:tcPr>
                    <w:tcW w:w="4015" w:type="dxa"/>
                    <w:gridSpan w:val="4"/>
                    <w:shd w:val="clear" w:color="auto" w:fill="auto"/>
                    <w:vAlign w:val="center"/>
                  </w:tcPr>
                  <w:p>
                    <w:pPr>
                      <w:jc w:val="center"/>
                      <w:rPr>
                        <w:szCs w:val="21"/>
                      </w:rPr>
                    </w:pPr>
                    <w:r>
                      <w:t>253,867,055</w:t>
                    </w:r>
                  </w:p>
                </w:tc>
                <w:sdt>
                  <w:sdtPr>
                    <w:rPr>
                      <w:bCs/>
                      <w:szCs w:val="21"/>
                    </w:rPr>
                    <w:alias w:val="前十名无限售条件股东期末持有流通股的种类"/>
                    <w:tag w:val="_GBC_b35ef493948141e0b9d0c3fd14aad59a"/>
                    <w:id w:val="94296015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253,867,055</w:t>
                    </w:r>
                  </w:p>
                </w:tc>
              </w:tr>
            </w:sdtContent>
          </w:sdt>
          <w:sdt>
            <w:sdtPr>
              <w:rPr>
                <w:szCs w:val="21"/>
              </w:rPr>
              <w:alias w:val="前十名无限售条件股东持股情况"/>
              <w:tag w:val="_TUP_9ca3e52e0a074358925f5b9f3eb76189"/>
              <w:id w:val="-188532479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中国农业银行股份有限公司重庆市分行</w:t>
                    </w:r>
                  </w:p>
                </w:tc>
                <w:tc>
                  <w:tcPr>
                    <w:tcW w:w="4015" w:type="dxa"/>
                    <w:gridSpan w:val="4"/>
                    <w:shd w:val="clear" w:color="auto" w:fill="auto"/>
                    <w:vAlign w:val="center"/>
                  </w:tcPr>
                  <w:p>
                    <w:pPr>
                      <w:jc w:val="center"/>
                      <w:rPr>
                        <w:szCs w:val="21"/>
                      </w:rPr>
                    </w:pPr>
                    <w:r>
                      <w:t>71,094,499</w:t>
                    </w:r>
                  </w:p>
                </w:tc>
                <w:sdt>
                  <w:sdtPr>
                    <w:rPr>
                      <w:bCs/>
                      <w:szCs w:val="21"/>
                    </w:rPr>
                    <w:alias w:val="前十名无限售条件股东期末持有流通股的种类"/>
                    <w:tag w:val="_GBC_b35ef493948141e0b9d0c3fd14aad59a"/>
                    <w:id w:val="30667328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71,094,499</w:t>
                    </w:r>
                  </w:p>
                </w:tc>
              </w:tr>
            </w:sdtContent>
          </w:sdt>
          <w:sdt>
            <w:sdtPr>
              <w:rPr>
                <w:szCs w:val="21"/>
              </w:rPr>
              <w:alias w:val="前十名无限售条件股东持股情况"/>
              <w:tag w:val="_TUP_9ca3e52e0a074358925f5b9f3eb76189"/>
              <w:id w:val="-160426395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上海浦东发展银行股份有限公司重庆分行</w:t>
                    </w:r>
                  </w:p>
                </w:tc>
                <w:tc>
                  <w:tcPr>
                    <w:tcW w:w="4015" w:type="dxa"/>
                    <w:gridSpan w:val="4"/>
                    <w:shd w:val="clear" w:color="auto" w:fill="auto"/>
                    <w:vAlign w:val="center"/>
                  </w:tcPr>
                  <w:p>
                    <w:pPr>
                      <w:jc w:val="center"/>
                      <w:rPr>
                        <w:szCs w:val="21"/>
                      </w:rPr>
                    </w:pPr>
                    <w:r>
                      <w:t>50,133,194</w:t>
                    </w:r>
                  </w:p>
                </w:tc>
                <w:sdt>
                  <w:sdtPr>
                    <w:rPr>
                      <w:bCs/>
                      <w:szCs w:val="21"/>
                    </w:rPr>
                    <w:alias w:val="前十名无限售条件股东期末持有流通股的种类"/>
                    <w:tag w:val="_GBC_b35ef493948141e0b9d0c3fd14aad59a"/>
                    <w:id w:val="-928731161"/>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50,133,194</w:t>
                    </w:r>
                  </w:p>
                </w:tc>
              </w:tr>
            </w:sdtContent>
          </w:sdt>
          <w:sdt>
            <w:sdtPr>
              <w:rPr>
                <w:szCs w:val="21"/>
              </w:rPr>
              <w:alias w:val="前十名无限售条件股东持股情况"/>
              <w:tag w:val="_TUP_9ca3e52e0a074358925f5b9f3eb76189"/>
              <w:id w:val="-83631260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浙商银行股份有限公司重庆分行</w:t>
                    </w:r>
                  </w:p>
                </w:tc>
                <w:tc>
                  <w:tcPr>
                    <w:tcW w:w="4015" w:type="dxa"/>
                    <w:gridSpan w:val="4"/>
                    <w:shd w:val="clear" w:color="auto" w:fill="auto"/>
                    <w:vAlign w:val="center"/>
                  </w:tcPr>
                  <w:p>
                    <w:pPr>
                      <w:jc w:val="center"/>
                      <w:rPr>
                        <w:szCs w:val="21"/>
                      </w:rPr>
                    </w:pPr>
                    <w:r>
                      <w:t>33,230,173</w:t>
                    </w:r>
                  </w:p>
                </w:tc>
                <w:sdt>
                  <w:sdtPr>
                    <w:rPr>
                      <w:bCs/>
                      <w:szCs w:val="21"/>
                    </w:rPr>
                    <w:alias w:val="前十名无限售条件股东期末持有流通股的种类"/>
                    <w:tag w:val="_GBC_b35ef493948141e0b9d0c3fd14aad59a"/>
                    <w:id w:val="1893612969"/>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33,230,173</w:t>
                    </w:r>
                  </w:p>
                </w:tc>
              </w:tr>
            </w:sdtContent>
          </w:sdt>
          <w:sdt>
            <w:sdtPr>
              <w:rPr>
                <w:szCs w:val="21"/>
              </w:rPr>
              <w:alias w:val="前十名无限售条件股东持股情况"/>
              <w:tag w:val="_TUP_9ca3e52e0a074358925f5b9f3eb76189"/>
              <w:id w:val="-177131742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平安银行股份有限公司</w:t>
                    </w:r>
                  </w:p>
                </w:tc>
                <w:tc>
                  <w:tcPr>
                    <w:tcW w:w="4015" w:type="dxa"/>
                    <w:gridSpan w:val="4"/>
                    <w:shd w:val="clear" w:color="auto" w:fill="auto"/>
                    <w:vAlign w:val="center"/>
                  </w:tcPr>
                  <w:p>
                    <w:pPr>
                      <w:jc w:val="center"/>
                      <w:rPr>
                        <w:szCs w:val="21"/>
                      </w:rPr>
                    </w:pPr>
                    <w:r>
                      <w:t>30,948,646</w:t>
                    </w:r>
                  </w:p>
                </w:tc>
                <w:sdt>
                  <w:sdtPr>
                    <w:rPr>
                      <w:bCs/>
                      <w:szCs w:val="21"/>
                    </w:rPr>
                    <w:alias w:val="前十名无限售条件股东期末持有流通股的种类"/>
                    <w:tag w:val="_GBC_b35ef493948141e0b9d0c3fd14aad59a"/>
                    <w:id w:val="1812288070"/>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30,948,646</w:t>
                    </w:r>
                  </w:p>
                </w:tc>
              </w:tr>
            </w:sdtContent>
          </w:sdt>
          <w:sdt>
            <w:sdtPr>
              <w:rPr>
                <w:szCs w:val="21"/>
              </w:rPr>
              <w:alias w:val="前十名无限售条件股东持股情况"/>
              <w:tag w:val="_TUP_9ca3e52e0a074358925f5b9f3eb76189"/>
              <w:id w:val="-78743263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渤海银行股份有限公司重庆分行</w:t>
                    </w:r>
                  </w:p>
                </w:tc>
                <w:tc>
                  <w:tcPr>
                    <w:tcW w:w="4015" w:type="dxa"/>
                    <w:gridSpan w:val="4"/>
                    <w:shd w:val="clear" w:color="auto" w:fill="auto"/>
                    <w:vAlign w:val="center"/>
                  </w:tcPr>
                  <w:p>
                    <w:pPr>
                      <w:jc w:val="center"/>
                      <w:rPr>
                        <w:szCs w:val="21"/>
                      </w:rPr>
                    </w:pPr>
                    <w:r>
                      <w:t>25,204,108</w:t>
                    </w:r>
                  </w:p>
                </w:tc>
                <w:sdt>
                  <w:sdtPr>
                    <w:rPr>
                      <w:bCs/>
                      <w:szCs w:val="21"/>
                    </w:rPr>
                    <w:alias w:val="前十名无限售条件股东期末持有流通股的种类"/>
                    <w:tag w:val="_GBC_b35ef493948141e0b9d0c3fd14aad59a"/>
                    <w:id w:val="-1712953753"/>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25,204,108</w:t>
                    </w:r>
                  </w:p>
                </w:tc>
              </w:tr>
            </w:sdtContent>
          </w:sdt>
          <w:sdt>
            <w:sdtPr>
              <w:rPr>
                <w:szCs w:val="21"/>
              </w:rPr>
              <w:alias w:val="前十名无限售条件股东持股情况"/>
              <w:tag w:val="_TUP_9ca3e52e0a074358925f5b9f3eb76189"/>
              <w:id w:val="213528752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四川天府银行股份有限公司成都锦江支行</w:t>
                    </w:r>
                  </w:p>
                </w:tc>
                <w:tc>
                  <w:tcPr>
                    <w:tcW w:w="4015" w:type="dxa"/>
                    <w:gridSpan w:val="4"/>
                    <w:shd w:val="clear" w:color="auto" w:fill="auto"/>
                    <w:vAlign w:val="center"/>
                  </w:tcPr>
                  <w:p>
                    <w:pPr>
                      <w:jc w:val="center"/>
                      <w:rPr>
                        <w:szCs w:val="21"/>
                      </w:rPr>
                    </w:pPr>
                    <w:r>
                      <w:t>24,265,105</w:t>
                    </w:r>
                  </w:p>
                </w:tc>
                <w:sdt>
                  <w:sdtPr>
                    <w:rPr>
                      <w:bCs/>
                      <w:szCs w:val="21"/>
                    </w:rPr>
                    <w:alias w:val="前十名无限售条件股东期末持有流通股的种类"/>
                    <w:tag w:val="_GBC_b35ef493948141e0b9d0c3fd14aad59a"/>
                    <w:id w:val="197601788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24,265,105</w:t>
                    </w:r>
                  </w:p>
                </w:tc>
              </w:tr>
            </w:sdtContent>
          </w:sdt>
          <w:sdt>
            <w:sdtPr>
              <w:rPr>
                <w:szCs w:val="21"/>
              </w:rPr>
              <w:alias w:val="前十名无限售条件股东持股情况"/>
              <w:tag w:val="_TUP_9ca3e52e0a074358925f5b9f3eb76189"/>
              <w:id w:val="-163517049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重庆汇洋控股有限公司</w:t>
                    </w:r>
                  </w:p>
                </w:tc>
                <w:tc>
                  <w:tcPr>
                    <w:tcW w:w="4015" w:type="dxa"/>
                    <w:gridSpan w:val="4"/>
                    <w:shd w:val="clear" w:color="auto" w:fill="auto"/>
                    <w:vAlign w:val="center"/>
                  </w:tcPr>
                  <w:p>
                    <w:pPr>
                      <w:jc w:val="center"/>
                      <w:rPr>
                        <w:szCs w:val="21"/>
                      </w:rPr>
                    </w:pPr>
                    <w:r>
                      <w:t>20,599,865</w:t>
                    </w:r>
                  </w:p>
                </w:tc>
                <w:sdt>
                  <w:sdtPr>
                    <w:rPr>
                      <w:bCs/>
                      <w:szCs w:val="21"/>
                    </w:rPr>
                    <w:alias w:val="前十名无限售条件股东期末持有流通股的种类"/>
                    <w:tag w:val="_GBC_b35ef493948141e0b9d0c3fd14aad59a"/>
                    <w:id w:val="-253444667"/>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20,599,865</w:t>
                    </w:r>
                  </w:p>
                </w:tc>
              </w:tr>
            </w:sdtContent>
          </w:sdt>
          <w:sdt>
            <w:sdtPr>
              <w:rPr>
                <w:szCs w:val="21"/>
              </w:rPr>
              <w:alias w:val="前十名无限售条件股东持股情况"/>
              <w:tag w:val="_TUP_9ca3e52e0a074358925f5b9f3eb76189"/>
              <w:id w:val="-37824814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p>
                    <w:pPr>
                      <w:rPr>
                        <w:szCs w:val="21"/>
                      </w:rPr>
                    </w:pPr>
                    <w:r>
                      <w:t>中国光大银行股份有限公司重庆分行</w:t>
                    </w:r>
                  </w:p>
                </w:tc>
                <w:tc>
                  <w:tcPr>
                    <w:tcW w:w="4015" w:type="dxa"/>
                    <w:gridSpan w:val="4"/>
                    <w:shd w:val="clear" w:color="auto" w:fill="auto"/>
                    <w:vAlign w:val="center"/>
                  </w:tcPr>
                  <w:p>
                    <w:pPr>
                      <w:jc w:val="center"/>
                      <w:rPr>
                        <w:szCs w:val="21"/>
                      </w:rPr>
                    </w:pPr>
                    <w:r>
                      <w:t>20,023,483</w:t>
                    </w:r>
                  </w:p>
                </w:tc>
                <w:sdt>
                  <w:sdtPr>
                    <w:rPr>
                      <w:bCs/>
                      <w:szCs w:val="21"/>
                    </w:rPr>
                    <w:alias w:val="前十名无限售条件股东期末持有流通股的种类"/>
                    <w:tag w:val="_GBC_b35ef493948141e0b9d0c3fd14aad59a"/>
                    <w:id w:val="23984224"/>
                    <w:lock w:val="sdtLocked"/>
                    <w:comboBox>
                      <w:listItem w:displayText="人民币普通股" w:value="人民币普通股"/>
                      <w:listItem w:displayText="优先股" w:value="优先股"/>
                      <w:listItem w:displayText="境内上市外资股" w:value="境内上市外资股"/>
                      <w:listItem w:displayText="境外上市外资股" w:value="境外上市外资股"/>
                      <w:listItem w:displayText="其它" w:value="其它"/>
                    </w:comboBox>
                  </w:sdtPr>
                  <w:sdtEndPr>
                    <w:rPr>
                      <w:bCs/>
                      <w:szCs w:val="21"/>
                    </w:rPr>
                  </w:sdtEndPr>
                  <w:sdtContent>
                    <w:tc>
                      <w:tcPr>
                        <w:tcW w:w="1552" w:type="dxa"/>
                        <w:gridSpan w:val="3"/>
                        <w:shd w:val="clear" w:color="auto" w:fill="auto"/>
                        <w:vAlign w:val="center"/>
                      </w:tcPr>
                      <w:p>
                        <w:pPr>
                          <w:jc w:val="center"/>
                          <w:rPr>
                            <w:bCs/>
                            <w:szCs w:val="21"/>
                          </w:rPr>
                        </w:pPr>
                        <w:r>
                          <w:rPr>
                            <w:bCs/>
                            <w:szCs w:val="21"/>
                          </w:rPr>
                          <w:t>人民币普通股</w:t>
                        </w:r>
                      </w:p>
                    </w:tc>
                  </w:sdtContent>
                </w:sdt>
                <w:tc>
                  <w:tcPr>
                    <w:tcW w:w="1701" w:type="dxa"/>
                    <w:gridSpan w:val="2"/>
                    <w:shd w:val="clear" w:color="auto" w:fill="auto"/>
                    <w:vAlign w:val="center"/>
                  </w:tcPr>
                  <w:p>
                    <w:pPr>
                      <w:jc w:val="center"/>
                      <w:rPr>
                        <w:szCs w:val="21"/>
                      </w:rPr>
                    </w:pPr>
                    <w:r>
                      <w:t>20,023,483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sdt>
                <w:sdtPr>
                  <w:rPr>
                    <w:rFonts w:hint="eastAsia"/>
                  </w:rPr>
                  <w:tag w:val="_PLD_c66ff47b026f457b94124796c616bd5e"/>
                  <w:id w:val="861788532"/>
                  <w:lock w:val="sdtLocked"/>
                </w:sdtPr>
                <w:sdtEndPr>
                  <w:rPr>
                    <w:rFonts w:hint="eastAsia"/>
                  </w:rPr>
                </w:sdtEndPr>
                <w:sdtContent>
                  <w:p>
                    <w:pPr>
                      <w:rPr>
                        <w:szCs w:val="21"/>
                      </w:rPr>
                    </w:pPr>
                    <w:r>
                      <w:rPr>
                        <w:rFonts w:hint="eastAsia"/>
                      </w:rPr>
                      <w:t>前十名股东中回购专户情况说明</w:t>
                    </w:r>
                  </w:p>
                </w:sdtContent>
              </w:sdt>
            </w:tc>
            <w:tc>
              <w:tcPr>
                <w:tcW w:w="7268" w:type="dxa"/>
                <w:gridSpan w:val="9"/>
                <w:shd w:val="clear" w:color="auto" w:fill="auto"/>
                <w:vAlign w:val="center"/>
              </w:tcPr>
              <w:p>
                <w:pPr>
                  <w:rPr>
                    <w:sz w:val="24"/>
                  </w:rPr>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97" w:type="dxa"/>
                <w:gridSpan w:val="2"/>
                <w:shd w:val="clear" w:color="auto" w:fill="auto"/>
                <w:vAlign w:val="center"/>
              </w:tcPr>
              <w:sdt>
                <w:sdtPr>
                  <w:rPr>
                    <w:szCs w:val="21"/>
                  </w:rPr>
                  <w:tag w:val="_PLD_1e66340db1704500aa943a28a623d252"/>
                  <w:id w:val="-1294602121"/>
                  <w:lock w:val="sdtLocked"/>
                </w:sdtPr>
                <w:sdtEndPr>
                  <w:rPr>
                    <w:szCs w:val="21"/>
                  </w:rPr>
                </w:sdtEndPr>
                <w:sdtContent>
                  <w:p>
                    <w:r>
                      <w:rPr>
                        <w:szCs w:val="21"/>
                      </w:rPr>
                      <w:t>上述股东</w:t>
                    </w:r>
                    <w:r>
                      <w:rPr>
                        <w:rFonts w:hint="eastAsia"/>
                        <w:szCs w:val="21"/>
                      </w:rPr>
                      <w:t>委托表决权、受托表决权、放弃表决权</w:t>
                    </w:r>
                    <w:r>
                      <w:rPr>
                        <w:szCs w:val="21"/>
                      </w:rPr>
                      <w:t>的说明</w:t>
                    </w:r>
                  </w:p>
                </w:sdtContent>
              </w:sdt>
            </w:tc>
            <w:tc>
              <w:tcPr>
                <w:tcW w:w="7268" w:type="dxa"/>
                <w:gridSpan w:val="9"/>
                <w:shd w:val="clear" w:color="auto" w:fill="auto"/>
                <w:vAlign w:val="center"/>
              </w:tcPr>
              <w:p>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66d0f4474a24a38863b52183edf8612"/>
                <w:id w:val="1610541588"/>
                <w:lock w:val="sdtLocked"/>
              </w:sdtPr>
              <w:sdtContent>
                <w:tc>
                  <w:tcPr>
                    <w:tcW w:w="2797" w:type="dxa"/>
                    <w:gridSpan w:val="2"/>
                    <w:shd w:val="clear" w:color="auto" w:fill="auto"/>
                    <w:vAlign w:val="center"/>
                  </w:tcPr>
                  <w:p>
                    <w:pPr>
                      <w:rPr>
                        <w:szCs w:val="21"/>
                      </w:rPr>
                    </w:pPr>
                    <w:r>
                      <w:rPr>
                        <w:szCs w:val="21"/>
                      </w:rPr>
                      <w:t>上述股东关联关系或一致行动的说明</w:t>
                    </w:r>
                  </w:p>
                </w:tc>
              </w:sdtContent>
            </w:sdt>
            <w:tc>
              <w:tcPr>
                <w:tcW w:w="7268" w:type="dxa"/>
                <w:gridSpan w:val="9"/>
                <w:shd w:val="clear" w:color="auto" w:fill="auto"/>
                <w:vAlign w:val="center"/>
              </w:tcPr>
              <w:p>
                <w:r>
                  <w:t>上述股东中重庆满江红股权投资基金合伙企业(有限合伙)与重庆江河汇企业管理有限责任公司之间存在关联关系。除此以外，公司未知上述股东之间是否存在关联关系或属于《上市公司持股变动信息披露管理办法》规定的一致行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41b3b4967bb4d8793e8815a2738c7d6"/>
                <w:id w:val="1919663497"/>
                <w:lock w:val="sdtLocked"/>
              </w:sdtPr>
              <w:sdtContent>
                <w:tc>
                  <w:tcPr>
                    <w:tcW w:w="2797" w:type="dxa"/>
                    <w:gridSpan w:val="2"/>
                    <w:shd w:val="clear" w:color="auto" w:fill="auto"/>
                    <w:vAlign w:val="center"/>
                  </w:tcPr>
                  <w:p>
                    <w:pPr>
                      <w:rPr>
                        <w:szCs w:val="21"/>
                      </w:rPr>
                    </w:pPr>
                    <w:r>
                      <w:rPr>
                        <w:rFonts w:hint="eastAsia"/>
                        <w:szCs w:val="21"/>
                      </w:rPr>
                      <w:t>表决权恢复的优先股股东及持股数量的说明</w:t>
                    </w:r>
                  </w:p>
                </w:tc>
              </w:sdtContent>
            </w:sdt>
            <w:tc>
              <w:tcPr>
                <w:tcW w:w="7268" w:type="dxa"/>
                <w:gridSpan w:val="9"/>
                <w:shd w:val="clear" w:color="auto" w:fill="auto"/>
                <w:vAlign w:val="center"/>
              </w:tcPr>
              <w:p>
                <w:r>
                  <w:t>无</w:t>
                </w:r>
              </w:p>
            </w:tc>
          </w:tr>
        </w:tbl>
        <w:p/>
        <w:p>
          <w:pPr>
            <w:rPr>
              <w:szCs w:val="21"/>
            </w:rPr>
          </w:pPr>
          <w:r>
            <w:rPr>
              <w:szCs w:val="21"/>
            </w:rPr>
            <w:t>前十名有限售条件股东持股数量及限售条件</w:t>
          </w:r>
        </w:p>
        <w:sdt>
          <w:sdtPr>
            <w:rPr>
              <w:bCs/>
              <w:szCs w:val="21"/>
            </w:rPr>
            <w:alias w:val="是否适用：前十名有限售条件股东持股数量及限售条件[双击切换]"/>
            <w:tag w:val="_GBC_99ceff37849a42f4b21400880589fbc1"/>
            <w:id w:val="-1487554483"/>
            <w:lock w:val="sdtLocked"/>
            <w:placeholder>
              <w:docPart w:val="GBC22222222222222222222222222222"/>
            </w:placeholder>
          </w:sdtPr>
          <w:sdtEndPr>
            <w:rPr>
              <w:bCs/>
              <w:szCs w:val="21"/>
            </w:rPr>
          </w:sdtEndPr>
          <w:sdtContent>
            <w:p>
              <w:pPr>
                <w:rPr>
                  <w:bCs/>
                  <w:szCs w:val="21"/>
                </w:rPr>
              </w:pPr>
              <w:r>
                <w:rPr>
                  <w:bCs/>
                  <w:szCs w:val="21"/>
                </w:rPr>
                <w:fldChar w:fldCharType="begin"/>
              </w:r>
              <w:r>
                <w:rPr>
                  <w:bCs/>
                  <w:szCs w:val="21"/>
                </w:rPr>
                <w:instrText xml:space="preserve">MACROBUTTON  SnrToggleCheckbox √适用 </w:instrText>
              </w:r>
              <w:r>
                <w:rPr>
                  <w:bCs/>
                  <w:szCs w:val="21"/>
                </w:rPr>
                <w:fldChar w:fldCharType="end"/>
              </w:r>
              <w:r>
                <w:rPr>
                  <w:bCs/>
                  <w:szCs w:val="21"/>
                </w:rPr>
                <w:fldChar w:fldCharType="begin"/>
              </w:r>
              <w:r>
                <w:rPr>
                  <w:bCs/>
                  <w:szCs w:val="21"/>
                </w:rPr>
                <w:instrText xml:space="preserve"> MACROBUTTON  SnrToggleCheckbox □不适用 </w:instrText>
              </w:r>
              <w:r>
                <w:rPr>
                  <w:bCs/>
                  <w:szCs w:val="21"/>
                </w:rPr>
                <w:fldChar w:fldCharType="end"/>
              </w:r>
            </w:p>
          </w:sdtContent>
        </w:sdt>
        <w:p>
          <w:pPr>
            <w:jc w:val="right"/>
            <w:rPr>
              <w:szCs w:val="21"/>
            </w:rPr>
          </w:pPr>
          <w:r>
            <w:rPr>
              <w:szCs w:val="21"/>
            </w:rPr>
            <w:t>单位：</w:t>
          </w:r>
          <w:sdt>
            <w:sdtPr>
              <w:rPr>
                <w:szCs w:val="21"/>
              </w:rPr>
              <w:alias w:val="单位：前十名有限售条件股东持股数量及限售条件"/>
              <w:tag w:val="_GBC_ccabf48d11fc4d67b71762bd50ae5faf"/>
              <w:id w:val="-1153597832"/>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rPr>
                <w:szCs w:val="21"/>
              </w:rPr>
            </w:sdtEndPr>
            <w:sdtContent>
              <w:r>
                <w:rPr>
                  <w:szCs w:val="21"/>
                </w:rPr>
                <w:t>股</w:t>
              </w:r>
            </w:sdtContent>
          </w:sdt>
        </w:p>
        <w:tbl>
          <w:tblPr>
            <w:tblStyle w:val="108"/>
            <w:tblW w:w="5257"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1"/>
            <w:gridCol w:w="2032"/>
            <w:gridCol w:w="1743"/>
            <w:gridCol w:w="1880"/>
            <w:gridCol w:w="1623"/>
            <w:gridCol w:w="1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d6b46c3e64c74877a86ed16591d841cb"/>
                <w:id w:val="614949097"/>
                <w:lock w:val="sdtLocked"/>
              </w:sdtPr>
              <w:sdtContent>
                <w:tc>
                  <w:tcPr>
                    <w:tcW w:w="326" w:type="pct"/>
                    <w:vMerge w:val="restart"/>
                    <w:shd w:val="clear" w:color="auto" w:fill="auto"/>
                    <w:vAlign w:val="center"/>
                  </w:tcPr>
                  <w:p>
                    <w:pPr>
                      <w:jc w:val="center"/>
                      <w:rPr>
                        <w:szCs w:val="21"/>
                      </w:rPr>
                    </w:pPr>
                    <w:r>
                      <w:rPr>
                        <w:szCs w:val="21"/>
                      </w:rPr>
                      <w:t>序号</w:t>
                    </w:r>
                  </w:p>
                </w:tc>
              </w:sdtContent>
            </w:sdt>
            <w:sdt>
              <w:sdtPr>
                <w:tag w:val="_PLD_158549a651c94037ae0e8f138b766d22"/>
                <w:id w:val="829482879"/>
                <w:lock w:val="sdtLocked"/>
              </w:sdtPr>
              <w:sdtContent>
                <w:tc>
                  <w:tcPr>
                    <w:tcW w:w="1068" w:type="pct"/>
                    <w:vMerge w:val="restart"/>
                    <w:shd w:val="clear" w:color="auto" w:fill="auto"/>
                    <w:vAlign w:val="center"/>
                  </w:tcPr>
                  <w:p>
                    <w:pPr>
                      <w:jc w:val="center"/>
                      <w:rPr>
                        <w:szCs w:val="21"/>
                      </w:rPr>
                    </w:pPr>
                    <w:r>
                      <w:rPr>
                        <w:szCs w:val="21"/>
                      </w:rPr>
                      <w:t>有限售条件股东名称</w:t>
                    </w:r>
                  </w:p>
                </w:tc>
              </w:sdtContent>
            </w:sdt>
            <w:sdt>
              <w:sdtPr>
                <w:tag w:val="_PLD_367a1586e9074c6791b647b1d91d08f0"/>
                <w:id w:val="1462534899"/>
                <w:lock w:val="sdtLocked"/>
              </w:sdtPr>
              <w:sdtContent>
                <w:tc>
                  <w:tcPr>
                    <w:tcW w:w="916" w:type="pct"/>
                    <w:vMerge w:val="restart"/>
                    <w:shd w:val="clear" w:color="auto" w:fill="auto"/>
                    <w:vAlign w:val="center"/>
                  </w:tcPr>
                  <w:p>
                    <w:pPr>
                      <w:jc w:val="center"/>
                      <w:rPr>
                        <w:szCs w:val="21"/>
                      </w:rPr>
                    </w:pPr>
                    <w:r>
                      <w:rPr>
                        <w:szCs w:val="21"/>
                      </w:rPr>
                      <w:t>持有的有限售条件股份数量</w:t>
                    </w:r>
                  </w:p>
                </w:tc>
              </w:sdtContent>
            </w:sdt>
            <w:sdt>
              <w:sdtPr>
                <w:tag w:val="_PLD_5fb0b4bcfdf54b5e822c8e6186b6a7d2"/>
                <w:id w:val="227575694"/>
                <w:lock w:val="sdtLocked"/>
              </w:sdtPr>
              <w:sdtContent>
                <w:tc>
                  <w:tcPr>
                    <w:tcW w:w="1841" w:type="pct"/>
                    <w:gridSpan w:val="2"/>
                    <w:shd w:val="clear" w:color="auto" w:fill="auto"/>
                    <w:vAlign w:val="center"/>
                  </w:tcPr>
                  <w:p>
                    <w:pPr>
                      <w:jc w:val="center"/>
                      <w:rPr>
                        <w:szCs w:val="21"/>
                      </w:rPr>
                    </w:pPr>
                    <w:r>
                      <w:rPr>
                        <w:szCs w:val="21"/>
                      </w:rPr>
                      <w:t>有限售条件股份可上市交易情况</w:t>
                    </w:r>
                  </w:p>
                </w:tc>
              </w:sdtContent>
            </w:sdt>
            <w:sdt>
              <w:sdtPr>
                <w:tag w:val="_PLD_54c0ff189b7843d9a5ae49ddbb583e3d"/>
                <w:id w:val="-1633094022"/>
                <w:lock w:val="sdtLocked"/>
              </w:sdtPr>
              <w:sdtContent>
                <w:tc>
                  <w:tcPr>
                    <w:tcW w:w="850" w:type="pct"/>
                    <w:vMerge w:val="restart"/>
                    <w:shd w:val="clear" w:color="auto" w:fill="auto"/>
                    <w:vAlign w:val="center"/>
                  </w:tcPr>
                  <w:p>
                    <w:pPr>
                      <w:jc w:val="center"/>
                      <w:rPr>
                        <w:szCs w:val="21"/>
                      </w:rPr>
                    </w:pPr>
                    <w:r>
                      <w:rPr>
                        <w:szCs w:val="21"/>
                      </w:rPr>
                      <w:t>限售条件</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26" w:type="pct"/>
                <w:vMerge w:val="continue"/>
                <w:shd w:val="clear" w:color="auto" w:fill="auto"/>
              </w:tcPr>
              <w:p>
                <w:pPr>
                  <w:jc w:val="center"/>
                  <w:rPr>
                    <w:szCs w:val="21"/>
                  </w:rPr>
                </w:pPr>
              </w:p>
            </w:tc>
            <w:tc>
              <w:tcPr>
                <w:tcW w:w="1068" w:type="pct"/>
                <w:vMerge w:val="continue"/>
                <w:shd w:val="clear" w:color="auto" w:fill="auto"/>
              </w:tcPr>
              <w:p>
                <w:pPr>
                  <w:jc w:val="center"/>
                  <w:rPr>
                    <w:szCs w:val="21"/>
                  </w:rPr>
                </w:pPr>
              </w:p>
            </w:tc>
            <w:tc>
              <w:tcPr>
                <w:tcW w:w="916" w:type="pct"/>
                <w:vMerge w:val="continue"/>
                <w:shd w:val="clear" w:color="auto" w:fill="auto"/>
              </w:tcPr>
              <w:p>
                <w:pPr>
                  <w:jc w:val="center"/>
                  <w:rPr>
                    <w:szCs w:val="21"/>
                  </w:rPr>
                </w:pPr>
              </w:p>
            </w:tc>
            <w:sdt>
              <w:sdtPr>
                <w:tag w:val="_PLD_8b19569e4d664678885f9348aa052bc0"/>
                <w:id w:val="650259153"/>
                <w:lock w:val="sdtLocked"/>
              </w:sdtPr>
              <w:sdtContent>
                <w:tc>
                  <w:tcPr>
                    <w:tcW w:w="988" w:type="pct"/>
                    <w:shd w:val="clear" w:color="auto" w:fill="auto"/>
                    <w:vAlign w:val="center"/>
                  </w:tcPr>
                  <w:p>
                    <w:pPr>
                      <w:jc w:val="center"/>
                      <w:rPr>
                        <w:szCs w:val="21"/>
                      </w:rPr>
                    </w:pPr>
                    <w:r>
                      <w:rPr>
                        <w:szCs w:val="21"/>
                      </w:rPr>
                      <w:t>可上市交易时间</w:t>
                    </w:r>
                  </w:p>
                </w:tc>
              </w:sdtContent>
            </w:sdt>
            <w:sdt>
              <w:sdtPr>
                <w:tag w:val="_PLD_1b5fddbd7f52465db9e65269733ef622"/>
                <w:id w:val="-342162803"/>
                <w:lock w:val="sdtLocked"/>
              </w:sdtPr>
              <w:sdtContent>
                <w:tc>
                  <w:tcPr>
                    <w:tcW w:w="853" w:type="pct"/>
                    <w:shd w:val="clear" w:color="auto" w:fill="auto"/>
                    <w:vAlign w:val="center"/>
                  </w:tcPr>
                  <w:p>
                    <w:pPr>
                      <w:jc w:val="center"/>
                      <w:rPr>
                        <w:szCs w:val="21"/>
                      </w:rPr>
                    </w:pPr>
                    <w:r>
                      <w:rPr>
                        <w:szCs w:val="21"/>
                      </w:rPr>
                      <w:t>新增可上市交易股份数量</w:t>
                    </w:r>
                  </w:p>
                </w:tc>
              </w:sdtContent>
            </w:sdt>
            <w:tc>
              <w:tcPr>
                <w:tcW w:w="850" w:type="pct"/>
                <w:vMerge w:val="continue"/>
                <w:shd w:val="clear" w:color="auto" w:fill="auto"/>
              </w:tcPr>
              <w:p>
                <w:pPr>
                  <w:jc w:val="center"/>
                  <w:rPr>
                    <w:szCs w:val="21"/>
                  </w:rPr>
                </w:pPr>
              </w:p>
            </w:tc>
          </w:tr>
          <w:sdt>
            <w:sdtPr>
              <w:rPr>
                <w:rFonts w:ascii="宋体" w:hAnsi="宋体" w:cs="宋体" w:eastAsiaTheme="minorEastAsia"/>
                <w:kern w:val="0"/>
                <w:sz w:val="24"/>
                <w:szCs w:val="24"/>
              </w:rPr>
              <w:alias w:val="前十名有限售条件股东持股数量及限售条件"/>
              <w:tag w:val="_TUP_a387038950fa48ccac24ec26a7b6a5c2"/>
              <w:id w:val="-980304336"/>
              <w:lock w:val="sdtLocked"/>
            </w:sdtPr>
            <w:sdtEndPr>
              <w:rPr>
                <w:rFonts w:ascii="宋体" w:hAnsi="宋体" w:eastAsia="宋体" w:cs="宋体"/>
                <w:kern w:val="0"/>
                <w:sz w:val="21"/>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326" w:type="pct"/>
                    <w:shd w:val="clear" w:color="auto" w:fill="auto"/>
                    <w:vAlign w:val="center"/>
                  </w:tcPr>
                  <w:sdt>
                    <w:sdtPr>
                      <w:rPr>
                        <w:rFonts w:ascii="宋体" w:hAnsi="宋体" w:cs="宋体"/>
                        <w:kern w:val="0"/>
                        <w:sz w:val="24"/>
                        <w:szCs w:val="24"/>
                      </w:rPr>
                      <w:tag w:val="_PLD_67fc1dc45c444d2a90162e5b1444e928"/>
                      <w:id w:val="624742165"/>
                      <w:lock w:val="sdtLocked"/>
                    </w:sdtPr>
                    <w:sdtEndPr>
                      <w:rPr>
                        <w:rFonts w:ascii="宋体" w:hAnsi="宋体" w:cs="Times New Roman"/>
                        <w:kern w:val="2"/>
                        <w:sz w:val="21"/>
                        <w:szCs w:val="21"/>
                      </w:rPr>
                    </w:sdtEndPr>
                    <w:sdtContent>
                      <w:p>
                        <w:pPr>
                          <w:pStyle w:val="15"/>
                          <w:jc w:val="center"/>
                          <w:rPr>
                            <w:rFonts w:ascii="宋体" w:hAnsi="宋体"/>
                          </w:rPr>
                        </w:pPr>
                        <w:r>
                          <w:rPr>
                            <w:rFonts w:ascii="宋体" w:hAnsi="宋体"/>
                          </w:rPr>
                          <w:t>1</w:t>
                        </w:r>
                      </w:p>
                    </w:sdtContent>
                  </w:sdt>
                </w:tc>
                <w:tc>
                  <w:tcPr>
                    <w:tcW w:w="1068" w:type="pct"/>
                    <w:shd w:val="clear" w:color="auto" w:fill="auto"/>
                  </w:tcPr>
                  <w:p>
                    <w:pPr>
                      <w:rPr>
                        <w:szCs w:val="21"/>
                      </w:rPr>
                    </w:pPr>
                    <w:r>
                      <w:t>重庆满江红股权投资基金合伙企业(有限合伙)</w:t>
                    </w:r>
                  </w:p>
                </w:tc>
                <w:tc>
                  <w:tcPr>
                    <w:tcW w:w="916" w:type="pct"/>
                    <w:shd w:val="clear" w:color="auto" w:fill="auto"/>
                    <w:vAlign w:val="center"/>
                  </w:tcPr>
                  <w:p>
                    <w:pPr>
                      <w:jc w:val="right"/>
                      <w:rPr>
                        <w:szCs w:val="21"/>
                      </w:rPr>
                    </w:pPr>
                    <w:r>
                      <w:t>1,349,550,000</w:t>
                    </w:r>
                  </w:p>
                </w:tc>
                <w:tc>
                  <w:tcPr>
                    <w:tcW w:w="988" w:type="pct"/>
                    <w:shd w:val="clear" w:color="auto" w:fill="auto"/>
                    <w:vAlign w:val="center"/>
                  </w:tcPr>
                  <w:p>
                    <w:pPr>
                      <w:jc w:val="right"/>
                      <w:rPr>
                        <w:szCs w:val="21"/>
                      </w:rPr>
                    </w:pPr>
                    <w:r>
                      <w:t>2023年12月29日</w:t>
                    </w:r>
                  </w:p>
                </w:tc>
                <w:tc>
                  <w:tcPr>
                    <w:tcW w:w="853" w:type="pct"/>
                    <w:shd w:val="clear" w:color="auto" w:fill="auto"/>
                    <w:vAlign w:val="center"/>
                  </w:tcPr>
                  <w:p>
                    <w:pPr>
                      <w:jc w:val="right"/>
                      <w:rPr>
                        <w:szCs w:val="21"/>
                      </w:rPr>
                    </w:pPr>
                    <w:r>
                      <w:t>1,349,550,000</w:t>
                    </w:r>
                  </w:p>
                </w:tc>
                <w:tc>
                  <w:tcPr>
                    <w:tcW w:w="850" w:type="pct"/>
                    <w:shd w:val="clear" w:color="auto" w:fill="auto"/>
                  </w:tcPr>
                  <w:p>
                    <w:pPr>
                      <w:rPr>
                        <w:szCs w:val="21"/>
                      </w:rPr>
                    </w:pPr>
                    <w:r>
                      <w:t>自登记至其名下之日起36个月内不减持。</w:t>
                    </w:r>
                  </w:p>
                </w:tc>
              </w:tr>
            </w:sdtContent>
          </w:sdt>
          <w:sdt>
            <w:sdtPr>
              <w:rPr>
                <w:rFonts w:ascii="宋体" w:hAnsi="宋体" w:cs="宋体" w:eastAsiaTheme="minorEastAsia"/>
                <w:kern w:val="0"/>
                <w:sz w:val="24"/>
                <w:szCs w:val="24"/>
              </w:rPr>
              <w:alias w:val="前十名有限售条件股东持股数量及限售条件"/>
              <w:tag w:val="_TUP_a387038950fa48ccac24ec26a7b6a5c2"/>
              <w:id w:val="-1708168926"/>
              <w:lock w:val="sdtLocked"/>
            </w:sdtPr>
            <w:sdtEndPr>
              <w:rPr>
                <w:rFonts w:ascii="宋体" w:hAnsi="宋体" w:eastAsia="宋体" w:cs="宋体"/>
                <w:kern w:val="0"/>
                <w:sz w:val="21"/>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326" w:type="pct"/>
                    <w:shd w:val="clear" w:color="auto" w:fill="auto"/>
                    <w:vAlign w:val="center"/>
                  </w:tcPr>
                  <w:sdt>
                    <w:sdtPr>
                      <w:rPr>
                        <w:rFonts w:ascii="宋体" w:hAnsi="宋体" w:cs="宋体"/>
                        <w:kern w:val="0"/>
                        <w:sz w:val="24"/>
                        <w:szCs w:val="24"/>
                      </w:rPr>
                      <w:tag w:val="_PLD_67fc1dc45c444d2a90162e5b1444e928"/>
                      <w:id w:val="-1420561805"/>
                      <w:lock w:val="sdtLocked"/>
                    </w:sdtPr>
                    <w:sdtEndPr>
                      <w:rPr>
                        <w:rFonts w:ascii="宋体" w:hAnsi="宋体" w:cs="Times New Roman"/>
                        <w:kern w:val="2"/>
                        <w:sz w:val="21"/>
                        <w:szCs w:val="21"/>
                      </w:rPr>
                    </w:sdtEndPr>
                    <w:sdtContent>
                      <w:p>
                        <w:pPr>
                          <w:pStyle w:val="15"/>
                          <w:jc w:val="center"/>
                          <w:rPr>
                            <w:rFonts w:ascii="宋体" w:hAnsi="宋体"/>
                          </w:rPr>
                        </w:pPr>
                        <w:r>
                          <w:rPr>
                            <w:rFonts w:ascii="宋体" w:hAnsi="宋体"/>
                          </w:rPr>
                          <w:t>2</w:t>
                        </w:r>
                      </w:p>
                    </w:sdtContent>
                  </w:sdt>
                </w:tc>
                <w:tc>
                  <w:tcPr>
                    <w:tcW w:w="1068" w:type="pct"/>
                    <w:shd w:val="clear" w:color="auto" w:fill="auto"/>
                  </w:tcPr>
                  <w:p>
                    <w:pPr>
                      <w:rPr>
                        <w:szCs w:val="21"/>
                      </w:rPr>
                    </w:pPr>
                    <w:r>
                      <w:t>重庆江河汇企业管理有限责任公司</w:t>
                    </w:r>
                  </w:p>
                </w:tc>
                <w:tc>
                  <w:tcPr>
                    <w:tcW w:w="916" w:type="pct"/>
                    <w:shd w:val="clear" w:color="auto" w:fill="auto"/>
                    <w:vAlign w:val="center"/>
                  </w:tcPr>
                  <w:p>
                    <w:pPr>
                      <w:jc w:val="right"/>
                      <w:rPr>
                        <w:szCs w:val="21"/>
                      </w:rPr>
                    </w:pPr>
                    <w:r>
                      <w:t>900,000,000</w:t>
                    </w:r>
                  </w:p>
                </w:tc>
                <w:tc>
                  <w:tcPr>
                    <w:tcW w:w="988" w:type="pct"/>
                    <w:shd w:val="clear" w:color="auto" w:fill="auto"/>
                    <w:vAlign w:val="center"/>
                  </w:tcPr>
                  <w:p>
                    <w:pPr>
                      <w:jc w:val="right"/>
                      <w:rPr>
                        <w:szCs w:val="21"/>
                      </w:rPr>
                    </w:pPr>
                    <w:r>
                      <w:t>2023年12月29日</w:t>
                    </w:r>
                  </w:p>
                </w:tc>
                <w:tc>
                  <w:tcPr>
                    <w:tcW w:w="853" w:type="pct"/>
                    <w:shd w:val="clear" w:color="auto" w:fill="auto"/>
                    <w:vAlign w:val="center"/>
                  </w:tcPr>
                  <w:p>
                    <w:pPr>
                      <w:jc w:val="right"/>
                      <w:rPr>
                        <w:szCs w:val="21"/>
                      </w:rPr>
                    </w:pPr>
                    <w:r>
                      <w:t>900,000,000</w:t>
                    </w:r>
                  </w:p>
                </w:tc>
                <w:tc>
                  <w:tcPr>
                    <w:tcW w:w="850" w:type="pct"/>
                    <w:shd w:val="clear" w:color="auto" w:fill="auto"/>
                  </w:tcPr>
                  <w:p>
                    <w:pPr>
                      <w:rPr>
                        <w:szCs w:val="21"/>
                      </w:rPr>
                    </w:pPr>
                    <w:r>
                      <w:t>自登记至其名下之日起36个月内不减持。</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846740586e6b47d0b28b34e96cb575cd"/>
                <w:id w:val="-1602868127"/>
                <w:lock w:val="sdtLocked"/>
              </w:sdtPr>
              <w:sdtContent>
                <w:tc>
                  <w:tcPr>
                    <w:tcW w:w="1394" w:type="pct"/>
                    <w:gridSpan w:val="2"/>
                    <w:shd w:val="clear" w:color="auto" w:fill="auto"/>
                  </w:tcPr>
                  <w:p>
                    <w:pPr>
                      <w:ind w:right="97" w:rightChars="46"/>
                      <w:rPr>
                        <w:szCs w:val="21"/>
                      </w:rPr>
                    </w:pPr>
                    <w:r>
                      <w:rPr>
                        <w:rFonts w:hint="eastAsia"/>
                        <w:szCs w:val="21"/>
                      </w:rPr>
                      <w:t>上述股东关联关系或一致行动的说明</w:t>
                    </w:r>
                  </w:p>
                </w:tc>
              </w:sdtContent>
            </w:sdt>
            <w:tc>
              <w:tcPr>
                <w:tcW w:w="3606" w:type="pct"/>
                <w:gridSpan w:val="4"/>
                <w:shd w:val="clear" w:color="auto" w:fill="auto"/>
              </w:tcPr>
              <w:p>
                <w:pPr>
                  <w:rPr>
                    <w:szCs w:val="21"/>
                  </w:rPr>
                </w:pPr>
                <w:r>
                  <w:rPr>
                    <w:rFonts w:hint="eastAsia" w:cs="Arial"/>
                  </w:rPr>
                  <w:t>上述股东之间存在关联关系，不属于《上市公司持股变动信息披露管理办法》规定的一致行动人。</w:t>
                </w:r>
              </w:p>
            </w:tc>
          </w:tr>
        </w:tbl>
        <w:p>
          <w:pPr>
            <w:rPr>
              <w:szCs w:val="21"/>
            </w:rPr>
          </w:pPr>
        </w:p>
      </w:sdtContent>
    </w:sdt>
    <w:bookmarkEnd w:id="92"/>
    <w:sdt>
      <w:sdtPr>
        <w:rPr>
          <w:rFonts w:ascii="宋体" w:hAnsi="宋体" w:cs="宋体"/>
          <w:b w:val="0"/>
          <w:bCs w:val="0"/>
          <w:kern w:val="0"/>
          <w:sz w:val="24"/>
          <w:szCs w:val="21"/>
        </w:rPr>
        <w:alias w:val="模块:战略投资者或一般法人因配售新股成为前10名股东"/>
        <w:tag w:val="_SEC_7b16ab72c87b46c1aaa4818a9a422005"/>
        <w:id w:val="1613856904"/>
        <w:lock w:val="sdtLocked"/>
        <w:placeholder>
          <w:docPart w:val="GBC22222222222222222222222222222"/>
        </w:placeholder>
      </w:sdtPr>
      <w:sdtEndPr>
        <w:rPr>
          <w:rFonts w:ascii="宋体" w:hAnsi="宋体" w:cs="宋体"/>
          <w:b w:val="0"/>
          <w:bCs w:val="0"/>
          <w:kern w:val="0"/>
          <w:sz w:val="21"/>
          <w:szCs w:val="24"/>
        </w:rPr>
      </w:sdtEndPr>
      <w:sdtContent>
        <w:p>
          <w:pPr>
            <w:pStyle w:val="4"/>
            <w:numPr>
              <w:ilvl w:val="1"/>
              <w:numId w:val="44"/>
            </w:numPr>
            <w:ind w:left="426" w:hanging="426"/>
            <w:rPr>
              <w:szCs w:val="21"/>
            </w:rPr>
          </w:pPr>
          <w:r>
            <w:rPr>
              <w:szCs w:val="21"/>
            </w:rPr>
            <w:t>战略投资者或一般法人因配售新股成为前10名股东</w:t>
          </w:r>
        </w:p>
        <w:sdt>
          <w:sdtPr>
            <w:alias w:val="是否适用：战略投资者或一般法人因配售新股成为前10名股东[双击切换]"/>
            <w:tag w:val="_GBC_f3c63aafb8134fdcbdeb39fd33c2cd8d"/>
            <w:id w:val="37465896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pStyle w:val="3"/>
        <w:numPr>
          <w:ilvl w:val="0"/>
          <w:numId w:val="40"/>
        </w:numPr>
      </w:pPr>
      <w:r>
        <w:rPr>
          <w:rFonts w:hint="eastAsia"/>
        </w:rPr>
        <w:t>控股股东及实际控制人情况</w:t>
      </w:r>
    </w:p>
    <w:p>
      <w:pPr>
        <w:pStyle w:val="4"/>
        <w:numPr>
          <w:ilvl w:val="0"/>
          <w:numId w:val="45"/>
        </w:numPr>
      </w:pPr>
      <w:r>
        <w:t>控股股东情况</w:t>
      </w:r>
    </w:p>
    <w:sdt>
      <w:sdtPr>
        <w:rPr>
          <w:rFonts w:ascii="宋体" w:hAnsi="宋体" w:eastAsia="宋体" w:cs="宋体"/>
          <w:b w:val="0"/>
          <w:bCs w:val="0"/>
          <w:kern w:val="0"/>
          <w:szCs w:val="24"/>
        </w:rPr>
        <w:alias w:val="模块:控股股东情况法人"/>
        <w:tag w:val="_SEC_603e90843919477b9c48becc10c16844"/>
        <w:id w:val="-214002320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46"/>
            </w:numPr>
          </w:pPr>
          <w:r>
            <w:t>法人</w:t>
          </w:r>
        </w:p>
        <w:sdt>
          <w:sdtPr>
            <w:alias w:val="是否适用：法人_控股股东情况[双击切换]"/>
            <w:tag w:val="_GBC_eab2d7c8478645dbae996b49d203b0d9"/>
            <w:id w:val="123119849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9"/>
            <w:gridCol w:w="5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sdt>
              <w:sdtPr>
                <w:tag w:val="_PLD_e1d45d230e0e4c06bc451af63b51d4e2"/>
                <w:id w:val="2129188405"/>
                <w:lock w:val="sdtLocked"/>
              </w:sdtPr>
              <w:sdtContent>
                <w:tc>
                  <w:tcPr>
                    <w:tcW w:w="3369" w:type="dxa"/>
                  </w:tcPr>
                  <w:p>
                    <w:pPr>
                      <w:widowControl w:val="0"/>
                      <w:jc w:val="center"/>
                      <w:rPr>
                        <w:szCs w:val="21"/>
                      </w:rPr>
                    </w:pPr>
                    <w:r>
                      <w:rPr>
                        <w:rFonts w:hint="eastAsia"/>
                        <w:szCs w:val="21"/>
                      </w:rPr>
                      <w:t>名称</w:t>
                    </w:r>
                  </w:p>
                </w:tc>
              </w:sdtContent>
            </w:sdt>
            <w:sdt>
              <w:sdtPr>
                <w:rPr>
                  <w:rFonts w:hint="eastAsia" w:ascii="Times New Roman" w:hAnsi="Times New Roman"/>
                  <w:szCs w:val="21"/>
                </w:rPr>
                <w:alias w:val="法人控股股东名称"/>
                <w:tag w:val="_GBC_b9697fb9b1e247b58382e6e5a1fdba0f"/>
                <w:id w:val="591137232"/>
                <w:lock w:val="sdtLocked"/>
              </w:sdtPr>
              <w:sdtEndPr>
                <w:rPr>
                  <w:rFonts w:hint="eastAsia" w:ascii="Times New Roman" w:hAnsi="Times New Roman"/>
                  <w:szCs w:val="21"/>
                </w:rPr>
              </w:sdtEndPr>
              <w:sdtContent>
                <w:tc>
                  <w:tcPr>
                    <w:tcW w:w="5680" w:type="dxa"/>
                  </w:tcPr>
                  <w:p>
                    <w:pPr>
                      <w:widowControl w:val="0"/>
                      <w:jc w:val="both"/>
                      <w:rPr>
                        <w:szCs w:val="21"/>
                      </w:rPr>
                    </w:pPr>
                    <w:r>
                      <w:rPr>
                        <w:rFonts w:hint="eastAsia"/>
                      </w:rPr>
                      <w:t>重庆满江红股权投资基金合伙企业（有限合伙）</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trPr>
            <w:sdt>
              <w:sdtPr>
                <w:tag w:val="_PLD_8136b3e11235492c8cd0111dfc8a7bd7"/>
                <w:id w:val="-1438971254"/>
                <w:lock w:val="sdtLocked"/>
              </w:sdtPr>
              <w:sdtContent>
                <w:tc>
                  <w:tcPr>
                    <w:tcW w:w="3369" w:type="dxa"/>
                  </w:tcPr>
                  <w:p>
                    <w:pPr>
                      <w:widowControl w:val="0"/>
                      <w:jc w:val="center"/>
                      <w:rPr>
                        <w:szCs w:val="21"/>
                      </w:rPr>
                    </w:pPr>
                    <w:r>
                      <w:rPr>
                        <w:rFonts w:hint="eastAsia"/>
                        <w:szCs w:val="21"/>
                      </w:rPr>
                      <w:t>单位负责人或法定代表人</w:t>
                    </w:r>
                  </w:p>
                </w:tc>
              </w:sdtContent>
            </w:sdt>
            <w:tc>
              <w:tcPr>
                <w:tcW w:w="5680" w:type="dxa"/>
                <w:vAlign w:val="center"/>
              </w:tcPr>
              <w:p>
                <w:pPr>
                  <w:widowControl w:val="0"/>
                  <w:jc w:val="both"/>
                  <w:rPr>
                    <w:sz w:val="24"/>
                  </w:rPr>
                </w:pPr>
                <w:r>
                  <w:t>重庆满江红企业管理有限公司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sdt>
              <w:sdtPr>
                <w:tag w:val="_PLD_1df0002b20b542f5b7092107da8156d8"/>
                <w:id w:val="-1407459585"/>
                <w:lock w:val="sdtLocked"/>
              </w:sdtPr>
              <w:sdtContent>
                <w:tc>
                  <w:tcPr>
                    <w:tcW w:w="3369" w:type="dxa"/>
                  </w:tcPr>
                  <w:p>
                    <w:pPr>
                      <w:widowControl w:val="0"/>
                      <w:jc w:val="center"/>
                      <w:rPr>
                        <w:szCs w:val="21"/>
                      </w:rPr>
                    </w:pPr>
                    <w:r>
                      <w:rPr>
                        <w:rFonts w:hint="eastAsia"/>
                        <w:szCs w:val="21"/>
                      </w:rPr>
                      <w:t>成立日期</w:t>
                    </w:r>
                  </w:p>
                </w:tc>
              </w:sdtContent>
            </w:sdt>
            <w:tc>
              <w:tcPr>
                <w:tcW w:w="5680" w:type="dxa"/>
                <w:vAlign w:val="center"/>
              </w:tcPr>
              <w:p>
                <w:pPr>
                  <w:widowControl w:val="0"/>
                  <w:jc w:val="both"/>
                </w:pPr>
                <w:r>
                  <w:t>2020年12月14日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1818a197d8b949079e4533012ebd27c1"/>
                <w:id w:val="933860156"/>
                <w:lock w:val="sdtLocked"/>
              </w:sdtPr>
              <w:sdtContent>
                <w:tc>
                  <w:tcPr>
                    <w:tcW w:w="3369" w:type="dxa"/>
                  </w:tcPr>
                  <w:p>
                    <w:pPr>
                      <w:widowControl w:val="0"/>
                      <w:jc w:val="center"/>
                      <w:rPr>
                        <w:szCs w:val="21"/>
                      </w:rPr>
                    </w:pPr>
                    <w:r>
                      <w:rPr>
                        <w:rFonts w:hint="eastAsia"/>
                        <w:szCs w:val="21"/>
                      </w:rPr>
                      <w:t>主要经营业务</w:t>
                    </w:r>
                  </w:p>
                </w:tc>
              </w:sdtContent>
            </w:sdt>
            <w:tc>
              <w:tcPr>
                <w:tcW w:w="5680" w:type="dxa"/>
                <w:vAlign w:val="center"/>
              </w:tcPr>
              <w:p>
                <w:pPr>
                  <w:widowControl w:val="0"/>
                  <w:jc w:val="both"/>
                </w:pPr>
                <w:r>
                  <w:t>股权投资（依法须经批准的项目，经相关部门批准后方可开展经营活动，具体经营项目以相关部门批准文件或许可证件为准）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sdt>
              <w:sdtPr>
                <w:tag w:val="_PLD_493328bd6f094c40b55613b4e262be19"/>
                <w:id w:val="-1241795583"/>
                <w:lock w:val="sdtLocked"/>
              </w:sdtPr>
              <w:sdtContent>
                <w:tc>
                  <w:tcPr>
                    <w:tcW w:w="3369" w:type="dxa"/>
                  </w:tcPr>
                  <w:p>
                    <w:pPr>
                      <w:widowControl w:val="0"/>
                      <w:jc w:val="center"/>
                      <w:rPr>
                        <w:szCs w:val="21"/>
                      </w:rPr>
                    </w:pPr>
                    <w:r>
                      <w:rPr>
                        <w:rFonts w:hint="eastAsia"/>
                        <w:szCs w:val="21"/>
                      </w:rPr>
                      <w:t>报告期内控股和参股的其他境内外上市公司的股权情况</w:t>
                    </w:r>
                  </w:p>
                </w:tc>
              </w:sdtContent>
            </w:sdt>
            <w:tc>
              <w:tcPr>
                <w:tcW w:w="5680" w:type="dxa"/>
                <w:vAlign w:val="center"/>
              </w:tcPr>
              <w:p>
                <w:pPr>
                  <w:widowControl w:val="0"/>
                  <w:jc w:val="both"/>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trPr>
            <w:sdt>
              <w:sdtPr>
                <w:tag w:val="_PLD_416c392305fd4bc8a741158a40d9ba6e"/>
                <w:id w:val="-600572884"/>
                <w:lock w:val="sdtLocked"/>
              </w:sdtPr>
              <w:sdtContent>
                <w:tc>
                  <w:tcPr>
                    <w:tcW w:w="3369" w:type="dxa"/>
                  </w:tcPr>
                  <w:p>
                    <w:pPr>
                      <w:widowControl w:val="0"/>
                      <w:jc w:val="center"/>
                    </w:pPr>
                    <w:r>
                      <w:rPr>
                        <w:rFonts w:hint="eastAsia"/>
                      </w:rPr>
                      <w:t>其他情况说明</w:t>
                    </w:r>
                  </w:p>
                </w:tc>
              </w:sdtContent>
            </w:sdt>
            <w:tc>
              <w:tcPr>
                <w:tcW w:w="5680" w:type="dxa"/>
                <w:vAlign w:val="center"/>
              </w:tcPr>
              <w:p>
                <w:pPr>
                  <w:widowControl w:val="0"/>
                  <w:jc w:val="both"/>
                </w:pPr>
                <w:r>
                  <w:t>无</w:t>
                </w:r>
              </w:p>
            </w:tc>
          </w:tr>
        </w:tbl>
        <w:p/>
      </w:sdtContent>
    </w:sdt>
    <w:sdt>
      <w:sdtPr>
        <w:rPr>
          <w:rFonts w:ascii="宋体" w:hAnsi="宋体" w:eastAsia="宋体" w:cs="宋体"/>
          <w:b w:val="0"/>
          <w:bCs w:val="0"/>
          <w:kern w:val="0"/>
          <w:szCs w:val="24"/>
        </w:rPr>
        <w:alias w:val="模块:控股股东情况自然人"/>
        <w:tag w:val="_SEC_c171a23a3658485db3b86f3cfcc2a64d"/>
        <w:id w:val="-733546124"/>
        <w:lock w:val="sdtLocked"/>
        <w:placeholder>
          <w:docPart w:val="GBC22222222222222222222222222222"/>
        </w:placeholder>
      </w:sdtPr>
      <w:sdtEndPr>
        <w:rPr>
          <w:rFonts w:ascii="宋体" w:hAnsi="宋体" w:eastAsia="宋体" w:cs="宋体"/>
          <w:b w:val="0"/>
          <w:bCs w:val="0"/>
          <w:kern w:val="0"/>
          <w:szCs w:val="21"/>
        </w:rPr>
      </w:sdtEndPr>
      <w:sdtContent>
        <w:p>
          <w:pPr>
            <w:pStyle w:val="5"/>
            <w:numPr>
              <w:ilvl w:val="0"/>
              <w:numId w:val="46"/>
            </w:numPr>
          </w:pPr>
          <w:r>
            <w:t>自然人</w:t>
          </w:r>
        </w:p>
        <w:sdt>
          <w:sdtPr>
            <w:alias w:val="是否适用：自然人_控股股东情况[双击切换]"/>
            <w:tag w:val="_GBC_050e33c59070475b9b048117126cc6ba"/>
            <w:id w:val="-81641752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公司不存在控股股东情况的特别说明"/>
        <w:tag w:val="_SEC_70bc1c568fef4bfc833da7470401e558"/>
        <w:id w:val="1701048179"/>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5"/>
            <w:numPr>
              <w:ilvl w:val="0"/>
              <w:numId w:val="46"/>
            </w:numPr>
          </w:pPr>
          <w:r>
            <w:rPr>
              <w:rFonts w:hint="eastAsia"/>
            </w:rPr>
            <w:t>公司不存在控股股东情况的特别说明</w:t>
          </w:r>
        </w:p>
        <w:sdt>
          <w:sdtPr>
            <w:rPr>
              <w:rFonts w:hint="eastAsia"/>
              <w:szCs w:val="21"/>
            </w:rPr>
            <w:alias w:val="是否适用：公司不存在控股股东情况的特别说明[双击切换]"/>
            <w:tag w:val="_GBC_2c420ad8f9bd455b89ad3a0d10597af2"/>
            <w:id w:val="942115000"/>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报告期内控股股东变更情况索引及日期"/>
        <w:tag w:val="_SEC_8c6549023dc64c378601b5bc20deede9"/>
        <w:id w:val="208110351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5"/>
            <w:numPr>
              <w:ilvl w:val="0"/>
              <w:numId w:val="46"/>
            </w:numPr>
          </w:pPr>
          <w:r>
            <w:rPr>
              <w:rFonts w:hint="eastAsia"/>
            </w:rPr>
            <w:t>报告期内控股股东变更情况的说明</w:t>
          </w:r>
        </w:p>
        <w:sdt>
          <w:sdtPr>
            <w:rPr>
              <w:rFonts w:hint="eastAsia"/>
              <w:szCs w:val="21"/>
            </w:rPr>
            <w:alias w:val="是否适用：报告期内控股股东变更情况的说明[双击切换]"/>
            <w:tag w:val="_GBC_ba32d923117643d78736fd77472e578b"/>
            <w:id w:val="-203132849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5"/>
        <w:numPr>
          <w:ilvl w:val="0"/>
          <w:numId w:val="46"/>
        </w:numPr>
      </w:pPr>
      <w:r>
        <w:rPr>
          <w:rFonts w:hint="eastAsia"/>
        </w:rPr>
        <w:t>公司与控股股东之间的产权及控制关系的方框图</w:t>
      </w:r>
    </w:p>
    <w:sdt>
      <w:sdtPr>
        <w:rPr>
          <w:rFonts w:hint="eastAsia"/>
          <w:b/>
          <w:bCs/>
          <w:szCs w:val="21"/>
        </w:rPr>
        <w:alias w:val="模块:公司与控股股东之间的产权及控制关系的方框图"/>
        <w:tag w:val="_SEC_4121b38278ee4945bfa8eb87dafa9db1"/>
        <w:id w:val="-709412668"/>
        <w:lock w:val="sdtLocked"/>
        <w:placeholder>
          <w:docPart w:val="GBC22222222222222222222222222222"/>
        </w:placeholder>
      </w:sdtPr>
      <w:sdtEndPr>
        <w:rPr>
          <w:rFonts w:hint="eastAsia"/>
          <w:b w:val="0"/>
          <w:bCs w:val="0"/>
          <w:szCs w:val="21"/>
        </w:rPr>
      </w:sdtEndPr>
      <w:sdtContent>
        <w:sdt>
          <w:sdtPr>
            <w:alias w:val="是否适用：公司与控股股东之间的产权及控制关系的方框图[双击切换]"/>
            <w:tag w:val="_GBC_aa1ed4124bd443219ac5782763143cd7"/>
            <w:id w:val="739842821"/>
            <w:lock w:val="sd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
          <w:sdtPr>
            <w:rPr>
              <w:rFonts w:hint="eastAsia"/>
              <w:szCs w:val="21"/>
            </w:rPr>
            <w:alias w:val="图片：公司与控股股东之间的产权及控制关系的方框图"/>
            <w:tag w:val="_GBC_237afe95a2de48a5baec021682951b46"/>
            <w:id w:val="-299616755"/>
            <w:lock w:val="sdtLocked"/>
            <w:placeholder>
              <w:docPart w:val="GBC22222222222222222222222222222"/>
            </w:placeholder>
            <w:picture/>
          </w:sdtPr>
          <w:sdtEndPr>
            <w:rPr>
              <w:rFonts w:hint="eastAsia"/>
              <w:szCs w:val="21"/>
            </w:rPr>
          </w:sdtEndPr>
          <w:sdtContent>
            <w:p>
              <w:pPr>
                <w:jc w:val="center"/>
                <w:rPr>
                  <w:szCs w:val="21"/>
                </w:rPr>
              </w:pPr>
              <w:r>
                <w:rPr>
                  <w:rFonts w:hint="eastAsia"/>
                  <w:szCs w:val="21"/>
                </w:rPr>
                <w:drawing>
                  <wp:inline distT="0" distB="0" distL="0" distR="0">
                    <wp:extent cx="3448050" cy="13360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74328" cy="1346677"/>
                            </a:xfrm>
                            <a:prstGeom prst="rect">
                              <a:avLst/>
                            </a:prstGeom>
                          </pic:spPr>
                        </pic:pic>
                      </a:graphicData>
                    </a:graphic>
                  </wp:inline>
                </w:drawing>
              </w:r>
            </w:p>
          </w:sdtContent>
        </w:sdt>
      </w:sdtContent>
    </w:sdt>
    <w:p>
      <w:pPr>
        <w:rPr>
          <w:szCs w:val="21"/>
        </w:rPr>
      </w:pPr>
    </w:p>
    <w:p>
      <w:pPr>
        <w:pStyle w:val="4"/>
        <w:numPr>
          <w:ilvl w:val="0"/>
          <w:numId w:val="45"/>
        </w:numPr>
      </w:pPr>
      <w:r>
        <w:rPr>
          <w:rFonts w:hint="eastAsia"/>
        </w:rPr>
        <w:t>实际控制人情况</w:t>
      </w:r>
    </w:p>
    <w:sdt>
      <w:sdtPr>
        <w:rPr>
          <w:rFonts w:hint="eastAsia" w:ascii="宋体" w:hAnsi="宋体" w:eastAsia="宋体" w:cs="宋体"/>
          <w:b w:val="0"/>
          <w:bCs w:val="0"/>
          <w:kern w:val="0"/>
          <w:szCs w:val="24"/>
        </w:rPr>
        <w:alias w:val="模块:实际控制人情况法人"/>
        <w:tag w:val="_SEC_d1e4bdc329624f1ba319634a4fbdd195"/>
        <w:id w:val="-755441530"/>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47"/>
            </w:numPr>
          </w:pPr>
          <w:r>
            <w:rPr>
              <w:rFonts w:hint="eastAsia"/>
            </w:rPr>
            <w:t>法人</w:t>
          </w:r>
        </w:p>
        <w:sdt>
          <w:sdtPr>
            <w:alias w:val="是否适用：法人_实际控制人情况[双击切换]"/>
            <w:tag w:val="_GBC_6cb3195cd6c545489bd6151d0ee57d58"/>
            <w:id w:val="22618974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4"/>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sdt>
              <w:sdtPr>
                <w:tag w:val="_PLD_9fd7942883b74d698fa4ca37d86c3d17"/>
                <w:id w:val="549962645"/>
                <w:lock w:val="sdtLocked"/>
              </w:sdtPr>
              <w:sdtContent>
                <w:tc>
                  <w:tcPr>
                    <w:tcW w:w="1881" w:type="pct"/>
                  </w:tcPr>
                  <w:p>
                    <w:pPr>
                      <w:widowControl w:val="0"/>
                      <w:jc w:val="center"/>
                      <w:rPr>
                        <w:szCs w:val="21"/>
                      </w:rPr>
                    </w:pPr>
                    <w:r>
                      <w:rPr>
                        <w:szCs w:val="21"/>
                      </w:rPr>
                      <w:t>名称</w:t>
                    </w:r>
                  </w:p>
                </w:tc>
              </w:sdtContent>
            </w:sdt>
            <w:sdt>
              <w:sdtPr>
                <w:rPr>
                  <w:rFonts w:hint="eastAsia" w:ascii="Times New Roman" w:hAnsi="Times New Roman"/>
                  <w:szCs w:val="21"/>
                </w:rPr>
                <w:alias w:val="法人实际控制人名称"/>
                <w:tag w:val="_GBC_09078fe67bb948e3b338136f227f90f6"/>
                <w:id w:val="-1717954292"/>
                <w:lock w:val="sdtLocked"/>
              </w:sdtPr>
              <w:sdtEndPr>
                <w:rPr>
                  <w:rFonts w:hint="eastAsia" w:ascii="Times New Roman" w:hAnsi="Times New Roman"/>
                  <w:szCs w:val="21"/>
                </w:rPr>
              </w:sdtEndPr>
              <w:sdtContent>
                <w:tc>
                  <w:tcPr>
                    <w:tcW w:w="3119" w:type="pct"/>
                  </w:tcPr>
                  <w:p>
                    <w:pPr>
                      <w:widowControl w:val="0"/>
                      <w:jc w:val="both"/>
                      <w:rPr>
                        <w:szCs w:val="21"/>
                      </w:rPr>
                    </w:pPr>
                    <w:r>
                      <w:rPr>
                        <w:rFonts w:hint="eastAsia"/>
                      </w:rPr>
                      <w:t>重庆满江红企业管理有限公司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sdt>
              <w:sdtPr>
                <w:tag w:val="_PLD_eb915a63d3204d91b81f030e2f3db313"/>
                <w:id w:val="894234622"/>
                <w:lock w:val="sdtLocked"/>
              </w:sdtPr>
              <w:sdtContent>
                <w:tc>
                  <w:tcPr>
                    <w:tcW w:w="1881" w:type="pct"/>
                  </w:tcPr>
                  <w:p>
                    <w:pPr>
                      <w:widowControl w:val="0"/>
                      <w:jc w:val="center"/>
                      <w:rPr>
                        <w:szCs w:val="21"/>
                      </w:rPr>
                    </w:pPr>
                    <w:r>
                      <w:rPr>
                        <w:szCs w:val="21"/>
                      </w:rPr>
                      <w:t>单位负责人或法定代表人</w:t>
                    </w:r>
                  </w:p>
                </w:tc>
              </w:sdtContent>
            </w:sdt>
            <w:tc>
              <w:tcPr>
                <w:tcW w:w="3119" w:type="pct"/>
                <w:vAlign w:val="center"/>
              </w:tcPr>
              <w:p>
                <w:pPr>
                  <w:widowControl w:val="0"/>
                  <w:jc w:val="both"/>
                  <w:rPr>
                    <w:sz w:val="24"/>
                  </w:rPr>
                </w:pPr>
                <w:r>
                  <w:t>周充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34b2bfe3972a47c7854993c382e720ec"/>
                <w:id w:val="1465696132"/>
                <w:lock w:val="sdtLocked"/>
              </w:sdtPr>
              <w:sdtContent>
                <w:tc>
                  <w:tcPr>
                    <w:tcW w:w="1881" w:type="pct"/>
                  </w:tcPr>
                  <w:p>
                    <w:pPr>
                      <w:widowControl w:val="0"/>
                      <w:jc w:val="center"/>
                      <w:rPr>
                        <w:szCs w:val="21"/>
                      </w:rPr>
                    </w:pPr>
                    <w:r>
                      <w:rPr>
                        <w:szCs w:val="21"/>
                      </w:rPr>
                      <w:t>成立日期</w:t>
                    </w:r>
                  </w:p>
                </w:tc>
              </w:sdtContent>
            </w:sdt>
            <w:tc>
              <w:tcPr>
                <w:tcW w:w="3119" w:type="pct"/>
                <w:vAlign w:val="center"/>
              </w:tcPr>
              <w:p>
                <w:pPr>
                  <w:widowControl w:val="0"/>
                  <w:jc w:val="both"/>
                </w:pPr>
                <w:r>
                  <w:t>2020年08月06日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f14bbbddc27c41edaa09e694412c2d91"/>
                <w:id w:val="-1721810490"/>
                <w:lock w:val="sdtLocked"/>
              </w:sdtPr>
              <w:sdtContent>
                <w:tc>
                  <w:tcPr>
                    <w:tcW w:w="1881" w:type="pct"/>
                  </w:tcPr>
                  <w:p>
                    <w:pPr>
                      <w:widowControl w:val="0"/>
                      <w:jc w:val="center"/>
                      <w:rPr>
                        <w:szCs w:val="21"/>
                      </w:rPr>
                    </w:pPr>
                    <w:r>
                      <w:rPr>
                        <w:szCs w:val="21"/>
                      </w:rPr>
                      <w:t>主要经营业务</w:t>
                    </w:r>
                  </w:p>
                </w:tc>
              </w:sdtContent>
            </w:sdt>
            <w:tc>
              <w:tcPr>
                <w:tcW w:w="3119" w:type="pct"/>
                <w:vAlign w:val="center"/>
              </w:tcPr>
              <w:p>
                <w:pPr>
                  <w:widowControl w:val="0"/>
                  <w:jc w:val="both"/>
                </w:pPr>
                <w:r>
                  <w:t>一般项目：企业管理（除依法须经批准的项目外，凭营业执照依法自主开展经营活动）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sdt>
              <w:sdtPr>
                <w:tag w:val="_PLD_508808ae12b943d3919f955ae9103944"/>
                <w:id w:val="-1401439584"/>
                <w:lock w:val="sdtLocked"/>
              </w:sdtPr>
              <w:sdtContent>
                <w:tc>
                  <w:tcPr>
                    <w:tcW w:w="1881" w:type="pct"/>
                  </w:tcPr>
                  <w:p>
                    <w:pPr>
                      <w:widowControl w:val="0"/>
                      <w:jc w:val="center"/>
                      <w:rPr>
                        <w:szCs w:val="21"/>
                      </w:rPr>
                    </w:pPr>
                    <w:r>
                      <w:rPr>
                        <w:szCs w:val="21"/>
                      </w:rPr>
                      <w:t>报告期内控股和参股的其他境内外上市公司的股权情况</w:t>
                    </w:r>
                  </w:p>
                </w:tc>
              </w:sdtContent>
            </w:sdt>
            <w:tc>
              <w:tcPr>
                <w:tcW w:w="3119" w:type="pct"/>
                <w:vAlign w:val="center"/>
              </w:tcPr>
              <w:p>
                <w:pPr>
                  <w:widowControl w:val="0"/>
                  <w:jc w:val="both"/>
                </w:pPr>
                <w: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sdt>
              <w:sdtPr>
                <w:tag w:val="_PLD_8bc4b292d2724c05b05126150845a9d5"/>
                <w:id w:val="3873934"/>
                <w:lock w:val="sdtLocked"/>
              </w:sdtPr>
              <w:sdtContent>
                <w:tc>
                  <w:tcPr>
                    <w:tcW w:w="1881" w:type="pct"/>
                  </w:tcPr>
                  <w:p>
                    <w:pPr>
                      <w:widowControl w:val="0"/>
                      <w:jc w:val="center"/>
                      <w:rPr>
                        <w:szCs w:val="21"/>
                      </w:rPr>
                    </w:pPr>
                    <w:r>
                      <w:rPr>
                        <w:rFonts w:hint="eastAsia"/>
                      </w:rPr>
                      <w:t>其他情况说明</w:t>
                    </w:r>
                  </w:p>
                </w:tc>
              </w:sdtContent>
            </w:sdt>
            <w:tc>
              <w:tcPr>
                <w:tcW w:w="3119" w:type="pct"/>
                <w:vAlign w:val="center"/>
              </w:tcPr>
              <w:p>
                <w:pPr>
                  <w:widowControl w:val="0"/>
                  <w:jc w:val="both"/>
                </w:pPr>
                <w:r>
                  <w:t>无</w:t>
                </w:r>
              </w:p>
            </w:tc>
          </w:tr>
        </w:tbl>
        <w:p/>
      </w:sdtContent>
    </w:sdt>
    <w:sdt>
      <w:sdtPr>
        <w:rPr>
          <w:rFonts w:hint="eastAsia" w:ascii="宋体" w:hAnsi="宋体" w:eastAsia="宋体" w:cs="宋体"/>
          <w:b w:val="0"/>
          <w:bCs w:val="0"/>
          <w:kern w:val="0"/>
          <w:szCs w:val="24"/>
        </w:rPr>
        <w:alias w:val="模块:实际控制人情况自然人"/>
        <w:tag w:val="_SEC_82a067868b0b4b5eb99879535e2300c5"/>
        <w:id w:val="1355145893"/>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47"/>
            </w:numPr>
          </w:pPr>
          <w:r>
            <w:rPr>
              <w:rFonts w:hint="eastAsia"/>
            </w:rPr>
            <w:t>自然人</w:t>
          </w:r>
        </w:p>
        <w:sdt>
          <w:sdtPr>
            <w:alias w:val="是否适用：自然人_实际控制人情况[双击切换]"/>
            <w:tag w:val="_GBC_359229fa8cca4506ac3cec3de8b5e99b"/>
            <w:id w:val="-576973852"/>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eastAsia="宋体" w:cs="宋体"/>
          <w:b w:val="0"/>
          <w:bCs w:val="0"/>
          <w:kern w:val="0"/>
          <w:szCs w:val="24"/>
        </w:rPr>
        <w:alias w:val="模块:公司不存在实际控制人情况的特别说明"/>
        <w:tag w:val="_SEC_5c0bf2f1ddf34e8c983cdf9fa31c1df0"/>
        <w:id w:val="-2105025474"/>
        <w:lock w:val="sdtLocked"/>
        <w:placeholder>
          <w:docPart w:val="GBC22222222222222222222222222222"/>
        </w:placeholder>
      </w:sdtPr>
      <w:sdtEndPr>
        <w:rPr>
          <w:rFonts w:ascii="宋体" w:hAnsi="宋体" w:eastAsia="宋体" w:cs="宋体"/>
          <w:b w:val="0"/>
          <w:bCs w:val="0"/>
          <w:kern w:val="0"/>
          <w:szCs w:val="24"/>
        </w:rPr>
      </w:sdtEndPr>
      <w:sdtContent>
        <w:p>
          <w:pPr>
            <w:pStyle w:val="5"/>
            <w:numPr>
              <w:ilvl w:val="0"/>
              <w:numId w:val="47"/>
            </w:numPr>
          </w:pPr>
          <w:r>
            <w:t>公司不存在实际控制人情况的特别说明</w:t>
          </w:r>
        </w:p>
        <w:sdt>
          <w:sdtPr>
            <w:rPr>
              <w:rFonts w:hint="eastAsia"/>
            </w:rPr>
            <w:alias w:val="是否适用：公司不存在实际控制人情况的特别说明[双击切换]"/>
            <w:tag w:val="_GBC_7380ff5e0fc6471583dc22db2252e039"/>
            <w:id w:val="98228042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eastAsia="宋体" w:cs="宋体"/>
          <w:b w:val="0"/>
          <w:bCs w:val="0"/>
          <w:kern w:val="0"/>
          <w:szCs w:val="24"/>
        </w:rPr>
        <w:alias w:val="模块:报告期内实际控制人变更情况索引及日期"/>
        <w:tag w:val="_SEC_8e248c9fca7b490e93849e8f5dce6a71"/>
        <w:id w:val="1836492371"/>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5"/>
            <w:numPr>
              <w:ilvl w:val="0"/>
              <w:numId w:val="47"/>
            </w:num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435050754"/>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
      <w:pPr>
        <w:pStyle w:val="5"/>
        <w:numPr>
          <w:ilvl w:val="0"/>
          <w:numId w:val="47"/>
        </w:numPr>
      </w:pPr>
      <w:r>
        <w:t>公司与实际控制人之间的产权及控制关系的方框图</w:t>
      </w:r>
    </w:p>
    <w:sdt>
      <w:sdtPr>
        <w:rPr>
          <w:b/>
          <w:bCs/>
        </w:rPr>
        <w:alias w:val="模块:公司与实际控制人之间的产权及控制关系的方框图"/>
        <w:tag w:val="_SEC_3098fbbbd09c4e7088990d33b36bcf2e"/>
        <w:id w:val="-1825809187"/>
        <w:lock w:val="sdtLocked"/>
        <w:placeholder>
          <w:docPart w:val="GBC22222222222222222222222222222"/>
        </w:placeholder>
      </w:sdtPr>
      <w:sdtEndPr>
        <w:rPr>
          <w:b w:val="0"/>
          <w:bCs w:val="0"/>
        </w:rPr>
      </w:sdtEndPr>
      <w:sdtContent>
        <w:sdt>
          <w:sdtPr>
            <w:alias w:val="是否适用：公司与实际控制人之间的产权及控制关系的方框图[双击切换]"/>
            <w:tag w:val="_GBC_8ddc5ba6a04141dc94582029460f81bd"/>
            <w:id w:val="611257121"/>
            <w:lock w:val="sdtLocked"/>
            <w:placeholder>
              <w:docPart w:val="GBC22222222222222222222222222222"/>
            </w:placeholder>
          </w:sdt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center"/>
          </w:pPr>
          <w:sdt>
            <w:sdtPr>
              <w:rPr>
                <w:rFonts w:hint="eastAsia"/>
              </w:rPr>
              <w:alias w:val="图片：公司与实际控制人之间的产权及控制关系的方框图"/>
              <w:tag w:val="_GBC_538f0b25ae684717a3c8362262a5a004"/>
              <w:id w:val="1085739652"/>
              <w:lock w:val="sdtLocked"/>
              <w:placeholder>
                <w:docPart w:val="GBC22222222222222222222222222222"/>
              </w:placeholder>
              <w:picture/>
            </w:sdtPr>
            <w:sdtEndPr>
              <w:rPr>
                <w:rFonts w:hint="eastAsia"/>
              </w:rPr>
            </w:sdtEndPr>
            <w:sdtContent>
              <w:r>
                <w:rPr>
                  <w:rFonts w:hint="eastAsia"/>
                </w:rPr>
                <w:drawing>
                  <wp:inline distT="0" distB="0" distL="0" distR="0">
                    <wp:extent cx="3079750" cy="225615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2543" cy="2258607"/>
                            </a:xfrm>
                            <a:prstGeom prst="rect">
                              <a:avLst/>
                            </a:prstGeom>
                            <a:noFill/>
                            <a:ln>
                              <a:noFill/>
                            </a:ln>
                          </pic:spPr>
                        </pic:pic>
                      </a:graphicData>
                    </a:graphic>
                  </wp:inline>
                </w:drawing>
              </w:r>
            </w:sdtContent>
          </w:sdt>
        </w:p>
      </w:sdtContent>
    </w:sdt>
    <w:sdt>
      <w:sdtPr>
        <w:rPr>
          <w:rFonts w:ascii="宋体" w:hAnsi="宋体" w:eastAsia="宋体" w:cs="宋体"/>
          <w:b w:val="0"/>
          <w:bCs w:val="0"/>
          <w:kern w:val="0"/>
          <w:szCs w:val="24"/>
        </w:rPr>
        <w:alias w:val="模块:实际控制人通过信托或其他资产管理方式控制公司"/>
        <w:tag w:val="_SEC_d9354c7b8b8643b2a3e90cc40a27dfa8"/>
        <w:id w:val="-1440367788"/>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5"/>
            <w:numPr>
              <w:ilvl w:val="0"/>
              <w:numId w:val="47"/>
            </w:num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743263767"/>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ascii="宋体" w:hAnsi="宋体" w:cs="宋体"/>
          <w:b w:val="0"/>
          <w:bCs w:val="0"/>
          <w:kern w:val="0"/>
          <w:szCs w:val="24"/>
        </w:rPr>
        <w:alias w:val="模块:控股股东及实际控制人其他情况介绍"/>
        <w:tag w:val="_SEC_4d2866150700497eb747371eabd1ca73"/>
        <w:id w:val="-1624612532"/>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45"/>
            </w:numPr>
          </w:pPr>
          <w:r>
            <w:t>控股股东及实际控制人其他情况介绍</w:t>
          </w:r>
        </w:p>
        <w:sdt>
          <w:sdtPr>
            <w:rPr>
              <w:rFonts w:hint="eastAsia"/>
            </w:rPr>
            <w:alias w:val="是否适用：控股股东及实际控制人其他情况介绍[双击切换]"/>
            <w:tag w:val="_GBC_f45ea2fa04e04b71a116fba6ba3bff32"/>
            <w:id w:val="-100726955"/>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ascii="宋体" w:hAnsi="宋体" w:cs="宋体"/>
          <w:b w:val="0"/>
          <w:bCs w:val="0"/>
          <w:kern w:val="0"/>
          <w:szCs w:val="24"/>
        </w:rPr>
        <w:alias w:val="模块:公司控股股东或第一大股东及其一致行动人累计质押股份数量占其所..."/>
        <w:tag w:val="_SEC_edf66ea387584a9794efab65ab32b380"/>
        <w:id w:val="703988582"/>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40"/>
            </w:numPr>
          </w:pPr>
          <w:bookmarkStart w:id="93" w:name="_Hlk89353035"/>
          <w:r>
            <w:t>公司控股股东或第一大股东及其一致行动人累计质押股份数量占其所持公司股份数量比例达到 80%以上</w:t>
          </w:r>
        </w:p>
        <w:sdt>
          <w:sdtPr>
            <w:rPr>
              <w:rFonts w:hint="eastAsia"/>
            </w:rPr>
            <w:alias w:val="是否适用：公司控股股东或第一大股东及其一致行动人累计质押股份数量情况明细[双击切换]"/>
            <w:tag w:val="_GBC_f07bbd5a46a94903bbea3fbbdc7b769f"/>
            <w:id w:val="-310720398"/>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3"/>
    <w:sdt>
      <w:sdtPr>
        <w:rPr>
          <w:rFonts w:ascii="宋体" w:hAnsi="宋体" w:cs="宋体"/>
          <w:b w:val="0"/>
          <w:bCs w:val="0"/>
          <w:kern w:val="0"/>
          <w:szCs w:val="24"/>
        </w:rPr>
        <w:alias w:val="模块:其他持股在百分之十以上的法人股东单位：元 币种：人民币法..."/>
        <w:tag w:val="_SEC_01bab7f76d4648508f5b4ff20d1575e4"/>
        <w:id w:val="1746526913"/>
        <w:lock w:val="sdtLocked"/>
        <w:placeholder>
          <w:docPart w:val="GBC22222222222222222222222222222"/>
        </w:placeholder>
      </w:sdtPr>
      <w:sdtEndPr>
        <w:rPr>
          <w:rFonts w:hint="eastAsia" w:ascii="宋体" w:hAnsi="宋体" w:cs="宋体"/>
          <w:b w:val="0"/>
          <w:bCs w:val="0"/>
          <w:kern w:val="0"/>
          <w:szCs w:val="21"/>
        </w:rPr>
      </w:sdtEndPr>
      <w:sdtContent>
        <w:p>
          <w:pPr>
            <w:pStyle w:val="3"/>
            <w:numPr>
              <w:ilvl w:val="0"/>
              <w:numId w:val="40"/>
            </w:numPr>
          </w:pPr>
          <w:r>
            <w:rPr>
              <w:rFonts w:hint="eastAsia"/>
            </w:rPr>
            <w:t>其他持股在百分之十以上的法人股东</w:t>
          </w:r>
        </w:p>
        <w:sdt>
          <w:sdtPr>
            <w:alias w:val="是否适用：其他持股在百分之十以上的法人股东[双击切换]"/>
            <w:tag w:val="_GBC_7c5d05f2d72d4d3c9ef6e9b93777b39f"/>
            <w:id w:val="-125366657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5361738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40702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7"/>
            <w:tblW w:w="5640"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7"/>
            <w:gridCol w:w="874"/>
            <w:gridCol w:w="1309"/>
            <w:gridCol w:w="1309"/>
            <w:gridCol w:w="1582"/>
            <w:gridCol w:w="3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sdt>
              <w:sdtPr>
                <w:tag w:val="_PLD_62a4f7830a1d48bd87619401509e3a97"/>
                <w:id w:val="1866251006"/>
                <w:lock w:val="sdtLocked"/>
              </w:sdtPr>
              <w:sdtContent>
                <w:tc>
                  <w:tcPr>
                    <w:tcW w:w="587" w:type="pct"/>
                    <w:vAlign w:val="center"/>
                  </w:tcPr>
                  <w:p>
                    <w:pPr>
                      <w:widowControl w:val="0"/>
                      <w:jc w:val="center"/>
                      <w:rPr>
                        <w:szCs w:val="21"/>
                      </w:rPr>
                    </w:pPr>
                    <w:r>
                      <w:rPr>
                        <w:szCs w:val="21"/>
                      </w:rPr>
                      <w:t>法人股东名称</w:t>
                    </w:r>
                  </w:p>
                </w:tc>
              </w:sdtContent>
            </w:sdt>
            <w:sdt>
              <w:sdtPr>
                <w:tag w:val="_PLD_a5f47ae4150442f996c0c70f3df051bf"/>
                <w:id w:val="11728743"/>
                <w:lock w:val="sdtLocked"/>
              </w:sdtPr>
              <w:sdtContent>
                <w:tc>
                  <w:tcPr>
                    <w:tcW w:w="428" w:type="pct"/>
                    <w:vAlign w:val="center"/>
                  </w:tcPr>
                  <w:p>
                    <w:pPr>
                      <w:widowControl w:val="0"/>
                      <w:jc w:val="center"/>
                      <w:rPr>
                        <w:szCs w:val="21"/>
                      </w:rPr>
                    </w:pPr>
                    <w:r>
                      <w:rPr>
                        <w:szCs w:val="21"/>
                      </w:rPr>
                      <w:t>单位负责人或法定代表人</w:t>
                    </w:r>
                  </w:p>
                </w:tc>
              </w:sdtContent>
            </w:sdt>
            <w:sdt>
              <w:sdtPr>
                <w:tag w:val="_PLD_3df6b10726f941e8807e3256d0c71881"/>
                <w:id w:val="-1502116539"/>
                <w:lock w:val="sdtLocked"/>
              </w:sdtPr>
              <w:sdtContent>
                <w:tc>
                  <w:tcPr>
                    <w:tcW w:w="641" w:type="pct"/>
                    <w:vAlign w:val="center"/>
                  </w:tcPr>
                  <w:p>
                    <w:pPr>
                      <w:widowControl w:val="0"/>
                      <w:jc w:val="center"/>
                      <w:rPr>
                        <w:szCs w:val="21"/>
                      </w:rPr>
                    </w:pPr>
                    <w:r>
                      <w:rPr>
                        <w:szCs w:val="21"/>
                      </w:rPr>
                      <w:t>成立日期</w:t>
                    </w:r>
                  </w:p>
                </w:tc>
              </w:sdtContent>
            </w:sdt>
            <w:sdt>
              <w:sdtPr>
                <w:tag w:val="_PLD_950b5d368e344b50ae1b05367c43739a"/>
                <w:id w:val="358559810"/>
                <w:lock w:val="sdtLocked"/>
              </w:sdtPr>
              <w:sdtContent>
                <w:tc>
                  <w:tcPr>
                    <w:tcW w:w="641" w:type="pct"/>
                    <w:vAlign w:val="center"/>
                  </w:tcPr>
                  <w:p>
                    <w:pPr>
                      <w:widowControl w:val="0"/>
                      <w:jc w:val="center"/>
                      <w:rPr>
                        <w:szCs w:val="21"/>
                      </w:rPr>
                    </w:pPr>
                    <w:r>
                      <w:rPr>
                        <w:szCs w:val="21"/>
                      </w:rPr>
                      <w:t>组织机构</w:t>
                    </w:r>
                  </w:p>
                  <w:p>
                    <w:pPr>
                      <w:widowControl w:val="0"/>
                      <w:jc w:val="center"/>
                      <w:rPr>
                        <w:szCs w:val="21"/>
                      </w:rPr>
                    </w:pPr>
                    <w:r>
                      <w:rPr>
                        <w:szCs w:val="21"/>
                      </w:rPr>
                      <w:t>代码</w:t>
                    </w:r>
                  </w:p>
                </w:tc>
              </w:sdtContent>
            </w:sdt>
            <w:sdt>
              <w:sdtPr>
                <w:tag w:val="_PLD_8a3650f52ffa48c7a626a3ccd9b4e147"/>
                <w:id w:val="-1707397004"/>
                <w:lock w:val="sdtLocked"/>
              </w:sdtPr>
              <w:sdtContent>
                <w:tc>
                  <w:tcPr>
                    <w:tcW w:w="775" w:type="pct"/>
                    <w:vAlign w:val="center"/>
                  </w:tcPr>
                  <w:p>
                    <w:pPr>
                      <w:widowControl w:val="0"/>
                      <w:jc w:val="center"/>
                      <w:rPr>
                        <w:szCs w:val="21"/>
                      </w:rPr>
                    </w:pPr>
                    <w:r>
                      <w:rPr>
                        <w:szCs w:val="21"/>
                      </w:rPr>
                      <w:t>注册资本</w:t>
                    </w:r>
                  </w:p>
                </w:tc>
              </w:sdtContent>
            </w:sdt>
            <w:sdt>
              <w:sdtPr>
                <w:tag w:val="_PLD_40ebdad4964e4cd3a78cee43cc6931df"/>
                <w:id w:val="643005744"/>
                <w:lock w:val="sdtLocked"/>
              </w:sdtPr>
              <w:sdtContent>
                <w:tc>
                  <w:tcPr>
                    <w:tcW w:w="1928" w:type="pct"/>
                    <w:vAlign w:val="center"/>
                  </w:tcPr>
                  <w:p>
                    <w:pPr>
                      <w:widowControl w:val="0"/>
                      <w:jc w:val="center"/>
                      <w:rPr>
                        <w:szCs w:val="21"/>
                      </w:rPr>
                    </w:pPr>
                    <w:r>
                      <w:rPr>
                        <w:szCs w:val="21"/>
                      </w:rPr>
                      <w:t>主要经营业务或管理活动等情况</w:t>
                    </w:r>
                  </w:p>
                </w:tc>
              </w:sdtContent>
            </w:sdt>
          </w:tr>
          <w:sdt>
            <w:sdtPr>
              <w:rPr>
                <w:rFonts w:hint="eastAsia" w:asciiTheme="minorHAnsi" w:hAnsiTheme="minorHAnsi" w:eastAsiaTheme="minorEastAsia" w:cstheme="minorBidi"/>
                <w:kern w:val="2"/>
                <w:szCs w:val="21"/>
              </w:rPr>
              <w:alias w:val="其他持股在百分之十以上的法人股东"/>
              <w:tag w:val="_TUP_ea077e63eb494626836ceed1b7b2cf55"/>
              <w:id w:val="-34433513"/>
              <w:lock w:val="sdtLocked"/>
            </w:sdtPr>
            <w:sdtEndPr>
              <w:rPr>
                <w:rFonts w:hint="eastAsia" w:asciiTheme="minorHAnsi" w:hAnsiTheme="minorHAnsi" w:eastAsiaTheme="minorEastAsia" w:cstheme="minorBidi"/>
                <w:kern w:val="2"/>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87" w:type="pct"/>
                    <w:vAlign w:val="center"/>
                  </w:tcPr>
                  <w:p>
                    <w:pPr>
                      <w:widowControl w:val="0"/>
                      <w:jc w:val="both"/>
                      <w:rPr>
                        <w:szCs w:val="21"/>
                      </w:rPr>
                    </w:pPr>
                    <w:r>
                      <w:t>重庆江河汇企业管理有限责任公司</w:t>
                    </w:r>
                  </w:p>
                </w:tc>
                <w:tc>
                  <w:tcPr>
                    <w:tcW w:w="428" w:type="pct"/>
                    <w:vAlign w:val="center"/>
                  </w:tcPr>
                  <w:p>
                    <w:pPr>
                      <w:widowControl w:val="0"/>
                      <w:jc w:val="center"/>
                      <w:rPr>
                        <w:szCs w:val="21"/>
                      </w:rPr>
                    </w:pPr>
                    <w:r>
                      <w:t>徐志豪</w:t>
                    </w:r>
                  </w:p>
                </w:tc>
                <w:tc>
                  <w:tcPr>
                    <w:tcW w:w="641" w:type="pct"/>
                    <w:vAlign w:val="center"/>
                  </w:tcPr>
                  <w:p>
                    <w:pPr>
                      <w:widowControl w:val="0"/>
                      <w:jc w:val="center"/>
                      <w:rPr>
                        <w:szCs w:val="21"/>
                      </w:rPr>
                    </w:pPr>
                    <w:r>
                      <w:t>2020-10-29</w:t>
                    </w:r>
                  </w:p>
                </w:tc>
                <w:tc>
                  <w:tcPr>
                    <w:tcW w:w="641" w:type="pct"/>
                    <w:vAlign w:val="center"/>
                  </w:tcPr>
                  <w:p>
                    <w:pPr>
                      <w:widowControl w:val="0"/>
                      <w:jc w:val="center"/>
                      <w:rPr>
                        <w:szCs w:val="21"/>
                      </w:rPr>
                    </w:pPr>
                    <w:r>
                      <w:t>MA6176NQ-2</w:t>
                    </w:r>
                  </w:p>
                </w:tc>
                <w:tc>
                  <w:tcPr>
                    <w:tcW w:w="775" w:type="pct"/>
                    <w:vAlign w:val="center"/>
                  </w:tcPr>
                  <w:p>
                    <w:pPr>
                      <w:widowControl w:val="0"/>
                      <w:jc w:val="center"/>
                      <w:rPr>
                        <w:szCs w:val="21"/>
                      </w:rPr>
                    </w:pPr>
                    <w:r>
                      <w:t>10,000,000</w:t>
                    </w:r>
                  </w:p>
                </w:tc>
                <w:tc>
                  <w:tcPr>
                    <w:tcW w:w="1928" w:type="pct"/>
                  </w:tcPr>
                  <w:p>
                    <w:pPr>
                      <w:widowControl w:val="0"/>
                      <w:jc w:val="both"/>
                      <w:rPr>
                        <w:sz w:val="15"/>
                        <w:szCs w:val="15"/>
                      </w:rPr>
                    </w:pPr>
                    <w:r>
                      <w:rPr>
                        <w:szCs w:val="21"/>
                      </w:rPr>
                      <w:t>一般项目：企业管理，企业管理咨询，软件开发，物业管理，信息咨询服务（不含许可类信息咨询服务）（除依法须经批准的项目外，凭营业执照依法自主开展经营活动）</w:t>
                    </w:r>
                  </w:p>
                </w:tc>
              </w:tr>
            </w:sdtContent>
          </w:sdt>
          <w:sdt>
            <w:sdtPr>
              <w:rPr>
                <w:rFonts w:hint="eastAsia" w:asciiTheme="minorHAnsi" w:hAnsiTheme="minorHAnsi" w:eastAsiaTheme="minorEastAsia" w:cstheme="minorBidi"/>
                <w:kern w:val="2"/>
                <w:szCs w:val="21"/>
              </w:rPr>
              <w:alias w:val="其他持股在百分之十以上的法人股东"/>
              <w:tag w:val="_TUP_ea077e63eb494626836ceed1b7b2cf55"/>
              <w:id w:val="1101063378"/>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587" w:type="pct"/>
                    <w:vAlign w:val="center"/>
                  </w:tcPr>
                  <w:p>
                    <w:pPr>
                      <w:widowControl w:val="0"/>
                      <w:jc w:val="both"/>
                      <w:rPr>
                        <w:szCs w:val="21"/>
                      </w:rPr>
                    </w:pPr>
                    <w:r>
                      <w:t>重庆力帆控股有限公司</w:t>
                    </w:r>
                  </w:p>
                </w:tc>
                <w:tc>
                  <w:tcPr>
                    <w:tcW w:w="428" w:type="pct"/>
                    <w:vAlign w:val="center"/>
                  </w:tcPr>
                  <w:p>
                    <w:pPr>
                      <w:widowControl w:val="0"/>
                      <w:jc w:val="center"/>
                      <w:rPr>
                        <w:szCs w:val="21"/>
                      </w:rPr>
                    </w:pPr>
                    <w:r>
                      <w:t>陈巧凤</w:t>
                    </w:r>
                  </w:p>
                </w:tc>
                <w:tc>
                  <w:tcPr>
                    <w:tcW w:w="641" w:type="pct"/>
                    <w:vAlign w:val="center"/>
                  </w:tcPr>
                  <w:p>
                    <w:pPr>
                      <w:widowControl w:val="0"/>
                      <w:jc w:val="center"/>
                      <w:rPr>
                        <w:szCs w:val="21"/>
                      </w:rPr>
                    </w:pPr>
                    <w:r>
                      <w:t>2003-11-19</w:t>
                    </w:r>
                  </w:p>
                </w:tc>
                <w:tc>
                  <w:tcPr>
                    <w:tcW w:w="641" w:type="pct"/>
                    <w:vAlign w:val="center"/>
                  </w:tcPr>
                  <w:p>
                    <w:pPr>
                      <w:widowControl w:val="0"/>
                      <w:jc w:val="center"/>
                      <w:rPr>
                        <w:szCs w:val="21"/>
                      </w:rPr>
                    </w:pPr>
                    <w:r>
                      <w:t>75620520-9</w:t>
                    </w:r>
                  </w:p>
                </w:tc>
                <w:tc>
                  <w:tcPr>
                    <w:tcW w:w="775" w:type="pct"/>
                    <w:vAlign w:val="center"/>
                  </w:tcPr>
                  <w:p>
                    <w:pPr>
                      <w:widowControl w:val="0"/>
                      <w:jc w:val="center"/>
                      <w:rPr>
                        <w:szCs w:val="21"/>
                      </w:rPr>
                    </w:pPr>
                    <w:r>
                      <w:t>1,250,000,000</w:t>
                    </w:r>
                  </w:p>
                </w:tc>
                <w:tc>
                  <w:tcPr>
                    <w:tcW w:w="1928" w:type="pct"/>
                  </w:tcPr>
                  <w:p>
                    <w:pPr>
                      <w:widowControl w:val="0"/>
                      <w:jc w:val="both"/>
                      <w:rPr>
                        <w:szCs w:val="21"/>
                      </w:rPr>
                    </w:pPr>
                    <w:r>
                      <w:rPr>
                        <w:szCs w:val="21"/>
                      </w:rPr>
                      <w:t>一般项目：利用公司自有资金向工业、高科技产业、房地产业、体育文化产业进行投资（以上经营范围不含吸收社会存款在内的金融业务），研制、生产、销售：汽车零部件、摩托车零部件、内燃机零部件（不含汽车、摩托车、内燃机发动机制造）；销售:力帆牌载货汽车；销售：金属材料及制品（不含稀贵金属）、电器机械及器材、仪器仪表、电子产品、通讯设备（不含无线电发射及地面接收装置）。[经营范围中法律、行政法规禁止的不得经营；法律、行政法规规定须经批准的项目，应当依法经过批准后方可经营]**（除依法须经批准的项目外，凭营业执照依法自主开展经营活动）</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sdt>
              <w:sdtPr>
                <w:tag w:val="_PLD_0a6365b8856c42d4a74000f11d388b2a"/>
                <w:id w:val="-906069239"/>
                <w:lock w:val="sdtLocked"/>
              </w:sdtPr>
              <w:sdtContent>
                <w:tc>
                  <w:tcPr>
                    <w:tcW w:w="587" w:type="pct"/>
                    <w:vAlign w:val="center"/>
                  </w:tcPr>
                  <w:p>
                    <w:pPr>
                      <w:widowControl w:val="0"/>
                      <w:jc w:val="both"/>
                      <w:rPr>
                        <w:szCs w:val="21"/>
                      </w:rPr>
                    </w:pPr>
                    <w:r>
                      <w:rPr>
                        <w:szCs w:val="21"/>
                      </w:rPr>
                      <w:t>情况说明</w:t>
                    </w:r>
                  </w:p>
                </w:tc>
              </w:sdtContent>
            </w:sdt>
            <w:tc>
              <w:tcPr>
                <w:tcW w:w="4413" w:type="pct"/>
                <w:gridSpan w:val="5"/>
                <w:vAlign w:val="center"/>
              </w:tcPr>
              <w:p>
                <w:pPr>
                  <w:widowControl w:val="0"/>
                  <w:jc w:val="left"/>
                  <w:rPr>
                    <w:szCs w:val="21"/>
                  </w:rPr>
                </w:pPr>
                <w:r>
                  <w:rPr>
                    <w:rFonts w:hint="eastAsia"/>
                  </w:rPr>
                  <w:t>无</w:t>
                </w:r>
              </w:p>
              <w:p>
                <w:pPr>
                  <w:widowControl w:val="0"/>
                  <w:jc w:val="center"/>
                  <w:rPr>
                    <w:szCs w:val="21"/>
                  </w:rPr>
                </w:pPr>
              </w:p>
            </w:tc>
          </w:tr>
        </w:tbl>
        <w:p/>
      </w:sdtContent>
    </w:sdt>
    <w:sdt>
      <w:sdtPr>
        <w:rPr>
          <w:rFonts w:hint="eastAsia" w:ascii="宋体" w:hAnsi="宋体" w:cs="宋体"/>
          <w:b w:val="0"/>
          <w:bCs w:val="0"/>
          <w:kern w:val="0"/>
          <w:szCs w:val="24"/>
        </w:rPr>
        <w:alias w:val="模块:股份限制减持情况说明"/>
        <w:tag w:val="_SEC_b808e6e3153a4b77b1658dde828b8d1f"/>
        <w:id w:val="868722547"/>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40"/>
            </w:numPr>
          </w:pPr>
          <w:r>
            <w:rPr>
              <w:rFonts w:hint="eastAsia"/>
            </w:rPr>
            <w:t>股份限制减持情况说明</w:t>
          </w:r>
        </w:p>
        <w:p>
          <w:sdt>
            <w:sdtPr>
              <w:rPr>
                <w:rFonts w:hint="eastAsia"/>
              </w:rPr>
              <w:alias w:val="是否适用：股份限制减持情况说明[双击切换]"/>
              <w:tag w:val="_GBC_38db60098ddc4e12bffd328b521e0c35"/>
              <w:id w:val="1784688423"/>
              <w:lock w:val="sdtLocked"/>
              <w:placeholder>
                <w:docPart w:val="GBC22222222222222222222222222222"/>
              </w:placeholder>
            </w:sdtPr>
            <w:sdtEndPr>
              <w:rPr>
                <w:rFonts w:hint="default"/>
              </w:rPr>
            </w:sdtEnd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p/>
    <w:sdt>
      <w:sdtPr>
        <w:rPr>
          <w:rFonts w:hint="eastAsia" w:ascii="Calibri" w:hAnsi="Calibri" w:cs="宋体"/>
          <w:b w:val="0"/>
          <w:bCs w:val="0"/>
          <w:kern w:val="0"/>
          <w:szCs w:val="22"/>
        </w:rPr>
        <w:alias w:val="模块:股份回购实施情况"/>
        <w:tag w:val="_SEC_6f21f858a57f4c2e973f75020ab20ef4"/>
        <w:id w:val="1049964100"/>
        <w:lock w:val="sdtLocked"/>
        <w:placeholder>
          <w:docPart w:val="GBC22222222222222222222222222222"/>
        </w:placeholder>
      </w:sdtPr>
      <w:sdtEndPr>
        <w:rPr>
          <w:rFonts w:hint="eastAsia" w:ascii="宋体" w:hAnsi="宋体" w:cs="宋体"/>
          <w:b w:val="0"/>
          <w:bCs w:val="0"/>
          <w:kern w:val="0"/>
          <w:szCs w:val="24"/>
        </w:rPr>
      </w:sdtEndPr>
      <w:sdtContent>
        <w:p>
          <w:pPr>
            <w:pStyle w:val="3"/>
            <w:numPr>
              <w:ilvl w:val="0"/>
              <w:numId w:val="40"/>
            </w:numPr>
          </w:pPr>
          <w:bookmarkStart w:id="94" w:name="_Hlk89353439"/>
          <w:bookmarkStart w:id="95"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1531923271"/>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94"/>
    <w:bookmarkEnd w:id="95"/>
    <w:p/>
    <w:p>
      <w:pPr>
        <w:pStyle w:val="2"/>
        <w:numPr>
          <w:ilvl w:val="0"/>
          <w:numId w:val="2"/>
        </w:numPr>
        <w:jc w:val="left"/>
      </w:pPr>
      <w:bookmarkStart w:id="96" w:name="_Toc89790255"/>
      <w:bookmarkStart w:id="97" w:name="_Toc437440714"/>
      <w:bookmarkStart w:id="98" w:name="_Toc409437608"/>
      <w:r>
        <w:rPr>
          <w:rFonts w:hint="eastAsia"/>
        </w:rPr>
        <w:t>优先股相关情况</w:t>
      </w:r>
      <w:bookmarkEnd w:id="96"/>
      <w:bookmarkEnd w:id="97"/>
      <w:bookmarkEnd w:id="98"/>
    </w:p>
    <w:sdt>
      <w:sdtPr>
        <w:rPr>
          <w:szCs w:val="21"/>
        </w:rPr>
        <w:alias w:val="是否适用：优先股相关情况[双击切换]"/>
        <w:tag w:val="_GBC_0076278996ac412e9bff14977615c2e3"/>
        <w:id w:val="947662527"/>
        <w:lock w:val="sdtLocked"/>
        <w:placeholder>
          <w:docPart w:val="GBC22222222222222222222222222222"/>
        </w:placeholder>
      </w:sdtPr>
      <w:sdtEndPr>
        <w:rPr>
          <w:szCs w:val="21"/>
        </w:rPr>
      </w:sdtEndPr>
      <w:sdtContent>
        <w:p>
          <w:pPr>
            <w:sectPr>
              <w:pgSz w:w="11906" w:h="16838"/>
              <w:pgMar w:top="1525" w:right="1276" w:bottom="1440" w:left="1797" w:header="855" w:footer="992" w:gutter="0"/>
              <w:cols w:space="425" w:num="1"/>
              <w:docGrid w:type="lines" w:linePitch="312" w:charSpace="0"/>
            </w:sect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2"/>
        <w:numPr>
          <w:ilvl w:val="0"/>
          <w:numId w:val="2"/>
        </w:numPr>
        <w:jc w:val="left"/>
        <w:rPr>
          <w:bCs w:val="0"/>
          <w:szCs w:val="28"/>
        </w:rPr>
      </w:pPr>
      <w:bookmarkStart w:id="99" w:name="_Toc342566003"/>
      <w:bookmarkEnd w:id="99"/>
      <w:bookmarkStart w:id="100" w:name="_Toc89790256"/>
      <w:bookmarkStart w:id="101" w:name="_Toc437440717"/>
      <w:bookmarkStart w:id="102" w:name="_Hlk90555499"/>
      <w:r>
        <w:rPr>
          <w:rFonts w:hint="eastAsia"/>
          <w:bCs w:val="0"/>
          <w:szCs w:val="28"/>
        </w:rPr>
        <w:t>债券相关情况</w:t>
      </w:r>
      <w:bookmarkEnd w:id="100"/>
      <w:bookmarkEnd w:id="101"/>
    </w:p>
    <w:p>
      <w:pPr>
        <w:pStyle w:val="3"/>
        <w:numPr>
          <w:ilvl w:val="0"/>
          <w:numId w:val="48"/>
        </w:numPr>
        <w:ind w:left="425" w:hanging="425"/>
        <w:rPr>
          <w:rFonts w:ascii="宋体" w:hAnsi="宋体"/>
        </w:rPr>
      </w:pPr>
      <w:bookmarkStart w:id="103" w:name="_Hlk89353982"/>
      <w:bookmarkStart w:id="104" w:name="_Hlk89955979"/>
      <w:bookmarkStart w:id="105" w:name="_Hlk90042478"/>
      <w:r>
        <w:rPr>
          <w:rFonts w:hint="eastAsia" w:ascii="宋体" w:hAnsi="宋体"/>
        </w:rPr>
        <w:t>企业债券、公司债券和非金融企业债务融资工具</w:t>
      </w:r>
    </w:p>
    <w:sdt>
      <w:sdtPr>
        <w:rPr>
          <w:szCs w:val="21"/>
        </w:rPr>
        <w:alias w:val="是否适用：债券相关情况[双击切换]"/>
        <w:tag w:val="_GBC_804ac0b5f8c94edbbb148299204e0a43"/>
        <w:id w:val="-2042506950"/>
        <w:lock w:val="sdtLocked"/>
        <w:placeholder>
          <w:docPart w:val="GBC22222222222222222222222222222"/>
        </w:placeholder>
      </w:sdtPr>
      <w:sdtEndPr>
        <w:rPr>
          <w:szCs w:val="21"/>
        </w:rPr>
      </w:sdtEndPr>
      <w:sdtContent>
        <w:p>
          <w:bookmarkStart w:id="106" w:name="_Hlk73352152"/>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bookmarkEnd w:id="103"/>
    <w:bookmarkEnd w:id="106"/>
    <w:p/>
    <w:bookmarkEnd w:id="104"/>
    <w:p>
      <w:pPr>
        <w:pStyle w:val="3"/>
        <w:numPr>
          <w:ilvl w:val="0"/>
          <w:numId w:val="48"/>
        </w:numPr>
        <w:ind w:left="425" w:hanging="425"/>
        <w:rPr>
          <w:rFonts w:ascii="宋体" w:hAnsi="宋体"/>
        </w:rPr>
      </w:pPr>
      <w:r>
        <w:rPr>
          <w:rFonts w:hint="eastAsia" w:ascii="宋体" w:hAnsi="宋体"/>
        </w:rPr>
        <w:t>可转换公司债券情况</w:t>
      </w:r>
    </w:p>
    <w:sdt>
      <w:sdtPr>
        <w:rPr>
          <w:rFonts w:hint="eastAsia"/>
        </w:rPr>
        <w:alias w:val="是否适用：可转换公司债券情况[双击切换]"/>
        <w:tag w:val="_GBC_9680c57d3e6a4ee9b01aefbd4b8545db"/>
        <w:id w:val="-29040973"/>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p>
      <w:pPr>
        <w:spacing w:line="360" w:lineRule="exact"/>
        <w:ind w:right="5"/>
      </w:pPr>
    </w:p>
    <w:bookmarkEnd w:id="102"/>
    <w:bookmarkEnd w:id="105"/>
    <w:p>
      <w:r>
        <w:br w:type="page"/>
      </w:r>
    </w:p>
    <w:p>
      <w:pPr>
        <w:spacing w:line="360" w:lineRule="exact"/>
        <w:ind w:right="5"/>
      </w:pPr>
    </w:p>
    <w:p>
      <w:pPr>
        <w:pStyle w:val="2"/>
        <w:numPr>
          <w:ilvl w:val="0"/>
          <w:numId w:val="2"/>
        </w:numPr>
        <w:ind w:left="0" w:firstLine="0"/>
        <w:rPr>
          <w:rFonts w:ascii="宋体" w:hAnsi="宋体" w:eastAsia="宋体"/>
          <w:bCs w:val="0"/>
          <w:szCs w:val="28"/>
        </w:rPr>
      </w:pPr>
      <w:bookmarkStart w:id="107" w:name="_Toc407111364"/>
      <w:bookmarkStart w:id="108" w:name="_Toc89790257"/>
      <w:r>
        <w:rPr>
          <w:rFonts w:ascii="宋体" w:hAnsi="宋体" w:eastAsia="宋体"/>
          <w:bCs w:val="0"/>
          <w:szCs w:val="28"/>
        </w:rPr>
        <w:t>财务报告</w:t>
      </w:r>
      <w:bookmarkEnd w:id="107"/>
      <w:bookmarkEnd w:id="108"/>
    </w:p>
    <w:sdt>
      <w:sdtPr>
        <w:rPr>
          <w:rFonts w:hint="eastAsia" w:ascii="宋体" w:hAnsi="宋体" w:cs="宋体"/>
          <w:b w:val="0"/>
          <w:bCs w:val="0"/>
          <w:kern w:val="0"/>
          <w:szCs w:val="24"/>
        </w:rPr>
        <w:alias w:val="模块:审计报告"/>
        <w:tag w:val="_GBC_3c4b7d00409449a2b71d41277e7bd042"/>
        <w:id w:val="1368803481"/>
        <w:lock w:val="sdtLocked"/>
        <w:placeholder>
          <w:docPart w:val="GBC22222222222222222222222222222"/>
        </w:placeholder>
      </w:sdtPr>
      <w:sdtEndPr>
        <w:rPr>
          <w:rFonts w:hint="eastAsia" w:ascii="宋体" w:hAnsi="宋体" w:cs="宋体"/>
          <w:b w:val="0"/>
          <w:bCs w:val="0"/>
          <w:kern w:val="0"/>
          <w:szCs w:val="24"/>
        </w:rPr>
      </w:sdtEndPr>
      <w:sdtContent>
        <w:p>
          <w:pPr>
            <w:pStyle w:val="113"/>
            <w:numPr>
              <w:ilvl w:val="0"/>
              <w:numId w:val="49"/>
            </w:numPr>
            <w:rPr>
              <w:rFonts w:ascii="宋体" w:hAnsi="宋体"/>
            </w:rPr>
          </w:pPr>
          <w:r>
            <w:rPr>
              <w:rFonts w:hint="eastAsia"/>
            </w:rPr>
            <w:t>审计</w:t>
          </w:r>
          <w:r>
            <w:rPr>
              <w:rFonts w:hint="eastAsia" w:ascii="宋体" w:hAnsi="宋体"/>
            </w:rPr>
            <w:t>报告</w:t>
          </w:r>
        </w:p>
        <w:sdt>
          <w:sdtPr>
            <w:alias w:val="是否适用：审计报告[双击切换]"/>
            <w:tag w:val="_GBC_8a37b9861aa34a8d89cae86ad0133ffb"/>
            <w:id w:val="-61328720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审计报告全文"/>
            <w:tag w:val="_GBC_08aaee8d8997491cb4fc7ef77b493e65"/>
            <w:id w:val="-849023392"/>
            <w:lock w:val="sdtLocked"/>
            <w:placeholder>
              <w:docPart w:val="GBC22222222222222222222222222222"/>
            </w:placeholder>
          </w:sdtPr>
          <w:sdtEndPr>
            <w:rPr>
              <w:rFonts w:hint="eastAsia"/>
            </w:rPr>
          </w:sdtEndPr>
          <w:sdtContent>
            <w:p>
              <w:pPr>
                <w:keepLines/>
                <w:widowControl w:val="0"/>
                <w:adjustRightInd w:val="0"/>
                <w:snapToGrid w:val="0"/>
                <w:jc w:val="center"/>
                <w:outlineLvl w:val="0"/>
                <w:rPr>
                  <w:rFonts w:ascii="黑体" w:hAnsi="黑体" w:eastAsia="黑体"/>
                  <w:b/>
                  <w:spacing w:val="80"/>
                  <w:sz w:val="32"/>
                  <w:szCs w:val="32"/>
                </w:rPr>
              </w:pPr>
              <w:r>
                <w:rPr>
                  <w:rFonts w:ascii="黑体" w:hAnsi="黑体" w:eastAsia="黑体"/>
                  <w:b/>
                  <w:spacing w:val="80"/>
                  <w:sz w:val="24"/>
                </w:rPr>
                <w:t>审计报告</w:t>
              </w:r>
            </w:p>
            <w:p>
              <w:pPr>
                <w:keepLines/>
                <w:widowControl w:val="0"/>
                <w:adjustRightInd w:val="0"/>
                <w:snapToGrid w:val="0"/>
                <w:spacing w:line="360" w:lineRule="auto"/>
                <w:jc w:val="right"/>
                <w:rPr>
                  <w:b/>
                  <w:szCs w:val="21"/>
                </w:rPr>
              </w:pPr>
            </w:p>
            <w:p>
              <w:pPr>
                <w:widowControl w:val="0"/>
                <w:autoSpaceDE w:val="0"/>
                <w:autoSpaceDN w:val="0"/>
                <w:adjustRightInd w:val="0"/>
                <w:snapToGrid w:val="0"/>
                <w:spacing w:line="360" w:lineRule="auto"/>
                <w:jc w:val="right"/>
                <w:rPr>
                  <w:b/>
                  <w:szCs w:val="21"/>
                </w:rPr>
              </w:pPr>
              <w:r>
                <w:rPr>
                  <w:rFonts w:hint="eastAsia"/>
                  <w:b/>
                  <w:szCs w:val="21"/>
                </w:rPr>
                <w:t>天衡审字（2022）</w:t>
              </w:r>
              <w:r>
                <w:rPr>
                  <w:b/>
                  <w:szCs w:val="21"/>
                </w:rPr>
                <w:t>00678</w:t>
              </w:r>
              <w:r>
                <w:rPr>
                  <w:rFonts w:hint="eastAsia"/>
                  <w:b/>
                  <w:szCs w:val="21"/>
                </w:rPr>
                <w:t>号</w:t>
              </w:r>
            </w:p>
            <w:p>
              <w:pPr>
                <w:keepLines/>
                <w:widowControl w:val="0"/>
                <w:adjustRightInd w:val="0"/>
                <w:snapToGrid w:val="0"/>
                <w:spacing w:line="360" w:lineRule="auto"/>
                <w:jc w:val="right"/>
                <w:rPr>
                  <w:szCs w:val="21"/>
                </w:rPr>
              </w:pPr>
            </w:p>
            <w:p>
              <w:pPr>
                <w:pStyle w:val="20"/>
                <w:adjustRightInd w:val="0"/>
                <w:snapToGrid w:val="0"/>
                <w:spacing w:line="360" w:lineRule="auto"/>
                <w:rPr>
                  <w:rFonts w:asciiTheme="minorEastAsia" w:hAnsiTheme="minorEastAsia" w:eastAsiaTheme="minorEastAsia"/>
                  <w:b/>
                  <w:szCs w:val="21"/>
                </w:rPr>
              </w:pPr>
              <w:r>
                <w:rPr>
                  <w:rFonts w:asciiTheme="minorEastAsia" w:hAnsiTheme="minorEastAsia" w:eastAsiaTheme="minorEastAsia"/>
                  <w:b/>
                  <w:szCs w:val="21"/>
                </w:rPr>
                <w:t>力帆科技（集团）股份有限公司全体股东：</w:t>
              </w:r>
            </w:p>
            <w:p>
              <w:pPr>
                <w:widowControl w:val="0"/>
                <w:snapToGrid w:val="0"/>
                <w:spacing w:line="360" w:lineRule="auto"/>
                <w:ind w:left="482"/>
                <w:outlineLvl w:val="1"/>
                <w:rPr>
                  <w:rFonts w:asciiTheme="minorEastAsia" w:hAnsiTheme="minorEastAsia" w:eastAsiaTheme="minorEastAsia"/>
                  <w:b/>
                  <w:szCs w:val="21"/>
                </w:rPr>
              </w:pPr>
              <w:r>
                <w:rPr>
                  <w:rFonts w:hint="eastAsia" w:asciiTheme="minorEastAsia" w:hAnsiTheme="minorEastAsia" w:eastAsiaTheme="minorEastAsia"/>
                  <w:b/>
                  <w:szCs w:val="21"/>
                </w:rPr>
                <w:t>（一）审计</w:t>
              </w:r>
              <w:r>
                <w:rPr>
                  <w:rFonts w:asciiTheme="minorEastAsia" w:hAnsiTheme="minorEastAsia" w:eastAsiaTheme="minorEastAsia"/>
                  <w:b/>
                  <w:szCs w:val="21"/>
                </w:rPr>
                <w:t>意见</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asciiTheme="minorEastAsia" w:hAnsiTheme="minorEastAsia" w:eastAsiaTheme="minorEastAsia"/>
                  <w:szCs w:val="21"/>
                </w:rPr>
                <w:t>我们审计了</w:t>
              </w:r>
              <w:r>
                <w:rPr>
                  <w:rFonts w:hint="eastAsia" w:asciiTheme="minorEastAsia" w:hAnsiTheme="minorEastAsia" w:eastAsiaTheme="minorEastAsia"/>
                  <w:szCs w:val="21"/>
                </w:rPr>
                <w:t>力帆科技（集团）股份有限公司</w:t>
              </w:r>
              <w:r>
                <w:rPr>
                  <w:rFonts w:asciiTheme="minorEastAsia" w:hAnsiTheme="minorEastAsia" w:eastAsiaTheme="minorEastAsia"/>
                  <w:szCs w:val="21"/>
                </w:rPr>
                <w:t>(以下简称</w:t>
              </w:r>
              <w:r>
                <w:rPr>
                  <w:rFonts w:hint="eastAsia" w:asciiTheme="minorEastAsia" w:hAnsiTheme="minorEastAsia" w:eastAsiaTheme="minorEastAsia"/>
                  <w:szCs w:val="21"/>
                </w:rPr>
                <w:t>力帆科技公司</w:t>
              </w:r>
              <w:r>
                <w:rPr>
                  <w:rFonts w:asciiTheme="minorEastAsia" w:hAnsiTheme="minorEastAsia" w:eastAsiaTheme="minorEastAsia"/>
                  <w:szCs w:val="21"/>
                </w:rPr>
                <w:t>)财务报表，包括</w:t>
              </w:r>
              <w:r>
                <w:rPr>
                  <w:rFonts w:hint="eastAsia" w:asciiTheme="minorEastAsia" w:hAnsiTheme="minorEastAsia" w:eastAsiaTheme="minorEastAsia"/>
                  <w:szCs w:val="21"/>
                </w:rPr>
                <w:t>2021</w:t>
              </w:r>
              <w:r>
                <w:rPr>
                  <w:rFonts w:asciiTheme="minorEastAsia" w:hAnsiTheme="minorEastAsia" w:eastAsiaTheme="minorEastAsia"/>
                  <w:szCs w:val="21"/>
                </w:rPr>
                <w:t>年12月31日的</w:t>
              </w:r>
              <w:r>
                <w:rPr>
                  <w:rFonts w:hint="eastAsia" w:asciiTheme="minorEastAsia" w:hAnsiTheme="minorEastAsia" w:eastAsiaTheme="minorEastAsia"/>
                  <w:szCs w:val="21"/>
                </w:rPr>
                <w:t>合并及母公司</w:t>
              </w:r>
              <w:r>
                <w:rPr>
                  <w:rFonts w:asciiTheme="minorEastAsia" w:hAnsiTheme="minorEastAsia" w:eastAsiaTheme="minorEastAsia"/>
                  <w:szCs w:val="21"/>
                </w:rPr>
                <w:t>资产负债表</w:t>
              </w:r>
              <w:r>
                <w:rPr>
                  <w:rFonts w:hint="eastAsia" w:asciiTheme="minorEastAsia" w:hAnsiTheme="minorEastAsia" w:eastAsiaTheme="minorEastAsia"/>
                  <w:szCs w:val="21"/>
                </w:rPr>
                <w:t>，2021</w:t>
              </w:r>
              <w:r>
                <w:rPr>
                  <w:rFonts w:asciiTheme="minorEastAsia" w:hAnsiTheme="minorEastAsia" w:eastAsiaTheme="minorEastAsia"/>
                  <w:szCs w:val="21"/>
                </w:rPr>
                <w:t>年度的</w:t>
              </w:r>
              <w:r>
                <w:rPr>
                  <w:rFonts w:hint="eastAsia" w:asciiTheme="minorEastAsia" w:hAnsiTheme="minorEastAsia" w:eastAsiaTheme="minorEastAsia"/>
                  <w:szCs w:val="21"/>
                </w:rPr>
                <w:t>合并及母公司</w:t>
              </w:r>
              <w:r>
                <w:rPr>
                  <w:rFonts w:asciiTheme="minorEastAsia" w:hAnsiTheme="minorEastAsia" w:eastAsiaTheme="minorEastAsia"/>
                  <w:szCs w:val="21"/>
                </w:rPr>
                <w:t>利润表、</w:t>
              </w:r>
              <w:r>
                <w:rPr>
                  <w:rFonts w:hint="eastAsia" w:asciiTheme="minorEastAsia" w:hAnsiTheme="minorEastAsia" w:eastAsiaTheme="minorEastAsia"/>
                  <w:szCs w:val="21"/>
                </w:rPr>
                <w:t>合并及母公司</w:t>
              </w:r>
              <w:r>
                <w:rPr>
                  <w:rFonts w:asciiTheme="minorEastAsia" w:hAnsiTheme="minorEastAsia" w:eastAsiaTheme="minorEastAsia"/>
                  <w:szCs w:val="21"/>
                </w:rPr>
                <w:t>现金流量表、</w:t>
              </w:r>
              <w:r>
                <w:rPr>
                  <w:rFonts w:hint="eastAsia" w:asciiTheme="minorEastAsia" w:hAnsiTheme="minorEastAsia" w:eastAsiaTheme="minorEastAsia"/>
                  <w:szCs w:val="21"/>
                </w:rPr>
                <w:t>合并及母公司股东</w:t>
              </w:r>
              <w:r>
                <w:rPr>
                  <w:rFonts w:asciiTheme="minorEastAsia" w:hAnsiTheme="minorEastAsia" w:eastAsiaTheme="minorEastAsia"/>
                  <w:szCs w:val="21"/>
                </w:rPr>
                <w:t>权益变动表以及</w:t>
              </w:r>
              <w:r>
                <w:rPr>
                  <w:rFonts w:hint="eastAsia" w:asciiTheme="minorEastAsia" w:hAnsiTheme="minorEastAsia" w:eastAsiaTheme="minorEastAsia"/>
                  <w:szCs w:val="21"/>
                </w:rPr>
                <w:t>相</w:t>
              </w:r>
              <w:r>
                <w:rPr>
                  <w:rFonts w:asciiTheme="minorEastAsia" w:hAnsiTheme="minorEastAsia" w:eastAsiaTheme="minorEastAsia"/>
                  <w:szCs w:val="21"/>
                </w:rPr>
                <w:t>关财务报表附注。</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我们认为，后附的财务报表在所有重大方面按照企业会计准则的规定编制，公允反映了力帆科技公司2021</w:t>
              </w:r>
              <w:r>
                <w:rPr>
                  <w:rFonts w:asciiTheme="minorEastAsia" w:hAnsiTheme="minorEastAsia" w:eastAsiaTheme="minorEastAsia"/>
                  <w:szCs w:val="21"/>
                </w:rPr>
                <w:t>年12月31日</w:t>
              </w:r>
              <w:r>
                <w:rPr>
                  <w:rFonts w:hint="eastAsia" w:asciiTheme="minorEastAsia" w:hAnsiTheme="minorEastAsia" w:eastAsiaTheme="minorEastAsia"/>
                  <w:szCs w:val="21"/>
                </w:rPr>
                <w:t>的合并及母公司财务状况以及2021年度的合并及母公司经营成果和现金流量。</w:t>
              </w:r>
            </w:p>
            <w:p>
              <w:pPr>
                <w:widowControl w:val="0"/>
                <w:snapToGrid w:val="0"/>
                <w:spacing w:line="360" w:lineRule="auto"/>
                <w:ind w:left="482"/>
                <w:outlineLvl w:val="1"/>
                <w:rPr>
                  <w:rFonts w:asciiTheme="minorEastAsia" w:hAnsiTheme="minorEastAsia" w:eastAsiaTheme="minorEastAsia"/>
                  <w:b/>
                  <w:szCs w:val="21"/>
                </w:rPr>
              </w:pPr>
              <w:r>
                <w:rPr>
                  <w:rFonts w:hint="eastAsia" w:asciiTheme="minorEastAsia" w:hAnsiTheme="minorEastAsia" w:eastAsiaTheme="minorEastAsia"/>
                  <w:b/>
                  <w:szCs w:val="21"/>
                </w:rPr>
                <w:t>（二）形成审计意见的基础</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我们按照中国注册会计师审计准则的规定执行了审计工作。审计报告的</w:t>
              </w:r>
              <w:r>
                <w:rPr>
                  <w:rFonts w:asciiTheme="minorEastAsia" w:hAnsiTheme="minorEastAsia" w:eastAsiaTheme="minorEastAsia"/>
                  <w:szCs w:val="21"/>
                </w:rPr>
                <w:t>“</w:t>
              </w:r>
              <w:r>
                <w:rPr>
                  <w:rFonts w:hint="eastAsia" w:asciiTheme="minorEastAsia" w:hAnsiTheme="minorEastAsia" w:eastAsiaTheme="minorEastAsia"/>
                  <w:szCs w:val="21"/>
                </w:rPr>
                <w:t>注册会计师对财务报表审计的责任</w:t>
              </w:r>
              <w:r>
                <w:rPr>
                  <w:rFonts w:asciiTheme="minorEastAsia" w:hAnsiTheme="minorEastAsia" w:eastAsiaTheme="minorEastAsia"/>
                  <w:szCs w:val="21"/>
                </w:rPr>
                <w:t>”</w:t>
              </w:r>
              <w:r>
                <w:rPr>
                  <w:rFonts w:hint="eastAsia" w:asciiTheme="minorEastAsia" w:hAnsiTheme="minorEastAsia" w:eastAsiaTheme="minorEastAsia"/>
                  <w:szCs w:val="21"/>
                </w:rPr>
                <w:t>部分进一步阐述了我们在这些准则下的责任。按照中国注册会计师职业道德守则，我们独立于力帆科技公司，并履行了职业道德方面的其他责任。我们相信，我们获取的审计证据是充分、适当的，为发表审计意见提供了基础。</w:t>
              </w:r>
            </w:p>
            <w:p>
              <w:pPr>
                <w:widowControl w:val="0"/>
                <w:snapToGrid w:val="0"/>
                <w:spacing w:line="360" w:lineRule="auto"/>
                <w:ind w:left="482"/>
                <w:outlineLvl w:val="1"/>
                <w:rPr>
                  <w:rFonts w:asciiTheme="minorEastAsia" w:hAnsiTheme="minorEastAsia" w:eastAsiaTheme="minorEastAsia"/>
                  <w:b/>
                  <w:szCs w:val="21"/>
                </w:rPr>
              </w:pPr>
              <w:r>
                <w:rPr>
                  <w:rFonts w:hint="eastAsia" w:asciiTheme="minorEastAsia" w:hAnsiTheme="minorEastAsia" w:eastAsiaTheme="minorEastAsia"/>
                  <w:b/>
                  <w:szCs w:val="21"/>
                </w:rPr>
                <w:t>（三）关键审计事项</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关键审计事项是我们根据职业判断，认为对本期财务报表审计最为重要的事项。这些事项的</w:t>
              </w:r>
              <w:r>
                <w:rPr>
                  <w:rFonts w:asciiTheme="minorEastAsia" w:hAnsiTheme="minorEastAsia" w:eastAsiaTheme="minorEastAsia"/>
                  <w:szCs w:val="21"/>
                </w:rPr>
                <w:t>应对以</w:t>
              </w:r>
              <w:r>
                <w:rPr>
                  <w:rFonts w:hint="eastAsia" w:asciiTheme="minorEastAsia" w:hAnsiTheme="minorEastAsia" w:eastAsiaTheme="minorEastAsia"/>
                  <w:szCs w:val="21"/>
                </w:rPr>
                <w:t>对财务报表整体进行审计并形成审计意见为背景，我们不对这些事项单独发</w:t>
              </w:r>
              <w:r>
                <w:rPr>
                  <w:rFonts w:asciiTheme="minorEastAsia" w:hAnsiTheme="minorEastAsia" w:eastAsiaTheme="minorEastAsia"/>
                  <w:szCs w:val="21"/>
                </w:rPr>
                <w:t>表</w:t>
              </w:r>
              <w:r>
                <w:rPr>
                  <w:rFonts w:hint="eastAsia" w:asciiTheme="minorEastAsia" w:hAnsiTheme="minorEastAsia" w:eastAsiaTheme="minorEastAsia"/>
                  <w:szCs w:val="21"/>
                </w:rPr>
                <w:t>意见。</w:t>
              </w:r>
            </w:p>
            <w:p>
              <w:pPr>
                <w:pStyle w:val="55"/>
                <w:numPr>
                  <w:ilvl w:val="1"/>
                  <w:numId w:val="36"/>
                </w:numPr>
                <w:autoSpaceDE w:val="0"/>
                <w:snapToGrid w:val="0"/>
                <w:spacing w:line="360" w:lineRule="auto"/>
                <w:ind w:firstLineChars="0"/>
                <w:rPr>
                  <w:rFonts w:asciiTheme="minorEastAsia" w:hAnsiTheme="minorEastAsia" w:eastAsiaTheme="minorEastAsia"/>
                  <w:szCs w:val="21"/>
                </w:rPr>
              </w:pPr>
              <w:bookmarkStart w:id="109" w:name="_Hlk100510404"/>
              <w:r>
                <w:rPr>
                  <w:rFonts w:hint="eastAsia" w:asciiTheme="minorEastAsia" w:hAnsiTheme="minorEastAsia" w:eastAsiaTheme="minorEastAsia"/>
                  <w:szCs w:val="21"/>
                </w:rPr>
                <w:t>收入事项</w:t>
              </w:r>
            </w:p>
            <w:p>
              <w:pPr>
                <w:widowControl w:val="0"/>
                <w:autoSpaceDE w:val="0"/>
                <w:snapToGrid w:val="0"/>
                <w:spacing w:line="360" w:lineRule="auto"/>
                <w:ind w:left="560"/>
                <w:jc w:val="both"/>
                <w:rPr>
                  <w:rFonts w:asciiTheme="minorEastAsia" w:hAnsiTheme="minorEastAsia" w:eastAsiaTheme="minorEastAsia"/>
                  <w:szCs w:val="21"/>
                </w:rPr>
              </w:pPr>
              <w:r>
                <w:rPr>
                  <w:rFonts w:hint="eastAsia" w:asciiTheme="minorEastAsia" w:hAnsiTheme="minorEastAsia" w:eastAsiaTheme="minorEastAsia"/>
                  <w:szCs w:val="21"/>
                </w:rPr>
                <w:t>相关信息披露详见第十节财务报告五、38和七、61。</w:t>
              </w:r>
            </w:p>
            <w:p>
              <w:pPr>
                <w:pStyle w:val="55"/>
                <w:autoSpaceDE w:val="0"/>
                <w:snapToGrid w:val="0"/>
                <w:spacing w:line="360" w:lineRule="auto"/>
                <w:ind w:left="567" w:firstLine="0" w:firstLineChars="0"/>
                <w:rPr>
                  <w:rFonts w:asciiTheme="minorEastAsia" w:hAnsiTheme="minorEastAsia" w:eastAsiaTheme="minorEastAsia"/>
                  <w:szCs w:val="21"/>
                </w:rPr>
              </w:pPr>
              <w:r>
                <w:rPr>
                  <w:rFonts w:hint="eastAsia" w:asciiTheme="minorEastAsia" w:hAnsiTheme="minorEastAsia" w:eastAsiaTheme="minorEastAsia"/>
                  <w:szCs w:val="21"/>
                </w:rPr>
                <w:t>（1）事项描述</w:t>
              </w:r>
            </w:p>
            <w:p>
              <w:pPr>
                <w:pStyle w:val="55"/>
                <w:autoSpaceDE w:val="0"/>
                <w:snapToGrid w:val="0"/>
                <w:spacing w:line="360" w:lineRule="auto"/>
                <w:ind w:firstLine="567" w:firstLineChars="0"/>
                <w:rPr>
                  <w:rFonts w:asciiTheme="minorEastAsia" w:hAnsiTheme="minorEastAsia" w:eastAsiaTheme="minorEastAsia"/>
                  <w:szCs w:val="21"/>
                </w:rPr>
              </w:pPr>
              <w:bookmarkStart w:id="110" w:name="_Hlk100238883"/>
              <w:r>
                <w:rPr>
                  <w:rFonts w:hint="eastAsia" w:asciiTheme="minorEastAsia" w:hAnsiTheme="minorEastAsia" w:eastAsiaTheme="minorEastAsia"/>
                  <w:szCs w:val="21"/>
                </w:rPr>
                <w:t>如第十节财务报告“五、38收入”、“七、61营业收入和营业成本”所述，公司的主要业务为销售汽车、摩托车、发动机、商品房等。20</w:t>
              </w:r>
              <w:r>
                <w:rPr>
                  <w:rFonts w:asciiTheme="minorEastAsia" w:hAnsiTheme="minorEastAsia" w:eastAsiaTheme="minorEastAsia"/>
                  <w:szCs w:val="21"/>
                </w:rPr>
                <w:t>21</w:t>
              </w:r>
              <w:r>
                <w:rPr>
                  <w:rFonts w:hint="eastAsia" w:asciiTheme="minorEastAsia" w:hAnsiTheme="minorEastAsia" w:eastAsiaTheme="minorEastAsia"/>
                  <w:szCs w:val="21"/>
                </w:rPr>
                <w:t>年度公司确认的营业收入为</w:t>
              </w:r>
              <w:r>
                <w:rPr>
                  <w:rFonts w:asciiTheme="minorEastAsia" w:hAnsiTheme="minorEastAsia" w:eastAsiaTheme="minorEastAsia"/>
                  <w:szCs w:val="21"/>
                </w:rPr>
                <w:t>397,722.48</w:t>
              </w:r>
              <w:r>
                <w:rPr>
                  <w:rFonts w:hint="eastAsia" w:asciiTheme="minorEastAsia" w:hAnsiTheme="minorEastAsia" w:eastAsiaTheme="minorEastAsia"/>
                  <w:szCs w:val="21"/>
                </w:rPr>
                <w:t>万元，由于收入是力帆科技公司的关键业绩指标之一，存在重大错报风险，因此我们将力帆科技公司的收入确认识别为关键审计事项。</w:t>
              </w:r>
            </w:p>
            <w:bookmarkEnd w:id="110"/>
            <w:p>
              <w:pPr>
                <w:pStyle w:val="55"/>
                <w:autoSpaceDE w:val="0"/>
                <w:snapToGrid w:val="0"/>
                <w:spacing w:line="360" w:lineRule="auto"/>
                <w:ind w:left="567" w:firstLine="0" w:firstLineChars="0"/>
                <w:rPr>
                  <w:rFonts w:asciiTheme="minorEastAsia" w:hAnsiTheme="minorEastAsia" w:eastAsiaTheme="minorEastAsia"/>
                  <w:szCs w:val="21"/>
                </w:rPr>
              </w:pPr>
              <w:r>
                <w:rPr>
                  <w:rFonts w:hint="eastAsia" w:asciiTheme="minorEastAsia" w:hAnsiTheme="minorEastAsia" w:eastAsiaTheme="minorEastAsia"/>
                  <w:szCs w:val="21"/>
                </w:rPr>
                <w:t>（2）审计应对</w:t>
              </w:r>
            </w:p>
            <w:p>
              <w:pPr>
                <w:pStyle w:val="55"/>
                <w:autoSpaceDE w:val="0"/>
                <w:snapToGrid w:val="0"/>
                <w:spacing w:line="360" w:lineRule="auto"/>
                <w:rPr>
                  <w:rFonts w:asciiTheme="minorEastAsia" w:hAnsiTheme="minorEastAsia" w:eastAsiaTheme="minorEastAsia"/>
                  <w:szCs w:val="21"/>
                </w:rPr>
              </w:pPr>
              <w:bookmarkStart w:id="111" w:name="_Hlk100238891"/>
              <w:r>
                <w:rPr>
                  <w:rFonts w:hint="eastAsia" w:asciiTheme="minorEastAsia" w:hAnsiTheme="minorEastAsia" w:eastAsiaTheme="minorEastAsia"/>
                  <w:szCs w:val="21"/>
                </w:rPr>
                <w:t>针对营业收入事项，我们执行的主要审计程序包括：</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1）了解和评价与收入确认相关的内部控制设计的合理性，并测试其执行情况；</w:t>
              </w:r>
            </w:p>
            <w:p>
              <w:pPr>
                <w:pStyle w:val="55"/>
                <w:autoSpaceDE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szCs w:val="21"/>
                </w:rPr>
                <w:t>2）选取样本抽查营业收入合同，检查与收入确认的有关条款，并向管理层进行访谈，评价收入确认是否符合会计准则的要求；</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3）执行细节测试，检查与销售收入确认相关的依据是否充分，包括检查销售合同或订单、发票、出库单、发运单、报关单、商品房交付通知书等支持性文件，评价收入确认是否符合会计政策；</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4）对营业收入及毛利率实施实质性分析程序，识别是否存在重大或异常波动，复核收入的合理性；</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5）选取样本，对重要客户的交易额及往来余额进行函证；</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6）执行截止性测试程序，检查相关收入是否被记录在恰当的会计期间；</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7）检查与收入相关的信息是否已在财务报表中作出恰当列报。</w:t>
              </w:r>
            </w:p>
            <w:bookmarkEnd w:id="109"/>
            <w:bookmarkEnd w:id="111"/>
            <w:p>
              <w:pPr>
                <w:pStyle w:val="55"/>
                <w:autoSpaceDE w:val="0"/>
                <w:snapToGrid w:val="0"/>
                <w:spacing w:line="360" w:lineRule="auto"/>
                <w:ind w:left="567" w:firstLine="0" w:firstLineChars="0"/>
                <w:rPr>
                  <w:rFonts w:asciiTheme="minorEastAsia" w:hAnsiTheme="minorEastAsia" w:eastAsiaTheme="minorEastAsia"/>
                  <w:szCs w:val="21"/>
                </w:rPr>
              </w:pPr>
              <w:bookmarkStart w:id="112" w:name="_Hlk100510435"/>
              <w:r>
                <w:rPr>
                  <w:rFonts w:hint="eastAsia" w:asciiTheme="minorEastAsia" w:hAnsiTheme="minorEastAsia" w:eastAsiaTheme="minorEastAsia"/>
                  <w:szCs w:val="21"/>
                </w:rPr>
                <w:t>2、商誉减值事项</w:t>
              </w:r>
            </w:p>
            <w:p>
              <w:pPr>
                <w:widowControl w:val="0"/>
                <w:autoSpaceDE w:val="0"/>
                <w:snapToGrid w:val="0"/>
                <w:spacing w:line="360" w:lineRule="auto"/>
                <w:ind w:left="560"/>
                <w:jc w:val="both"/>
                <w:rPr>
                  <w:rFonts w:asciiTheme="minorEastAsia" w:hAnsiTheme="minorEastAsia" w:eastAsiaTheme="minorEastAsia"/>
                  <w:szCs w:val="21"/>
                </w:rPr>
              </w:pPr>
              <w:bookmarkStart w:id="113" w:name="_Hlk100512440"/>
              <w:r>
                <w:rPr>
                  <w:rFonts w:hint="eastAsia" w:asciiTheme="minorEastAsia" w:hAnsiTheme="minorEastAsia" w:eastAsiaTheme="minorEastAsia"/>
                  <w:szCs w:val="21"/>
                </w:rPr>
                <w:t>相关信息披露详见第十节财务报告五、</w:t>
              </w:r>
              <w:r>
                <w:rPr>
                  <w:rFonts w:asciiTheme="minorEastAsia" w:hAnsiTheme="minorEastAsia" w:eastAsiaTheme="minorEastAsia"/>
                  <w:szCs w:val="21"/>
                </w:rPr>
                <w:t>30和七、28</w:t>
              </w:r>
              <w:r>
                <w:rPr>
                  <w:rFonts w:hint="eastAsia" w:asciiTheme="minorEastAsia" w:hAnsiTheme="minorEastAsia" w:eastAsiaTheme="minorEastAsia"/>
                  <w:szCs w:val="21"/>
                </w:rPr>
                <w:t>。</w:t>
              </w:r>
            </w:p>
            <w:p>
              <w:pPr>
                <w:pStyle w:val="55"/>
                <w:autoSpaceDE w:val="0"/>
                <w:snapToGrid w:val="0"/>
                <w:spacing w:line="360" w:lineRule="auto"/>
                <w:ind w:left="480" w:firstLine="0" w:firstLineChars="0"/>
                <w:rPr>
                  <w:rFonts w:asciiTheme="minorEastAsia" w:hAnsiTheme="minorEastAsia" w:eastAsiaTheme="minorEastAsia"/>
                  <w:szCs w:val="21"/>
                </w:rPr>
              </w:pPr>
              <w:r>
                <w:rPr>
                  <w:rFonts w:hint="eastAsia" w:asciiTheme="minorEastAsia" w:hAnsiTheme="minorEastAsia" w:eastAsiaTheme="minorEastAsia"/>
                  <w:szCs w:val="21"/>
                </w:rPr>
                <w:t>（1）事项描述</w:t>
              </w:r>
            </w:p>
            <w:bookmarkEnd w:id="112"/>
            <w:p>
              <w:pPr>
                <w:pStyle w:val="55"/>
                <w:autoSpaceDE w:val="0"/>
                <w:snapToGrid w:val="0"/>
                <w:spacing w:line="360" w:lineRule="auto"/>
                <w:ind w:firstLine="424" w:firstLineChars="202"/>
                <w:rPr>
                  <w:rFonts w:asciiTheme="minorEastAsia" w:hAnsiTheme="minorEastAsia" w:eastAsiaTheme="minorEastAsia"/>
                  <w:szCs w:val="21"/>
                </w:rPr>
              </w:pPr>
              <w:bookmarkStart w:id="114" w:name="_Hlk100238965"/>
              <w:r>
                <w:rPr>
                  <w:rFonts w:hint="eastAsia" w:asciiTheme="minorEastAsia" w:hAnsiTheme="minorEastAsia" w:eastAsiaTheme="minorEastAsia"/>
                  <w:szCs w:val="21"/>
                </w:rPr>
                <w:t>如第十节财务报告“</w:t>
              </w:r>
              <w:r>
                <w:rPr>
                  <w:rFonts w:asciiTheme="minorEastAsia" w:hAnsiTheme="minorEastAsia" w:eastAsiaTheme="minorEastAsia"/>
                  <w:szCs w:val="21"/>
                </w:rPr>
                <w:t>七、28</w:t>
              </w:r>
              <w:r>
                <w:rPr>
                  <w:rFonts w:hint="eastAsia" w:asciiTheme="minorEastAsia" w:hAnsiTheme="minorEastAsia" w:eastAsiaTheme="minorEastAsia"/>
                  <w:szCs w:val="21"/>
                </w:rPr>
                <w:t>”所述，力帆科技截至202</w:t>
              </w:r>
              <w:r>
                <w:rPr>
                  <w:rFonts w:asciiTheme="minorEastAsia" w:hAnsiTheme="minorEastAsia" w:eastAsiaTheme="minorEastAsia"/>
                  <w:szCs w:val="21"/>
                </w:rPr>
                <w:t>1</w:t>
              </w:r>
              <w:r>
                <w:rPr>
                  <w:rFonts w:hint="eastAsia" w:asciiTheme="minorEastAsia" w:hAnsiTheme="minorEastAsia" w:eastAsiaTheme="minorEastAsia"/>
                  <w:szCs w:val="21"/>
                </w:rPr>
                <w:t>年12月31日合并财务报表确认对重庆润田房地产开发有限公司</w:t>
              </w:r>
              <w:r>
                <w:rPr>
                  <w:rFonts w:asciiTheme="minorEastAsia" w:hAnsiTheme="minorEastAsia" w:eastAsiaTheme="minorEastAsia"/>
                  <w:szCs w:val="21"/>
                </w:rPr>
                <w:t>31,927.38</w:t>
              </w:r>
              <w:r>
                <w:rPr>
                  <w:rFonts w:hint="eastAsia" w:asciiTheme="minorEastAsia" w:hAnsiTheme="minorEastAsia" w:eastAsiaTheme="minorEastAsia"/>
                  <w:szCs w:val="21"/>
                </w:rPr>
                <w:t>万元商誉，未计提商誉减值。</w:t>
              </w:r>
            </w:p>
            <w:p>
              <w:pPr>
                <w:pStyle w:val="55"/>
                <w:autoSpaceDE w:val="0"/>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根据企业会计准则的规定，管理层需要每年对商誉进行减值测试，以确定是否需要确认减值损失。商誉减值测试的结果很大程度上依赖于管理层所作的估计和采用的假设，例如对资产组或资产组组合预计未来可产生现金流量和折现率的估计。该等估计受到管理层对未来市场以及对经济环境判断的影响，采用不同的估计和假设会对评估的商誉之可收回价值有很大的影响。由于商誉金额重大，且管理层需要作出重大判断，因此我们将商誉的减值确定为关键审计事项。</w:t>
              </w:r>
            </w:p>
            <w:bookmarkEnd w:id="114"/>
            <w:p>
              <w:pPr>
                <w:pStyle w:val="55"/>
                <w:autoSpaceDE w:val="0"/>
                <w:snapToGrid w:val="0"/>
                <w:spacing w:line="360" w:lineRule="auto"/>
                <w:ind w:left="480" w:firstLine="0" w:firstLineChars="0"/>
                <w:rPr>
                  <w:rFonts w:asciiTheme="minorEastAsia" w:hAnsiTheme="minorEastAsia" w:eastAsiaTheme="minorEastAsia"/>
                  <w:szCs w:val="21"/>
                </w:rPr>
              </w:pPr>
              <w:r>
                <w:rPr>
                  <w:rFonts w:hint="eastAsia" w:asciiTheme="minorEastAsia" w:hAnsiTheme="minorEastAsia" w:eastAsiaTheme="minorEastAsia"/>
                  <w:szCs w:val="21"/>
                </w:rPr>
                <w:t>（2）审计应对</w:t>
              </w:r>
            </w:p>
            <w:p>
              <w:pPr>
                <w:pStyle w:val="55"/>
                <w:autoSpaceDE w:val="0"/>
                <w:snapToGrid w:val="0"/>
                <w:spacing w:line="360" w:lineRule="auto"/>
                <w:ind w:firstLine="424" w:firstLineChars="202"/>
                <w:rPr>
                  <w:rFonts w:asciiTheme="minorEastAsia" w:hAnsiTheme="minorEastAsia" w:eastAsiaTheme="minorEastAsia"/>
                  <w:szCs w:val="21"/>
                </w:rPr>
              </w:pPr>
              <w:r>
                <w:rPr>
                  <w:rFonts w:hint="eastAsia" w:asciiTheme="minorEastAsia" w:hAnsiTheme="minorEastAsia" w:eastAsiaTheme="minorEastAsia"/>
                  <w:szCs w:val="21"/>
                </w:rPr>
                <w:t>针对商誉减值事项，我们执行的主要审计程序包括：</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1）了解和评估与商誉减值测试相关的内部控制的设计的合理性，并测试其执行情况；</w:t>
              </w:r>
            </w:p>
            <w:bookmarkEnd w:id="113"/>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2）了解并评价管理层聘用的外部评估专家的客观性、独立性及专业胜任能力，对外部评估专家进行访谈；</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3）复核管理层对商誉所在资产组或资产组组合的划分是否合理；</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4）复核管理层计算商誉及进行商誉减值测试的过程，复核商誉减值测试所选取的关键参数是否恰当，评价所采用的关键假设、所作出的重大估计和判断是否合理；</w:t>
              </w:r>
            </w:p>
            <w:p>
              <w:pPr>
                <w:autoSpaceDE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5）检查与商誉减值相关的信息是否已在财务报表中作出恰当列报。</w:t>
              </w:r>
            </w:p>
            <w:p>
              <w:pPr>
                <w:widowControl w:val="0"/>
                <w:snapToGrid w:val="0"/>
                <w:spacing w:line="360" w:lineRule="auto"/>
                <w:ind w:left="482"/>
                <w:outlineLvl w:val="1"/>
                <w:rPr>
                  <w:rFonts w:asciiTheme="minorEastAsia" w:hAnsiTheme="minorEastAsia" w:eastAsiaTheme="minorEastAsia"/>
                  <w:b/>
                  <w:szCs w:val="21"/>
                </w:rPr>
              </w:pPr>
              <w:r>
                <w:rPr>
                  <w:rFonts w:hint="eastAsia" w:asciiTheme="minorEastAsia" w:hAnsiTheme="minorEastAsia" w:eastAsiaTheme="minorEastAsia"/>
                  <w:b/>
                  <w:szCs w:val="21"/>
                </w:rPr>
                <w:t>（四）其他信息</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力帆科技公司</w:t>
              </w:r>
              <w:r>
                <w:rPr>
                  <w:rFonts w:asciiTheme="minorEastAsia" w:hAnsiTheme="minorEastAsia" w:eastAsiaTheme="minorEastAsia"/>
                  <w:szCs w:val="21"/>
                </w:rPr>
                <w:t>管理层对其他信息负责。其他信息包括</w:t>
              </w:r>
              <w:r>
                <w:rPr>
                  <w:rFonts w:hint="eastAsia" w:asciiTheme="minorEastAsia" w:hAnsiTheme="minorEastAsia" w:eastAsiaTheme="minorEastAsia"/>
                  <w:szCs w:val="21"/>
                </w:rPr>
                <w:t>力帆科技</w:t>
              </w:r>
              <w:r>
                <w:rPr>
                  <w:rFonts w:asciiTheme="minorEastAsia" w:hAnsiTheme="minorEastAsia" w:eastAsiaTheme="minorEastAsia"/>
                  <w:szCs w:val="21"/>
                </w:rPr>
                <w:t>公司</w:t>
              </w:r>
              <w:r>
                <w:rPr>
                  <w:rFonts w:hint="eastAsia" w:asciiTheme="minorEastAsia" w:hAnsiTheme="minorEastAsia" w:eastAsiaTheme="minorEastAsia"/>
                  <w:szCs w:val="21"/>
                </w:rPr>
                <w:t>2021年度</w:t>
              </w:r>
              <w:r>
                <w:rPr>
                  <w:rFonts w:asciiTheme="minorEastAsia" w:hAnsiTheme="minorEastAsia" w:eastAsiaTheme="minorEastAsia"/>
                  <w:szCs w:val="21"/>
                </w:rPr>
                <w:t>报告中涵盖的信息，但不包括财务报表和我们的审计报告。</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asciiTheme="minorEastAsia" w:hAnsiTheme="minorEastAsia" w:eastAsiaTheme="minorEastAsia"/>
                  <w:szCs w:val="21"/>
                </w:rPr>
                <w:t>我们对财务报表</w:t>
              </w:r>
              <w:r>
                <w:rPr>
                  <w:rFonts w:hint="eastAsia" w:asciiTheme="minorEastAsia" w:hAnsiTheme="minorEastAsia" w:eastAsiaTheme="minorEastAsia"/>
                  <w:szCs w:val="21"/>
                </w:rPr>
                <w:t>发</w:t>
              </w:r>
              <w:r>
                <w:rPr>
                  <w:rFonts w:asciiTheme="minorEastAsia" w:hAnsiTheme="minorEastAsia" w:eastAsiaTheme="minorEastAsia"/>
                  <w:szCs w:val="21"/>
                </w:rPr>
                <w:t>表的审计意见不涵盖其他信息，我们也不对其他信息发表任何形式的鉴证结论。</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asciiTheme="minorEastAsia" w:hAnsiTheme="minorEastAsia" w:eastAsiaTheme="minorEastAsia"/>
                  <w:szCs w:val="21"/>
                </w:rPr>
                <w:t>结合我们对财务报表的审计，我们的责任是阅读其他信息，在此过程中，考虑其他信息是否与财务报表或我们在审计过程中了解的情况存在重大不一致或者似乎存在重大错报。</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asciiTheme="minorEastAsia" w:hAnsiTheme="minorEastAsia" w:eastAsiaTheme="minorEastAsia"/>
                  <w:szCs w:val="21"/>
                </w:rPr>
                <w:t>基于我们已执行的工作，如果我们确定其他信息存在重大错报，我们</w:t>
              </w:r>
              <w:r>
                <w:rPr>
                  <w:rFonts w:hint="eastAsia" w:asciiTheme="minorEastAsia" w:hAnsiTheme="minorEastAsia" w:eastAsiaTheme="minorEastAsia"/>
                  <w:szCs w:val="21"/>
                </w:rPr>
                <w:t>应当</w:t>
              </w:r>
              <w:r>
                <w:rPr>
                  <w:rFonts w:asciiTheme="minorEastAsia" w:hAnsiTheme="minorEastAsia" w:eastAsiaTheme="minorEastAsia"/>
                  <w:szCs w:val="21"/>
                </w:rPr>
                <w:t>报告该事实。在这方面，我们无</w:t>
              </w:r>
              <w:r>
                <w:rPr>
                  <w:rFonts w:hint="eastAsia" w:asciiTheme="minorEastAsia" w:hAnsiTheme="minorEastAsia" w:eastAsiaTheme="minorEastAsia"/>
                  <w:szCs w:val="21"/>
                </w:rPr>
                <w:t>任何</w:t>
              </w:r>
              <w:r>
                <w:rPr>
                  <w:rFonts w:asciiTheme="minorEastAsia" w:hAnsiTheme="minorEastAsia" w:eastAsiaTheme="minorEastAsia"/>
                  <w:szCs w:val="21"/>
                </w:rPr>
                <w:t>事项需要报告。</w:t>
              </w:r>
            </w:p>
            <w:p>
              <w:pPr>
                <w:widowControl w:val="0"/>
                <w:snapToGrid w:val="0"/>
                <w:spacing w:line="360" w:lineRule="auto"/>
                <w:ind w:left="482"/>
                <w:outlineLvl w:val="1"/>
                <w:rPr>
                  <w:rFonts w:asciiTheme="minorEastAsia" w:hAnsiTheme="minorEastAsia" w:eastAsiaTheme="minorEastAsia"/>
                  <w:b/>
                  <w:szCs w:val="21"/>
                </w:rPr>
              </w:pPr>
              <w:r>
                <w:rPr>
                  <w:rFonts w:hint="eastAsia" w:asciiTheme="minorEastAsia" w:hAnsiTheme="minorEastAsia" w:eastAsiaTheme="minorEastAsia"/>
                  <w:b/>
                  <w:szCs w:val="21"/>
                </w:rPr>
                <w:t>（五）管理层和治理层对财务报表的责任</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力帆科技公司管理层负责按照企业会计准则的规定编制财务报表，使其实现公允反映，并设计、执行和维护必要的内部控制，以使财务报表不存在由于舞弊或错误导致的重大错报。</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在编制财务报表时，力帆科技公司管理层负责评估力帆科技公司的持续经营能力，披露与持续经营相关的事项（如适用），并运用持续经营假设，除非管理层计划清算力帆科技公司、终止运营或别无其他现实的选择。</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治理层负责监督力帆科技公司的财务报告过程。</w:t>
              </w:r>
            </w:p>
            <w:p>
              <w:pPr>
                <w:widowControl w:val="0"/>
                <w:snapToGrid w:val="0"/>
                <w:spacing w:line="360" w:lineRule="auto"/>
                <w:ind w:left="482"/>
                <w:outlineLvl w:val="1"/>
                <w:rPr>
                  <w:rFonts w:asciiTheme="minorEastAsia" w:hAnsiTheme="minorEastAsia" w:eastAsiaTheme="minorEastAsia"/>
                  <w:b/>
                  <w:szCs w:val="21"/>
                </w:rPr>
              </w:pPr>
              <w:r>
                <w:rPr>
                  <w:rFonts w:hint="eastAsia" w:asciiTheme="minorEastAsia" w:hAnsiTheme="minorEastAsia" w:eastAsiaTheme="minorEastAsia"/>
                  <w:b/>
                  <w:szCs w:val="21"/>
                </w:rPr>
                <w:t>（六）注册会计师对财务报表审计的责任</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w:t>
              </w:r>
              <w:r>
                <w:rPr>
                  <w:rFonts w:asciiTheme="minorEastAsia" w:hAnsiTheme="minorEastAsia" w:eastAsiaTheme="minorEastAsia"/>
                  <w:szCs w:val="21"/>
                </w:rPr>
                <w:t>认为</w:t>
              </w:r>
              <w:r>
                <w:rPr>
                  <w:rFonts w:hint="eastAsia" w:asciiTheme="minorEastAsia" w:hAnsiTheme="minorEastAsia" w:eastAsiaTheme="minorEastAsia"/>
                  <w:szCs w:val="21"/>
                </w:rPr>
                <w:t>错报是重大的。</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在按照审计准则执行审计工作的过程中，我们运用职业判断，并保持</w:t>
              </w:r>
              <w:r>
                <w:rPr>
                  <w:rFonts w:asciiTheme="minorEastAsia" w:hAnsiTheme="minorEastAsia" w:eastAsiaTheme="minorEastAsia"/>
                  <w:szCs w:val="21"/>
                </w:rPr>
                <w:t>职业怀疑。同时</w:t>
              </w:r>
              <w:r>
                <w:rPr>
                  <w:rFonts w:hint="eastAsia" w:asciiTheme="minorEastAsia" w:hAnsiTheme="minorEastAsia" w:eastAsiaTheme="minorEastAsia"/>
                  <w:szCs w:val="21"/>
                </w:rPr>
                <w:t>，</w:t>
              </w:r>
              <w:r>
                <w:rPr>
                  <w:rFonts w:asciiTheme="minorEastAsia" w:hAnsiTheme="minorEastAsia" w:eastAsiaTheme="minorEastAsia"/>
                  <w:szCs w:val="21"/>
                </w:rPr>
                <w:t>我们也执行以下</w:t>
              </w:r>
              <w:r>
                <w:rPr>
                  <w:rFonts w:hint="eastAsia" w:asciiTheme="minorEastAsia" w:hAnsiTheme="minorEastAsia" w:eastAsiaTheme="minorEastAsia"/>
                  <w:szCs w:val="21"/>
                </w:rPr>
                <w:t>工作</w:t>
              </w:r>
              <w:r>
                <w:rPr>
                  <w:rFonts w:asciiTheme="minorEastAsia" w:hAnsiTheme="minorEastAsia" w:eastAsiaTheme="minorEastAsia"/>
                  <w:szCs w:val="21"/>
                </w:rPr>
                <w:t>：</w:t>
              </w:r>
            </w:p>
            <w:p>
              <w:pPr>
                <w:pStyle w:val="287"/>
                <w:widowControl w:val="0"/>
                <w:autoSpaceDE w:val="0"/>
                <w:snapToGrid w:val="0"/>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1、识别和评估由于舞弊或错误导致的财务报表重大错报风险，设计和实施审计程序以</w:t>
              </w:r>
              <w:r>
                <w:rPr>
                  <w:rFonts w:asciiTheme="minorEastAsia" w:hAnsiTheme="minorEastAsia" w:eastAsiaTheme="minorEastAsia"/>
                  <w:szCs w:val="21"/>
                </w:rPr>
                <w:t>应</w:t>
              </w:r>
              <w:r>
                <w:rPr>
                  <w:rFonts w:hint="eastAsia" w:asciiTheme="minorEastAsia" w:hAnsiTheme="minorEastAsia" w:eastAsiaTheme="minorEastAsia"/>
                  <w:szCs w:val="21"/>
                </w:rPr>
                <w:t>对这些风险，</w:t>
              </w:r>
              <w:r>
                <w:rPr>
                  <w:rFonts w:asciiTheme="minorEastAsia" w:hAnsiTheme="minorEastAsia" w:eastAsiaTheme="minorEastAsia"/>
                  <w:szCs w:val="21"/>
                </w:rPr>
                <w:t>并</w:t>
              </w:r>
              <w:r>
                <w:rPr>
                  <w:rFonts w:hint="eastAsia" w:asciiTheme="minorEastAsia" w:hAnsiTheme="minorEastAsia" w:eastAsiaTheme="minorEastAsia"/>
                  <w:szCs w:val="21"/>
                </w:rPr>
                <w:t>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pPr>
                <w:pStyle w:val="287"/>
                <w:widowControl w:val="0"/>
                <w:autoSpaceDE w:val="0"/>
                <w:snapToGrid w:val="0"/>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2、了解与审计相关的内部控制，以设计恰当的审计程序。</w:t>
              </w:r>
            </w:p>
            <w:p>
              <w:pPr>
                <w:pStyle w:val="287"/>
                <w:widowControl w:val="0"/>
                <w:autoSpaceDE w:val="0"/>
                <w:snapToGrid w:val="0"/>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3、评价管理层选用会计政策的恰当性和作出会计估计及相关披露的合理性。</w:t>
              </w:r>
            </w:p>
            <w:p>
              <w:pPr>
                <w:pStyle w:val="287"/>
                <w:widowControl w:val="0"/>
                <w:autoSpaceDE w:val="0"/>
                <w:snapToGrid w:val="0"/>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4、对管理层使用持续经营假设的恰当性得出结论。同时，根据获取的审计证据，就可能导致对力帆科技公司持续经营能力产生重大疑虑的事项或情况是</w:t>
              </w:r>
              <w:r>
                <w:rPr>
                  <w:rFonts w:asciiTheme="minorEastAsia" w:hAnsiTheme="minorEastAsia" w:eastAsiaTheme="minorEastAsia"/>
                  <w:szCs w:val="21"/>
                </w:rPr>
                <w:t>否存在</w:t>
              </w:r>
              <w:r>
                <w:rPr>
                  <w:rFonts w:hint="eastAsia" w:asciiTheme="minorEastAsia" w:hAnsiTheme="minorEastAsia" w:eastAsiaTheme="minorEastAsia"/>
                  <w:szCs w:val="21"/>
                </w:rPr>
                <w:t>重大不确定性得出结论。如果我们得出结论认为存在重大不确定性，审计准则要求我们在审计报告中提请报告使用者注意财务报表中的相关披露；如果披露不充分，我们应当发表非无保留意见。我们的结论基于截至审计报告日可获得的信息。然而，未来的事项或情况可能导致力帆科技公司不能持续经营。</w:t>
              </w:r>
            </w:p>
            <w:p>
              <w:pPr>
                <w:pStyle w:val="287"/>
                <w:widowControl w:val="0"/>
                <w:autoSpaceDE w:val="0"/>
                <w:snapToGrid w:val="0"/>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5、评价财务报表的总体列报（包括披露）、结构和内容，并评价财务报表是否公允反映相</w:t>
              </w:r>
              <w:r>
                <w:rPr>
                  <w:rFonts w:asciiTheme="minorEastAsia" w:hAnsiTheme="minorEastAsia" w:eastAsiaTheme="minorEastAsia"/>
                  <w:szCs w:val="21"/>
                </w:rPr>
                <w:t>关</w:t>
              </w:r>
              <w:r>
                <w:rPr>
                  <w:rFonts w:hint="eastAsia" w:asciiTheme="minorEastAsia" w:hAnsiTheme="minorEastAsia" w:eastAsiaTheme="minorEastAsia"/>
                  <w:szCs w:val="21"/>
                </w:rPr>
                <w:t>交易和事项。</w:t>
              </w:r>
            </w:p>
            <w:p>
              <w:pPr>
                <w:pStyle w:val="287"/>
                <w:widowControl w:val="0"/>
                <w:autoSpaceDE w:val="0"/>
                <w:snapToGrid w:val="0"/>
                <w:spacing w:line="360" w:lineRule="auto"/>
                <w:jc w:val="both"/>
                <w:rPr>
                  <w:rFonts w:asciiTheme="minorEastAsia" w:hAnsiTheme="minorEastAsia" w:eastAsiaTheme="minorEastAsia"/>
                  <w:szCs w:val="21"/>
                </w:rPr>
              </w:pPr>
              <w:r>
                <w:rPr>
                  <w:rFonts w:hint="eastAsia" w:asciiTheme="minorEastAsia" w:hAnsiTheme="minorEastAsia" w:eastAsiaTheme="minorEastAsia"/>
                  <w:szCs w:val="21"/>
                </w:rPr>
                <w:t>6、就力帆科技公司中实体或业务活动的财务信息获取充分、适当的审计证据，以对合并财务报表发表审计意见。我们负责指导、监督和执行集团审计，并对审计意见承担全部责任。</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我们与治理层就计划的审计范围、时间安排和重大审计发现等事项进行沟通，包括沟通我们在审计中识别出的值得关注的内部控制缺陷。</w:t>
              </w:r>
            </w:p>
            <w:p>
              <w:pPr>
                <w:widowControl w:val="0"/>
                <w:autoSpaceDE w:val="0"/>
                <w:snapToGrid w:val="0"/>
                <w:spacing w:line="360" w:lineRule="auto"/>
                <w:ind w:firstLine="420" w:firstLineChars="200"/>
                <w:jc w:val="both"/>
                <w:rPr>
                  <w:rFonts w:asciiTheme="minorEastAsia" w:hAnsiTheme="minorEastAsia" w:eastAsiaTheme="minorEastAsia"/>
                  <w:szCs w:val="21"/>
                </w:rPr>
              </w:pPr>
              <w:r>
                <w:rPr>
                  <w:rFonts w:hint="eastAsia" w:asciiTheme="minorEastAsia" w:hAnsiTheme="minorEastAsia" w:eastAsiaTheme="minorEastAsia"/>
                  <w:szCs w:val="21"/>
                </w:rPr>
                <w:t>我们还就已遵守与独立性相关的职业道德要求向治理层提供声明，并与治理层沟通可能被合理认为影响我们独立性的所有关系和其他事项，以及相关的防范措施（如适用）。</w:t>
              </w:r>
            </w:p>
            <w:p>
              <w:pPr>
                <w:widowControl w:val="0"/>
                <w:autoSpaceDE w:val="0"/>
                <w:snapToGrid w:val="0"/>
                <w:spacing w:line="360" w:lineRule="auto"/>
                <w:ind w:firstLine="420" w:firstLineChars="200"/>
                <w:jc w:val="both"/>
                <w:rPr>
                  <w:rFonts w:asciiTheme="minorEastAsia" w:hAnsiTheme="minorEastAsia" w:eastAsiaTheme="minorEastAsia"/>
                  <w:szCs w:val="21"/>
                  <w:lang w:val="en-GB"/>
                </w:rPr>
              </w:pPr>
              <w:r>
                <w:rPr>
                  <w:rFonts w:hint="eastAsia" w:asciiTheme="minorEastAsia" w:hAnsiTheme="minorEastAsia" w:eastAsiaTheme="minorEastAsia"/>
                  <w:szCs w:val="21"/>
                </w:rPr>
                <w:t>从与治理层沟通过的事项中，我们确定哪些事项对本期财务报表审计最为重要，因而构成关键审计事项。我们在审计报告中描述这些事项，除非法律法规禁止公开披露这些事项，或在极少数情形下，如果合理预期在审计报告中沟通某事项造成的负面后果超过在公众利益方面产生的益处，我们确定不应在审计报告中沟通该事项。</w:t>
              </w:r>
            </w:p>
            <w:p>
              <w:pPr>
                <w:rPr>
                  <w:rFonts w:cs="仿宋_GB2312" w:asciiTheme="minorEastAsia" w:hAnsiTheme="minorEastAsia" w:eastAsiaTheme="minorEastAsia"/>
                  <w:szCs w:val="21"/>
                </w:rPr>
              </w:pPr>
            </w:p>
            <w:p>
              <w:pPr>
                <w:rPr>
                  <w:rFonts w:cs="仿宋_GB2312" w:asciiTheme="minorEastAsia" w:hAnsiTheme="minorEastAsia" w:eastAsiaTheme="minorEastAsia"/>
                  <w:szCs w:val="21"/>
                </w:rPr>
              </w:pPr>
            </w:p>
            <w:p>
              <w:pPr>
                <w:rPr>
                  <w:rFonts w:cs="仿宋_GB2312"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p>
              <w:pPr>
                <w:rPr>
                  <w:rFonts w:asciiTheme="minorEastAsia" w:hAnsiTheme="minorEastAsia" w:eastAsiaTheme="minorEastAsia"/>
                  <w:szCs w:val="21"/>
                </w:rPr>
              </w:pPr>
            </w:p>
            <w:tbl>
              <w:tblPr>
                <w:tblStyle w:val="36"/>
                <w:tblW w:w="5000" w:type="pct"/>
                <w:tblInd w:w="0" w:type="dxa"/>
                <w:tblLayout w:type="autofit"/>
                <w:tblCellMar>
                  <w:top w:w="0" w:type="dxa"/>
                  <w:left w:w="108" w:type="dxa"/>
                  <w:bottom w:w="0" w:type="dxa"/>
                  <w:right w:w="108" w:type="dxa"/>
                </w:tblCellMar>
              </w:tblPr>
              <w:tblGrid>
                <w:gridCol w:w="4597"/>
                <w:gridCol w:w="286"/>
                <w:gridCol w:w="4166"/>
              </w:tblGrid>
              <w:tr>
                <w:tblPrEx>
                  <w:tblCellMar>
                    <w:top w:w="0" w:type="dxa"/>
                    <w:left w:w="108" w:type="dxa"/>
                    <w:bottom w:w="0" w:type="dxa"/>
                    <w:right w:w="108" w:type="dxa"/>
                  </w:tblCellMar>
                </w:tblPrEx>
                <w:trPr>
                  <w:trHeight w:val="567" w:hRule="atLeast"/>
                </w:trPr>
                <w:tc>
                  <w:tcPr>
                    <w:tcW w:w="2540" w:type="pct"/>
                  </w:tcPr>
                  <w:p>
                    <w:pPr>
                      <w:adjustRightInd w:val="0"/>
                      <w:snapToGrid w:val="0"/>
                      <w:spacing w:before="120" w:beforeLines="50" w:line="320" w:lineRule="exact"/>
                      <w:jc w:val="center"/>
                      <w:rPr>
                        <w:rFonts w:asciiTheme="minorEastAsia" w:hAnsiTheme="minorEastAsia" w:eastAsiaTheme="minorEastAsia"/>
                        <w:szCs w:val="21"/>
                      </w:rPr>
                    </w:pPr>
                    <w:r>
                      <w:rPr>
                        <w:rFonts w:asciiTheme="minorEastAsia" w:hAnsiTheme="minorEastAsia" w:eastAsiaTheme="minorEastAsia"/>
                        <w:szCs w:val="21"/>
                      </w:rPr>
                      <w:t>天衡会计师事务所(特殊普通合伙)</w:t>
                    </w:r>
                  </w:p>
                </w:tc>
                <w:tc>
                  <w:tcPr>
                    <w:tcW w:w="158" w:type="pct"/>
                  </w:tcPr>
                  <w:p>
                    <w:pPr>
                      <w:adjustRightInd w:val="0"/>
                      <w:snapToGrid w:val="0"/>
                      <w:spacing w:before="120" w:beforeLines="50" w:line="320" w:lineRule="exact"/>
                      <w:rPr>
                        <w:rFonts w:cs="Arial" w:asciiTheme="minorEastAsia" w:hAnsiTheme="minorEastAsia" w:eastAsiaTheme="minorEastAsia"/>
                        <w:szCs w:val="21"/>
                      </w:rPr>
                    </w:pPr>
                  </w:p>
                </w:tc>
                <w:tc>
                  <w:tcPr>
                    <w:tcW w:w="2302" w:type="pct"/>
                  </w:tcPr>
                  <w:p>
                    <w:pPr>
                      <w:adjustRightInd w:val="0"/>
                      <w:snapToGrid w:val="0"/>
                      <w:spacing w:before="120" w:beforeLines="50" w:line="320" w:lineRule="exact"/>
                      <w:ind w:firstLine="210" w:firstLineChars="100"/>
                      <w:rPr>
                        <w:rFonts w:cs="Arial" w:asciiTheme="minorEastAsia" w:hAnsiTheme="minorEastAsia" w:eastAsiaTheme="minorEastAsia"/>
                        <w:szCs w:val="21"/>
                      </w:rPr>
                    </w:pPr>
                    <w:r>
                      <w:rPr>
                        <w:rFonts w:asciiTheme="minorEastAsia" w:hAnsiTheme="minorEastAsia" w:eastAsiaTheme="minorEastAsia"/>
                        <w:szCs w:val="21"/>
                      </w:rPr>
                      <w:t>中国注册会计师：</w:t>
                    </w:r>
                    <w:r>
                      <w:rPr>
                        <w:rFonts w:hint="eastAsia" w:asciiTheme="minorEastAsia" w:hAnsiTheme="minorEastAsia" w:eastAsiaTheme="minorEastAsia"/>
                        <w:szCs w:val="21"/>
                      </w:rPr>
                      <w:t>谢栋清</w:t>
                    </w:r>
                  </w:p>
                </w:tc>
              </w:tr>
              <w:tr>
                <w:tblPrEx>
                  <w:tblCellMar>
                    <w:top w:w="0" w:type="dxa"/>
                    <w:left w:w="108" w:type="dxa"/>
                    <w:bottom w:w="0" w:type="dxa"/>
                    <w:right w:w="108" w:type="dxa"/>
                  </w:tblCellMar>
                </w:tblPrEx>
                <w:trPr>
                  <w:trHeight w:val="567" w:hRule="atLeast"/>
                </w:trPr>
                <w:tc>
                  <w:tcPr>
                    <w:tcW w:w="2540" w:type="pct"/>
                  </w:tcPr>
                  <w:p>
                    <w:pPr>
                      <w:adjustRightInd w:val="0"/>
                      <w:snapToGrid w:val="0"/>
                      <w:spacing w:before="120" w:beforeLines="50" w:line="320" w:lineRule="exact"/>
                      <w:rPr>
                        <w:rFonts w:cs="Arial" w:asciiTheme="minorEastAsia" w:hAnsiTheme="minorEastAsia" w:eastAsiaTheme="minorEastAsia"/>
                        <w:szCs w:val="21"/>
                      </w:rPr>
                    </w:pPr>
                  </w:p>
                </w:tc>
                <w:tc>
                  <w:tcPr>
                    <w:tcW w:w="158" w:type="pct"/>
                  </w:tcPr>
                  <w:p>
                    <w:pPr>
                      <w:adjustRightInd w:val="0"/>
                      <w:snapToGrid w:val="0"/>
                      <w:spacing w:before="120" w:beforeLines="50" w:line="320" w:lineRule="exact"/>
                      <w:rPr>
                        <w:rFonts w:cs="Arial" w:asciiTheme="minorEastAsia" w:hAnsiTheme="minorEastAsia" w:eastAsiaTheme="minorEastAsia"/>
                        <w:szCs w:val="21"/>
                      </w:rPr>
                    </w:pPr>
                  </w:p>
                </w:tc>
                <w:tc>
                  <w:tcPr>
                    <w:tcW w:w="2302" w:type="pct"/>
                  </w:tcPr>
                  <w:p>
                    <w:pPr>
                      <w:adjustRightInd w:val="0"/>
                      <w:snapToGrid w:val="0"/>
                      <w:spacing w:before="120" w:beforeLines="50" w:line="320" w:lineRule="exact"/>
                      <w:ind w:firstLine="315" w:firstLineChars="150"/>
                      <w:rPr>
                        <w:rFonts w:cs="Arial" w:asciiTheme="minorEastAsia" w:hAnsiTheme="minorEastAsia" w:eastAsiaTheme="minorEastAsia"/>
                        <w:szCs w:val="21"/>
                      </w:rPr>
                    </w:pPr>
                    <w:r>
                      <w:rPr>
                        <w:rFonts w:cs="Arial" w:asciiTheme="minorEastAsia" w:hAnsiTheme="minorEastAsia" w:eastAsiaTheme="minorEastAsia"/>
                        <w:szCs w:val="21"/>
                      </w:rPr>
                      <w:t>(</w:t>
                    </w:r>
                    <w:r>
                      <w:rPr>
                        <w:rFonts w:asciiTheme="minorEastAsia" w:hAnsiTheme="minorEastAsia" w:eastAsiaTheme="minorEastAsia"/>
                        <w:szCs w:val="21"/>
                      </w:rPr>
                      <w:t>项目合伙人)</w:t>
                    </w:r>
                  </w:p>
                </w:tc>
              </w:tr>
              <w:tr>
                <w:tblPrEx>
                  <w:tblCellMar>
                    <w:top w:w="0" w:type="dxa"/>
                    <w:left w:w="108" w:type="dxa"/>
                    <w:bottom w:w="0" w:type="dxa"/>
                    <w:right w:w="108" w:type="dxa"/>
                  </w:tblCellMar>
                </w:tblPrEx>
                <w:trPr>
                  <w:trHeight w:val="567" w:hRule="atLeast"/>
                </w:trPr>
                <w:tc>
                  <w:tcPr>
                    <w:tcW w:w="2540" w:type="pct"/>
                  </w:tcPr>
                  <w:p>
                    <w:pPr>
                      <w:adjustRightInd w:val="0"/>
                      <w:snapToGrid w:val="0"/>
                      <w:spacing w:before="120" w:beforeLines="50" w:line="320" w:lineRule="exact"/>
                      <w:jc w:val="center"/>
                      <w:rPr>
                        <w:rFonts w:cs="Arial" w:asciiTheme="minorEastAsia" w:hAnsiTheme="minorEastAsia" w:eastAsiaTheme="minorEastAsia"/>
                        <w:szCs w:val="21"/>
                      </w:rPr>
                    </w:pPr>
                    <w:r>
                      <w:rPr>
                        <w:rFonts w:asciiTheme="minorEastAsia" w:hAnsiTheme="minorEastAsia" w:eastAsiaTheme="minorEastAsia"/>
                        <w:szCs w:val="21"/>
                      </w:rPr>
                      <w:t>中国·南京</w:t>
                    </w:r>
                  </w:p>
                </w:tc>
                <w:tc>
                  <w:tcPr>
                    <w:tcW w:w="158" w:type="pct"/>
                  </w:tcPr>
                  <w:p>
                    <w:pPr>
                      <w:adjustRightInd w:val="0"/>
                      <w:snapToGrid w:val="0"/>
                      <w:spacing w:before="120" w:beforeLines="50" w:line="320" w:lineRule="exact"/>
                      <w:rPr>
                        <w:rFonts w:cs="Arial" w:asciiTheme="minorEastAsia" w:hAnsiTheme="minorEastAsia" w:eastAsiaTheme="minorEastAsia"/>
                        <w:szCs w:val="21"/>
                      </w:rPr>
                    </w:pPr>
                  </w:p>
                </w:tc>
                <w:tc>
                  <w:tcPr>
                    <w:tcW w:w="2302" w:type="pct"/>
                  </w:tcPr>
                  <w:p>
                    <w:pPr>
                      <w:adjustRightInd w:val="0"/>
                      <w:snapToGrid w:val="0"/>
                      <w:spacing w:before="120" w:beforeLines="50" w:line="320" w:lineRule="exact"/>
                      <w:rPr>
                        <w:rFonts w:cs="Arial" w:asciiTheme="minorEastAsia" w:hAnsiTheme="minorEastAsia" w:eastAsiaTheme="minorEastAsia"/>
                        <w:szCs w:val="21"/>
                      </w:rPr>
                    </w:pPr>
                  </w:p>
                </w:tc>
              </w:tr>
              <w:tr>
                <w:tblPrEx>
                  <w:tblCellMar>
                    <w:top w:w="0" w:type="dxa"/>
                    <w:left w:w="108" w:type="dxa"/>
                    <w:bottom w:w="0" w:type="dxa"/>
                    <w:right w:w="108" w:type="dxa"/>
                  </w:tblCellMar>
                </w:tblPrEx>
                <w:trPr>
                  <w:trHeight w:val="567" w:hRule="atLeast"/>
                </w:trPr>
                <w:tc>
                  <w:tcPr>
                    <w:tcW w:w="2540" w:type="pct"/>
                  </w:tcPr>
                  <w:p>
                    <w:pPr>
                      <w:adjustRightInd w:val="0"/>
                      <w:snapToGrid w:val="0"/>
                      <w:spacing w:before="120" w:beforeLines="50" w:line="320" w:lineRule="exact"/>
                      <w:jc w:val="center"/>
                      <w:rPr>
                        <w:rFonts w:cs="Arial" w:asciiTheme="minorEastAsia" w:hAnsiTheme="minorEastAsia" w:eastAsiaTheme="minorEastAsia"/>
                        <w:szCs w:val="21"/>
                      </w:rPr>
                    </w:pPr>
                  </w:p>
                </w:tc>
                <w:tc>
                  <w:tcPr>
                    <w:tcW w:w="158" w:type="pct"/>
                  </w:tcPr>
                  <w:p>
                    <w:pPr>
                      <w:adjustRightInd w:val="0"/>
                      <w:snapToGrid w:val="0"/>
                      <w:spacing w:before="120" w:beforeLines="50" w:line="320" w:lineRule="exact"/>
                      <w:rPr>
                        <w:rFonts w:cs="Arial" w:asciiTheme="minorEastAsia" w:hAnsiTheme="minorEastAsia" w:eastAsiaTheme="minorEastAsia"/>
                        <w:szCs w:val="21"/>
                      </w:rPr>
                    </w:pPr>
                  </w:p>
                </w:tc>
                <w:tc>
                  <w:tcPr>
                    <w:tcW w:w="2302" w:type="pct"/>
                  </w:tcPr>
                  <w:p>
                    <w:pPr>
                      <w:adjustRightInd w:val="0"/>
                      <w:snapToGrid w:val="0"/>
                      <w:spacing w:before="120" w:beforeLines="50" w:line="320" w:lineRule="exact"/>
                      <w:ind w:firstLine="210" w:firstLineChars="100"/>
                      <w:rPr>
                        <w:rFonts w:cs="Arial" w:asciiTheme="minorEastAsia" w:hAnsiTheme="minorEastAsia" w:eastAsiaTheme="minorEastAsia"/>
                        <w:szCs w:val="21"/>
                      </w:rPr>
                    </w:pPr>
                  </w:p>
                </w:tc>
              </w:tr>
              <w:tr>
                <w:tblPrEx>
                  <w:tblCellMar>
                    <w:top w:w="0" w:type="dxa"/>
                    <w:left w:w="108" w:type="dxa"/>
                    <w:bottom w:w="0" w:type="dxa"/>
                    <w:right w:w="108" w:type="dxa"/>
                  </w:tblCellMar>
                </w:tblPrEx>
                <w:trPr>
                  <w:trHeight w:val="567" w:hRule="atLeast"/>
                </w:trPr>
                <w:tc>
                  <w:tcPr>
                    <w:tcW w:w="2540" w:type="pct"/>
                  </w:tcPr>
                  <w:p>
                    <w:pPr>
                      <w:adjustRightInd w:val="0"/>
                      <w:snapToGrid w:val="0"/>
                      <w:spacing w:before="120" w:beforeLines="50" w:line="320" w:lineRule="exact"/>
                      <w:jc w:val="center"/>
                      <w:rPr>
                        <w:rFonts w:asciiTheme="minorEastAsia" w:hAnsiTheme="minorEastAsia" w:eastAsiaTheme="minorEastAsia"/>
                        <w:szCs w:val="21"/>
                      </w:rPr>
                    </w:pPr>
                    <w:r>
                      <w:rPr>
                        <w:rFonts w:asciiTheme="minorEastAsia" w:hAnsiTheme="minorEastAsia" w:eastAsiaTheme="minorEastAsia"/>
                        <w:szCs w:val="21"/>
                      </w:rPr>
                      <w:t>20</w:t>
                    </w:r>
                    <w:r>
                      <w:rPr>
                        <w:rFonts w:hint="eastAsia" w:asciiTheme="minorEastAsia" w:hAnsiTheme="minorEastAsia" w:eastAsiaTheme="minorEastAsia"/>
                        <w:szCs w:val="21"/>
                      </w:rPr>
                      <w:t>22</w:t>
                    </w:r>
                    <w:r>
                      <w:rPr>
                        <w:rFonts w:asciiTheme="minorEastAsia" w:hAnsiTheme="minorEastAsia" w:eastAsiaTheme="minorEastAsia"/>
                        <w:szCs w:val="21"/>
                      </w:rPr>
                      <w:t>年4月</w:t>
                    </w:r>
                    <w:r>
                      <w:rPr>
                        <w:rFonts w:hint="eastAsia" w:asciiTheme="minorEastAsia" w:hAnsiTheme="minorEastAsia" w:eastAsiaTheme="minorEastAsia"/>
                        <w:szCs w:val="21"/>
                      </w:rPr>
                      <w:t>2</w:t>
                    </w:r>
                    <w:r>
                      <w:rPr>
                        <w:rFonts w:asciiTheme="minorEastAsia" w:hAnsiTheme="minorEastAsia" w:eastAsiaTheme="minorEastAsia"/>
                        <w:szCs w:val="21"/>
                      </w:rPr>
                      <w:t>2日</w:t>
                    </w:r>
                  </w:p>
                </w:tc>
                <w:tc>
                  <w:tcPr>
                    <w:tcW w:w="158" w:type="pct"/>
                  </w:tcPr>
                  <w:p>
                    <w:pPr>
                      <w:adjustRightInd w:val="0"/>
                      <w:snapToGrid w:val="0"/>
                      <w:spacing w:before="120" w:beforeLines="50" w:line="320" w:lineRule="exact"/>
                      <w:rPr>
                        <w:rFonts w:cs="Arial" w:asciiTheme="minorEastAsia" w:hAnsiTheme="minorEastAsia" w:eastAsiaTheme="minorEastAsia"/>
                        <w:szCs w:val="21"/>
                      </w:rPr>
                    </w:pPr>
                  </w:p>
                </w:tc>
                <w:tc>
                  <w:tcPr>
                    <w:tcW w:w="2302" w:type="pct"/>
                  </w:tcPr>
                  <w:p>
                    <w:pPr>
                      <w:adjustRightInd w:val="0"/>
                      <w:snapToGrid w:val="0"/>
                      <w:spacing w:before="120" w:beforeLines="50" w:line="320" w:lineRule="exact"/>
                      <w:ind w:firstLine="210" w:firstLineChars="100"/>
                      <w:rPr>
                        <w:rFonts w:asciiTheme="minorEastAsia" w:hAnsiTheme="minorEastAsia" w:eastAsiaTheme="minorEastAsia"/>
                        <w:szCs w:val="21"/>
                      </w:rPr>
                    </w:pPr>
                    <w:r>
                      <w:rPr>
                        <w:rFonts w:asciiTheme="minorEastAsia" w:hAnsiTheme="minorEastAsia" w:eastAsiaTheme="minorEastAsia"/>
                        <w:szCs w:val="21"/>
                      </w:rPr>
                      <w:t>中国注册会计师：</w:t>
                    </w:r>
                    <w:r>
                      <w:rPr>
                        <w:rFonts w:hint="eastAsia" w:asciiTheme="minorEastAsia" w:hAnsiTheme="minorEastAsia" w:eastAsiaTheme="minorEastAsia"/>
                        <w:szCs w:val="21"/>
                      </w:rPr>
                      <w:t>王强</w:t>
                    </w:r>
                  </w:p>
                </w:tc>
              </w:tr>
            </w:tbl>
            <w:p/>
          </w:sdtContent>
        </w:sdt>
      </w:sdtContent>
    </w:sdt>
    <w:p>
      <w:r>
        <w:br w:type="page"/>
      </w:r>
    </w:p>
    <w:p/>
    <w:p>
      <w:pPr>
        <w:pStyle w:val="113"/>
        <w:numPr>
          <w:ilvl w:val="0"/>
          <w:numId w:val="49"/>
        </w:numPr>
        <w:rPr>
          <w:rFonts w:ascii="宋体" w:hAnsi="宋体"/>
        </w:rPr>
      </w:pPr>
      <w:r>
        <w:rPr>
          <w:rFonts w:hint="eastAsia" w:ascii="宋体" w:hAnsi="宋体"/>
        </w:rPr>
        <w:t>财务报表</w:t>
      </w:r>
      <w:bookmarkStart w:id="115" w:name="_Hlk24034092"/>
    </w:p>
    <w:bookmarkEnd w:id="115"/>
    <w:sdt>
      <w:sdtPr>
        <w:rPr>
          <w:rFonts w:hint="eastAsia" w:ascii="宋体" w:hAnsi="宋体" w:cs="宋体"/>
          <w:b w:val="0"/>
          <w:bCs w:val="0"/>
          <w:kern w:val="0"/>
          <w:szCs w:val="24"/>
        </w:rPr>
        <w:alias w:val="选项模块:需要编制合并报表"/>
        <w:tag w:val="_SEC_cc37a84cf19b441f93487bfd1de48f00"/>
        <w:id w:val="936873136"/>
        <w:lock w:val="sdtLocked"/>
        <w:placeholder>
          <w:docPart w:val="GBC22222222222222222222222222222"/>
        </w:placeholder>
      </w:sdtPr>
      <w:sdtEndPr>
        <w:rPr>
          <w:rFonts w:hint="default" w:ascii="宋体" w:hAnsi="宋体" w:cs="宋体"/>
          <w:b w:val="0"/>
          <w:bCs w:val="0"/>
          <w:kern w:val="0"/>
          <w:szCs w:val="24"/>
        </w:rPr>
      </w:sdtEndPr>
      <w:sdtContent>
        <w:sdt>
          <w:sdtPr>
            <w:rPr>
              <w:rFonts w:hint="eastAsia" w:ascii="宋体" w:hAnsi="宋体" w:cs="宋体"/>
              <w:b w:val="0"/>
              <w:bCs w:val="0"/>
              <w:kern w:val="0"/>
              <w:szCs w:val="24"/>
            </w:rPr>
            <w:tag w:val="_SEC_da8537716f844d348642866e2e19ed15"/>
            <w:id w:val="-1096009775"/>
            <w:lock w:val="sdtLocked"/>
            <w:placeholder>
              <w:docPart w:val="GBC22222222222222222222222222222"/>
            </w:placeholder>
          </w:sdtPr>
          <w:sdtEndPr>
            <w:rPr>
              <w:rFonts w:hint="default" w:ascii="宋体" w:hAnsi="宋体" w:cs="宋体"/>
              <w:b w:val="0"/>
              <w:bCs w:val="0"/>
              <w:color w:val="008000"/>
              <w:kern w:val="0"/>
              <w:szCs w:val="21"/>
              <w:u w:val="single"/>
            </w:rPr>
          </w:sdtEndPr>
          <w:sdtContent>
            <w:p>
              <w:pPr>
                <w:pStyle w:val="114"/>
                <w:jc w:val="center"/>
              </w:pPr>
              <w:r>
                <w:rPr>
                  <w:rFonts w:hint="eastAsia"/>
                </w:rPr>
                <w:t>合并资产负债表</w:t>
              </w:r>
            </w:p>
            <w:p>
              <w:pPr>
                <w:snapToGrid w:val="0"/>
                <w:spacing w:line="240" w:lineRule="atLeast"/>
                <w:jc w:val="center"/>
                <w:rPr>
                  <w:b/>
                  <w:szCs w:val="21"/>
                </w:rPr>
              </w:pPr>
              <w:r>
                <w:rPr>
                  <w:szCs w:val="21"/>
                </w:rPr>
                <w:t>2021年12月31日</w:t>
              </w:r>
            </w:p>
            <w:p>
              <w:pPr>
                <w:rPr>
                  <w:szCs w:val="21"/>
                </w:rPr>
              </w:pPr>
              <w:r>
                <w:rPr>
                  <w:szCs w:val="21"/>
                </w:rPr>
                <w:t xml:space="preserve">编制单位: </w:t>
              </w:r>
              <w:sdt>
                <w:sdtPr>
                  <w:rPr>
                    <w:szCs w:val="21"/>
                  </w:rPr>
                  <w:alias w:val="公司法定中文名称"/>
                  <w:tag w:val="_GBC_22071e1c4bb04578b94539b252cb1c67"/>
                  <w:id w:val="1829630326"/>
                  <w:lock w:val="sdtLocked"/>
                  <w:placeholder>
                    <w:docPart w:val="GBC22222222222222222222222222222"/>
                  </w:placeholder>
                  <w:text/>
                </w:sdtPr>
                <w:sdtEndPr>
                  <w:rPr>
                    <w:szCs w:val="21"/>
                  </w:rPr>
                </w:sdtEndPr>
                <w:sdtContent>
                  <w:r>
                    <w:rPr>
                      <w:rFonts w:hint="eastAsia"/>
                      <w:szCs w:val="21"/>
                    </w:rPr>
                    <w:t>力帆科技（集团）股份有限公司</w:t>
                  </w:r>
                </w:sdtContent>
              </w:sdt>
            </w:p>
            <w:p>
              <w:pPr>
                <w:jc w:val="right"/>
                <w:rPr>
                  <w:szCs w:val="21"/>
                </w:rPr>
              </w:pPr>
              <w:r>
                <w:rPr>
                  <w:szCs w:val="21"/>
                </w:rPr>
                <w:t>单位:</w:t>
              </w:r>
              <w:sdt>
                <w:sdtPr>
                  <w:rPr>
                    <w:szCs w:val="21"/>
                  </w:rPr>
                  <w:alias w:val="单位：合并资产负债表"/>
                  <w:tag w:val="_GBC_8c6918f285a44e0f8fb06fefffa27df4"/>
                  <w:id w:val="-11727226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资产负债表"/>
                  <w:tag w:val="_GBC_0953b26208a64010937af0b40efed509"/>
                  <w:id w:val="1524202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10"/>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4c27050653a48c5a546a57ae8416994"/>
                    <w:id w:val="-192880296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asciiTheme="minorEastAsia" w:hAnsiTheme="minorEastAsia" w:eastAsiaTheme="minorEastAsia"/>
                            <w:b/>
                            <w:szCs w:val="21"/>
                          </w:rPr>
                          <w:t>项目</w:t>
                        </w:r>
                      </w:p>
                    </w:tc>
                  </w:sdtContent>
                </w:sdt>
                <w:sdt>
                  <w:sdtPr>
                    <w:rPr>
                      <w:rFonts w:asciiTheme="minorEastAsia" w:hAnsiTheme="minorEastAsia" w:eastAsiaTheme="minorEastAsia"/>
                      <w:szCs w:val="21"/>
                    </w:rPr>
                    <w:tag w:val="_PLD_8ac07e922cfc49539af3e18b6fb1e9ef"/>
                    <w:id w:val="-1055162700"/>
                    <w:lock w:val="sdtLocked"/>
                  </w:sdtPr>
                  <w:sdtEndPr>
                    <w:rPr>
                      <w:rFonts w:asciiTheme="minorEastAsia" w:hAnsiTheme="minorEastAsia" w:eastAsiaTheme="minorEastAsia"/>
                      <w:szCs w:val="21"/>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附注</w:t>
                        </w:r>
                      </w:p>
                    </w:tc>
                  </w:sdtContent>
                </w:sdt>
                <w:sdt>
                  <w:sdtPr>
                    <w:rPr>
                      <w:rFonts w:asciiTheme="minorEastAsia" w:hAnsiTheme="minorEastAsia" w:eastAsiaTheme="minorEastAsia"/>
                      <w:szCs w:val="21"/>
                    </w:rPr>
                    <w:tag w:val="_PLD_6a3e769a95b74706b81a9893b779573c"/>
                    <w:id w:val="253792114"/>
                    <w:lock w:val="sdtLocked"/>
                  </w:sdtPr>
                  <w:sdtEndPr>
                    <w:rPr>
                      <w:rFonts w:asciiTheme="minorEastAsia" w:hAnsiTheme="minorEastAsia" w:eastAsiaTheme="minorEastAsia"/>
                      <w:szCs w:val="21"/>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2021年1</w:t>
                        </w:r>
                        <w:r>
                          <w:rPr>
                            <w:rFonts w:asciiTheme="minorEastAsia" w:hAnsiTheme="minorEastAsia" w:eastAsiaTheme="minorEastAsia"/>
                            <w:b/>
                            <w:szCs w:val="21"/>
                          </w:rPr>
                          <w:t>2</w:t>
                        </w:r>
                        <w:r>
                          <w:rPr>
                            <w:rFonts w:hint="eastAsia" w:asciiTheme="minorEastAsia" w:hAnsiTheme="minorEastAsia" w:eastAsiaTheme="minorEastAsia"/>
                            <w:b/>
                            <w:szCs w:val="21"/>
                          </w:rPr>
                          <w:t>月</w:t>
                        </w:r>
                        <w:r>
                          <w:rPr>
                            <w:rFonts w:asciiTheme="minorEastAsia" w:hAnsiTheme="minorEastAsia" w:eastAsiaTheme="minorEastAsia"/>
                            <w:b/>
                            <w:szCs w:val="21"/>
                          </w:rPr>
                          <w:t>31</w:t>
                        </w:r>
                        <w:r>
                          <w:rPr>
                            <w:rFonts w:hint="eastAsia" w:asciiTheme="minorEastAsia" w:hAnsiTheme="minorEastAsia" w:eastAsiaTheme="minorEastAsia"/>
                            <w:b/>
                            <w:szCs w:val="21"/>
                          </w:rPr>
                          <w:t>日</w:t>
                        </w:r>
                      </w:p>
                    </w:tc>
                  </w:sdtContent>
                </w:sdt>
                <w:sdt>
                  <w:sdtPr>
                    <w:rPr>
                      <w:rFonts w:asciiTheme="minorEastAsia" w:hAnsiTheme="minorEastAsia" w:eastAsiaTheme="minorEastAsia"/>
                      <w:szCs w:val="21"/>
                    </w:rPr>
                    <w:tag w:val="_PLD_3c9a89d7045e40ff9c0f81ac747711c4"/>
                    <w:id w:val="1558744748"/>
                    <w:lock w:val="sdtLocked"/>
                  </w:sdtPr>
                  <w:sdtEndPr>
                    <w:rPr>
                      <w:rFonts w:asciiTheme="minorEastAsia" w:hAnsiTheme="minorEastAsia" w:eastAsiaTheme="minorEastAsia"/>
                      <w:szCs w:val="21"/>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2020年12月31日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defc78a30fc4d35a7bb6c1f0057e4ef"/>
                    <w:id w:val="-922181071"/>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b/>
                            <w:color w:val="FF00FF"/>
                            <w:szCs w:val="21"/>
                          </w:rPr>
                        </w:pPr>
                        <w:r>
                          <w:rPr>
                            <w:rFonts w:hint="eastAsia" w:asciiTheme="minorEastAsia" w:hAnsiTheme="minorEastAsia" w:eastAsiaTheme="minorEastAsia"/>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896ee318f0d4038ae7d704afdab1bd7"/>
                    <w:id w:val="-209799948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货币资金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2,755,853,486.28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2,461,656,800.20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ea0ab1c8153445f881a8334334308f5"/>
                    <w:id w:val="85331058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结算备付金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4142e49bd264c85b9d257be7a4cf7d5"/>
                    <w:id w:val="47086852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拆出资金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17de5e55066e485e9c4e733d5eeeb780"/>
                      <w:id w:val="-193873950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7a1b72788b14776a6795a95670dd650"/>
                    <w:id w:val="-153719367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ff51ff009ab4484837b5ff89a017e65"/>
                    <w:id w:val="186354826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应收票据</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80,209,148.17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113,288,373.10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71884d4e9e948fb8c0533cd93fe1e9f"/>
                    <w:id w:val="-137592107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687,309,886.63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529,884,850.93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ea080cf4bcca410697830ad61baec86c"/>
                      <w:id w:val="-427432555"/>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应收款项融资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f805e0e851d4c00be24a5e3bbd6c95d"/>
                    <w:id w:val="-48508601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预付款项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45,637,429.90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53,380,257.46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542db73e8564906821a35717d927557"/>
                    <w:id w:val="-105562172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应收保费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2b13377caf146288de0ec6e314609c7"/>
                    <w:id w:val="-75150737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应收分保账款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024b71c59334c389728af3562121f63"/>
                    <w:id w:val="213467101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应收分保合同准备金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a6f42ed03fe4478931c2375abfef317"/>
                    <w:id w:val="-180584288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其他应收款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418,928,927.27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1,062,246,467.49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ebf851212374bfea6002e6deefdaf53"/>
                    <w:id w:val="-46064324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其中：应收利息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8</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29,294.46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45dd8ebc7f745cf9b0dc2fae9fb0158"/>
                    <w:id w:val="167970240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应收股利</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99,858,043.12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51,530,323.48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4a0a95ddc8442a48c518189dcb959dc"/>
                    <w:id w:val="72972673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买入返售金融资产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11eafce8a8b4b829bb5d9fd8763e8c0"/>
                    <w:id w:val="157323585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存货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2,197,218,932.37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2,694,606,918.34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bab381947fbb4918babee6db5ee7b18e"/>
                      <w:id w:val="-1768765726"/>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313d066ae15403fa9120cca0f9834f9"/>
                    <w:id w:val="93339685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74cfb1063754a26824ba08212c450ee"/>
                    <w:id w:val="140996462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de37b7e55f94bcfa535282f9ed690f7"/>
                    <w:id w:val="173412293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七、13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425,810,631.35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462,839,597.15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ee9bdf6fbde4c15ab4aeb06594e00fa"/>
                    <w:id w:val="40342109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6,610,968,441.97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7,377,903,264.67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2b86b17371840d39acb38a5d1204c0e"/>
                    <w:id w:val="1774203508"/>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03823fe5df94baea2b32c06ca3fd3ee"/>
                    <w:id w:val="-77278460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发放贷款和垫款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53e471a8b231495cad329af79a8abf0e"/>
                      <w:id w:val="919368298"/>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6ac4fd74a98640089461de9144102db1"/>
                      <w:id w:val="-1769993293"/>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9d50dd77da0481ca3a6bea1edfe08f7"/>
                    <w:id w:val="52806549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1ee7ad820fe484691c36312ab8423d4"/>
                    <w:id w:val="198835342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七、17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4,105,883,126.88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3,970,036,292.72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21711fe416a947d3bfd879f92bbd63c8"/>
                      <w:id w:val="-1617817116"/>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七、18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5,967,097.69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6,106,735.86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e2f5ad56f7bb44dfb66955044305356a"/>
                      <w:id w:val="-169807780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0bd7aa2b0154484a176c52e8b28b68d"/>
                    <w:id w:val="-55369506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3,199,673,400.00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2,655,143,686.50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f3f81ffe95f4aafbf92d2255b6ceb8b"/>
                    <w:id w:val="-7358954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固定资产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1,918,452,599.86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2,092,062,609.50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f57e09faca14ec88f570987791d9bc3"/>
                    <w:id w:val="43417203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在建工程</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43,739,666.93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35,996,361.91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f2c0518e5944c9cae26ded37fc4c317"/>
                    <w:id w:val="-11591088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dc2e726f8684df994e2e9e06b8e47f9"/>
                    <w:id w:val="-193805229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油气资产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38357770af874aa39f708eccd1120273"/>
                      <w:id w:val="1862936783"/>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4,431,112.39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5d0e187f70641cfae1f95a4311c1c6c"/>
                    <w:id w:val="-66994592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无形资产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525,820,879.33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550,178,763.98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721b6b206fd44cbbc38762a87e52266"/>
                    <w:id w:val="63361028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13,294,599.11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53,571,352.45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80d441c61174a0d96f987bb33257d18"/>
                    <w:id w:val="189885806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商誉</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319,273,772.27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319,273,772.27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33a8bc963354f7c92d84972b26f64ff"/>
                    <w:id w:val="121801449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七、29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3,133,097.35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757f16be09b442aaa2853538ad66ce0"/>
                    <w:id w:val="-37462602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884,634,515.13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877,097,515.89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a90a47424e143ca86166ef1bfa147b5"/>
                    <w:id w:val="77398000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69a2303c50c4d78bc913bf835a532ef"/>
                    <w:id w:val="-82459115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11,021,170,769.59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10,562,600,188.43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4f31bab6dcc43c08c35673e62eb53a0"/>
                    <w:id w:val="5059494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17,632,139,211.56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17,940,503,453.10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7e1ad068b5b418999e5a3a4eadcffca"/>
                    <w:id w:val="1465852694"/>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FF00FF"/>
                            <w:szCs w:val="21"/>
                          </w:rPr>
                        </w:pPr>
                        <w:r>
                          <w:rPr>
                            <w:rFonts w:hint="eastAsia" w:asciiTheme="minorEastAsia" w:hAnsiTheme="minorEastAsia" w:eastAsiaTheme="minorEastAsia"/>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6e26682c9b646409d91170f7cb35694"/>
                    <w:id w:val="140996769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短期借款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14,000,000.00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37,900,000.00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184b698a36048568cf1ddb26e250164"/>
                    <w:id w:val="-131656478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向中央银行借款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cd02d10506c49b0bff1d5725e2c79f7"/>
                    <w:id w:val="121099795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拆入资金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20a99932412f404fb54f198985ac4eeb"/>
                      <w:id w:val="-966663769"/>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4df64d30d3f45b6815c11f83d4d1485"/>
                    <w:id w:val="102899925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e70d79d4c8f4492941ccbca05364315"/>
                    <w:id w:val="-51838649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应付票据</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137,500,000.00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79,134,886.07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a406798c512441f8081bbc5adad15b0"/>
                    <w:id w:val="-65205734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七、36</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1,041,304,335.95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753,843,063.96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0eebd4b997049a6a32891dffc3c7c07"/>
                    <w:id w:val="145483809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预收款项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28,364,763.00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25,196,265.73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686f3caf0cdc420fadd0550fed1bf110"/>
                      <w:id w:val="1612237102"/>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549,774,309.59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428,310,151.38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30f7262e17647e18922c2ca6ae4d4b6"/>
                    <w:id w:val="156830640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卖出回购金融资产款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ef5c7b7ee6d4982a8e1a17bf247159c"/>
                    <w:id w:val="5382815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吸收存款及同业存放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f5445e6b858401896f00dfa0d0ee279"/>
                    <w:id w:val="-169283400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代理买卖证券款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1b4e780d2024bd989919bd0c556bc6f"/>
                    <w:id w:val="-87530926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代理承销证券款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f0acb61949f46188cd1621250f66945"/>
                    <w:id w:val="106622860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25,798,568.63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34,568,178.93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4e2bb58eb4945e09a2838c05afaaea0"/>
                    <w:id w:val="145620800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应交税费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28,199,199.22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22,865,676.45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e34a66f4155477bb455beea16030cda"/>
                    <w:id w:val="-33329934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651,321,631.47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793,036,009.63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b9b2e0555564f6fba15e4c6286edf1e"/>
                    <w:id w:val="28447312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其中：应付利息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68c8cb21a1b4f9b8b32504007df5028"/>
                    <w:id w:val="-182203419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应付股利</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16187b0647f473fb47a3666ea3cceed"/>
                    <w:id w:val="-122512735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应付手续费及佣金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4129f1e37ca4c8fba74ea927ac0be87"/>
                    <w:id w:val="-49610417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应付分保账款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a3c827f0b734d9bb4cf22b55d2fa362"/>
                    <w:id w:val="136047061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1edba74aa12449390568ff78312313c"/>
                    <w:id w:val="143417027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442,468,946.75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181,069,100.00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965820ab631473aa5ebd82ec06257c0"/>
                    <w:id w:val="129240423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七、44</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47,863,991.01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30,136,924.15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b4eda37946b43ed85cf4212e7323263"/>
                    <w:id w:val="-30585597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2,966,595,745.62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2,386,060,256.30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6615034b106405f8ae606a6fc253d93"/>
                    <w:id w:val="372200196"/>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1ff3fc4b5da447bba0ee3a9c4e3560b"/>
                    <w:id w:val="67077045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保险合同准备金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9fa378cbe424d86963bfebfae6af7ca"/>
                    <w:id w:val="80428457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七、45</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2,650,237,069.33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3,651,766,697.66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97225c7adbb49c0ac27be01df233432"/>
                    <w:id w:val="175701050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ab0b7cc40a942d38f93daa9ab5bc182"/>
                    <w:id w:val="138259386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21ffa497d704199adb8dc4c9e440e22"/>
                    <w:id w:val="163197345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804d1cd618b94a1b9e24038ab1bc669c"/>
                      <w:id w:val="-1140421927"/>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租赁负债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七、47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2,831,984.56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17050e0f26449e482f6688bc943c3f1"/>
                    <w:id w:val="25355562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48</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124e46dea5d4f478a438e4a50b00767"/>
                    <w:id w:val="-81711214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418cd929c8c492ab70b2c45072b0f6e"/>
                    <w:id w:val="-33861306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预计负债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56,949,329.09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65,880,833.46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0696c03164947ed9cac3e80943ab766"/>
                    <w:id w:val="112773564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递延收益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七、51</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2,206,666.62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3,515,990.78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32004d6f6064c92bff394ad8787dbfd"/>
                    <w:id w:val="203923906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七、30</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652,871,603.22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621,330,844.82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1166d872951497f9caa395c32bf7eb8"/>
                    <w:id w:val="-78734330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9b079937912479a979530804001242e"/>
                    <w:id w:val="-157727730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3,365,096,652.82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4,342,494,366.72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8f8805d82ba4d8295eec1868ee7ea4d"/>
                    <w:id w:val="-11059126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6,331,692,398.44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6,728,554,623.02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6760bbd367544f58c1b02c0378c7818"/>
                    <w:id w:val="-1084522988"/>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864d8aed0f64d4f86a89d52037e9f90"/>
                    <w:id w:val="79341290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4,500,000,000.00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4,521,013,100.00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bea5106a9194e56b318ec175b3ffa81"/>
                    <w:id w:val="39100814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23f84dc380a424a864dca18f54d376d"/>
                    <w:id w:val="-42003211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fcce399a2f04273b1adcdb9adfc3ac2"/>
                    <w:id w:val="3979815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7c95fc3a8334c3b99e1cea8075fac6a"/>
                    <w:id w:val="-191430292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资本公积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七、55</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8,553,131,466.74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8,647,221,763.25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c1ec6f9a8ab4147876925f38a9aa154"/>
                    <w:id w:val="147163363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减：库存股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七、56</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126,364,347.00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250,597,854.00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db3c1f8f254401e890823dbfecc2193"/>
                    <w:id w:val="164045816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七、57</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color w:val="000000"/>
                        <w:szCs w:val="21"/>
                      </w:rPr>
                    </w:pPr>
                    <w:r>
                      <w:rPr>
                        <w:rFonts w:hint="eastAsia" w:asciiTheme="minorEastAsia" w:hAnsiTheme="minorEastAsia" w:eastAsiaTheme="minorEastAsia"/>
                        <w:color w:val="000000"/>
                        <w:szCs w:val="21"/>
                      </w:rPr>
                      <w:t xml:space="preserve">-178,111,393.85 </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-224,803,019.42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0c68fc035f04bdc964e307d4ded9891"/>
                    <w:id w:val="-166902026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专项储备</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29a3c29a76c4bb28120a6a552e95d8b"/>
                    <w:id w:val="185437625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盈余公积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七、59</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afeabff60a94a3f8bf81f38a8368859"/>
                    <w:id w:val="-163548085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一般风险准备</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35823a69c154c548986e00c21128b2a"/>
                    <w:id w:val="-61513955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七、60</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-3,005,982,244.24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-3,044,426,693.79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cce8f227af34a1dbfda2fb5d802d679"/>
                    <w:id w:val="129179418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归属于母公司所有者权益（或股东权益）合计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10,169,667,235.29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10,075,401,049.68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7002072897b4c9991009038e6641e82"/>
                    <w:id w:val="129526388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少数股东权益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1,130,779,577.83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1,136,547,780.40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79f3a612002400ea0211dd732c431ae"/>
                    <w:id w:val="-173060259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11,300,446,813.12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11,211,948,830.08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9c0771cf74a4fb888931e0603390c8a"/>
                    <w:id w:val="-83831198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17,632,139,211.56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17,940,503,453.10</w:t>
                    </w:r>
                  </w:p>
                </w:tc>
              </w:tr>
            </w:tbl>
            <w:p/>
            <w:p/>
            <w:p>
              <w:pPr>
                <w:ind w:right="-153" w:rightChars="-73"/>
                <w:rPr>
                  <w:color w:val="008000"/>
                  <w:szCs w:val="21"/>
                  <w:u w:val="single"/>
                </w:rPr>
              </w:pPr>
              <w:r>
                <w:rPr>
                  <w:rFonts w:hint="eastAsia"/>
                  <w:szCs w:val="21"/>
                </w:rPr>
                <w:t>公司负责</w:t>
              </w:r>
              <w:r>
                <w:rPr>
                  <w:szCs w:val="21"/>
                </w:rPr>
                <w:t>人</w:t>
              </w:r>
              <w:r>
                <w:rPr>
                  <w:rFonts w:hint="eastAsia"/>
                  <w:szCs w:val="21"/>
                </w:rPr>
                <w:t>：</w:t>
              </w:r>
              <w:sdt>
                <w:sdtPr>
                  <w:rPr>
                    <w:rFonts w:hint="eastAsia"/>
                    <w:szCs w:val="21"/>
                  </w:rPr>
                  <w:alias w:val="公司负责人姓名"/>
                  <w:tag w:val="_GBC_295740a12aa8498286bf2ef11896dbe9"/>
                  <w:id w:val="1436633819"/>
                  <w:lock w:val="sdtLocked"/>
                  <w:placeholder>
                    <w:docPart w:val="GBC22222222222222222222222222222"/>
                  </w:placeholder>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095c1df7dd6b412590466f3e711cd1e6"/>
                  <w:id w:val="352008829"/>
                  <w:lock w:val="sdtLocked"/>
                  <w:placeholder>
                    <w:docPart w:val="GBC22222222222222222222222222222"/>
                  </w:placeholder>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b9cb47d6db784ba8a6b148d9331df451"/>
                  <w:id w:val="608400479"/>
                  <w:lock w:val="sdtLocked"/>
                  <w:placeholder>
                    <w:docPart w:val="GBC22222222222222222222222222222"/>
                  </w:placeholder>
                  <w:text/>
                </w:sdtPr>
                <w:sdtEndPr>
                  <w:rPr>
                    <w:rFonts w:hint="eastAsia"/>
                    <w:szCs w:val="21"/>
                  </w:rPr>
                </w:sdtEndPr>
                <w:sdtContent>
                  <w:r>
                    <w:rPr>
                      <w:rFonts w:hint="eastAsia"/>
                      <w:szCs w:val="21"/>
                    </w:rPr>
                    <w:t>张琳斌</w:t>
                  </w:r>
                </w:sdtContent>
              </w:sdt>
            </w:p>
            <w:p>
              <w:pPr>
                <w:rPr>
                  <w:color w:val="008000"/>
                  <w:szCs w:val="21"/>
                  <w:u w:val="single"/>
                </w:rPr>
              </w:pPr>
            </w:p>
          </w:sdtContent>
        </w:sdt>
        <w:p>
          <w:r>
            <w:br w:type="page"/>
          </w:r>
        </w:p>
        <w:p/>
        <w:sdt>
          <w:sdtPr>
            <w:rPr>
              <w:rFonts w:hint="eastAsia" w:ascii="宋体" w:hAnsi="宋体" w:cs="宋体"/>
              <w:b w:val="0"/>
              <w:bCs w:val="0"/>
              <w:kern w:val="0"/>
              <w:szCs w:val="24"/>
            </w:rPr>
            <w:tag w:val="_SEC_d76935fe25d141cfbe5d3c4ac87a2e6b"/>
            <w:id w:val="406422794"/>
            <w:lock w:val="sdtLocked"/>
            <w:placeholder>
              <w:docPart w:val="GBC22222222222222222222222222222"/>
            </w:placeholder>
          </w:sdtPr>
          <w:sdtEndPr>
            <w:rPr>
              <w:rFonts w:hint="eastAsia" w:ascii="宋体" w:hAnsi="宋体" w:cs="宋体"/>
              <w:b w:val="0"/>
              <w:bCs w:val="0"/>
              <w:kern w:val="0"/>
              <w:szCs w:val="21"/>
            </w:rPr>
          </w:sdtEndPr>
          <w:sdtContent>
            <w:p>
              <w:pPr>
                <w:pStyle w:val="114"/>
                <w:jc w:val="center"/>
              </w:pPr>
              <w:bookmarkStart w:id="116" w:name="_Hlk24034197"/>
              <w:r>
                <w:rPr>
                  <w:rFonts w:hint="eastAsia"/>
                </w:rPr>
                <w:t>母公司</w:t>
              </w:r>
              <w:r>
                <w:t>资产负债表</w:t>
              </w:r>
            </w:p>
            <w:p>
              <w:pPr>
                <w:jc w:val="center"/>
                <w:rPr>
                  <w:b/>
                  <w:bCs/>
                  <w:szCs w:val="21"/>
                </w:rPr>
              </w:pPr>
              <w:r>
                <w:rPr>
                  <w:szCs w:val="21"/>
                </w:rPr>
                <w:t>2021年12月31日</w:t>
              </w:r>
            </w:p>
            <w:p>
              <w:pPr>
                <w:rPr>
                  <w:szCs w:val="21"/>
                </w:rPr>
              </w:pPr>
              <w:r>
                <w:rPr>
                  <w:szCs w:val="21"/>
                </w:rPr>
                <w:t>编制单位:</w:t>
              </w:r>
              <w:sdt>
                <w:sdtPr>
                  <w:rPr>
                    <w:szCs w:val="21"/>
                  </w:rPr>
                  <w:alias w:val="公司法定中文名称"/>
                  <w:tag w:val="_GBC_476f9df1cf8d4d36868d3058a4da7d15"/>
                  <w:id w:val="-1936578264"/>
                  <w:lock w:val="sdtLocked"/>
                  <w:placeholder>
                    <w:docPart w:val="GBC22222222222222222222222222222"/>
                  </w:placeholder>
                  <w:text/>
                </w:sdtPr>
                <w:sdtEndPr>
                  <w:rPr>
                    <w:szCs w:val="21"/>
                  </w:rPr>
                </w:sdtEndPr>
                <w:sdtContent>
                  <w:r>
                    <w:rPr>
                      <w:rFonts w:hint="eastAsia"/>
                      <w:szCs w:val="21"/>
                    </w:rPr>
                    <w:t>力帆科技（集团）股份有限公司</w:t>
                  </w:r>
                </w:sdtContent>
              </w:sdt>
              <w:r>
                <w:rPr>
                  <w:szCs w:val="21"/>
                </w:rPr>
                <w:t> </w:t>
              </w:r>
            </w:p>
            <w:p>
              <w:pPr>
                <w:jc w:val="right"/>
                <w:rPr>
                  <w:szCs w:val="21"/>
                </w:rPr>
              </w:pPr>
              <w:r>
                <w:rPr>
                  <w:szCs w:val="21"/>
                </w:rPr>
                <w:t>单位:</w:t>
              </w:r>
              <w:sdt>
                <w:sdtPr>
                  <w:rPr>
                    <w:szCs w:val="21"/>
                  </w:rPr>
                  <w:alias w:val="单位：母公司资产负债表"/>
                  <w:tag w:val="_GBC_e3e6bb2b9b89482085daf4528af32780"/>
                  <w:id w:val="5516634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资产负债表"/>
                  <w:tag w:val="_GBC_31e3f7c7e30144c684d9b3387d64ec2f"/>
                  <w:id w:val="21142405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10"/>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944"/>
                <w:gridCol w:w="1133"/>
                <w:gridCol w:w="2551"/>
                <w:gridCol w:w="24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723b67ceca442958b85c16ecbcde6c4"/>
                    <w:id w:val="-62985569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asciiTheme="minorEastAsia" w:hAnsiTheme="minorEastAsia" w:eastAsiaTheme="minorEastAsia"/>
                            <w:b/>
                            <w:szCs w:val="21"/>
                          </w:rPr>
                          <w:t>项目</w:t>
                        </w:r>
                      </w:p>
                    </w:tc>
                  </w:sdtContent>
                </w:sdt>
                <w:sdt>
                  <w:sdtPr>
                    <w:rPr>
                      <w:rFonts w:asciiTheme="minorEastAsia" w:hAnsiTheme="minorEastAsia" w:eastAsiaTheme="minorEastAsia"/>
                      <w:szCs w:val="21"/>
                    </w:rPr>
                    <w:tag w:val="_PLD_b4b39e4179664db3908076caa97ec93e"/>
                    <w:id w:val="169069879"/>
                    <w:lock w:val="sdtLocked"/>
                  </w:sdtPr>
                  <w:sdtEndPr>
                    <w:rPr>
                      <w:rFonts w:asciiTheme="minorEastAsia" w:hAnsiTheme="minorEastAsia" w:eastAsiaTheme="minorEastAsia"/>
                      <w:szCs w:val="21"/>
                    </w:rPr>
                  </w:sdtEndPr>
                  <w:sdtContent>
                    <w:tc>
                      <w:tcPr>
                        <w:tcW w:w="627"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附注</w:t>
                        </w:r>
                      </w:p>
                    </w:tc>
                  </w:sdtContent>
                </w:sdt>
                <w:sdt>
                  <w:sdtPr>
                    <w:rPr>
                      <w:rFonts w:asciiTheme="minorEastAsia" w:hAnsiTheme="minorEastAsia" w:eastAsiaTheme="minorEastAsia"/>
                      <w:szCs w:val="21"/>
                    </w:rPr>
                    <w:tag w:val="_PLD_5c114924d291471984aab4fc4a2ab196"/>
                    <w:id w:val="605553640"/>
                    <w:lock w:val="sdtLocked"/>
                  </w:sdtPr>
                  <w:sdtEndPr>
                    <w:rPr>
                      <w:rFonts w:asciiTheme="minorEastAsia" w:hAnsiTheme="minorEastAsia" w:eastAsiaTheme="minorEastAsia"/>
                      <w:szCs w:val="21"/>
                    </w:rPr>
                  </w:sdtEndPr>
                  <w:sdtContent>
                    <w:tc>
                      <w:tcPr>
                        <w:tcW w:w="1411"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2021年1</w:t>
                        </w:r>
                        <w:r>
                          <w:rPr>
                            <w:rFonts w:asciiTheme="minorEastAsia" w:hAnsiTheme="minorEastAsia" w:eastAsiaTheme="minorEastAsia"/>
                            <w:b/>
                            <w:szCs w:val="21"/>
                          </w:rPr>
                          <w:t>2</w:t>
                        </w:r>
                        <w:r>
                          <w:rPr>
                            <w:rFonts w:hint="eastAsia" w:asciiTheme="minorEastAsia" w:hAnsiTheme="minorEastAsia" w:eastAsiaTheme="minorEastAsia"/>
                            <w:b/>
                            <w:szCs w:val="21"/>
                          </w:rPr>
                          <w:t>月</w:t>
                        </w:r>
                        <w:r>
                          <w:rPr>
                            <w:rFonts w:asciiTheme="minorEastAsia" w:hAnsiTheme="minorEastAsia" w:eastAsiaTheme="minorEastAsia"/>
                            <w:b/>
                            <w:szCs w:val="21"/>
                          </w:rPr>
                          <w:t>31</w:t>
                        </w:r>
                        <w:r>
                          <w:rPr>
                            <w:rFonts w:hint="eastAsia" w:asciiTheme="minorEastAsia" w:hAnsiTheme="minorEastAsia" w:eastAsiaTheme="minorEastAsia"/>
                            <w:b/>
                            <w:szCs w:val="21"/>
                          </w:rPr>
                          <w:t>日</w:t>
                        </w:r>
                      </w:p>
                    </w:tc>
                  </w:sdtContent>
                </w:sdt>
                <w:sdt>
                  <w:sdtPr>
                    <w:rPr>
                      <w:rFonts w:asciiTheme="minorEastAsia" w:hAnsiTheme="minorEastAsia" w:eastAsiaTheme="minorEastAsia"/>
                      <w:szCs w:val="21"/>
                    </w:rPr>
                    <w:tag w:val="_PLD_09aa0ba5dd484fa6ad7dfbe2d2221c60"/>
                    <w:id w:val="320704808"/>
                    <w:lock w:val="sdtLocked"/>
                  </w:sdtPr>
                  <w:sdtEndPr>
                    <w:rPr>
                      <w:rFonts w:asciiTheme="minorEastAsia" w:hAnsiTheme="minorEastAsia" w:eastAsiaTheme="minorEastAsia"/>
                      <w:szCs w:val="21"/>
                    </w:rPr>
                  </w:sdtEndPr>
                  <w:sdtContent>
                    <w:tc>
                      <w:tcPr>
                        <w:tcW w:w="1333" w:type="pct"/>
                        <w:tcBorders>
                          <w:top w:val="outset" w:color="auto" w:sz="6" w:space="0"/>
                          <w:left w:val="outset" w:color="auto" w:sz="6" w:space="0"/>
                          <w:bottom w:val="outset" w:color="auto" w:sz="6" w:space="0"/>
                          <w:right w:val="outset" w:color="auto" w:sz="6"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2020年12月31日</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5b96d9020f14b08bb8885e10bb72ed3"/>
                    <w:id w:val="373276151"/>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b/>
                            <w:color w:val="FF00FF"/>
                            <w:szCs w:val="21"/>
                          </w:rPr>
                        </w:pPr>
                        <w:r>
                          <w:rPr>
                            <w:rFonts w:hint="eastAsia" w:asciiTheme="minorEastAsia" w:hAnsiTheme="minorEastAsia" w:eastAsiaTheme="minorEastAsia"/>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a2d3b22bc414e5aa3168d03f964313b"/>
                    <w:id w:val="60607536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货币资金</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2,093,820,392.70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2,036,470,706.19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e396e14b78524efaa6a999f696519f83"/>
                      <w:id w:val="-153186983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e137d4e0adc4e3697b2d09190f3ab73"/>
                    <w:id w:val="-97020699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93466e4d94b44ce81a421424c7f275a"/>
                    <w:id w:val="-131579743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应收票据</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f32df805adf4616846732ca3ab55857"/>
                    <w:id w:val="-174101140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108c302c0c87401490d6a538c95fd1a1"/>
                      <w:id w:val="-287888808"/>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应收款项融资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d9f5a2379754663b27f59fa522781c5"/>
                    <w:id w:val="-101221745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预付款项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3,539,186.04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1,034,002.49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12416308ec74e87af342bbe7b61f9f7"/>
                    <w:id w:val="-94785070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其他应收款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6,646,084,865.55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7,371,687,976.62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417cd601cec4818871f1bae4ce8ab2a"/>
                    <w:id w:val="46479154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其中：应收利息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十七、2</w:t>
                    </w: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2,245,833.33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dd2d67c108d4d6f84148a7c9b977191"/>
                    <w:id w:val="63228975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应收股利</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十七、2</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98,858,043.12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50,530,323.48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5c72fe3c0dc4747a0ad2956d0e2ff56"/>
                    <w:id w:val="98458455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存货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de1dbab46a4f4d898796d4205cd2edea"/>
                      <w:id w:val="1272361732"/>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61f45b512d24fd98c826adfe2607133"/>
                    <w:id w:val="-15653518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0f4a972facf45f681479dac2f1111c1"/>
                    <w:id w:val="150932834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8ca2e98b68644c7b1619c966283c7a4"/>
                    <w:id w:val="-48247723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2,984,862.35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16,516,615.67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54ff058e01a49fb81526e388eaae403"/>
                    <w:id w:val="-76430708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8</w:t>
                    </w:r>
                    <w:r>
                      <w:rPr>
                        <w:rFonts w:hint="eastAsia" w:asciiTheme="minorEastAsia" w:hAnsiTheme="minorEastAsia" w:eastAsiaTheme="minorEastAsia"/>
                        <w:szCs w:val="21"/>
                      </w:rPr>
                      <w:t>,</w:t>
                    </w:r>
                    <w:r>
                      <w:rPr>
                        <w:rFonts w:asciiTheme="minorEastAsia" w:hAnsiTheme="minorEastAsia" w:eastAsiaTheme="minorEastAsia"/>
                        <w:szCs w:val="21"/>
                      </w:rPr>
                      <w:t>746</w:t>
                    </w:r>
                    <w:r>
                      <w:rPr>
                        <w:rFonts w:hint="eastAsia" w:asciiTheme="minorEastAsia" w:hAnsiTheme="minorEastAsia" w:eastAsiaTheme="minorEastAsia"/>
                        <w:szCs w:val="21"/>
                      </w:rPr>
                      <w:t>,</w:t>
                    </w:r>
                    <w:r>
                      <w:rPr>
                        <w:rFonts w:asciiTheme="minorEastAsia" w:hAnsiTheme="minorEastAsia" w:eastAsiaTheme="minorEastAsia"/>
                        <w:szCs w:val="21"/>
                      </w:rPr>
                      <w:t>429</w:t>
                    </w:r>
                    <w:r>
                      <w:rPr>
                        <w:rFonts w:hint="eastAsia" w:asciiTheme="minorEastAsia" w:hAnsiTheme="minorEastAsia" w:eastAsiaTheme="minorEastAsia"/>
                        <w:szCs w:val="21"/>
                      </w:rPr>
                      <w:t>,</w:t>
                    </w:r>
                    <w:r>
                      <w:rPr>
                        <w:rFonts w:asciiTheme="minorEastAsia" w:hAnsiTheme="minorEastAsia" w:eastAsiaTheme="minorEastAsia"/>
                        <w:szCs w:val="21"/>
                      </w:rPr>
                      <w:t>306.64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9,425,709,300.97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f64afc7e223416b92b823e4e8fb4a3a"/>
                    <w:id w:val="-1899495353"/>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48d1f4ececef49b0b5eb57f96dda5740"/>
                      <w:id w:val="-302229277"/>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2f81a2e768044b89a75bafd1bfa7fa70"/>
                      <w:id w:val="1505931002"/>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其他债权投资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9456ec11fd14b1490b664a8bab1c706"/>
                    <w:id w:val="49800863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长期应收款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99c3bd39fae4eecab2782cc666699c4"/>
                    <w:id w:val="-213893772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长期股权投资</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十七、3</w:t>
                    </w: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5,107,670,861.34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5,105,949,640.48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7d415046e66b466a890bb89efca5709d"/>
                      <w:id w:val="123551112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其他权益工具投资</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b5fccc8867984b57bf71dfe293f645cf"/>
                      <w:id w:val="-788582637"/>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其他非流动金融资产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9a93324886f428384542f5b1fb9f42b"/>
                    <w:id w:val="78546949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投资性房地产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62,651,700.00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23,351,842.40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0ecd86ac7804fbe89c1f06aa6ad3650"/>
                    <w:id w:val="-74887879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固定资产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537,292,740.96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615,691,607.72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800871977ec4bd980307a1f4d2c4c76"/>
                    <w:id w:val="-135712274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在建工程</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2,639,135.59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1,966,527.68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78ac5c17f214712ae812a0d6398de1e"/>
                    <w:id w:val="-42811752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生产性生物资产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0cce78df6a94836ab636bf546ff9a26"/>
                    <w:id w:val="-164827404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油气资产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02711909a0534ae9abd4cdb79ab0feb6"/>
                      <w:id w:val="-1110739025"/>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使用权资产</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22b1a68b152411392f45bdce00cb9f5"/>
                    <w:id w:val="-107203703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无形资产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58,842,697.08</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60,932,952.39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afdada774c94d8d8f09873b3adfe0ca"/>
                    <w:id w:val="-197081241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开发支出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19,357,916.50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1515ff062cd47e0abd7368705cd4e5f"/>
                    <w:id w:val="203954284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商誉</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06c7979eb504045a9de6cf80551e28f"/>
                    <w:id w:val="56969378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长期待摊费用</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ed42050d97a41358aec7c92332e0b26"/>
                    <w:id w:val="-129620766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212,360,270.25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240,419,983.66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9649f7fead6487685f7f530a335f38e"/>
                    <w:id w:val="211909911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其他非流动资产</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609696f96f44c829ada367c21c56583"/>
                    <w:id w:val="255324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非流动资产合计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5,981,457,405.22</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6,067,670,470.83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d49c826430d4b61bb4d5c2bd47f3a37"/>
                    <w:id w:val="-45194975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14,727,886,711.86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15,493,379,771.80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97e7abf0b344d7ba64ab9a99dd2d2fa"/>
                    <w:id w:val="64311410"/>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FF00FF"/>
                            <w:szCs w:val="21"/>
                          </w:rPr>
                        </w:pPr>
                        <w:r>
                          <w:rPr>
                            <w:rFonts w:hint="eastAsia" w:asciiTheme="minorEastAsia" w:hAnsiTheme="minorEastAsia" w:eastAsiaTheme="minorEastAsia"/>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25369d6a02a4d4d926f505ded3e9571"/>
                    <w:id w:val="194002299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短期借款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ce7b169d869d401d8a4e9b46531a77b5"/>
                      <w:id w:val="1788385383"/>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db08aeff5c0473db180983bf445f8c3"/>
                    <w:id w:val="29687487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fc7538e58b94ec598bb72c938cadc08"/>
                    <w:id w:val="-122151317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应付票据</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629096442414226b3292060f7ee2433"/>
                    <w:id w:val="-131647848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应付账款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130,968.79</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69,255,759.25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c7b2a6b03734aeb84333dd1ad179ade"/>
                    <w:id w:val="91582693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预收款项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29" w:type="pct"/>
                    <w:tcBorders>
                      <w:top w:val="outset" w:color="auto" w:sz="6" w:space="0"/>
                      <w:left w:val="outset" w:color="auto" w:sz="6" w:space="0"/>
                      <w:bottom w:val="outset" w:color="auto" w:sz="6" w:space="0"/>
                      <w:right w:val="outset" w:color="auto" w:sz="6" w:space="0"/>
                    </w:tcBorders>
                    <w:vAlign w:val="center"/>
                  </w:tcPr>
                  <w:sdt>
                    <w:sdtPr>
                      <w:rPr>
                        <w:rFonts w:hint="eastAsia" w:asciiTheme="minorEastAsia" w:hAnsiTheme="minorEastAsia" w:eastAsiaTheme="minorEastAsia"/>
                        <w:szCs w:val="21"/>
                      </w:rPr>
                      <w:tag w:val="_PLD_97fe5e81907c458186d615ca1a16da59"/>
                      <w:id w:val="2080396958"/>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合同负债</w:t>
                        </w:r>
                      </w:p>
                    </w:sdtContent>
                  </w:sdt>
                </w:tc>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72d8e738b714bc89cfda0d9fc6f176e"/>
                    <w:id w:val="123721165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2,665,566.11</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35c922a466d49bca2588a3df657e4ff"/>
                    <w:id w:val="-207812016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应交税费</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778,638.57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59,272.78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02f4efe981d4cc7a199248496ef0cfc"/>
                    <w:id w:val="75794816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其他应付款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409,530,078.25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958,803,847.39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161dbb22db14f948442be20a9cb7560"/>
                    <w:id w:val="110061177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其中：应付利息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a53dd1ad6c9442495ce7ffefa6805ff"/>
                    <w:id w:val="-115721615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应付股利</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677b14d5dfb4f49b913d8e108884c19"/>
                    <w:id w:val="2060672214"/>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675d199fe0e492aaf40ec75faaad4e1"/>
                    <w:id w:val="-104389674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208,203,533.34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3a0b24f045240e2923ed4160e9fa33a"/>
                    <w:id w:val="50209301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fd7f65c982a4798ab78c4c96bca259b"/>
                    <w:id w:val="-137191147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621,308,785.06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1,028,118,879.42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a8813ff8c984fc28cd8ddc8db922fd5"/>
                    <w:id w:val="-1812793316"/>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e0282c784d54804a2dfa4e9925d9afe"/>
                    <w:id w:val="-110681043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长期借款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1,860,136,003.44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2,385,058,661.52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ae799b0dff445c3a478e783ee4f3f9e"/>
                    <w:id w:val="69682068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应付债券</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b4a6077b70544e7a4e39bfdf816276d"/>
                    <w:id w:val="-95481021"/>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ceecad9adf14214acac7ec3ed737706"/>
                    <w:id w:val="124769148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01068eac65e44ee9de601b753837ef7"/>
                    <w:id w:val="34984532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租赁负债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6a145958be247a08fdc6e7f0f63b273"/>
                    <w:id w:val="-98154128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长期应付款</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0963e088d2245618d3ffc26fa9883f9"/>
                    <w:id w:val="14872330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长期应付职工薪酬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10dc5a4f7b24db5ad8af5cfde236424"/>
                    <w:id w:val="130404712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预计负债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07466d2bbac46bab85228947866f5cd"/>
                    <w:id w:val="-132681937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递延收益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380,390.80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51ba055bf4b48cbbc6b2d3529dff76a"/>
                    <w:id w:val="2391429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8,632,532.93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2,559,181.35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9c66d05b874491c8299e3ff5fdd1849"/>
                    <w:id w:val="45313848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其他非流动负债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ff50edaca4a433a80d841b668c2b903"/>
                    <w:id w:val="-106664034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1,868,768,536.37</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2,387,998,233.67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6978d2b345644869dabfa9f7bb25d9b"/>
                    <w:id w:val="79309417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2,490,077,321.43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3,416,117,113.09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ccfdb4b1195457b8de4211feea2cac2"/>
                    <w:id w:val="-1732847544"/>
                    <w:lock w:val="sdtLocked"/>
                  </w:sdtPr>
                  <w:sdtEndPr>
                    <w:rPr>
                      <w:rFonts w:asciiTheme="minorEastAsia" w:hAnsiTheme="minorEastAsia" w:eastAsiaTheme="minorEastAsia"/>
                      <w:szCs w:val="21"/>
                    </w:rPr>
                  </w:sdtEndPr>
                  <w:sdtContent>
                    <w:tc>
                      <w:tcPr>
                        <w:tcW w:w="5000" w:type="pct"/>
                        <w:gridSpan w:val="4"/>
                        <w:tcBorders>
                          <w:top w:val="outset" w:color="auto" w:sz="6" w:space="0"/>
                          <w:left w:val="outset" w:color="auto" w:sz="6" w:space="0"/>
                          <w:bottom w:val="outset" w:color="auto" w:sz="6" w:space="0"/>
                          <w:right w:val="outset" w:color="auto" w:sz="6"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544e3178d134ee6949062f2fc4fe109"/>
                    <w:id w:val="-129876225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实收资本（或股本）</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4,500,000,000.00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4,521,013,100.00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f06d5e3f1514521a81034bd8123884c"/>
                    <w:id w:val="-1896345650"/>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39fa27f5e6146e7ab45ef5a6bd5257e"/>
                    <w:id w:val="-1786564139"/>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877c2ca757d46e088f56a241ee2d167"/>
                    <w:id w:val="73708806"/>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8913b2bfe2646b991164f4e3e225215"/>
                    <w:id w:val="-12470117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资本公积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8,504,035,703.70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8,582,846,981.09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24c6408c1424a728eccacf3b0ef657d"/>
                    <w:id w:val="-498812583"/>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减：库存股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126,364,347.00</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250,597,854.00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209deee7bd643ac909c51619677313b"/>
                    <w:id w:val="1684704672"/>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其他综合收益</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39,206,774.44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14,303,021.38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eaf8035733844da94bc6736f62d97ba"/>
                    <w:id w:val="-2143500447"/>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专项储备</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de370b85d5b4fff8dc4cd59144b8445"/>
                    <w:id w:val="80852675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盈余公积</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7bd5bb93fa840679abdabdef85d0712"/>
                    <w:id w:val="-280722675"/>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未分配利润</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-1,106,062,494.35</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-1,217,296,343.40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eb45ece49e540bfa6e86de65ae33e4b"/>
                    <w:id w:val="-59223404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所有者权益（或股东权益）合计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12,237,809,390.43</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12,077,262,658.71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0ef69cc41f3488e9f1fd1456e8640f4"/>
                    <w:id w:val="-953949468"/>
                    <w:lock w:val="sdtLocked"/>
                  </w:sdtPr>
                  <w:sdtEndPr>
                    <w:rPr>
                      <w:rFonts w:asciiTheme="minorEastAsia" w:hAnsiTheme="minorEastAsia" w:eastAsiaTheme="minorEastAsia"/>
                      <w:szCs w:val="21"/>
                    </w:rPr>
                  </w:sdtEndPr>
                  <w:sdtContent>
                    <w:tc>
                      <w:tcPr>
                        <w:tcW w:w="1629" w:type="pct"/>
                        <w:tcBorders>
                          <w:top w:val="outset" w:color="auto" w:sz="6" w:space="0"/>
                          <w:left w:val="outset" w:color="auto" w:sz="6" w:space="0"/>
                          <w:bottom w:val="outset" w:color="auto" w:sz="6" w:space="0"/>
                          <w:right w:val="outset" w:color="auto" w:sz="6"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负债和所有者权益（或股东权益）总计</w:t>
                        </w:r>
                      </w:p>
                    </w:tc>
                  </w:sdtContent>
                </w:sdt>
                <w:tc>
                  <w:tcPr>
                    <w:tcW w:w="627" w:type="pct"/>
                    <w:tcBorders>
                      <w:top w:val="outset" w:color="auto" w:sz="6" w:space="0"/>
                      <w:left w:val="outset" w:color="auto" w:sz="6" w:space="0"/>
                      <w:bottom w:val="outset" w:color="auto" w:sz="6" w:space="0"/>
                      <w:right w:val="outset" w:color="auto" w:sz="6" w:space="0"/>
                    </w:tcBorders>
                  </w:tcPr>
                  <w:p>
                    <w:pPr>
                      <w:rPr>
                        <w:rFonts w:asciiTheme="minorEastAsia" w:hAnsiTheme="minorEastAsia" w:eastAsiaTheme="minorEastAsia"/>
                        <w:szCs w:val="21"/>
                      </w:rPr>
                    </w:pPr>
                  </w:p>
                </w:tc>
                <w:tc>
                  <w:tcPr>
                    <w:tcW w:w="1411" w:type="pct"/>
                    <w:tcBorders>
                      <w:top w:val="outset" w:color="auto" w:sz="6" w:space="0"/>
                      <w:left w:val="outset" w:color="auto" w:sz="6" w:space="0"/>
                      <w:bottom w:val="outset" w:color="auto" w:sz="6" w:space="0"/>
                      <w:right w:val="outset" w:color="auto" w:sz="6"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14,727,886,711.86</w:t>
                    </w:r>
                  </w:p>
                </w:tc>
                <w:tc>
                  <w:tcPr>
                    <w:tcW w:w="1333" w:type="pct"/>
                    <w:tcBorders>
                      <w:top w:val="outset" w:color="auto" w:sz="6" w:space="0"/>
                      <w:left w:val="outset" w:color="auto" w:sz="6" w:space="0"/>
                      <w:bottom w:val="outset" w:color="auto" w:sz="6" w:space="0"/>
                      <w:right w:val="outset" w:color="auto" w:sz="6" w:space="0"/>
                    </w:tcBorders>
                  </w:tcPr>
                  <w:p>
                    <w:pPr>
                      <w:jc w:val="right"/>
                      <w:rPr>
                        <w:rFonts w:asciiTheme="minorEastAsia" w:hAnsiTheme="minorEastAsia" w:eastAsiaTheme="minorEastAsia"/>
                        <w:szCs w:val="21"/>
                      </w:rPr>
                    </w:pPr>
                    <w:r>
                      <w:rPr>
                        <w:rFonts w:asciiTheme="minorEastAsia" w:hAnsiTheme="minorEastAsia" w:eastAsiaTheme="minorEastAsia"/>
                        <w:szCs w:val="21"/>
                      </w:rPr>
                      <w:t>15,493,379,771.80</w:t>
                    </w:r>
                  </w:p>
                </w:tc>
              </w:tr>
            </w:tbl>
            <w:p/>
            <w:p>
              <w:pPr>
                <w:ind w:right="-153" w:rightChars="-73"/>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a81a61c6d7bb46bfa69f34f205086804"/>
                  <w:id w:val="-1045670342"/>
                  <w:lock w:val="sdtLocked"/>
                  <w:placeholder>
                    <w:docPart w:val="GBC22222222222222222222222222222"/>
                  </w:placeholder>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12b89d18f9094da18899493b997b98a8"/>
                  <w:id w:val="1410581375"/>
                  <w:lock w:val="sdtLocked"/>
                  <w:placeholder>
                    <w:docPart w:val="GBC22222222222222222222222222222"/>
                  </w:placeholder>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80397291c44b4713afb5a711c98f3ea6"/>
                  <w:id w:val="850759416"/>
                  <w:lock w:val="sdtLocked"/>
                  <w:placeholder>
                    <w:docPart w:val="GBC22222222222222222222222222222"/>
                  </w:placeholder>
                  <w:text/>
                </w:sdtPr>
                <w:sdtEndPr>
                  <w:rPr>
                    <w:rFonts w:hint="eastAsia"/>
                    <w:szCs w:val="21"/>
                  </w:rPr>
                </w:sdtEndPr>
                <w:sdtContent>
                  <w:r>
                    <w:rPr>
                      <w:rFonts w:hint="eastAsia"/>
                      <w:szCs w:val="21"/>
                    </w:rPr>
                    <w:t>张琳斌</w:t>
                  </w:r>
                </w:sdtContent>
              </w:sdt>
            </w:p>
          </w:sdtContent>
        </w:sdt>
      </w:sdtContent>
    </w:sdt>
    <w:bookmarkEnd w:id="116"/>
    <w:p>
      <w:pPr>
        <w:rPr>
          <w:color w:val="FF0000"/>
          <w:szCs w:val="21"/>
        </w:rPr>
      </w:pPr>
    </w:p>
    <w:sdt>
      <w:sdtPr>
        <w:rPr>
          <w:rFonts w:hint="eastAsia" w:ascii="宋体" w:hAnsi="宋体" w:cs="宋体"/>
          <w:b w:val="0"/>
          <w:bCs w:val="0"/>
          <w:kern w:val="0"/>
          <w:szCs w:val="24"/>
        </w:rPr>
        <w:alias w:val="选项模块:需要编制合并报表"/>
        <w:tag w:val="_SEC_38812834cfb34e9393dcbecc309c8615"/>
        <w:id w:val="1528371055"/>
        <w:lock w:val="sdtLocked"/>
        <w:placeholder>
          <w:docPart w:val="GBC22222222222222222222222222222"/>
        </w:placeholder>
      </w:sdtPr>
      <w:sdtEndPr>
        <w:rPr>
          <w:rFonts w:hint="default" w:ascii="宋体" w:hAnsi="宋体" w:cs="宋体"/>
          <w:b w:val="0"/>
          <w:bCs w:val="0"/>
          <w:color w:val="FF0000"/>
          <w:kern w:val="0"/>
          <w:szCs w:val="21"/>
        </w:rPr>
      </w:sdtEndPr>
      <w:sdtContent>
        <w:sdt>
          <w:sdtPr>
            <w:rPr>
              <w:rFonts w:hint="eastAsia" w:ascii="宋体" w:hAnsi="宋体" w:cs="宋体"/>
              <w:b w:val="0"/>
              <w:bCs w:val="0"/>
              <w:kern w:val="0"/>
              <w:szCs w:val="24"/>
            </w:rPr>
            <w:tag w:val="_SEC_38d2275e2dcd4f8eb0870715a2a226c7"/>
            <w:id w:val="-771097519"/>
            <w:lock w:val="sdtLocked"/>
            <w:placeholder>
              <w:docPart w:val="GBC22222222222222222222222222222"/>
            </w:placeholder>
          </w:sdtPr>
          <w:sdtEndPr>
            <w:rPr>
              <w:rFonts w:hint="eastAsia" w:ascii="宋体" w:hAnsi="宋体" w:cs="宋体"/>
              <w:b w:val="0"/>
              <w:bCs w:val="0"/>
              <w:kern w:val="0"/>
              <w:szCs w:val="21"/>
            </w:rPr>
          </w:sdtEndPr>
          <w:sdtContent>
            <w:p>
              <w:pPr>
                <w:pStyle w:val="114"/>
                <w:jc w:val="center"/>
              </w:pPr>
              <w:bookmarkStart w:id="117" w:name="_Hlk24038378"/>
              <w:bookmarkStart w:id="256" w:name="_GoBack"/>
              <w:bookmarkEnd w:id="256"/>
              <w:r>
                <w:rPr>
                  <w:rFonts w:hint="eastAsia"/>
                </w:rPr>
                <w:t>合并</w:t>
              </w:r>
              <w:r>
                <w:t>利润表</w:t>
              </w:r>
            </w:p>
            <w:p>
              <w:pPr>
                <w:jc w:val="center"/>
                <w:rPr>
                  <w:b/>
                  <w:bCs/>
                  <w:szCs w:val="21"/>
                </w:rPr>
              </w:pPr>
              <w:r>
                <w:rPr>
                  <w:szCs w:val="21"/>
                </w:rPr>
                <w:t>2021年</w:t>
              </w:r>
              <w:r>
                <w:rPr>
                  <w:rFonts w:hint="eastAsia"/>
                  <w:szCs w:val="21"/>
                </w:rPr>
                <w:t>1—</w:t>
              </w:r>
              <w:r>
                <w:rPr>
                  <w:szCs w:val="21"/>
                </w:rPr>
                <w:t>12月</w:t>
              </w:r>
            </w:p>
            <w:p>
              <w:pPr>
                <w:jc w:val="right"/>
                <w:rPr>
                  <w:szCs w:val="21"/>
                </w:rPr>
              </w:pPr>
              <w:r>
                <w:rPr>
                  <w:szCs w:val="21"/>
                </w:rPr>
                <w:t>单位:</w:t>
              </w:r>
              <w:sdt>
                <w:sdtPr>
                  <w:rPr>
                    <w:szCs w:val="21"/>
                  </w:rPr>
                  <w:alias w:val="单位：合并利润表"/>
                  <w:tag w:val="_GBC_95830fead96c480388a2e386c3331383"/>
                  <w:id w:val="-14857024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合并利润表"/>
                  <w:tag w:val="_GBC_4902a1798447427ba99922213b04b39b"/>
                  <w:id w:val="-16945996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rPr>
                      <w:rFonts w:asciiTheme="minorEastAsia" w:hAnsiTheme="minorEastAsia" w:eastAsiaTheme="minorEastAsia"/>
                      <w:szCs w:val="21"/>
                    </w:rPr>
                    <w:tag w:val="_PLD_2e3f33fcce354b339a86add10899a6c5"/>
                    <w:id w:val="-149440202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jc w:val="center"/>
                          <w:rPr>
                            <w:rFonts w:asciiTheme="minorEastAsia" w:hAnsiTheme="minorEastAsia" w:eastAsiaTheme="minorEastAsia"/>
                            <w:b/>
                            <w:szCs w:val="21"/>
                          </w:rPr>
                        </w:pPr>
                        <w:r>
                          <w:rPr>
                            <w:rFonts w:asciiTheme="minorEastAsia" w:hAnsiTheme="minorEastAsia" w:eastAsiaTheme="minorEastAsia"/>
                            <w:b/>
                            <w:szCs w:val="21"/>
                          </w:rPr>
                          <w:t>项目</w:t>
                        </w:r>
                      </w:p>
                    </w:tc>
                  </w:sdtContent>
                </w:sdt>
                <w:sdt>
                  <w:sdtPr>
                    <w:rPr>
                      <w:rFonts w:asciiTheme="minorEastAsia" w:hAnsiTheme="minorEastAsia" w:eastAsiaTheme="minorEastAsia"/>
                      <w:szCs w:val="21"/>
                    </w:rPr>
                    <w:tag w:val="_PLD_93edd7a3846d4cd58b14d043e9b33f2c"/>
                    <w:id w:val="112729652"/>
                    <w:lock w:val="sdtLocked"/>
                  </w:sdtPr>
                  <w:sdtEndPr>
                    <w:rPr>
                      <w:rFonts w:asciiTheme="minorEastAsia" w:hAnsiTheme="minorEastAsia" w:eastAsiaTheme="minorEastAsia"/>
                      <w:szCs w:val="21"/>
                    </w:rPr>
                  </w:sdtEndPr>
                  <w:sdtContent>
                    <w:tc>
                      <w:tcPr>
                        <w:tcW w:w="838"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附注</w:t>
                        </w:r>
                      </w:p>
                    </w:tc>
                  </w:sdtContent>
                </w:sdt>
                <w:sdt>
                  <w:sdtPr>
                    <w:rPr>
                      <w:rFonts w:asciiTheme="minorEastAsia" w:hAnsiTheme="minorEastAsia" w:eastAsiaTheme="minorEastAsia"/>
                      <w:szCs w:val="21"/>
                    </w:rPr>
                    <w:tag w:val="_PLD_49f84cca199c45e7bc0f9fea5b73078c"/>
                    <w:id w:val="73947339"/>
                    <w:lock w:val="sdtLocked"/>
                  </w:sdtPr>
                  <w:sdtEndPr>
                    <w:rPr>
                      <w:rFonts w:asciiTheme="minorEastAsia" w:hAnsiTheme="minorEastAsia" w:eastAsiaTheme="minorEastAsia"/>
                      <w:szCs w:val="21"/>
                    </w:rPr>
                  </w:sdtEndPr>
                  <w:sdtContent>
                    <w:tc>
                      <w:tcPr>
                        <w:tcW w:w="1110"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2021年度</w:t>
                        </w:r>
                      </w:p>
                    </w:tc>
                  </w:sdtContent>
                </w:sdt>
                <w:sdt>
                  <w:sdtPr>
                    <w:rPr>
                      <w:rFonts w:asciiTheme="minorEastAsia" w:hAnsiTheme="minorEastAsia" w:eastAsiaTheme="minorEastAsia"/>
                      <w:szCs w:val="21"/>
                    </w:rPr>
                    <w:tag w:val="_PLD_8b5fde21bc974404b892a88906dec352"/>
                    <w:id w:val="-1321113833"/>
                    <w:lock w:val="sdtLocked"/>
                  </w:sdtPr>
                  <w:sdtEndPr>
                    <w:rPr>
                      <w:rFonts w:asciiTheme="minorEastAsia" w:hAnsiTheme="minorEastAsia" w:eastAsiaTheme="minorEastAsia"/>
                      <w:szCs w:val="21"/>
                    </w:rPr>
                  </w:sdtEndPr>
                  <w:sdtContent>
                    <w:tc>
                      <w:tcPr>
                        <w:tcW w:w="1114"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2020年度</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380654d35f848cfb950d682c7a7e226"/>
                    <w:id w:val="114046942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一、营业总收入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3,977,224,819.19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3,637,106,063.44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9008c1152f2457c85b84fdb8bd94302"/>
                    <w:id w:val="769824964"/>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其中：营业收入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3,977,224,819.19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3,637,106,063.44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2b5ee31e3a04fd686ce6a770a4bf7f8"/>
                    <w:id w:val="-23941180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color w:val="000000"/>
                            <w:szCs w:val="21"/>
                          </w:rPr>
                        </w:pPr>
                        <w:r>
                          <w:rPr>
                            <w:rFonts w:hint="eastAsia" w:asciiTheme="minorEastAsia" w:hAnsiTheme="minorEastAsia" w:eastAsiaTheme="minorEastAsia"/>
                            <w:szCs w:val="21"/>
                          </w:rPr>
                          <w:t>利息收入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b4b4e07fd124105920ebc7fd41981e3"/>
                    <w:id w:val="24415485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已赚保费</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0807caa85b74b3ba05d867a5d0c221a"/>
                    <w:id w:val="147540448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手续费及佣金收入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6f3ec17fb0b4d11b9c07106540a4ab0"/>
                    <w:id w:val="-962736917"/>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二、营业总成本</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4,212,501,673.26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6,559,649,204.67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bdd986d7efa4149a9f572f9b2a74150"/>
                    <w:id w:val="-106071115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其中：营业成本</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3,337,962,708.06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3,279,368,587.58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ed1502b72c34d6098b091412f46ed9d"/>
                    <w:id w:val="-1168862926"/>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利息支出</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cfa1a49c93048668179af2ead80c356"/>
                    <w:id w:val="-200912070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手续费及佣金支出</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c1309799af844b5b157719c070c5247"/>
                    <w:id w:val="-178510702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退保金</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c699312a14243589e13d1662232ea40"/>
                    <w:id w:val="87951396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赔付支出净额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cb9f866e4114aaca5c32d5ffde6a025"/>
                    <w:id w:val="-96535239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提取保险责任准备金净额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150448f2b374fb5b092356dd35f581f"/>
                    <w:id w:val="199799698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保单红利支出</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a59332484d64aaa97873c9ce8cd2fb3"/>
                    <w:id w:val="-200265953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分保费用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5aa701a04e74c3681ea0f45ee50b8d7"/>
                    <w:id w:val="2005623956"/>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税金及附加</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47,716,737.20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31,858,621.76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e31130c4729428dbfe379dfced40dc5"/>
                    <w:id w:val="-88247735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销售费用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七、63</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148,555,614.23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405,138,197.87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7a7b505b88c4f87bc0ba854f37b118f"/>
                    <w:id w:val="-47522773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管理费用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417,297,253.11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701,936,838.91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e87af4732c764d16b9a62ce062c27abc"/>
                      <w:id w:val="-54622732"/>
                      <w:lock w:val="sdtLocked"/>
                    </w:sdtPr>
                    <w:sdtEndPr>
                      <w:rPr>
                        <w:rFonts w:hint="eastAsia"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研发费用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120,169,880.40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253,032,072.92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9025fd6688d468db2dff127aaf8d9b7"/>
                    <w:id w:val="127073817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财务费用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140,799,480.26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1,888,314,885.63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5783a44ff7e84d5f9faf4e4523265fa2"/>
                      <w:id w:val="138234674"/>
                      <w:lock w:val="sdtLocked"/>
                    </w:sdtPr>
                    <w:sdtEndPr>
                      <w:rPr>
                        <w:rFonts w:hint="eastAsia"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其中：利息费用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162,207,151.39</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902,149,051.82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181356a829f44a2eb68d58db992fd5b3"/>
                      <w:id w:val="285946057"/>
                      <w:lock w:val="sdtLocked"/>
                    </w:sdtPr>
                    <w:sdtEndPr>
                      <w:rPr>
                        <w:rFonts w:hint="eastAsia" w:asciiTheme="minorEastAsia" w:hAnsiTheme="minorEastAsia" w:eastAsiaTheme="minorEastAsia"/>
                        <w:szCs w:val="21"/>
                      </w:rPr>
                    </w:sdtEndPr>
                    <w:sdtContent>
                      <w:p>
                        <w:pPr>
                          <w:ind w:firstLine="1260" w:firstLineChars="600"/>
                          <w:rPr>
                            <w:rFonts w:asciiTheme="minorEastAsia" w:hAnsiTheme="minorEastAsia" w:eastAsiaTheme="minorEastAsia"/>
                            <w:szCs w:val="21"/>
                          </w:rPr>
                        </w:pPr>
                        <w:r>
                          <w:rPr>
                            <w:rFonts w:hint="eastAsia" w:asciiTheme="minorEastAsia" w:hAnsiTheme="minorEastAsia" w:eastAsiaTheme="minorEastAsia"/>
                            <w:szCs w:val="21"/>
                          </w:rPr>
                          <w:t>利息收入</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75,227,203.62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9,184,609.56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cd7b53a4f864f25801036fcf0042187"/>
                    <w:id w:val="-39073590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加：其他收益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8,903,729.71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25,250,448.45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d4d0b257ac449a1a1f9cd43ea8c6d6f"/>
                    <w:id w:val="190008161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投资收益（损失以“－”号填列）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七、68</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296,391,647.10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9,226,058,334.28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b617292f3d24ae484f3b8b3331ef37e"/>
                    <w:id w:val="-177300309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253,173,753.33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37,487,893.38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de6764e1bab4ab3b3f25a31e4c7c20a"/>
                    <w:id w:val="129672177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Theme="minorEastAsia" w:hAnsiTheme="minorEastAsia" w:eastAsiaTheme="minorEastAsia"/>
                            <w:szCs w:val="21"/>
                          </w:rPr>
                        </w:pPr>
                        <w:r>
                          <w:rPr>
                            <w:rFonts w:hint="eastAsia" w:asciiTheme="minorEastAsia" w:hAnsiTheme="minorEastAsia" w:eastAsiaTheme="minorEastAsia"/>
                            <w:szCs w:val="21"/>
                          </w:rPr>
                          <w:t>以摊余成本计量的金融资产终止确认收益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6c6fba18c924bffb49d4725b87ecb13"/>
                    <w:id w:val="-79389658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汇兑收益（损失以“－”号填列）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d520128fec714da98227f31d25ce7796"/>
                      <w:id w:val="2069381029"/>
                      <w:lock w:val="sdtLocked"/>
                    </w:sdtPr>
                    <w:sdtEndPr>
                      <w:rPr>
                        <w:rFonts w:hint="default"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净敞口套期收益（损失以“</w:t>
                        </w:r>
                        <w:r>
                          <w:rPr>
                            <w:rFonts w:asciiTheme="minorEastAsia" w:hAnsiTheme="minorEastAsia" w:eastAsiaTheme="minorEastAsia"/>
                            <w:szCs w:val="21"/>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cf113d3dfde4191bb9677475e364e2c"/>
                    <w:id w:val="-37108221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color w:val="000000"/>
                            <w:szCs w:val="21"/>
                          </w:rPr>
                        </w:pPr>
                        <w:r>
                          <w:rPr>
                            <w:rFonts w:hint="eastAsia" w:asciiTheme="minorEastAsia" w:hAnsiTheme="minorEastAsia" w:eastAsiaTheme="minorEastAsia"/>
                            <w:szCs w:val="21"/>
                          </w:rPr>
                          <w:t>公允价值变动收益（损失以“－”号填列）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七、70</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50,677,613.50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-2,524,257.60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d5729b4f71874df0b1658e78402fbd3a"/>
                      <w:id w:val="-225068730"/>
                      <w:lock w:val="sdtLocked"/>
                    </w:sdtPr>
                    <w:sdtEndPr>
                      <w:rPr>
                        <w:rFonts w:hint="eastAsia"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信用减值损失（损失以“</w:t>
                        </w:r>
                        <w:r>
                          <w:rPr>
                            <w:rFonts w:asciiTheme="minorEastAsia" w:hAnsiTheme="minorEastAsia" w:eastAsiaTheme="minorEastAsia"/>
                            <w:szCs w:val="21"/>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七、71</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22,967,772.97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-781,943,265.51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4560210ee614ffca1cd838fcb26e64f"/>
                    <w:id w:val="63407302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资产减值损失（损失以“</w:t>
                        </w:r>
                        <w:r>
                          <w:rPr>
                            <w:rFonts w:asciiTheme="minorEastAsia" w:hAnsiTheme="minorEastAsia" w:eastAsiaTheme="minor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七、72</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-22,788,264.43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-3,607,568,533.80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szCs w:val="21"/>
                    </w:rPr>
                    <w:tag w:val="_PLD_db82d580df4545299b03340ea44f0a61"/>
                    <w:id w:val="339824249"/>
                    <w:lock w:val="sdtLocked"/>
                  </w:sdtPr>
                  <w:sdtEndPr>
                    <w:rPr>
                      <w:rFonts w:hint="eastAsia"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资产处置收益（损失以“－”号填列）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七、73</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-11,039,601.02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-1,135,815,957.70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8efa9e2f2584a45bb21e4160a756a9a"/>
                    <w:id w:val="-95625643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三、营业利润（亏损以“－”号填列）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109,836,043.76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800,913,626.89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3abf7e9472541358784576e4b39b209"/>
                    <w:id w:val="10222626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加：营业外收入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七、74</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5,372,481.67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8,733,579.01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0f16771bc2748abb5464842a6f86784"/>
                    <w:id w:val="143245877"/>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减：营业外支出</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10,863,966.22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735,235,753.95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9fa70992bac48dda5e83847596b19d6"/>
                    <w:id w:val="-730695664"/>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四、利润总额（亏损总额以</w:t>
                        </w:r>
                        <w:r>
                          <w:rPr>
                            <w:rFonts w:asciiTheme="minorEastAsia" w:hAnsiTheme="minorEastAsia" w:eastAsiaTheme="minorEastAsia"/>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104,344,559.21</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74,411,451.95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842e863bf634368965bd15f33e3ae38"/>
                    <w:id w:val="142360788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减：所得税费用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七、76</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26,215,287.66</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19,728,207.75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7bb5e90013347b59c739cd0098f77d5"/>
                    <w:id w:val="22734144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0000"/>
                            <w:szCs w:val="21"/>
                          </w:rPr>
                        </w:pPr>
                        <w:r>
                          <w:rPr>
                            <w:rFonts w:hint="eastAsia" w:asciiTheme="minorEastAsia" w:hAnsiTheme="minorEastAsia" w:eastAsiaTheme="minorEastAsia"/>
                            <w:szCs w:val="21"/>
                          </w:rPr>
                          <w:t>五、净利润（净亏损以</w:t>
                        </w:r>
                        <w:r>
                          <w:rPr>
                            <w:rFonts w:asciiTheme="minorEastAsia" w:hAnsiTheme="minorEastAsia" w:eastAsiaTheme="minorEastAsia"/>
                            <w:szCs w:val="21"/>
                          </w:rPr>
                          <w:t>“</w:t>
                        </w:r>
                        <w:r>
                          <w:rPr>
                            <w:rFonts w:hint="eastAsia" w:asciiTheme="minorEastAsia" w:hAnsiTheme="minorEastAsia" w:eastAsiaTheme="minorEastAsia"/>
                            <w:szCs w:val="21"/>
                          </w:rPr>
                          <w:t>－</w:t>
                        </w:r>
                        <w:r>
                          <w:rPr>
                            <w:rFonts w:asciiTheme="minorEastAsia" w:hAnsiTheme="minorEastAsia" w:eastAsiaTheme="minorEastAsia"/>
                            <w:szCs w:val="21"/>
                          </w:rPr>
                          <w:t>”</w:t>
                        </w:r>
                        <w:r>
                          <w:rPr>
                            <w:rFonts w:hint="eastAsia" w:asciiTheme="minorEastAsia" w:hAnsiTheme="minorEastAsia" w:eastAsiaTheme="minor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78,129,271.55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54,683,244.20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445f61075384ccaafee7a9aff738d9c"/>
                    <w:id w:val="-1103110262"/>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（一）</w:t>
                        </w:r>
                        <w:r>
                          <w:rPr>
                            <w:rFonts w:asciiTheme="minorEastAsia" w:hAnsiTheme="minorEastAsia" w:eastAsiaTheme="minorEastAsia"/>
                            <w:szCs w:val="21"/>
                          </w:rPr>
                          <w:t>按经营持续性分类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szCs w:val="21"/>
                    </w:rPr>
                    <w:tag w:val="_PLD_1f62d6e525ac4c78b10d50cab69e4427"/>
                    <w:id w:val="674920115"/>
                    <w:lock w:val="sdtLocked"/>
                  </w:sdtPr>
                  <w:sdtEndPr>
                    <w:rPr>
                      <w:rFonts w:hint="eastAsia"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1.持续经营净利润（净亏损以“－”号填列）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78,129,271.55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54,683,244.20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szCs w:val="21"/>
                    </w:rPr>
                    <w:tag w:val="_PLD_3ecbd4e5679f46edb5746af7622b21b6"/>
                    <w:id w:val="244389980"/>
                    <w:lock w:val="sdtLocked"/>
                  </w:sdtPr>
                  <w:sdtEndPr>
                    <w:rPr>
                      <w:rFonts w:hint="eastAsia"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2.终止经营净利润（净亏损以“－”号填列）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703d86636cb476dab82350c9f6475fc"/>
                    <w:id w:val="-549303200"/>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（二）</w:t>
                        </w:r>
                        <w:r>
                          <w:rPr>
                            <w:rFonts w:asciiTheme="minorEastAsia" w:hAnsiTheme="minorEastAsia" w:eastAsiaTheme="minorEastAsia"/>
                            <w:szCs w:val="21"/>
                          </w:rPr>
                          <w:t>按所有权归属分类</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9befe54bea74d81b274f1de7b1e879c"/>
                    <w:id w:val="154741249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归属于母公司股东的净利润（净亏损以“</w:t>
                        </w:r>
                        <w:r>
                          <w:rPr>
                            <w:rFonts w:asciiTheme="minorEastAsia" w:hAnsiTheme="minorEastAsia" w:eastAsiaTheme="minor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55,642,068.60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58,103,794.46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f126035711b4c5abd41d75affabef51"/>
                    <w:id w:val="-1698614967"/>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少数股东损益（净亏损以“</w:t>
                        </w:r>
                        <w:r>
                          <w:rPr>
                            <w:rFonts w:asciiTheme="minorEastAsia" w:hAnsiTheme="minorEastAsia" w:eastAsiaTheme="minor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22,487,202.95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-3,420,550.26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a13bc6fa8a4437cbc2fe6d7f95e57ad"/>
                    <w:id w:val="25564172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六、其他综合收益的税后净额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31,476,669.02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630,500,592.91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f2f5c8a639d471fa8ec35cb21cfadb4"/>
                    <w:id w:val="191874300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（一）归属母公司所有者的其他综合收益的税后净额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29,494,006.52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630,500,592.91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6b7d483d93a4a54b7ab8c3263c798ed"/>
                    <w:id w:val="-204226860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-12,634,237.65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-15,588,261.56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35a1ea789084db6ab270a67392ce36a"/>
                    <w:id w:val="201750028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c017c2ac9f646e4a1cdf7a7204c480c"/>
                    <w:id w:val="-10989132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-10,132,100.50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-10,087.97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e4a31bfd680046b99a1b3d34eb9576f4"/>
                      <w:id w:val="708458999"/>
                      <w:lock w:val="sdtLocked"/>
                    </w:sdtPr>
                    <w:sdtEndPr>
                      <w:rPr>
                        <w:rFonts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-2,502,137.15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-15,578,173.59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c48ff6a604db4d18a1d1dc7c0a221692"/>
                      <w:id w:val="401881004"/>
                      <w:lock w:val="sdtLocked"/>
                    </w:sdtPr>
                    <w:sdtEndPr>
                      <w:rPr>
                        <w:rFonts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be4aeb39ba149bd8b72f60b4c8a1d22"/>
                    <w:id w:val="62234806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2</w:t>
                        </w:r>
                        <w:r>
                          <w:rPr>
                            <w:rFonts w:hint="eastAsia" w:asciiTheme="minorEastAsia" w:hAnsiTheme="minorEastAsia" w:eastAsiaTheme="minorEastAsia"/>
                            <w:szCs w:val="21"/>
                          </w:rPr>
                          <w:t>．将重分类进损益的其他综合收益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42,128,244.17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646,088,854.47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3cee83b27dc4e60b3f7b7333c0c55d9"/>
                    <w:id w:val="46007929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36,336,794.73</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-14,425,037.69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0964bdc875cb41acbcc556550f4e03d4"/>
                      <w:id w:val="-1189371354"/>
                      <w:lock w:val="sdtLocked"/>
                    </w:sdtPr>
                    <w:sdtEndPr>
                      <w:rPr>
                        <w:rFonts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（2）</w:t>
                        </w:r>
                        <w:r>
                          <w:rPr>
                            <w:rFonts w:asciiTheme="minorEastAsia" w:hAnsiTheme="minorEastAsia" w:eastAsiaTheme="minorEastAsia"/>
                            <w:szCs w:val="21"/>
                          </w:rPr>
                          <w:t>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d5623d5f9fa0430da4eccee5c001a530"/>
                      <w:id w:val="-243421159"/>
                      <w:lock w:val="sdtLocked"/>
                    </w:sdtPr>
                    <w:sdtEndPr>
                      <w:rPr>
                        <w:rFonts w:hint="default"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（3）</w:t>
                        </w:r>
                        <w:r>
                          <w:rPr>
                            <w:rFonts w:asciiTheme="minorEastAsia" w:hAnsiTheme="minorEastAsia" w:eastAsiaTheme="minorEastAsia"/>
                            <w:szCs w:val="21"/>
                          </w:rPr>
                          <w:t>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9ae9a687385c431d96ae9c14b04e7551"/>
                      <w:id w:val="287549955"/>
                      <w:lock w:val="sdtLocked"/>
                    </w:sdtPr>
                    <w:sdtEndPr>
                      <w:rPr>
                        <w:rFonts w:hint="default"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23b423edc2274c72b51ddde91025ffea"/>
                      <w:id w:val="-1880242313"/>
                      <w:lock w:val="sdtLocked"/>
                    </w:sdtPr>
                    <w:sdtEndPr>
                      <w:rPr>
                        <w:rFonts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（5）</w:t>
                        </w:r>
                        <w:r>
                          <w:rPr>
                            <w:rFonts w:asciiTheme="minorEastAsia" w:hAnsiTheme="minorEastAsia" w:eastAsiaTheme="minorEastAsia"/>
                            <w:szCs w:val="21"/>
                          </w:rPr>
                          <w:t>现金流量套期储备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4acecfbf1f234ce3af0ec16acd7e3e6d"/>
                      <w:id w:val="-2020228606"/>
                      <w:lock w:val="sdtLocked"/>
                    </w:sdtPr>
                    <w:sdtEndPr>
                      <w:rPr>
                        <w:rFonts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（6）</w:t>
                        </w:r>
                        <w:r>
                          <w:rPr>
                            <w:rFonts w:asciiTheme="minorEastAsia" w:hAnsiTheme="minorEastAsia" w:eastAsiaTheme="minorEastAsia"/>
                            <w:szCs w:val="21"/>
                          </w:rPr>
                          <w:t>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3,808,786.94</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660,513,892.16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7d43aa1b36164af4b8726e2c1f760cfd"/>
                      <w:id w:val="501635408"/>
                      <w:lock w:val="sdtLocked"/>
                    </w:sdtPr>
                    <w:sdtEndPr>
                      <w:rPr>
                        <w:rFonts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（7）</w:t>
                        </w:r>
                        <w:r>
                          <w:rPr>
                            <w:rFonts w:asciiTheme="minorEastAsia" w:hAnsiTheme="minorEastAsia" w:eastAsiaTheme="minorEastAsia"/>
                            <w:szCs w:val="21"/>
                          </w:rPr>
                          <w:t>其他</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1,982,662.50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3569bc5ede84869b3447cee447eab7d"/>
                    <w:id w:val="-143767181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asciiTheme="minorEastAsia" w:hAnsiTheme="minorEastAsia" w:eastAsiaTheme="minorEastAsia"/>
                            <w:szCs w:val="21"/>
                          </w:rPr>
                          <w:t>（二）</w:t>
                        </w:r>
                        <w:r>
                          <w:rPr>
                            <w:rFonts w:hint="eastAsia" w:asciiTheme="minorEastAsia" w:hAnsiTheme="minorEastAsia" w:eastAsiaTheme="minorEastAsia"/>
                            <w:szCs w:val="21"/>
                          </w:rPr>
                          <w:t>归属于少数股东的其他综合收益的税后净额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57</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1,982,662.50</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0601b6a47ff4441b448abf6db3fa4ed"/>
                    <w:id w:val="-72668803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七、综合收益总额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109,605,940.57</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685,183,837.11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127ab5720a345679e0e938f71becb4c"/>
                    <w:id w:val="1854452864"/>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asciiTheme="minorEastAsia" w:hAnsiTheme="minorEastAsia" w:eastAsiaTheme="minorEastAsia"/>
                            <w:szCs w:val="21"/>
                          </w:rPr>
                          <w:t>（一）</w:t>
                        </w:r>
                        <w:r>
                          <w:rPr>
                            <w:rFonts w:hint="eastAsia" w:asciiTheme="minorEastAsia" w:hAnsiTheme="minorEastAsia" w:eastAsiaTheme="minorEastAsia"/>
                            <w:szCs w:val="21"/>
                          </w:rPr>
                          <w:t>归属于母公司所有者的综合收益总额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85,136,075.12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688,604,387.37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3f01925f64b436a9fbc95d8e02da99b"/>
                    <w:id w:val="3293532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asciiTheme="minorEastAsia" w:hAnsiTheme="minorEastAsia" w:eastAsiaTheme="minorEastAsia"/>
                            <w:szCs w:val="21"/>
                          </w:rPr>
                          <w:t>（二）</w:t>
                        </w:r>
                        <w:r>
                          <w:rPr>
                            <w:rFonts w:hint="eastAsia" w:asciiTheme="minorEastAsia" w:hAnsiTheme="minorEastAsia" w:eastAsiaTheme="minorEastAsia"/>
                            <w:szCs w:val="21"/>
                          </w:rPr>
                          <w:t>归属于少数股东的综合收益总额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24,469,865.45</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-3,420,550.26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e9655fe2b7c48e3964f7a74f9c6deea"/>
                    <w:id w:val="252333398"/>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szCs w:val="21"/>
                          </w:rPr>
                          <w:t>八、每股收益：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6a58df2d1eb403f98fbe0cb93ab4bd8"/>
                    <w:id w:val="107901744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asciiTheme="minorEastAsia" w:hAnsiTheme="minorEastAsia" w:eastAsiaTheme="minorEastAsia"/>
                            <w:szCs w:val="21"/>
                          </w:rPr>
                          <w:t>（一）基本每股收益</w:t>
                        </w:r>
                        <w:r>
                          <w:rPr>
                            <w:rFonts w:hint="eastAsia" w:asciiTheme="minorEastAsia" w:hAnsiTheme="minorEastAsia" w:eastAsiaTheme="minor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十八、</w:t>
                    </w:r>
                    <w:r>
                      <w:rPr>
                        <w:rFonts w:asciiTheme="minorEastAsia" w:hAnsiTheme="minorEastAsia" w:eastAsiaTheme="minorEastAsia"/>
                        <w:szCs w:val="21"/>
                      </w:rPr>
                      <w:t>2</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0.01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0.04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5a1ef2646bf41069628628a311e1402"/>
                    <w:id w:val="373195557"/>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asciiTheme="minorEastAsia" w:hAnsiTheme="minorEastAsia" w:eastAsiaTheme="minorEastAsia"/>
                            <w:szCs w:val="21"/>
                          </w:rPr>
                          <w:t>（二）稀释每股收益</w:t>
                        </w:r>
                        <w:r>
                          <w:rPr>
                            <w:rFonts w:hint="eastAsia" w:asciiTheme="minorEastAsia" w:hAnsiTheme="minorEastAsia" w:eastAsiaTheme="minor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bl>
            <w:p/>
            <w:p>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dee3746024314be88287a46c20d21a26"/>
                  <w:id w:val="-1862961883"/>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 上期被合并方实现的净利润为： </w:t>
              </w:r>
              <w:sdt>
                <w:sdtPr>
                  <w:rPr>
                    <w:rFonts w:hint="eastAsia"/>
                    <w:szCs w:val="21"/>
                  </w:rPr>
                  <w:alias w:val="同一控制下的企业合并中被合并方在合并前实现的净利润"/>
                  <w:tag w:val="_GBC_12f9ba898e4e450d82ca7ea5336921ae"/>
                  <w:id w:val="1682781143"/>
                  <w:lock w:val="sdtLocked"/>
                  <w:placeholder>
                    <w:docPart w:val="GBC22222222222222222222222222222"/>
                  </w:placeholder>
                </w:sdtPr>
                <w:sdtEndPr>
                  <w:rPr>
                    <w:rFonts w:hint="default"/>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85589cdf09ed4055b8d177524f5a0df0"/>
                  <w:id w:val="-23407739"/>
                  <w:lock w:val="sdtLocked"/>
                  <w:placeholder>
                    <w:docPart w:val="GBC22222222222222222222222222222"/>
                  </w:placeholder>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d5d5ec398a544491b9394eef54a56ec6"/>
                  <w:id w:val="-128405143"/>
                  <w:lock w:val="sdtLocked"/>
                  <w:placeholder>
                    <w:docPart w:val="GBC22222222222222222222222222222"/>
                  </w:placeholder>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b776bf38628747739bf5cfe3f08d63a8"/>
                  <w:id w:val="1861538498"/>
                  <w:lock w:val="sdtLocked"/>
                  <w:placeholder>
                    <w:docPart w:val="GBC22222222222222222222222222222"/>
                  </w:placeholder>
                  <w:text/>
                </w:sdtPr>
                <w:sdtEndPr>
                  <w:rPr>
                    <w:rFonts w:hint="eastAsia"/>
                    <w:szCs w:val="21"/>
                  </w:rPr>
                </w:sdtEndPr>
                <w:sdtContent>
                  <w:r>
                    <w:rPr>
                      <w:rFonts w:hint="eastAsia"/>
                      <w:szCs w:val="21"/>
                    </w:rPr>
                    <w:t>张琳斌</w:t>
                  </w:r>
                </w:sdtContent>
              </w:sdt>
            </w:p>
          </w:sdtContent>
        </w:sdt>
        <w:bookmarkEnd w:id="117"/>
        <w:sdt>
          <w:sdtPr>
            <w:rPr>
              <w:rFonts w:hint="eastAsia" w:ascii="宋体" w:hAnsi="宋体" w:cs="宋体"/>
              <w:b w:val="0"/>
              <w:bCs w:val="0"/>
              <w:kern w:val="0"/>
              <w:szCs w:val="24"/>
            </w:rPr>
            <w:tag w:val="_SEC_7398696337e643be900ea0fa28731754"/>
            <w:id w:val="1130595575"/>
            <w:lock w:val="sdtLocked"/>
            <w:placeholder>
              <w:docPart w:val="GBC22222222222222222222222222222"/>
            </w:placeholder>
          </w:sdtPr>
          <w:sdtEndPr>
            <w:rPr>
              <w:rFonts w:hint="eastAsia" w:ascii="宋体" w:hAnsi="宋体" w:cs="宋体-方正超大字符集"/>
              <w:b w:val="0"/>
              <w:bCs w:val="0"/>
              <w:kern w:val="0"/>
              <w:szCs w:val="21"/>
            </w:rPr>
          </w:sdtEndPr>
          <w:sdtContent>
            <w:p>
              <w:pPr>
                <w:pStyle w:val="114"/>
                <w:rPr>
                  <w:rFonts w:ascii="宋体" w:hAnsi="宋体" w:cs="宋体"/>
                  <w:b w:val="0"/>
                  <w:bCs w:val="0"/>
                  <w:kern w:val="0"/>
                  <w:szCs w:val="24"/>
                </w:rPr>
              </w:pPr>
              <w:bookmarkStart w:id="118" w:name="_Hlk24038476"/>
            </w:p>
            <w:p>
              <w:pPr>
                <w:pStyle w:val="114"/>
                <w:jc w:val="center"/>
              </w:pPr>
              <w:r>
                <w:rPr>
                  <w:rFonts w:hint="eastAsia"/>
                </w:rPr>
                <w:t>母公司</w:t>
              </w:r>
              <w:r>
                <w:t>利润表</w:t>
              </w:r>
            </w:p>
            <w:p>
              <w:pPr>
                <w:jc w:val="center"/>
                <w:rPr>
                  <w:b/>
                  <w:bCs/>
                  <w:szCs w:val="21"/>
                </w:rPr>
              </w:pPr>
              <w:r>
                <w:rPr>
                  <w:szCs w:val="21"/>
                </w:rPr>
                <w:t>2021年</w:t>
              </w:r>
              <w:r>
                <w:rPr>
                  <w:rFonts w:hint="eastAsia"/>
                  <w:szCs w:val="21"/>
                </w:rPr>
                <w:t>1—</w:t>
              </w:r>
              <w:r>
                <w:rPr>
                  <w:szCs w:val="21"/>
                </w:rPr>
                <w:t>12月</w:t>
              </w:r>
            </w:p>
            <w:p>
              <w:pPr>
                <w:snapToGrid w:val="0"/>
                <w:spacing w:line="240" w:lineRule="atLeast"/>
                <w:jc w:val="right"/>
                <w:rPr>
                  <w:b/>
                  <w:bCs/>
                  <w:color w:val="FF0000"/>
                  <w:szCs w:val="21"/>
                </w:rPr>
              </w:pPr>
              <w:r>
                <w:rPr>
                  <w:szCs w:val="21"/>
                </w:rPr>
                <w:t>单位:</w:t>
              </w:r>
              <w:sdt>
                <w:sdtPr>
                  <w:rPr>
                    <w:szCs w:val="21"/>
                  </w:rPr>
                  <w:alias w:val="单位：母公司利润表"/>
                  <w:tag w:val="_GBC_f17e8cd8a21b417cb065f4c3b94f9c26"/>
                  <w:id w:val="4307910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rFonts w:hint="eastAsia"/>
                      <w:szCs w:val="21"/>
                    </w:rPr>
                    <w:t>元</w:t>
                  </w:r>
                </w:sdtContent>
              </w:sdt>
              <w:r>
                <w:rPr>
                  <w:szCs w:val="21"/>
                </w:rPr>
                <w:t xml:space="preserve">  币种:</w:t>
              </w:r>
              <w:sdt>
                <w:sdtPr>
                  <w:rPr>
                    <w:szCs w:val="21"/>
                  </w:rPr>
                  <w:alias w:val="币种：母公司利润表"/>
                  <w:tag w:val="_GBC_514289adafbe4fe995f8f3791e23e392"/>
                  <w:id w:val="-53427303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7"/>
                <w:gridCol w:w="1517"/>
                <w:gridCol w:w="2009"/>
                <w:gridCol w:w="20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b/>
                        <w:szCs w:val="21"/>
                      </w:rPr>
                      <w:tag w:val="_PLD_a25f325e0afe4d279180290df7e1dd6d"/>
                      <w:id w:val="2139596955"/>
                      <w:lock w:val="sdtLocked"/>
                    </w:sdtPr>
                    <w:sdtEndPr>
                      <w:rPr>
                        <w:rFonts w:hint="eastAsia" w:asciiTheme="minorEastAsia" w:hAnsiTheme="minorEastAsia" w:eastAsiaTheme="minorEastAsia"/>
                        <w:b/>
                        <w:szCs w:val="21"/>
                      </w:rPr>
                    </w:sdtEndPr>
                    <w:sdtContent>
                      <w:p>
                        <w:pPr>
                          <w:ind w:leftChars="-19" w:hanging="40" w:hangingChars="19"/>
                          <w:jc w:val="center"/>
                          <w:rPr>
                            <w:rFonts w:asciiTheme="minorEastAsia" w:hAnsiTheme="minorEastAsia" w:eastAsiaTheme="minorEastAsia"/>
                            <w:b/>
                            <w:szCs w:val="21"/>
                          </w:rPr>
                        </w:pPr>
                        <w:r>
                          <w:rPr>
                            <w:rFonts w:hint="eastAsia" w:asciiTheme="minorEastAsia" w:hAnsiTheme="minorEastAsia" w:eastAsiaTheme="minorEastAsia"/>
                            <w:b/>
                            <w:szCs w:val="21"/>
                          </w:rPr>
                          <w:t>项目</w:t>
                        </w:r>
                      </w:p>
                    </w:sdtContent>
                  </w:sdt>
                </w:tc>
                <w:tc>
                  <w:tcPr>
                    <w:tcW w:w="838"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Cs w:val="21"/>
                      </w:rPr>
                      <w:tag w:val="_PLD_4bea71a35f204b56bca2b7ea223d4b71"/>
                      <w:id w:val="-1238244646"/>
                      <w:lock w:val="sdtLocked"/>
                    </w:sdtPr>
                    <w:sdtEndPr>
                      <w:rPr>
                        <w:rFonts w:hint="eastAsia" w:asciiTheme="minorEastAsia" w:hAnsiTheme="minorEastAsia" w:eastAsiaTheme="minorEastAsia"/>
                        <w:b/>
                        <w:szCs w:val="21"/>
                      </w:rPr>
                    </w:sdtEndPr>
                    <w:sdtContent>
                      <w:p>
                        <w:pPr>
                          <w:jc w:val="center"/>
                          <w:rPr>
                            <w:rFonts w:asciiTheme="minorEastAsia" w:hAnsiTheme="minorEastAsia" w:eastAsiaTheme="minorEastAsia"/>
                            <w:b/>
                            <w:szCs w:val="21"/>
                          </w:rPr>
                        </w:pPr>
                        <w:r>
                          <w:rPr>
                            <w:rFonts w:hint="eastAsia" w:asciiTheme="minorEastAsia" w:hAnsiTheme="minorEastAsia" w:eastAsiaTheme="minorEastAsia"/>
                            <w:b/>
                            <w:szCs w:val="21"/>
                          </w:rPr>
                          <w:t>附注</w:t>
                        </w:r>
                      </w:p>
                    </w:sdtContent>
                  </w:sdt>
                </w:tc>
                <w:tc>
                  <w:tcPr>
                    <w:tcW w:w="1110"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b/>
                        <w:szCs w:val="21"/>
                      </w:rPr>
                      <w:tag w:val="_PLD_a2bf02ec3f0b4ce2b9d25f751262d2b0"/>
                      <w:id w:val="829490159"/>
                      <w:lock w:val="sdtLocked"/>
                    </w:sdtPr>
                    <w:sdtEndPr>
                      <w:rPr>
                        <w:rFonts w:hint="eastAsia" w:asciiTheme="minorEastAsia" w:hAnsiTheme="minorEastAsia" w:eastAsiaTheme="minorEastAsia"/>
                        <w:b/>
                        <w:szCs w:val="21"/>
                      </w:rPr>
                    </w:sdtEndPr>
                    <w:sdtContent>
                      <w:p>
                        <w:pPr>
                          <w:jc w:val="center"/>
                          <w:rPr>
                            <w:rFonts w:asciiTheme="minorEastAsia" w:hAnsiTheme="minorEastAsia" w:eastAsiaTheme="minorEastAsia"/>
                            <w:b/>
                            <w:szCs w:val="21"/>
                          </w:rPr>
                        </w:pPr>
                        <w:r>
                          <w:rPr>
                            <w:rFonts w:hint="eastAsia" w:asciiTheme="minorEastAsia" w:hAnsiTheme="minorEastAsia" w:eastAsiaTheme="minorEastAsia"/>
                            <w:b/>
                            <w:szCs w:val="21"/>
                          </w:rPr>
                          <w:t>2021年度</w:t>
                        </w:r>
                      </w:p>
                    </w:sdtContent>
                  </w:sdt>
                </w:tc>
                <w:tc>
                  <w:tcPr>
                    <w:tcW w:w="111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b/>
                        <w:szCs w:val="21"/>
                      </w:rPr>
                      <w:tag w:val="_PLD_7a01f378d3e3492c9571d4400832431f"/>
                      <w:id w:val="1084647170"/>
                      <w:lock w:val="sdtLocked"/>
                    </w:sdtPr>
                    <w:sdtEndPr>
                      <w:rPr>
                        <w:rFonts w:hint="eastAsia" w:asciiTheme="minorEastAsia" w:hAnsiTheme="minorEastAsia" w:eastAsiaTheme="minorEastAsia"/>
                        <w:b/>
                        <w:szCs w:val="21"/>
                      </w:rPr>
                    </w:sdtEndPr>
                    <w:sdtContent>
                      <w:p>
                        <w:pPr>
                          <w:jc w:val="center"/>
                          <w:rPr>
                            <w:rFonts w:asciiTheme="minorEastAsia" w:hAnsiTheme="minorEastAsia" w:eastAsiaTheme="minorEastAsia"/>
                            <w:b/>
                            <w:szCs w:val="21"/>
                          </w:rPr>
                        </w:pPr>
                        <w:r>
                          <w:rPr>
                            <w:rFonts w:hint="eastAsia" w:asciiTheme="minorEastAsia" w:hAnsiTheme="minorEastAsia" w:eastAsiaTheme="minorEastAsia"/>
                            <w:b/>
                            <w:szCs w:val="21"/>
                          </w:rPr>
                          <w:t>2020年度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983f1e346c74eaf97cc01750d6f544f"/>
                    <w:id w:val="24631308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heme="minorEastAsia" w:hAnsiTheme="minorEastAsia" w:eastAsiaTheme="minorEastAsia"/>
                            <w:color w:val="000000"/>
                            <w:szCs w:val="21"/>
                          </w:rPr>
                        </w:pPr>
                        <w:r>
                          <w:rPr>
                            <w:rFonts w:hint="eastAsia" w:asciiTheme="minorEastAsia" w:hAnsiTheme="minorEastAsia" w:eastAsiaTheme="minorEastAsia"/>
                            <w:szCs w:val="21"/>
                          </w:rPr>
                          <w:t>一、营业收入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十七、4</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53,336,668.33</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38,378,372.11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aae73bf620f42a7bdc990ac3ac4e380"/>
                    <w:id w:val="34960583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减：营业成本</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十七、4</w:t>
                    </w: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23,943,426.20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26,528,395.10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6bfa762e13b4edc866d71e43a41b567"/>
                    <w:id w:val="162404790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税金及附加</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8,311,166.26</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6,249,647.66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09be0e833b94a8cbb0a2b2ca0fd2c46"/>
                    <w:id w:val="101635327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销售费用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8db3c07f2524451a8e448eb4105c32c"/>
                    <w:id w:val="-52193758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管理费用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44,661,219.15</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243,033,562.45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d2525d1291b74497b0a64b222316f4ee"/>
                      <w:id w:val="751788136"/>
                      <w:lock w:val="sdtLocked"/>
                    </w:sdtPr>
                    <w:sdtEndPr>
                      <w:rPr>
                        <w:rFonts w:hint="eastAsia"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研发费用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21,174,037.67</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62,211,198.89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a7b57edb7744817a28718e086ddd05b"/>
                    <w:id w:val="6693592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财务费用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25,219,725.52</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393,191,685.90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6df774b7facf4e3db743c473152d3f19"/>
                      <w:id w:val="-658147476"/>
                      <w:lock w:val="sdtLocked"/>
                    </w:sdtPr>
                    <w:sdtEndPr>
                      <w:rPr>
                        <w:rFonts w:hint="eastAsia"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其中：利息费用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91,861,509.58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389,571,143.81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385e3c40e2654a888890a63c535854b4"/>
                      <w:id w:val="-666090410"/>
                      <w:lock w:val="sdtLocked"/>
                    </w:sdtPr>
                    <w:sdtEndPr>
                      <w:rPr>
                        <w:rFonts w:hint="eastAsia" w:asciiTheme="minorEastAsia" w:hAnsiTheme="minorEastAsia" w:eastAsiaTheme="minorEastAsia"/>
                        <w:szCs w:val="21"/>
                      </w:rPr>
                    </w:sdtEndPr>
                    <w:sdtContent>
                      <w:p>
                        <w:pPr>
                          <w:ind w:firstLine="1260" w:firstLineChars="600"/>
                          <w:rPr>
                            <w:rFonts w:asciiTheme="minorEastAsia" w:hAnsiTheme="minorEastAsia" w:eastAsiaTheme="minorEastAsia"/>
                            <w:szCs w:val="21"/>
                          </w:rPr>
                        </w:pPr>
                        <w:r>
                          <w:rPr>
                            <w:rFonts w:hint="eastAsia" w:asciiTheme="minorEastAsia" w:hAnsiTheme="minorEastAsia" w:eastAsiaTheme="minorEastAsia"/>
                            <w:szCs w:val="21"/>
                          </w:rPr>
                          <w:t>利息收入</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67,029,426.18</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686,986.88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20ea8bbcc3d47c49fdc9c7aa944a8d8"/>
                    <w:id w:val="-63163318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加：其他收益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694,637.83</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3,192,156.84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8c83cecc9614724b2b7311ca4c938a9"/>
                    <w:id w:val="-19431439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投资收益（损失以“－”号填列）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szCs w:val="21"/>
                      </w:rPr>
                      <w:t>十七、5</w:t>
                    </w: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112,051,019.78</w:t>
                    </w:r>
                  </w:p>
                </w:tc>
                <w:tc>
                  <w:tcPr>
                    <w:tcW w:w="111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-897,592,031.83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fc53b9893f340329463bf2fd9fcf9fd"/>
                    <w:id w:val="111903727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其中：对联营企业和合营企业的投资收益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76,904,017.08</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140,512,044.31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7b8cf553aa74a7e995b5814703664af"/>
                    <w:id w:val="-1439062957"/>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tcPr>
                      <w:p>
                        <w:pPr>
                          <w:ind w:firstLine="1155" w:firstLineChars="550"/>
                          <w:rPr>
                            <w:rFonts w:asciiTheme="minorEastAsia" w:hAnsiTheme="minorEastAsia" w:eastAsiaTheme="minorEastAsia"/>
                            <w:szCs w:val="21"/>
                          </w:rPr>
                        </w:pPr>
                        <w:r>
                          <w:rPr>
                            <w:rFonts w:hint="eastAsia" w:asciiTheme="minorEastAsia" w:hAnsiTheme="minorEastAsia" w:eastAsiaTheme="minorEastAsia"/>
                            <w:szCs w:val="21"/>
                          </w:rPr>
                          <w:t>以摊余成本计量的金融资产终止确认收益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cb4beedada004366a28dc6c0054f1d37"/>
                      <w:id w:val="1913588897"/>
                      <w:lock w:val="sdtLocked"/>
                    </w:sdtPr>
                    <w:sdtEndPr>
                      <w:rPr>
                        <w:rFonts w:hint="default"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净敞口套期收益（损失以“</w:t>
                        </w:r>
                        <w:r>
                          <w:rPr>
                            <w:rFonts w:asciiTheme="minorEastAsia" w:hAnsiTheme="minorEastAsia" w:eastAsiaTheme="minorEastAsia"/>
                            <w:szCs w:val="21"/>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36981e5e1384f23b8bcad1fe3feb8fd"/>
                    <w:id w:val="-105515525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color w:val="000000"/>
                            <w:szCs w:val="21"/>
                          </w:rPr>
                        </w:pPr>
                        <w:r>
                          <w:rPr>
                            <w:rFonts w:hint="eastAsia" w:asciiTheme="minorEastAsia" w:hAnsiTheme="minorEastAsia" w:eastAsiaTheme="minorEastAsia"/>
                            <w:szCs w:val="21"/>
                          </w:rPr>
                          <w:t>公允价值变动收益（损失以“－”号填列）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27,902,057.60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-2,524,257.60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ae3a70990d514b87aee42bc81307f291"/>
                      <w:id w:val="783241166"/>
                      <w:lock w:val="sdtLocked"/>
                    </w:sdtPr>
                    <w:sdtEndPr>
                      <w:rPr>
                        <w:rFonts w:hint="eastAsia" w:asciiTheme="minorEastAsia" w:hAnsiTheme="minorEastAsia" w:eastAsiaTheme="minorEastAsia"/>
                        <w:szCs w:val="21"/>
                      </w:rPr>
                    </w:sdtEndPr>
                    <w:sdtContent>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信用减值损失（损失以“</w:t>
                        </w:r>
                        <w:r>
                          <w:rPr>
                            <w:rFonts w:asciiTheme="minorEastAsia" w:hAnsiTheme="minorEastAsia" w:eastAsiaTheme="minorEastAsia"/>
                            <w:szCs w:val="21"/>
                          </w:rPr>
                          <w:t>-”号填列）</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88,151,166.29</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-15,133,470.83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c8b602b86da4d9e89eb4a71d0ffebfb"/>
                    <w:id w:val="-680964786"/>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资产减值损失（损失以“</w:t>
                        </w:r>
                        <w:r>
                          <w:rPr>
                            <w:rFonts w:asciiTheme="minorEastAsia" w:hAnsiTheme="minorEastAsia" w:eastAsiaTheme="minorEastAsia"/>
                            <w:szCs w:val="21"/>
                          </w:rPr>
                          <w:t>-”号填列）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-1,497,291,872.80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szCs w:val="21"/>
                    </w:rPr>
                    <w:tag w:val="_PLD_ddf2ac52069843e19488477137a61306"/>
                    <w:id w:val="49743920"/>
                    <w:lock w:val="sdtLocked"/>
                  </w:sdtPr>
                  <w:sdtEndPr>
                    <w:rPr>
                      <w:rFonts w:hint="eastAsia"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资产处置收益（损失以“－”号填列）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-16,121.21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-209,616,772.78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3f7b971fb944459960c2fb805e59445"/>
                    <w:id w:val="190233256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heme="minorEastAsia" w:hAnsiTheme="minorEastAsia" w:eastAsiaTheme="minorEastAsia"/>
                            <w:color w:val="000000"/>
                            <w:szCs w:val="21"/>
                          </w:rPr>
                        </w:pPr>
                        <w:r>
                          <w:rPr>
                            <w:rFonts w:hint="eastAsia" w:asciiTheme="minorEastAsia" w:hAnsiTheme="minorEastAsia" w:eastAsiaTheme="minorEastAsia"/>
                            <w:szCs w:val="21"/>
                          </w:rPr>
                          <w:t>二、营业利润（亏损以“－”号填列）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158,809,853.82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-3,311,802,366.89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0661784543f452b848c0b9d529adade"/>
                    <w:id w:val="312689141"/>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加：营业外收入</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98,161.00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179,086.69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fdb803ff73e4cb3a7327f20fbf392c4"/>
                    <w:id w:val="-140090784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减：营业外支出</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153,600.78</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1,013,240.24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2748ed96a49412f8c1d796e288dfd66"/>
                    <w:id w:val="-43051627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heme="minorEastAsia" w:hAnsiTheme="minorEastAsia" w:eastAsiaTheme="minorEastAsia"/>
                            <w:color w:val="000000"/>
                            <w:szCs w:val="21"/>
                          </w:rPr>
                        </w:pPr>
                        <w:r>
                          <w:rPr>
                            <w:rFonts w:hint="eastAsia" w:asciiTheme="minorEastAsia" w:hAnsiTheme="minorEastAsia" w:eastAsiaTheme="minorEastAsia"/>
                            <w:szCs w:val="21"/>
                          </w:rPr>
                          <w:t>三、利润总额（亏损总额以“－”号填列）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158,754,414.04</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-3,312,636,520.44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f95f22f00bd49debae1612500281454"/>
                    <w:id w:val="-33245445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减：所得税费用</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31,770,564.99</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-169,062,733.10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81dfbfb287344a7a297df1ef46d4b28"/>
                    <w:id w:val="1576629218"/>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heme="minorEastAsia" w:hAnsiTheme="minorEastAsia" w:eastAsiaTheme="minorEastAsia"/>
                            <w:color w:val="000000"/>
                            <w:szCs w:val="21"/>
                          </w:rPr>
                        </w:pPr>
                        <w:r>
                          <w:rPr>
                            <w:rFonts w:hint="eastAsia" w:asciiTheme="minorEastAsia" w:hAnsiTheme="minorEastAsia" w:eastAsiaTheme="minorEastAsia"/>
                            <w:szCs w:val="21"/>
                          </w:rPr>
                          <w:t>四、净利润（净亏损以“－”号填列）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126,983,849.05</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-3,143,573,787.34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4c8130acf934eae8cbf12d79a6f1849"/>
                    <w:id w:val="186800264"/>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Theme="minorEastAsia" w:hAnsiTheme="minorEastAsia" w:eastAsiaTheme="minorEastAsia"/>
                            <w:szCs w:val="21"/>
                          </w:rPr>
                        </w:pPr>
                        <w:r>
                          <w:rPr>
                            <w:rFonts w:hint="eastAsia" w:asciiTheme="minorEastAsia" w:hAnsiTheme="minorEastAsia" w:eastAsiaTheme="minorEastAsia"/>
                            <w:szCs w:val="21"/>
                          </w:rPr>
                          <w:t>（一）</w:t>
                        </w:r>
                        <w:r>
                          <w:rPr>
                            <w:rFonts w:asciiTheme="minorEastAsia" w:hAnsiTheme="minorEastAsia" w:eastAsiaTheme="minorEastAsia"/>
                            <w:szCs w:val="21"/>
                          </w:rPr>
                          <w:t>持续经营净利润（净亏损以“－”号填列）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126,983,849.05</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-3,143,573,787.34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hint="eastAsia" w:asciiTheme="minorEastAsia" w:hAnsiTheme="minorEastAsia" w:eastAsiaTheme="minorEastAsia"/>
                      <w:szCs w:val="21"/>
                    </w:rPr>
                    <w:tag w:val="_PLD_c21798e8f64a4d18a4ff3dcbcdca3010"/>
                    <w:id w:val="-1073359027"/>
                    <w:lock w:val="sdtLocked"/>
                  </w:sdtPr>
                  <w:sdtEndPr>
                    <w:rPr>
                      <w:rFonts w:hint="eastAsia"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26" w:firstLineChars="108"/>
                          <w:rPr>
                            <w:rFonts w:asciiTheme="minorEastAsia" w:hAnsiTheme="minorEastAsia" w:eastAsiaTheme="minorEastAsia"/>
                            <w:szCs w:val="21"/>
                          </w:rPr>
                        </w:pPr>
                        <w:r>
                          <w:rPr>
                            <w:rFonts w:hint="eastAsia" w:asciiTheme="minorEastAsia" w:hAnsiTheme="minorEastAsia" w:eastAsiaTheme="minorEastAsia"/>
                            <w:szCs w:val="21"/>
                          </w:rPr>
                          <w:t>（二）终止经营净利润（净亏损以“－”号填列）</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ef7206cc31b415e9336bbf8771bf079"/>
                    <w:id w:val="402416435"/>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Chars="-19" w:hanging="39" w:hangingChars="19"/>
                          <w:rPr>
                            <w:rFonts w:asciiTheme="minorEastAsia" w:hAnsiTheme="minorEastAsia" w:eastAsiaTheme="minorEastAsia"/>
                            <w:szCs w:val="21"/>
                          </w:rPr>
                        </w:pPr>
                        <w:r>
                          <w:rPr>
                            <w:rFonts w:hint="eastAsia" w:asciiTheme="minorEastAsia" w:hAnsiTheme="minorEastAsia" w:eastAsiaTheme="minorEastAsia"/>
                            <w:szCs w:val="21"/>
                          </w:rPr>
                          <w:t>五、其他综合收益的税后净额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9,153,753.06</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-19,731,346.58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78d78cb79b143eda21d77b8b82eb405"/>
                    <w:id w:val="-37470024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（一）不能重分类进损益的其他综合收益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-6,815,283.62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-13,391,933.39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4507744845347d5a7ddb6cb1d271871"/>
                    <w:id w:val="417295797"/>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1.重新计量设定受益计划变动额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d4afbe307044420b1bee0e63190ef5e"/>
                    <w:id w:val="48118186"/>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2.权益法下不能转损益的其他综合收益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-4,452,783.62</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-4,433.39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1ab23fe3f5fb4d2e99bba5f949df64c9"/>
                      <w:id w:val="1840576876"/>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3.其他权益工具投资公允价值变动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-2,362,500.00</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-13,387,500.00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abea2d90d8ff45378fbf0448a4edfb34"/>
                      <w:id w:val="308212604"/>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4.企业自身信用风险公允价值变动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00e44a13bef4fa0a457e81da4156f5c"/>
                    <w:id w:val="937488310"/>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（二）将重分类进损益的其他综合收益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15,969,036.68</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-6,339,413.19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e0457608e334038bbea3ead8c7f6e4e"/>
                    <w:id w:val="-1821103466"/>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asciiTheme="minorEastAsia" w:hAnsiTheme="minorEastAsia" w:eastAsiaTheme="minorEastAsia"/>
                            <w:szCs w:val="21"/>
                          </w:rPr>
                          <w:t>1.权益法下可转损益的其他综合收益</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15,969,036.68</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-6,339,413.19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49768ae1f6844b65b5a0f506fe62dcae"/>
                      <w:id w:val="316144954"/>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2.其他债权投资公允价值变动</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bb13f12adaea41d7a1dc99b71aea9b5b"/>
                      <w:id w:val="-56933806"/>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3.金融资产重分类计入其他综合收益的金额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fe94406153bf40de8d9b744461e28099"/>
                      <w:id w:val="-1842158486"/>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4.其他债权投资信用减值准备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38a56d130a464815ad321892534e8d2b"/>
                      <w:id w:val="554058100"/>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5.现金流量套期储备</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dd6ccaef27ea479f9a8ae916e09fc2bd"/>
                      <w:id w:val="1223943002"/>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6.外币财务报表折算差额</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8" w:type="pct"/>
                    <w:tcBorders>
                      <w:top w:val="outset" w:color="auto" w:sz="4" w:space="0"/>
                      <w:left w:val="outset" w:color="auto" w:sz="4" w:space="0"/>
                      <w:bottom w:val="outset" w:color="auto" w:sz="4" w:space="0"/>
                      <w:right w:val="outset" w:color="auto" w:sz="4" w:space="0"/>
                    </w:tcBorders>
                    <w:vAlign w:val="center"/>
                  </w:tcPr>
                  <w:sdt>
                    <w:sdtPr>
                      <w:rPr>
                        <w:rFonts w:asciiTheme="minorEastAsia" w:hAnsiTheme="minorEastAsia" w:eastAsiaTheme="minorEastAsia"/>
                        <w:szCs w:val="21"/>
                      </w:rPr>
                      <w:tag w:val="_PLD_dd832ab85f5b4f9a89fd7c302f167e62"/>
                      <w:id w:val="1419293512"/>
                      <w:lock w:val="sdtLocked"/>
                    </w:sdtPr>
                    <w:sdtEndPr>
                      <w:rPr>
                        <w:rFonts w:asciiTheme="minorEastAsia" w:hAnsiTheme="minorEastAsia" w:eastAsiaTheme="minorEastAsia"/>
                        <w:szCs w:val="21"/>
                      </w:rPr>
                    </w:sdtEndPr>
                    <w:sdtContent>
                      <w:p>
                        <w:pPr>
                          <w:ind w:firstLine="420" w:firstLineChars="200"/>
                          <w:rPr>
                            <w:rFonts w:asciiTheme="minorEastAsia" w:hAnsiTheme="minorEastAsia" w:eastAsiaTheme="minorEastAsia"/>
                            <w:szCs w:val="21"/>
                          </w:rPr>
                        </w:pPr>
                        <w:r>
                          <w:rPr>
                            <w:rFonts w:asciiTheme="minorEastAsia" w:hAnsiTheme="minorEastAsia" w:eastAsiaTheme="minorEastAsia"/>
                            <w:szCs w:val="21"/>
                          </w:rPr>
                          <w:t>7.其他</w:t>
                        </w:r>
                      </w:p>
                    </w:sdtContent>
                  </w:sdt>
                </w:tc>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28c0f44a99b412d91d1d2a8552832c4"/>
                    <w:id w:val="909735699"/>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rPr>
                            <w:rFonts w:asciiTheme="minorEastAsia" w:hAnsiTheme="minorEastAsia" w:eastAsiaTheme="minorEastAsia"/>
                            <w:szCs w:val="21"/>
                          </w:rPr>
                        </w:pPr>
                        <w:r>
                          <w:rPr>
                            <w:rFonts w:hint="eastAsia" w:asciiTheme="minorEastAsia" w:hAnsiTheme="minorEastAsia" w:eastAsiaTheme="minorEastAsia"/>
                            <w:szCs w:val="21"/>
                          </w:rPr>
                          <w:t>六、综合收益总额</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136,137,602.11</w:t>
                    </w: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-3,163,305,133.92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b0447fd122e4105bde5cc49acaea414"/>
                    <w:id w:val="1719312888"/>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szCs w:val="21"/>
                          </w:rPr>
                          <w:t>七</w:t>
                        </w:r>
                        <w:r>
                          <w:rPr>
                            <w:rFonts w:asciiTheme="minorEastAsia" w:hAnsiTheme="minorEastAsia" w:eastAsiaTheme="minorEastAsia"/>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a13c63375064e638db61d3d0d1116f4"/>
                    <w:id w:val="205376043"/>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heme="minorEastAsia" w:hAnsiTheme="minorEastAsia" w:eastAsiaTheme="minorEastAsia"/>
                            <w:szCs w:val="21"/>
                          </w:rPr>
                        </w:pPr>
                        <w:r>
                          <w:rPr>
                            <w:rFonts w:asciiTheme="minorEastAsia" w:hAnsiTheme="minorEastAsia" w:eastAsiaTheme="minorEastAsia"/>
                            <w:szCs w:val="21"/>
                          </w:rPr>
                          <w:t>（一）基本每股收益</w:t>
                        </w:r>
                        <w:r>
                          <w:rPr>
                            <w:rFonts w:hint="eastAsia" w:asciiTheme="minorEastAsia" w:hAnsiTheme="minorEastAsia" w:eastAsiaTheme="minor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ee1b0c33eb3461690321c1ead900c77"/>
                    <w:id w:val="1076012462"/>
                    <w:lock w:val="sdtLocked"/>
                  </w:sdtPr>
                  <w:sdtEndPr>
                    <w:rPr>
                      <w:rFonts w:asciiTheme="minorEastAsia" w:hAnsiTheme="minorEastAsia" w:eastAsiaTheme="minorEastAsia"/>
                      <w:szCs w:val="21"/>
                    </w:rPr>
                  </w:sdtEndPr>
                  <w:sdtContent>
                    <w:tc>
                      <w:tcPr>
                        <w:tcW w:w="1938" w:type="pct"/>
                        <w:tcBorders>
                          <w:top w:val="outset" w:color="auto" w:sz="4" w:space="0"/>
                          <w:left w:val="outset" w:color="auto" w:sz="4" w:space="0"/>
                          <w:bottom w:val="outset" w:color="auto" w:sz="4" w:space="0"/>
                          <w:right w:val="outset" w:color="auto" w:sz="4" w:space="0"/>
                        </w:tcBorders>
                        <w:vAlign w:val="center"/>
                      </w:tcPr>
                      <w:p>
                        <w:pPr>
                          <w:ind w:left="-19" w:firstLine="420" w:firstLineChars="200"/>
                          <w:rPr>
                            <w:rFonts w:asciiTheme="minorEastAsia" w:hAnsiTheme="minorEastAsia" w:eastAsiaTheme="minorEastAsia"/>
                            <w:szCs w:val="21"/>
                          </w:rPr>
                        </w:pPr>
                        <w:r>
                          <w:rPr>
                            <w:rFonts w:asciiTheme="minorEastAsia" w:hAnsiTheme="minorEastAsia" w:eastAsiaTheme="minorEastAsia"/>
                            <w:szCs w:val="21"/>
                          </w:rPr>
                          <w:t>（二）稀释每股收益</w:t>
                        </w:r>
                        <w:r>
                          <w:rPr>
                            <w:rFonts w:hint="eastAsia" w:asciiTheme="minorEastAsia" w:hAnsiTheme="minorEastAsia" w:eastAsiaTheme="minorEastAsia"/>
                            <w:szCs w:val="21"/>
                          </w:rPr>
                          <w:t>(元/股)</w:t>
                        </w:r>
                      </w:p>
                    </w:tc>
                  </w:sdtContent>
                </w:sdt>
                <w:tc>
                  <w:tcPr>
                    <w:tcW w:w="8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110"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1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bl>
            <w:p/>
            <w:p/>
            <w:p>
              <w:pPr>
                <w:snapToGrid w:val="0"/>
                <w:spacing w:line="240" w:lineRule="atLeast"/>
                <w:ind w:right="-153" w:rightChars="-73"/>
                <w:rPr>
                  <w:rFonts w:cs="宋体-方正超大字符集"/>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4fbc09e50eb44a79e1d4314733be4f9"/>
                  <w:id w:val="1970626089"/>
                  <w:lock w:val="sdtLocked"/>
                  <w:placeholder>
                    <w:docPart w:val="GBC22222222222222222222222222222"/>
                  </w:placeholder>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37d9f750e6c04845b9e34ad6da976b56"/>
                  <w:id w:val="-1612121411"/>
                  <w:lock w:val="sdtLocked"/>
                  <w:placeholder>
                    <w:docPart w:val="GBC22222222222222222222222222222"/>
                  </w:placeholder>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b8515644d08d42edafc210cf569b9b08"/>
                  <w:id w:val="-1862046642"/>
                  <w:lock w:val="sdtLocked"/>
                  <w:placeholder>
                    <w:docPart w:val="GBC22222222222222222222222222222"/>
                  </w:placeholder>
                  <w:text/>
                </w:sdtPr>
                <w:sdtEndPr>
                  <w:rPr>
                    <w:rFonts w:hint="eastAsia"/>
                    <w:szCs w:val="21"/>
                  </w:rPr>
                </w:sdtEndPr>
                <w:sdtContent>
                  <w:r>
                    <w:rPr>
                      <w:rFonts w:hint="eastAsia"/>
                      <w:szCs w:val="21"/>
                    </w:rPr>
                    <w:t>张琳斌</w:t>
                  </w:r>
                </w:sdtContent>
              </w:sdt>
            </w:p>
          </w:sdtContent>
        </w:sdt>
        <w:p>
          <w:pPr>
            <w:rPr>
              <w:color w:val="FF0000"/>
              <w:szCs w:val="21"/>
            </w:rPr>
          </w:pPr>
        </w:p>
      </w:sdtContent>
    </w:sdt>
    <w:bookmarkEnd w:id="118"/>
    <w:p>
      <w:pPr>
        <w:rPr>
          <w:color w:val="FF0000"/>
          <w:szCs w:val="21"/>
        </w:rPr>
      </w:pPr>
    </w:p>
    <w:p>
      <w:pPr>
        <w:rPr>
          <w:color w:val="FF0000"/>
          <w:szCs w:val="21"/>
        </w:rPr>
      </w:pPr>
      <w:r>
        <w:rPr>
          <w:color w:val="FF0000"/>
          <w:szCs w:val="21"/>
        </w:rPr>
        <w:br w:type="page"/>
      </w:r>
    </w:p>
    <w:p>
      <w:pPr>
        <w:rPr>
          <w:color w:val="FF0000"/>
          <w:szCs w:val="21"/>
        </w:rPr>
      </w:pPr>
    </w:p>
    <w:sdt>
      <w:sdtPr>
        <w:rPr>
          <w:rFonts w:hint="eastAsia"/>
          <w:b/>
          <w:bCs/>
          <w:szCs w:val="21"/>
        </w:rPr>
        <w:alias w:val="选项模块:需要编制合并报表"/>
        <w:tag w:val="_GBC_d6533048a32749eaa7738390457b7f24"/>
        <w:id w:val="890230390"/>
        <w:lock w:val="sdtLocked"/>
        <w:placeholder>
          <w:docPart w:val="GBC22222222222222222222222222222"/>
        </w:placeholder>
      </w:sdtPr>
      <w:sdtEndPr>
        <w:rPr>
          <w:rFonts w:hint="eastAsia"/>
          <w:b/>
          <w:bCs/>
          <w:szCs w:val="21"/>
        </w:rPr>
      </w:sdtEndPr>
      <w:sdtContent>
        <w:sdt>
          <w:sdtPr>
            <w:rPr>
              <w:rFonts w:hint="eastAsia"/>
              <w:b/>
              <w:bCs/>
              <w:szCs w:val="21"/>
            </w:rPr>
            <w:tag w:val="_GBC_17c43da24c7845d3aa093910aeaf2348"/>
            <w:id w:val="500788300"/>
            <w:lock w:val="sdtLocked"/>
            <w:placeholder>
              <w:docPart w:val="GBC22222222222222222222222222222"/>
            </w:placeholder>
          </w:sdtPr>
          <w:sdtEndPr>
            <w:rPr>
              <w:rFonts w:hint="eastAsia"/>
              <w:b w:val="0"/>
              <w:bCs w:val="0"/>
              <w:szCs w:val="21"/>
            </w:rPr>
          </w:sdtEndPr>
          <w:sdtContent>
            <w:p>
              <w:pPr>
                <w:jc w:val="center"/>
                <w:outlineLvl w:val="2"/>
                <w:rPr>
                  <w:b/>
                  <w:bCs/>
                  <w:szCs w:val="21"/>
                </w:rPr>
              </w:pPr>
              <w:bookmarkStart w:id="119" w:name="_Hlk1156136"/>
              <w:r>
                <w:rPr>
                  <w:rFonts w:hint="eastAsia"/>
                  <w:b/>
                  <w:bCs/>
                  <w:szCs w:val="21"/>
                </w:rPr>
                <w:t>合并</w:t>
              </w:r>
              <w:r>
                <w:rPr>
                  <w:b/>
                  <w:bCs/>
                  <w:szCs w:val="21"/>
                </w:rPr>
                <w:t>现金流量表</w:t>
              </w:r>
            </w:p>
            <w:p>
              <w:pPr>
                <w:jc w:val="center"/>
                <w:rPr>
                  <w:b/>
                  <w:bCs/>
                  <w:szCs w:val="21"/>
                </w:rPr>
              </w:pPr>
              <w:r>
                <w:rPr>
                  <w:szCs w:val="21"/>
                </w:rPr>
                <w:t>2021年</w:t>
              </w:r>
              <w:r>
                <w:rPr>
                  <w:rFonts w:hint="eastAsia"/>
                  <w:szCs w:val="21"/>
                </w:rPr>
                <w:t>1—12</w:t>
              </w:r>
              <w:r>
                <w:rPr>
                  <w:szCs w:val="21"/>
                </w:rPr>
                <w:t>月</w:t>
              </w:r>
            </w:p>
            <w:p>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104033098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110993772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09"/>
                <w:gridCol w:w="1200"/>
                <w:gridCol w:w="2174"/>
                <w:gridCol w:w="216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9" w:type="pct"/>
                    <w:tcBorders>
                      <w:top w:val="outset" w:color="auto" w:sz="4" w:space="0"/>
                      <w:left w:val="outset" w:color="auto" w:sz="4" w:space="0"/>
                      <w:bottom w:val="outset" w:color="auto" w:sz="4" w:space="0"/>
                      <w:right w:val="outset" w:color="auto" w:sz="4" w:space="0"/>
                    </w:tcBorders>
                  </w:tcPr>
                  <w:sdt>
                    <w:sdtPr>
                      <w:rPr>
                        <w:rFonts w:hint="eastAsia"/>
                        <w:b/>
                      </w:rPr>
                      <w:tag w:val="_PLD_5a1e687815424d54a4dd8744648aa3cb"/>
                      <w:id w:val="932401298"/>
                      <w:lock w:val="sdtLocked"/>
                    </w:sdtPr>
                    <w:sdtEndPr>
                      <w:rPr>
                        <w:rFonts w:hint="eastAsia"/>
                        <w:b/>
                      </w:rPr>
                    </w:sdtEndPr>
                    <w:sdtContent>
                      <w:p>
                        <w:pPr>
                          <w:jc w:val="center"/>
                          <w:rPr>
                            <w:b/>
                          </w:rPr>
                        </w:pPr>
                        <w:r>
                          <w:rPr>
                            <w:rFonts w:hint="eastAsia"/>
                            <w:b/>
                          </w:rPr>
                          <w:t>项目</w:t>
                        </w:r>
                      </w:p>
                    </w:sdtContent>
                  </w:sdt>
                </w:tc>
                <w:tc>
                  <w:tcPr>
                    <w:tcW w:w="663" w:type="pct"/>
                    <w:tcBorders>
                      <w:top w:val="outset" w:color="auto" w:sz="4" w:space="0"/>
                      <w:left w:val="outset" w:color="auto" w:sz="4" w:space="0"/>
                      <w:bottom w:val="outset" w:color="auto" w:sz="4" w:space="0"/>
                      <w:right w:val="outset" w:color="auto" w:sz="4" w:space="0"/>
                    </w:tcBorders>
                  </w:tcPr>
                  <w:sdt>
                    <w:sdtPr>
                      <w:rPr>
                        <w:rFonts w:hint="eastAsia"/>
                        <w:b/>
                      </w:rPr>
                      <w:tag w:val="_PLD_3c902166982f4ea18b3f3d11c1fe2190"/>
                      <w:id w:val="1135608691"/>
                      <w:lock w:val="sdtLocked"/>
                    </w:sdtPr>
                    <w:sdtEndPr>
                      <w:rPr>
                        <w:rFonts w:hint="eastAsia"/>
                        <w:b/>
                      </w:rPr>
                    </w:sdtEndPr>
                    <w:sdtContent>
                      <w:p>
                        <w:pPr>
                          <w:jc w:val="center"/>
                          <w:rPr>
                            <w:b/>
                          </w:rPr>
                        </w:pPr>
                        <w:r>
                          <w:rPr>
                            <w:rFonts w:hint="eastAsia"/>
                            <w:b/>
                          </w:rPr>
                          <w:t>附注</w:t>
                        </w:r>
                      </w:p>
                    </w:sdtContent>
                  </w:sdt>
                </w:tc>
                <w:tc>
                  <w:tcPr>
                    <w:tcW w:w="1201" w:type="pct"/>
                    <w:tcBorders>
                      <w:top w:val="outset" w:color="auto" w:sz="4" w:space="0"/>
                      <w:left w:val="outset" w:color="auto" w:sz="4" w:space="0"/>
                      <w:bottom w:val="outset" w:color="auto" w:sz="4" w:space="0"/>
                      <w:right w:val="outset" w:color="auto" w:sz="4" w:space="0"/>
                    </w:tcBorders>
                  </w:tcPr>
                  <w:sdt>
                    <w:sdtPr>
                      <w:rPr>
                        <w:rFonts w:hint="eastAsia"/>
                        <w:b/>
                      </w:rPr>
                      <w:tag w:val="_PLD_29a06cc719e5467e82013eb798ebb143"/>
                      <w:id w:val="-1745174044"/>
                      <w:lock w:val="sdtLocked"/>
                    </w:sdtPr>
                    <w:sdtEndPr>
                      <w:rPr>
                        <w:rFonts w:hint="eastAsia"/>
                        <w:b/>
                      </w:rPr>
                    </w:sdtEndPr>
                    <w:sdtContent>
                      <w:p>
                        <w:pPr>
                          <w:autoSpaceDE w:val="0"/>
                          <w:autoSpaceDN w:val="0"/>
                          <w:adjustRightInd w:val="0"/>
                          <w:jc w:val="center"/>
                          <w:rPr>
                            <w:b/>
                          </w:rPr>
                        </w:pPr>
                        <w:r>
                          <w:rPr>
                            <w:rFonts w:hint="eastAsia"/>
                            <w:b/>
                          </w:rPr>
                          <w:t>2021年度</w:t>
                        </w:r>
                      </w:p>
                    </w:sdtContent>
                  </w:sdt>
                </w:tc>
                <w:tc>
                  <w:tcPr>
                    <w:tcW w:w="1197" w:type="pct"/>
                    <w:tcBorders>
                      <w:top w:val="outset" w:color="auto" w:sz="4" w:space="0"/>
                      <w:left w:val="outset" w:color="auto" w:sz="4" w:space="0"/>
                      <w:bottom w:val="outset" w:color="auto" w:sz="4" w:space="0"/>
                      <w:right w:val="outset" w:color="auto" w:sz="4" w:space="0"/>
                    </w:tcBorders>
                  </w:tcPr>
                  <w:sdt>
                    <w:sdtPr>
                      <w:rPr>
                        <w:rFonts w:hint="eastAsia"/>
                        <w:b/>
                      </w:rPr>
                      <w:tag w:val="_PLD_0bd5effed8234e5eb21199f6669657c2"/>
                      <w:id w:val="-1605794924"/>
                      <w:lock w:val="sdtLocked"/>
                    </w:sdtPr>
                    <w:sdtEndPr>
                      <w:rPr>
                        <w:rFonts w:hint="eastAsia"/>
                        <w:b/>
                      </w:rPr>
                    </w:sdtEndPr>
                    <w:sdtContent>
                      <w:p>
                        <w:pPr>
                          <w:autoSpaceDE w:val="0"/>
                          <w:autoSpaceDN w:val="0"/>
                          <w:adjustRightInd w:val="0"/>
                          <w:jc w:val="center"/>
                          <w:rPr>
                            <w:b/>
                          </w:rPr>
                        </w:pPr>
                        <w:r>
                          <w:rPr>
                            <w:rFonts w:hint="eastAsia"/>
                            <w:b/>
                          </w:rPr>
                          <w:t>2020年度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3c8258c1684fb989d96332af6834de"/>
                    <w:id w:val="785474477"/>
                    <w:lock w:val="sdtLocked"/>
                  </w:sdtPr>
                  <w:sdtContent>
                    <w:tc>
                      <w:tcPr>
                        <w:tcW w:w="5000" w:type="pct"/>
                        <w:gridSpan w:val="4"/>
                        <w:tcBorders>
                          <w:top w:val="outset" w:color="auto" w:sz="4" w:space="0"/>
                          <w:left w:val="outset" w:color="auto" w:sz="4" w:space="0"/>
                          <w:bottom w:val="outset" w:color="auto" w:sz="4" w:space="0"/>
                          <w:right w:val="outset" w:color="auto" w:sz="4" w:space="0"/>
                        </w:tcBorders>
                      </w:tcPr>
                      <w:p>
                        <w:pPr>
                          <w:rPr>
                            <w:szCs w:val="21"/>
                          </w:rPr>
                        </w:pPr>
                        <w:r>
                          <w:rPr>
                            <w:rFonts w:hint="eastAsia"/>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b7e55e1cfcb4655808df7bda47d97ec"/>
                    <w:id w:val="1091894144"/>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销售商品、提供劳务收到的现金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3,000,371,978.87</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3,188,861,898.28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cd6a1da1ce04969ab94f3d191b3bb83"/>
                    <w:id w:val="-112361127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客户存款和同业存放款项净增加额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e6146827638482e8d56c6d2250d1792"/>
                    <w:id w:val="73552293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向中央银行借款净增加额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c462c73e35f4efc9fdcb3be58aa752a"/>
                    <w:id w:val="1293484107"/>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向其他金融机构拆入资金净增加额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eaf2afeecda4cc3b13be54aecb18895"/>
                    <w:id w:val="-2011281841"/>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收到原保险合同保费取得的现金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918403295945ef9b28a3ebb7c9affe"/>
                    <w:id w:val="-1591146885"/>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收到再保业务现金净额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5720274c044244992b1a395261f295"/>
                    <w:id w:val="-687597506"/>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保户储金及投资款净增加额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3820705d1a140a38a43eaf3b8d9f705"/>
                    <w:id w:val="1379437386"/>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收取利息、手续费及佣金的现金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637576284b6468992df1f554100cbd7"/>
                    <w:id w:val="-6395150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拆入资金净增加额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3021ffbcba945e3b020b2a8a345189d"/>
                    <w:id w:val="-1638944709"/>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回购业务资金净增加额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9" w:type="pct"/>
                    <w:tcBorders>
                      <w:top w:val="outset" w:color="auto" w:sz="4" w:space="0"/>
                      <w:left w:val="outset" w:color="auto" w:sz="4" w:space="0"/>
                      <w:bottom w:val="outset" w:color="auto" w:sz="4" w:space="0"/>
                      <w:right w:val="outset" w:color="auto" w:sz="4" w:space="0"/>
                    </w:tcBorders>
                  </w:tcPr>
                  <w:sdt>
                    <w:sdtPr>
                      <w:rPr>
                        <w:rFonts w:hint="eastAsia"/>
                      </w:rPr>
                      <w:tag w:val="_PLD_badcf00524c34000b2ae5e68005ddf1f"/>
                      <w:id w:val="646253200"/>
                      <w:lock w:val="sdtLocked"/>
                    </w:sdtPr>
                    <w:sdtEndPr>
                      <w:rPr>
                        <w:rFonts w:hint="eastAsia"/>
                      </w:rPr>
                    </w:sdtEndPr>
                    <w:sdtContent>
                      <w:p>
                        <w:pPr>
                          <w:ind w:firstLine="210" w:firstLineChars="100"/>
                        </w:pPr>
                        <w:r>
                          <w:rPr>
                            <w:rFonts w:hint="eastAsia"/>
                          </w:rPr>
                          <w:t>代理买卖证券收到的现金净额</w:t>
                        </w:r>
                      </w:p>
                    </w:sdtContent>
                  </w:sdt>
                </w:tc>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b5959da352549aaba5dd3bad9321535"/>
                    <w:id w:val="213844900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收到的税费返还</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280,057,583.13</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252,199,214.73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c812e39a8d445bc9e28f1b9a56eab81"/>
                    <w:id w:val="203076517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收到其他与经营活动有关的现金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七、78（1）</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208,949,060.41</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181,506,316.73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ad3f8d4c3534e0ab5b93752e1aec8cb"/>
                    <w:id w:val="1405422785"/>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经营活动现金流入小计</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3,489,378,622.41</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3,622,567,429.74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bb303b247624b63b84a3dc2e0703e2f"/>
                    <w:id w:val="-1770694882"/>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购买商品、接受劳务支付的现金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2,230,726,022.09</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1,623,434,056.67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c1e3fff2fc2437c8b902c4b8e4226c0"/>
                    <w:id w:val="-2144497569"/>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客户贷款及垫款净增加额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07e96a6744a4f12ad0ded2770585802"/>
                    <w:id w:val="-52240126"/>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存放中央银行和同业款项净增加额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c5e53965ac242e7b9cfb2bf7b10ffdb"/>
                    <w:id w:val="1964071192"/>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支付原保险合同赔付款项的现金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939" w:type="pct"/>
                    <w:tcBorders>
                      <w:top w:val="outset" w:color="auto" w:sz="4" w:space="0"/>
                      <w:left w:val="outset" w:color="auto" w:sz="4" w:space="0"/>
                      <w:bottom w:val="outset" w:color="auto" w:sz="4" w:space="0"/>
                      <w:right w:val="outset" w:color="auto" w:sz="4" w:space="0"/>
                    </w:tcBorders>
                  </w:tcPr>
                  <w:sdt>
                    <w:sdtPr>
                      <w:rPr>
                        <w:rFonts w:hint="eastAsia"/>
                      </w:rPr>
                      <w:tag w:val="_PLD_07fd33a33b61452a8cba543cf254d99c"/>
                      <w:id w:val="1022278751"/>
                      <w:lock w:val="sdtLocked"/>
                    </w:sdtPr>
                    <w:sdtEndPr>
                      <w:rPr>
                        <w:rFonts w:hint="eastAsia"/>
                      </w:rPr>
                    </w:sdtEndPr>
                    <w:sdtContent>
                      <w:p>
                        <w:pPr>
                          <w:ind w:firstLine="210" w:firstLineChars="100"/>
                        </w:pPr>
                        <w:r>
                          <w:rPr>
                            <w:rFonts w:hint="eastAsia"/>
                          </w:rPr>
                          <w:t>拆出资金净增加额</w:t>
                        </w:r>
                      </w:p>
                    </w:sdtContent>
                  </w:sdt>
                </w:tc>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b7a60b5f03c4c6d870ee06f94f6dd17"/>
                    <w:id w:val="-410692665"/>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支付利息、手续费及佣金的现金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8c03498242b4021a15af0d67036302b"/>
                    <w:id w:val="161709671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支付保单红利的现金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d3ba95030be45a28bed0514b778814a"/>
                    <w:id w:val="-1123143720"/>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支付给职工及为职工支付的现金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477,201,884.17</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443,190,619.99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488588795384f7280c2f4257b7c6a1c"/>
                    <w:id w:val="-898979905"/>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支付的各项税费</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108,581,381.94</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62,322,920.84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492121c84cd4c6e8c4692c9d1aa7dad"/>
                    <w:id w:val="-145285007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支付其他与经营活动有关的现金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七、78（2）</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297,368,767.36</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1,259,011,758.79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6fb8d6a15c242f1b6e51ee709f4bab7"/>
                    <w:id w:val="2014559281"/>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经营活动现金流出小计</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3,113,878,055.56</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3,387,959,356.29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41a992a38b8411b905e8c206db6ab55"/>
                    <w:id w:val="189184621"/>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经营活动产生的现金流量净额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w:t>
                    </w:r>
                    <w:r>
                      <w:rPr>
                        <w:szCs w:val="21"/>
                      </w:rPr>
                      <w:t>7</w:t>
                    </w:r>
                    <w:r>
                      <w:rPr>
                        <w:rFonts w:hint="eastAsia"/>
                        <w:szCs w:val="21"/>
                      </w:rPr>
                      <w:t>9</w:t>
                    </w:r>
                    <w:r>
                      <w:rPr>
                        <w:szCs w:val="21"/>
                      </w:rPr>
                      <w:t>（</w:t>
                    </w:r>
                    <w:r>
                      <w:rPr>
                        <w:rFonts w:hint="eastAsia"/>
                        <w:szCs w:val="21"/>
                      </w:rPr>
                      <w:t>1</w:t>
                    </w:r>
                    <w:r>
                      <w:rPr>
                        <w:szCs w:val="21"/>
                      </w:rPr>
                      <w:t>）</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375,500,566.8</w:t>
                    </w:r>
                    <w:r>
                      <w:rPr>
                        <w:rFonts w:hint="eastAsia"/>
                      </w:rPr>
                      <w:t>5</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234,608,073.45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b59aa0e2bd944b8ba7271368c6da00a"/>
                    <w:id w:val="1312763659"/>
                    <w:lock w:val="sdtLocked"/>
                  </w:sdtPr>
                  <w:sdtContent>
                    <w:tc>
                      <w:tcPr>
                        <w:tcW w:w="5000" w:type="pct"/>
                        <w:gridSpan w:val="4"/>
                        <w:tcBorders>
                          <w:top w:val="outset" w:color="auto" w:sz="4" w:space="0"/>
                          <w:left w:val="outset" w:color="auto" w:sz="4" w:space="0"/>
                          <w:bottom w:val="outset" w:color="auto" w:sz="4" w:space="0"/>
                          <w:right w:val="outset" w:color="auto" w:sz="4" w:space="0"/>
                        </w:tcBorders>
                      </w:tcPr>
                      <w:p>
                        <w:pPr>
                          <w:rPr>
                            <w:color w:val="008000"/>
                            <w:szCs w:val="21"/>
                          </w:rPr>
                        </w:pPr>
                        <w:r>
                          <w:rPr>
                            <w:rFonts w:hint="eastAsia"/>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755636761194418b2b21a581a3bb314"/>
                    <w:id w:val="394705170"/>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收回投资收到的现金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868,574.70</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9,900,000.00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b3a49948dc446c78ab0fa3bbe264a1c"/>
                    <w:id w:val="1322542625"/>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取得投资收益收到的现金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rPr>
                        <w:szCs w:val="21"/>
                      </w:rPr>
                      <w:t>55,867,534.55</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27,807,329.28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1c0cb329dc14342a1251732653eac4e"/>
                    <w:id w:val="1742368054"/>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处置固定资产、无形资产和其他长期资产收回的现金净额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40,299,846.73</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1,247,664.71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f8a3b92f714220bfd5b95bf8eb97d7"/>
                    <w:id w:val="-76292972"/>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处置子公司及其他营业单位收到的现金净额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w:t>
                    </w:r>
                    <w:r>
                      <w:rPr>
                        <w:szCs w:val="21"/>
                      </w:rPr>
                      <w:t>79（</w:t>
                    </w:r>
                    <w:r>
                      <w:rPr>
                        <w:rFonts w:hint="eastAsia"/>
                        <w:szCs w:val="21"/>
                      </w:rPr>
                      <w:t>3</w:t>
                    </w:r>
                    <w:r>
                      <w:rPr>
                        <w:szCs w:val="21"/>
                      </w:rPr>
                      <w:t>）</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81,122,912.37</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888590169394725b2f2e0e1479ea4b4"/>
                    <w:id w:val="-203309606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收到其他与投资活动有关的现金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七、78（3）</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77,234,610.75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19e5112f34449a2904ef319f479546c"/>
                    <w:id w:val="2124569161"/>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投资活动现金流入小计</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rPr>
                        <w:szCs w:val="21"/>
                      </w:rPr>
                      <w:t>178,158,868.35</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116,189,604.74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7611d94f242442f680b6179a4c7a46f5"/>
                    <w:id w:val="-32775549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购建固定资产、无形资产和其他长期资产支付的现金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51,751,532.78</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90,257,408.90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2c7b2b7e74747c99f13be4faf8a27a0"/>
                    <w:id w:val="-2112508311"/>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投资支付的现金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498,400,000.00</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961281e46c8a4f0e8b0ed014d1f6f10f"/>
                    <w:id w:val="1664658842"/>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质押贷款净增加额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c35a2ba3e2b478fb911a7d343da0789"/>
                    <w:id w:val="1139989356"/>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取得子公司及其他营业单位支付的现金净额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d7b5c905e8c422089771f49c5e64ed5"/>
                    <w:id w:val="560516735"/>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支付其他与投资活动有关的现金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七、78（4）</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31,898.97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f4451a783354412fb1a11734aee5dc5e"/>
                    <w:id w:val="142731479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投资活动现金流出小计</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550,151,532.78</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90,289,307.87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8c3638f311941baa0ff8aad9a945e6a"/>
                    <w:id w:val="-1060629059"/>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投资活动产生的现金流量净额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-371,992,664.43</w:t>
                    </w:r>
                  </w:p>
                </w:tc>
                <w:tc>
                  <w:tcPr>
                    <w:tcW w:w="1197" w:type="pct"/>
                    <w:tcBorders>
                      <w:top w:val="outset" w:color="auto" w:sz="4" w:space="0"/>
                      <w:left w:val="outset" w:color="auto" w:sz="4" w:space="0"/>
                      <w:bottom w:val="outset" w:color="auto" w:sz="4" w:space="0"/>
                      <w:right w:val="outset" w:color="auto" w:sz="4" w:space="0"/>
                    </w:tcBorders>
                    <w:vAlign w:val="center"/>
                  </w:tcPr>
                  <w:p>
                    <w:pPr>
                      <w:jc w:val="right"/>
                      <w:rPr>
                        <w:szCs w:val="21"/>
                      </w:rPr>
                    </w:pPr>
                    <w:r>
                      <w:t>25,900,296.87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e0d926902804b5baefad8990e4523b4"/>
                    <w:id w:val="1315219921"/>
                    <w:lock w:val="sdtLocked"/>
                  </w:sdtPr>
                  <w:sdtContent>
                    <w:tc>
                      <w:tcPr>
                        <w:tcW w:w="5000" w:type="pct"/>
                        <w:gridSpan w:val="4"/>
                        <w:tcBorders>
                          <w:top w:val="outset" w:color="auto" w:sz="4" w:space="0"/>
                          <w:left w:val="outset" w:color="auto" w:sz="4" w:space="0"/>
                          <w:bottom w:val="outset" w:color="auto" w:sz="4" w:space="0"/>
                          <w:right w:val="outset" w:color="auto" w:sz="4" w:space="0"/>
                        </w:tcBorders>
                      </w:tcPr>
                      <w:p>
                        <w:pPr>
                          <w:rPr>
                            <w:color w:val="008000"/>
                            <w:szCs w:val="21"/>
                          </w:rPr>
                        </w:pPr>
                        <w:r>
                          <w:rPr>
                            <w:rFonts w:hint="eastAsia"/>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c58235dfbd4be4b6a6d7cbeace3487"/>
                    <w:id w:val="528302806"/>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吸收投资收到的现金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3,000,000,000.00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0825a09b9704822ae416df2302e2ccb"/>
                    <w:id w:val="1699191422"/>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其中：子公司吸收少数股东投资收到的现金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af6109564ff45fa8b03e279d1cee3e7"/>
                    <w:id w:val="98327621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取得借款收到的现金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28,000,000.00</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885,946,802.05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504d291cebe439096ddf0d24d691766"/>
                    <w:id w:val="830259049"/>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收到其他与筹资活动有关的现金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七、78（5）</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863,041,647.38</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451,692,014.54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80f65d9d6674747ab42df48196250ff"/>
                    <w:id w:val="-1799449277"/>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筹资活动现金流入小计</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891,041,647.38</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4,337,638,816.59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ff7930be8e64ed1b13f59d6d08f096a"/>
                    <w:id w:val="-1768227777"/>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偿还债务支付的现金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783,593,801.11</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1,072,250,797.48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bca8b27544e494dae353545d0c6bb93"/>
                    <w:id w:val="153568636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分配股利、利润或偿付利息支付的现金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158,207,960.74</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172,584,040.53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1ab8b61b0154cdfa8b4f223a9b20fa6"/>
                    <w:id w:val="1362164227"/>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其中：子公司支付给少数股东的股利、利润</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e8fdaaed8747fe8ad8fd59610df512"/>
                    <w:id w:val="-156925175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szCs w:val="21"/>
                          </w:rPr>
                        </w:pPr>
                        <w:r>
                          <w:rPr>
                            <w:rFonts w:hint="eastAsia"/>
                            <w:szCs w:val="21"/>
                          </w:rPr>
                          <w:t>支付其他与筹资活动有关的现金</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七、78（6）</w:t>
                    </w: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205,777,734.99</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1,312,449,794.84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9c16ab7e982410e87084b3173f3248b"/>
                    <w:id w:val="-448548858"/>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420" w:firstLineChars="200"/>
                          <w:rPr>
                            <w:color w:val="000000"/>
                            <w:szCs w:val="21"/>
                          </w:rPr>
                        </w:pPr>
                        <w:r>
                          <w:rPr>
                            <w:rFonts w:hint="eastAsia"/>
                            <w:szCs w:val="21"/>
                          </w:rPr>
                          <w:t>筹资活动现金流出小计</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1,147,579,496.84</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2,557,284,632.85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8b367a0b3e640df869e3dfe9c9e7295"/>
                    <w:id w:val="949274591"/>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630" w:firstLineChars="300"/>
                          <w:rPr>
                            <w:color w:val="000000"/>
                            <w:szCs w:val="21"/>
                          </w:rPr>
                        </w:pPr>
                        <w:r>
                          <w:rPr>
                            <w:rFonts w:hint="eastAsia"/>
                            <w:szCs w:val="21"/>
                          </w:rPr>
                          <w:t>筹资活动产生的现金流量净额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vAlign w:val="center"/>
                  </w:tcPr>
                  <w:p>
                    <w:pPr>
                      <w:jc w:val="right"/>
                      <w:rPr>
                        <w:sz w:val="24"/>
                      </w:rPr>
                    </w:pPr>
                    <w:r>
                      <w:t>-256,537,849.46</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1,780,354,183.74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b283b5426a14b14b38c0e391c747203"/>
                    <w:id w:val="244771505"/>
                    <w:lock w:val="sdtLocked"/>
                  </w:sdtPr>
                  <w:sdtContent>
                    <w:tc>
                      <w:tcPr>
                        <w:tcW w:w="1939"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四、汇率变动对现金及现金等价物的影响</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-4,634,821.06</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-9,274,874.53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529ca6f8e5e45689b9190b11509b477"/>
                    <w:id w:val="-332841694"/>
                    <w:lock w:val="sdtLocked"/>
                  </w:sdtPr>
                  <w:sdtContent>
                    <w:tc>
                      <w:tcPr>
                        <w:tcW w:w="1939"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五、现金及现金等价物净增加额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w:t>
                    </w:r>
                    <w:r>
                      <w:rPr>
                        <w:szCs w:val="21"/>
                      </w:rPr>
                      <w:t>79（</w:t>
                    </w:r>
                    <w:r>
                      <w:rPr>
                        <w:rFonts w:hint="eastAsia"/>
                        <w:szCs w:val="21"/>
                      </w:rPr>
                      <w:t>1</w:t>
                    </w:r>
                    <w:r>
                      <w:rPr>
                        <w:szCs w:val="21"/>
                      </w:rPr>
                      <w:t>）</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-257,664,768.10</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2,031,587,679.53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0e2e4a176094436e80351302050eec3e"/>
                    <w:id w:val="-1517766433"/>
                    <w:lock w:val="sdtLocked"/>
                  </w:sdtPr>
                  <w:sdtContent>
                    <w:tc>
                      <w:tcPr>
                        <w:tcW w:w="1939" w:type="pct"/>
                        <w:tcBorders>
                          <w:top w:val="outset" w:color="auto" w:sz="4" w:space="0"/>
                          <w:left w:val="outset" w:color="auto" w:sz="4" w:space="0"/>
                          <w:bottom w:val="outset" w:color="auto" w:sz="4" w:space="0"/>
                          <w:right w:val="outset" w:color="auto" w:sz="4" w:space="0"/>
                        </w:tcBorders>
                      </w:tcPr>
                      <w:p>
                        <w:pPr>
                          <w:ind w:firstLine="210" w:firstLineChars="100"/>
                          <w:rPr>
                            <w:color w:val="000000"/>
                            <w:szCs w:val="21"/>
                          </w:rPr>
                        </w:pPr>
                        <w:r>
                          <w:rPr>
                            <w:rFonts w:hint="eastAsia"/>
                            <w:szCs w:val="21"/>
                          </w:rPr>
                          <w:t>加：期初现金及现金等价物余额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w:t>
                    </w:r>
                    <w:r>
                      <w:rPr>
                        <w:szCs w:val="21"/>
                      </w:rPr>
                      <w:t>79（</w:t>
                    </w:r>
                    <w:r>
                      <w:rPr>
                        <w:rFonts w:hint="eastAsia"/>
                        <w:szCs w:val="21"/>
                      </w:rPr>
                      <w:t>1</w:t>
                    </w:r>
                    <w:r>
                      <w:rPr>
                        <w:szCs w:val="21"/>
                      </w:rPr>
                      <w:t>）</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2,323,802,011.82</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292,214,332.29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ffa189f12434f85b8eca19ea30d6b29"/>
                    <w:id w:val="-1484931897"/>
                    <w:lock w:val="sdtLocked"/>
                  </w:sdtPr>
                  <w:sdtContent>
                    <w:tc>
                      <w:tcPr>
                        <w:tcW w:w="1939" w:type="pct"/>
                        <w:tcBorders>
                          <w:top w:val="outset" w:color="auto" w:sz="4" w:space="0"/>
                          <w:left w:val="outset" w:color="auto" w:sz="4" w:space="0"/>
                          <w:bottom w:val="outset" w:color="auto" w:sz="4" w:space="0"/>
                          <w:right w:val="outset" w:color="auto" w:sz="4" w:space="0"/>
                        </w:tcBorders>
                      </w:tcPr>
                      <w:p>
                        <w:pPr>
                          <w:rPr>
                            <w:color w:val="000000"/>
                            <w:szCs w:val="21"/>
                          </w:rPr>
                        </w:pPr>
                        <w:r>
                          <w:rPr>
                            <w:rFonts w:hint="eastAsia"/>
                            <w:b/>
                            <w:bCs/>
                            <w:szCs w:val="21"/>
                          </w:rPr>
                          <w:t>六、期末现金及现金等价物余额</w:t>
                        </w:r>
                      </w:p>
                    </w:tc>
                  </w:sdtContent>
                </w:sdt>
                <w:tc>
                  <w:tcPr>
                    <w:tcW w:w="663" w:type="pct"/>
                    <w:tcBorders>
                      <w:top w:val="outset" w:color="auto" w:sz="4" w:space="0"/>
                      <w:left w:val="outset" w:color="auto" w:sz="4" w:space="0"/>
                      <w:bottom w:val="outset" w:color="auto" w:sz="4" w:space="0"/>
                      <w:right w:val="outset" w:color="auto" w:sz="4" w:space="0"/>
                    </w:tcBorders>
                  </w:tcPr>
                  <w:p>
                    <w:pPr>
                      <w:rPr>
                        <w:szCs w:val="21"/>
                      </w:rPr>
                    </w:pPr>
                    <w:r>
                      <w:rPr>
                        <w:rFonts w:hint="eastAsia"/>
                        <w:szCs w:val="21"/>
                      </w:rPr>
                      <w:t>七、</w:t>
                    </w:r>
                    <w:r>
                      <w:rPr>
                        <w:szCs w:val="21"/>
                      </w:rPr>
                      <w:t>79（</w:t>
                    </w:r>
                    <w:r>
                      <w:rPr>
                        <w:rFonts w:hint="eastAsia"/>
                        <w:szCs w:val="21"/>
                      </w:rPr>
                      <w:t>1</w:t>
                    </w:r>
                    <w:r>
                      <w:rPr>
                        <w:szCs w:val="21"/>
                      </w:rPr>
                      <w:t>）</w:t>
                    </w:r>
                  </w:p>
                </w:tc>
                <w:tc>
                  <w:tcPr>
                    <w:tcW w:w="1201" w:type="pct"/>
                    <w:tcBorders>
                      <w:top w:val="outset" w:color="auto" w:sz="4" w:space="0"/>
                      <w:left w:val="outset" w:color="auto" w:sz="4" w:space="0"/>
                      <w:bottom w:val="outset" w:color="auto" w:sz="4" w:space="0"/>
                      <w:right w:val="outset" w:color="auto" w:sz="4" w:space="0"/>
                    </w:tcBorders>
                  </w:tcPr>
                  <w:p>
                    <w:pPr>
                      <w:jc w:val="right"/>
                      <w:rPr>
                        <w:szCs w:val="21"/>
                      </w:rPr>
                    </w:pPr>
                    <w:r>
                      <w:t>2,066,137,243.72</w:t>
                    </w:r>
                  </w:p>
                </w:tc>
                <w:tc>
                  <w:tcPr>
                    <w:tcW w:w="1197" w:type="pct"/>
                    <w:tcBorders>
                      <w:top w:val="outset" w:color="auto" w:sz="4" w:space="0"/>
                      <w:left w:val="outset" w:color="auto" w:sz="4" w:space="0"/>
                      <w:bottom w:val="outset" w:color="auto" w:sz="4" w:space="0"/>
                      <w:right w:val="outset" w:color="auto" w:sz="4" w:space="0"/>
                    </w:tcBorders>
                  </w:tcPr>
                  <w:p>
                    <w:pPr>
                      <w:jc w:val="right"/>
                      <w:rPr>
                        <w:szCs w:val="21"/>
                      </w:rPr>
                    </w:pPr>
                    <w:r>
                      <w:t>2,323,802,011.82</w:t>
                    </w:r>
                  </w:p>
                </w:tc>
              </w:tr>
            </w:tbl>
            <w:p/>
            <w:p/>
            <w:p>
              <w:pPr>
                <w:snapToGrid w:val="0"/>
                <w:spacing w:line="240" w:lineRule="atLeast"/>
                <w:ind w:right="25" w:rightChars="12"/>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d1f7cb193ab444ff8482a06aad12f0db"/>
                  <w:id w:val="-2069718391"/>
                  <w:lock w:val="sdtLocked"/>
                  <w:placeholder>
                    <w:docPart w:val="GBC22222222222222222222222222222"/>
                  </w:placeholder>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45110b4746914613a7aad68cef7b1bed"/>
                  <w:id w:val="-675885226"/>
                  <w:lock w:val="sdtLocked"/>
                  <w:placeholder>
                    <w:docPart w:val="GBC22222222222222222222222222222"/>
                  </w:placeholder>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e7d70223996e482d9871cfff87704452"/>
                  <w:id w:val="-1872062180"/>
                  <w:lock w:val="sdtLocked"/>
                  <w:placeholder>
                    <w:docPart w:val="GBC22222222222222222222222222222"/>
                  </w:placeholder>
                  <w:text/>
                </w:sdtPr>
                <w:sdtEndPr>
                  <w:rPr>
                    <w:rFonts w:hint="eastAsia"/>
                    <w:szCs w:val="21"/>
                  </w:rPr>
                </w:sdtEndPr>
                <w:sdtContent>
                  <w:r>
                    <w:rPr>
                      <w:rFonts w:hint="eastAsia"/>
                      <w:szCs w:val="21"/>
                    </w:rPr>
                    <w:t>张琳斌</w:t>
                  </w:r>
                </w:sdtContent>
              </w:sdt>
            </w:p>
          </w:sdtContent>
        </w:sdt>
        <w:p>
          <w:pPr>
            <w:rPr>
              <w:szCs w:val="21"/>
            </w:rPr>
          </w:pPr>
        </w:p>
        <w:p>
          <w:pPr>
            <w:jc w:val="center"/>
            <w:rPr>
              <w:b/>
              <w:bCs/>
              <w:szCs w:val="21"/>
            </w:rPr>
          </w:pPr>
        </w:p>
        <w:sdt>
          <w:sdtPr>
            <w:rPr>
              <w:rFonts w:hint="eastAsia"/>
              <w:b/>
              <w:bCs/>
              <w:szCs w:val="21"/>
            </w:rPr>
            <w:tag w:val="_GBC_fa07832b39b14b348ba105d6cedbd7b8"/>
            <w:id w:val="2142386400"/>
            <w:lock w:val="sdtLocked"/>
            <w:placeholder>
              <w:docPart w:val="GBC22222222222222222222222222222"/>
            </w:placeholder>
          </w:sdtPr>
          <w:sdtEndPr>
            <w:rPr>
              <w:rFonts w:hint="eastAsia"/>
              <w:b w:val="0"/>
              <w:bCs w:val="0"/>
              <w:szCs w:val="21"/>
            </w:rPr>
          </w:sdtEndPr>
          <w:sdtContent>
            <w:p>
              <w:pPr>
                <w:jc w:val="center"/>
                <w:outlineLvl w:val="2"/>
                <w:rPr>
                  <w:b/>
                  <w:bCs/>
                  <w:szCs w:val="21"/>
                </w:rPr>
              </w:pPr>
            </w:p>
            <w:p>
              <w:pPr>
                <w:rPr>
                  <w:b/>
                  <w:bCs/>
                  <w:szCs w:val="21"/>
                </w:rPr>
              </w:pPr>
              <w:r>
                <w:rPr>
                  <w:b/>
                  <w:bCs/>
                  <w:szCs w:val="21"/>
                </w:rPr>
                <w:br w:type="page"/>
              </w:r>
            </w:p>
            <w:p>
              <w:pPr>
                <w:jc w:val="center"/>
                <w:outlineLvl w:val="2"/>
                <w:rPr>
                  <w:b/>
                  <w:bCs/>
                  <w:szCs w:val="21"/>
                </w:rPr>
              </w:pPr>
              <w:r>
                <w:rPr>
                  <w:rFonts w:hint="eastAsia"/>
                  <w:b/>
                  <w:bCs/>
                  <w:szCs w:val="21"/>
                </w:rPr>
                <w:t>母公司</w:t>
              </w:r>
              <w:r>
                <w:rPr>
                  <w:b/>
                  <w:bCs/>
                  <w:szCs w:val="21"/>
                </w:rPr>
                <w:t>现金流量表</w:t>
              </w:r>
            </w:p>
            <w:p>
              <w:pPr>
                <w:jc w:val="center"/>
                <w:rPr>
                  <w:b/>
                  <w:bCs/>
                  <w:szCs w:val="21"/>
                </w:rPr>
              </w:pPr>
              <w:r>
                <w:rPr>
                  <w:szCs w:val="21"/>
                </w:rPr>
                <w:t>2021年</w:t>
              </w:r>
              <w:r>
                <w:rPr>
                  <w:rFonts w:hint="eastAsia"/>
                  <w:szCs w:val="21"/>
                </w:rPr>
                <w:t>1—12</w:t>
              </w:r>
              <w:r>
                <w:rPr>
                  <w:szCs w:val="21"/>
                </w:rPr>
                <w:t>月</w:t>
              </w:r>
            </w:p>
            <w:p>
              <w:pPr>
                <w:jc w:val="right"/>
                <w:rPr>
                  <w:szCs w:val="21"/>
                </w:rPr>
              </w:pPr>
              <w:r>
                <w:rPr>
                  <w:szCs w:val="21"/>
                </w:rPr>
                <w:t>单位:</w:t>
              </w:r>
              <w:sdt>
                <w:sdtPr>
                  <w:rPr>
                    <w:szCs w:val="21"/>
                  </w:rPr>
                  <w:alias w:val="单位：母公司现金流量表"/>
                  <w:tag w:val="_GBC_993ead81b27a41dfaccaacfaec8b7c78"/>
                  <w:id w:val="-17233594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现金流量表"/>
                  <w:tag w:val="_GBC_2dd4b706d0a244a4b4c21166025356cc"/>
                  <w:id w:val="-1803764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145"/>
                <w:gridCol w:w="1569"/>
                <w:gridCol w:w="2172"/>
                <w:gridCol w:w="216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38"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Cs w:val="21"/>
                      </w:rPr>
                      <w:tag w:val="_PLD_fa8a4a4fe8df4f0086d4a3f59744ef0c"/>
                      <w:id w:val="1889454693"/>
                      <w:lock w:val="sdtLocked"/>
                    </w:sdtPr>
                    <w:sdtEndPr>
                      <w:rPr>
                        <w:rFonts w:hint="eastAsia" w:asciiTheme="minorEastAsia" w:hAnsiTheme="minorEastAsia" w:eastAsiaTheme="minorEastAsia"/>
                        <w:b/>
                        <w:szCs w:val="21"/>
                      </w:rPr>
                    </w:sdtEndPr>
                    <w:sdtContent>
                      <w:p>
                        <w:pPr>
                          <w:jc w:val="center"/>
                          <w:rPr>
                            <w:rFonts w:asciiTheme="minorEastAsia" w:hAnsiTheme="minorEastAsia" w:eastAsiaTheme="minorEastAsia"/>
                            <w:b/>
                            <w:szCs w:val="21"/>
                          </w:rPr>
                        </w:pPr>
                        <w:r>
                          <w:rPr>
                            <w:rFonts w:hint="eastAsia" w:asciiTheme="minorEastAsia" w:hAnsiTheme="minorEastAsia" w:eastAsiaTheme="minorEastAsia"/>
                            <w:b/>
                            <w:szCs w:val="21"/>
                          </w:rPr>
                          <w:t>项目</w:t>
                        </w:r>
                      </w:p>
                    </w:sdtContent>
                  </w:sdt>
                </w:tc>
                <w:tc>
                  <w:tcPr>
                    <w:tcW w:w="867"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Cs w:val="21"/>
                      </w:rPr>
                      <w:tag w:val="_PLD_e2b9d4cf46994f4f99a9560554670b54"/>
                      <w:id w:val="-188673732"/>
                      <w:lock w:val="sdtLocked"/>
                    </w:sdtPr>
                    <w:sdtEndPr>
                      <w:rPr>
                        <w:rFonts w:hint="eastAsia" w:asciiTheme="minorEastAsia" w:hAnsiTheme="minorEastAsia" w:eastAsiaTheme="minorEastAsia"/>
                        <w:b/>
                        <w:szCs w:val="21"/>
                      </w:rPr>
                    </w:sdtEndPr>
                    <w:sdtContent>
                      <w:p>
                        <w:pPr>
                          <w:autoSpaceDE w:val="0"/>
                          <w:autoSpaceDN w:val="0"/>
                          <w:adjustRightInd w:val="0"/>
                          <w:jc w:val="center"/>
                          <w:rPr>
                            <w:rFonts w:asciiTheme="minorEastAsia" w:hAnsiTheme="minorEastAsia" w:eastAsiaTheme="minorEastAsia"/>
                            <w:b/>
                            <w:szCs w:val="21"/>
                          </w:rPr>
                        </w:pPr>
                        <w:r>
                          <w:rPr>
                            <w:rFonts w:hint="eastAsia" w:asciiTheme="minorEastAsia" w:hAnsiTheme="minorEastAsia" w:eastAsiaTheme="minorEastAsia"/>
                            <w:b/>
                            <w:szCs w:val="21"/>
                          </w:rPr>
                          <w:t>附注</w:t>
                        </w:r>
                      </w:p>
                    </w:sdtContent>
                  </w:sdt>
                </w:tc>
                <w:tc>
                  <w:tcPr>
                    <w:tcW w:w="1200"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Cs w:val="21"/>
                      </w:rPr>
                      <w:tag w:val="_PLD_a5e1076b6ae14d71abde0e9180405588"/>
                      <w:id w:val="1968080599"/>
                      <w:lock w:val="sdtLocked"/>
                    </w:sdtPr>
                    <w:sdtEndPr>
                      <w:rPr>
                        <w:rFonts w:hint="eastAsia" w:asciiTheme="minorEastAsia" w:hAnsiTheme="minorEastAsia" w:eastAsiaTheme="minorEastAsia"/>
                        <w:b/>
                        <w:szCs w:val="21"/>
                      </w:rPr>
                    </w:sdtEndPr>
                    <w:sdtContent>
                      <w:p>
                        <w:pPr>
                          <w:autoSpaceDE w:val="0"/>
                          <w:autoSpaceDN w:val="0"/>
                          <w:adjustRightInd w:val="0"/>
                          <w:jc w:val="center"/>
                          <w:rPr>
                            <w:rFonts w:asciiTheme="minorEastAsia" w:hAnsiTheme="minorEastAsia" w:eastAsiaTheme="minorEastAsia"/>
                            <w:b/>
                            <w:szCs w:val="21"/>
                          </w:rPr>
                        </w:pPr>
                        <w:r>
                          <w:rPr>
                            <w:rFonts w:hint="eastAsia" w:asciiTheme="minorEastAsia" w:hAnsiTheme="minorEastAsia" w:eastAsiaTheme="minorEastAsia"/>
                            <w:b/>
                            <w:szCs w:val="21"/>
                          </w:rPr>
                          <w:t>2021年度</w:t>
                        </w:r>
                      </w:p>
                    </w:sdtContent>
                  </w:sdt>
                </w:tc>
                <w:tc>
                  <w:tcPr>
                    <w:tcW w:w="1195" w:type="pct"/>
                    <w:tcBorders>
                      <w:top w:val="outset" w:color="auto" w:sz="4" w:space="0"/>
                      <w:left w:val="outset" w:color="auto" w:sz="4" w:space="0"/>
                      <w:bottom w:val="outset" w:color="auto" w:sz="4" w:space="0"/>
                      <w:right w:val="outset" w:color="auto" w:sz="4" w:space="0"/>
                    </w:tcBorders>
                  </w:tcPr>
                  <w:sdt>
                    <w:sdtPr>
                      <w:rPr>
                        <w:rFonts w:hint="eastAsia" w:asciiTheme="minorEastAsia" w:hAnsiTheme="minorEastAsia" w:eastAsiaTheme="minorEastAsia"/>
                        <w:b/>
                        <w:szCs w:val="21"/>
                      </w:rPr>
                      <w:tag w:val="_PLD_9f1994ac47d2487c870c64df42698a51"/>
                      <w:id w:val="1254089188"/>
                      <w:lock w:val="sdtLocked"/>
                    </w:sdtPr>
                    <w:sdtEndPr>
                      <w:rPr>
                        <w:rFonts w:hint="eastAsia" w:asciiTheme="minorEastAsia" w:hAnsiTheme="minorEastAsia" w:eastAsiaTheme="minorEastAsia"/>
                        <w:b/>
                        <w:szCs w:val="21"/>
                      </w:rPr>
                    </w:sdtEndPr>
                    <w:sdtContent>
                      <w:p>
                        <w:pPr>
                          <w:autoSpaceDE w:val="0"/>
                          <w:autoSpaceDN w:val="0"/>
                          <w:adjustRightInd w:val="0"/>
                          <w:jc w:val="center"/>
                          <w:rPr>
                            <w:rFonts w:asciiTheme="minorEastAsia" w:hAnsiTheme="minorEastAsia" w:eastAsiaTheme="minorEastAsia"/>
                            <w:b/>
                            <w:szCs w:val="21"/>
                          </w:rPr>
                        </w:pPr>
                        <w:r>
                          <w:rPr>
                            <w:rFonts w:hint="eastAsia" w:asciiTheme="minorEastAsia" w:hAnsiTheme="minorEastAsia" w:eastAsiaTheme="minorEastAsia"/>
                            <w:b/>
                            <w:szCs w:val="21"/>
                          </w:rPr>
                          <w:t>2020年度</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5384e7a1c2841c78793ee2e647fdb97"/>
                    <w:id w:val="1345052536"/>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r>
                          <w:rPr>
                            <w:rFonts w:hint="eastAsia" w:asciiTheme="minorEastAsia" w:hAnsiTheme="minorEastAsia" w:eastAsiaTheme="minorEastAsia"/>
                            <w:b/>
                            <w:bCs/>
                            <w:szCs w:val="21"/>
                          </w:rPr>
                          <w:t>一、经营活动产生的现金流量：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ef21863579e463191f73e8d1ed04b07"/>
                    <w:id w:val="1792940775"/>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销售商品、提供劳务收到的现金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56,319,508.63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29,377,961.84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d1d35e1b7d64d4d96ab3870ac133ece"/>
                    <w:id w:val="1829397091"/>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收到的税费返还</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8831a6e784247068be3b652641fab29"/>
                    <w:id w:val="-1107043351"/>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收到其他与经营活动有关的现金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2,354,508,059.00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209,407,999.48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f13f44c456d4cb2868156eb6f97ce2d"/>
                    <w:id w:val="-308787656"/>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经营活动现金流入小计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2,410,827,567.63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238,785,961.32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bdeb3944de44affa4c6abe789333af9"/>
                    <w:id w:val="552284852"/>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购买商品、接受劳务支付的现金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5,591,074.35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39,022,906.73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1b9609c767847a484c31f0cdf800e1a"/>
                    <w:id w:val="-2027707221"/>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支付给职工及为职工支付的现金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28,534,702.49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86,590.65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6edb572c5f54e9f8abd0b8028e38134"/>
                    <w:id w:val="-1990007414"/>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支付的各项税费</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8,271,243.87</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6,918,281.71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211410dc7504eef9b16a4a91a48be78"/>
                    <w:id w:val="1201830027"/>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支付其他与经营活动有关的现金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2,670,796,895.10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911,773,689.08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71b44c4271c45dd91c639d4c338a5d0"/>
                    <w:id w:val="-1085230078"/>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经营活动现金流出小计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2,713,193,915.81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957,801,468.17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bd623fb02854cf69c888f364463777d"/>
                    <w:id w:val="119264103"/>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经营活动产生的现金流量净额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-302,366,348.18</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-719,015,506.85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a89a8f6b76943769d484d535b94417c"/>
                    <w:id w:val="2110306938"/>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二、投资活动产生的现金流量：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ce712d8e5af44048c1a4e5bdf4fd7c9"/>
                    <w:id w:val="846146219"/>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收回投资收到的现金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64,000,000.00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3,020,000.00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5da103cdf014eafaca98189ca68f328"/>
                    <w:id w:val="679244150"/>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取得投资收益收到的现金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1,020,000.00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c5d667691994cebb9f9498e60404099"/>
                    <w:id w:val="596986773"/>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处置固定资产、无形资产和其他长期资产收回的现金净额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153,133.30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1,252,716.04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c46cd9c926c4fb7a23ace231fd8a392"/>
                    <w:id w:val="-183055711"/>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处置子公司及其他营业单位收到的现金净额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81,103,523.22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f33478ab7994146bb46b5f307568279"/>
                    <w:id w:val="-549462736"/>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收到其他与投资活动有关的现金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9e19665d1ca4dc28a1050ba1220a0b8"/>
                    <w:id w:val="-385495716"/>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投资活动现金流入小计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146,276,656.52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4,272,716.04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46530351deb46daab62d978a5ef2bc0"/>
                    <w:id w:val="-1120608740"/>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购建固定资产、无形资产和其他长期资产支付的现金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6,123,015.12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c118d77a17e4461a6c7af661dfc7663"/>
                    <w:id w:val="1160576220"/>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投资支付的现金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r>
                      <w:t>530,349,400.00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b23d66ae8c248918870ce5a171e20e5"/>
                    <w:id w:val="-370535475"/>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取得子公司及其他营业单位支付的现金净额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5cdf4aaa86348a1be747298511eff1e"/>
                    <w:id w:val="-398136797"/>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支付其他与投资活动有关的现金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c0780cd021c4287a1ea74e3ffe0fbf6"/>
                    <w:id w:val="-1227750354"/>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投资活动现金流出小计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r>
                      <w:t>536,472,415.12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df5b53cf5cf497a8338bc2f314305cd"/>
                    <w:id w:val="-1716808615"/>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color w:val="000000"/>
                            <w:szCs w:val="21"/>
                          </w:rPr>
                        </w:pPr>
                        <w:r>
                          <w:rPr>
                            <w:rFonts w:hint="eastAsia" w:asciiTheme="minorEastAsia" w:hAnsiTheme="minorEastAsia" w:eastAsiaTheme="minorEastAsia"/>
                            <w:szCs w:val="21"/>
                          </w:rPr>
                          <w:t>投资活动产生的现金流量净额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r>
                      <w:t>-390,195,758.60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4,272,716.04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b6929c78db14ee1bde1ca4b9a47a65c"/>
                    <w:id w:val="2047399929"/>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三、筹资活动产生的现金流量：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f08e006241c4d5b851db5e35d88c8c1"/>
                    <w:id w:val="-427123437"/>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吸收投资收到的现金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3,000,000,000.00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1cdcf4a2a7c448b82fbb03d2e492772"/>
                    <w:id w:val="1334268829"/>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取得借款收到的现金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114,600,000.00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04b6e3c34ff4c51ae23871e4ca3cb40"/>
                    <w:id w:val="364411699"/>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收到其他与筹资活动有关的现金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752,894,448.66</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f7fbf014785409195a7287852d3d035"/>
                    <w:id w:val="-1090853155"/>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筹资活动现金流入小计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752,894,448.66</w:t>
                    </w:r>
                  </w:p>
                </w:tc>
                <w:tc>
                  <w:tcPr>
                    <w:tcW w:w="1195" w:type="pct"/>
                    <w:tcBorders>
                      <w:top w:val="outset" w:color="auto" w:sz="4" w:space="0"/>
                      <w:left w:val="outset" w:color="auto" w:sz="4" w:space="0"/>
                      <w:bottom w:val="outset" w:color="auto" w:sz="4" w:space="0"/>
                      <w:right w:val="outset" w:color="auto" w:sz="4" w:space="0"/>
                    </w:tcBorders>
                    <w:vAlign w:val="center"/>
                  </w:tcPr>
                  <w:p>
                    <w:pPr>
                      <w:tabs>
                        <w:tab w:val="center" w:pos="989"/>
                        <w:tab w:val="right" w:pos="1979"/>
                      </w:tabs>
                      <w:jc w:val="right"/>
                      <w:rPr>
                        <w:rFonts w:asciiTheme="minorEastAsia" w:hAnsiTheme="minorEastAsia" w:eastAsiaTheme="minorEastAsia"/>
                        <w:szCs w:val="21"/>
                      </w:rPr>
                    </w:pPr>
                    <w:r>
                      <w:rPr>
                        <w:rFonts w:asciiTheme="minorEastAsia" w:hAnsiTheme="minorEastAsia" w:eastAsiaTheme="minorEastAsia"/>
                        <w:szCs w:val="21"/>
                      </w:rPr>
                      <w:t>3,114,600,000.00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2c875707060490882af91b3254ebf86"/>
                    <w:id w:val="449675839"/>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偿还债务支付的现金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316,000,000.00</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361,317,282.73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227ef1d4c704287b692609a03d18a2a"/>
                    <w:id w:val="50583499"/>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分配股利、利润或偿付利息支付的现金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92,580,634.32</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548bc4b8c0e4edfbb6fc435c82efb9b"/>
                    <w:id w:val="-486555130"/>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支付其他与筹资活动有关的现金</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r>
                      <w:t>108,843,016.17</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21,773,784.57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6f002dfd3184462b13e47e17b1f7e41"/>
                    <w:id w:val="-918865661"/>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420" w:firstLineChars="200"/>
                          <w:rPr>
                            <w:rFonts w:asciiTheme="minorEastAsia" w:hAnsiTheme="minorEastAsia" w:eastAsiaTheme="minorEastAsia"/>
                            <w:color w:val="000000"/>
                            <w:szCs w:val="21"/>
                          </w:rPr>
                        </w:pPr>
                        <w:r>
                          <w:rPr>
                            <w:rFonts w:hint="eastAsia" w:asciiTheme="minorEastAsia" w:hAnsiTheme="minorEastAsia" w:eastAsiaTheme="minorEastAsia"/>
                            <w:szCs w:val="21"/>
                          </w:rPr>
                          <w:t>筹资活动现金流出小计</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r>
                      <w:t>517,423,650.49</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383,091,067.30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f96432273b64f2a90a299496d059280"/>
                    <w:id w:val="2119335556"/>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630" w:firstLineChars="300"/>
                          <w:rPr>
                            <w:rFonts w:asciiTheme="minorEastAsia" w:hAnsiTheme="minorEastAsia" w:eastAsiaTheme="minorEastAsia"/>
                            <w:color w:val="000000"/>
                            <w:szCs w:val="21"/>
                          </w:rPr>
                        </w:pPr>
                        <w:r>
                          <w:rPr>
                            <w:rFonts w:hint="eastAsia" w:asciiTheme="minorEastAsia" w:hAnsiTheme="minorEastAsia" w:eastAsiaTheme="minorEastAsia"/>
                            <w:szCs w:val="21"/>
                          </w:rPr>
                          <w:t>筹资活动产生的现金流量净额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sz w:val="24"/>
                      </w:rPr>
                    </w:pPr>
                    <w:r>
                      <w:t>235,470,798.17</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2,731,508,932.70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748beadbe2649c39d73f63f5cb997df"/>
                    <w:id w:val="-126248489"/>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0000"/>
                            <w:szCs w:val="21"/>
                          </w:rPr>
                        </w:pPr>
                        <w:r>
                          <w:rPr>
                            <w:rFonts w:hint="eastAsia" w:asciiTheme="minorEastAsia" w:hAnsiTheme="minorEastAsia" w:eastAsiaTheme="minorEastAsia"/>
                            <w:b/>
                            <w:bCs/>
                            <w:szCs w:val="21"/>
                          </w:rPr>
                          <w:t>四、汇率变动对现金及现金等价物的影响</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-354,455.83</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dcd6a9f439542219b17ab909e3b23c1"/>
                    <w:id w:val="513812803"/>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0000"/>
                            <w:szCs w:val="21"/>
                          </w:rPr>
                        </w:pPr>
                        <w:r>
                          <w:rPr>
                            <w:rFonts w:hint="eastAsia" w:asciiTheme="minorEastAsia" w:hAnsiTheme="minorEastAsia" w:eastAsiaTheme="minorEastAsia"/>
                            <w:b/>
                            <w:bCs/>
                            <w:szCs w:val="21"/>
                          </w:rPr>
                          <w:t>五、现金及现金等价物净增加额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-457,445,764.44</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2,016,766,141.89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trPr>
                <w:sdt>
                  <w:sdtPr>
                    <w:rPr>
                      <w:rFonts w:asciiTheme="minorEastAsia" w:hAnsiTheme="minorEastAsia" w:eastAsiaTheme="minorEastAsia"/>
                      <w:szCs w:val="21"/>
                    </w:rPr>
                    <w:tag w:val="_PLD_f682e233026f4a77a71017410d43b010"/>
                    <w:id w:val="1019584675"/>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ind w:firstLine="210" w:firstLineChars="100"/>
                          <w:rPr>
                            <w:rFonts w:asciiTheme="minorEastAsia" w:hAnsiTheme="minorEastAsia" w:eastAsiaTheme="minorEastAsia"/>
                            <w:color w:val="000000"/>
                            <w:szCs w:val="21"/>
                          </w:rPr>
                        </w:pPr>
                        <w:r>
                          <w:rPr>
                            <w:rFonts w:hint="eastAsia" w:asciiTheme="minorEastAsia" w:hAnsiTheme="minorEastAsia" w:eastAsiaTheme="minorEastAsia"/>
                            <w:szCs w:val="21"/>
                          </w:rPr>
                          <w:t>加：期初现金及现金等价物余额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2,016,892,148.65</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126,006.76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fef5f0af84f4cfd9fbcc61dd369331c"/>
                    <w:id w:val="-401443802"/>
                    <w:lock w:val="sdtLocked"/>
                  </w:sdtPr>
                  <w:sdtEndPr>
                    <w:rPr>
                      <w:rFonts w:asciiTheme="minorEastAsia" w:hAnsiTheme="minorEastAsia" w:eastAsiaTheme="minorEastAsia"/>
                      <w:szCs w:val="21"/>
                    </w:rPr>
                  </w:sdtEndPr>
                  <w:sdtContent>
                    <w:tc>
                      <w:tcPr>
                        <w:tcW w:w="1738"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color w:val="000000"/>
                            <w:szCs w:val="21"/>
                          </w:rPr>
                        </w:pPr>
                        <w:r>
                          <w:rPr>
                            <w:rFonts w:hint="eastAsia" w:asciiTheme="minorEastAsia" w:hAnsiTheme="minorEastAsia" w:eastAsiaTheme="minorEastAsia"/>
                            <w:b/>
                            <w:bCs/>
                            <w:szCs w:val="21"/>
                          </w:rPr>
                          <w:t>六、期末现金及现金等价物余额</w:t>
                        </w:r>
                      </w:p>
                    </w:tc>
                  </w:sdtContent>
                </w:sdt>
                <w:tc>
                  <w:tcPr>
                    <w:tcW w:w="867" w:type="pct"/>
                    <w:tcBorders>
                      <w:top w:val="outset" w:color="auto" w:sz="4" w:space="0"/>
                      <w:left w:val="outset" w:color="auto" w:sz="4" w:space="0"/>
                      <w:bottom w:val="outset" w:color="auto" w:sz="4" w:space="0"/>
                      <w:right w:val="outset" w:color="auto" w:sz="4" w:space="0"/>
                    </w:tcBorders>
                  </w:tcPr>
                  <w:p>
                    <w:pPr>
                      <w:rPr>
                        <w:rFonts w:asciiTheme="minorEastAsia" w:hAnsiTheme="minorEastAsia" w:eastAsiaTheme="minorEastAsia"/>
                        <w:szCs w:val="21"/>
                      </w:rPr>
                    </w:pPr>
                  </w:p>
                </w:tc>
                <w:tc>
                  <w:tcPr>
                    <w:tcW w:w="1200"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1,559,446,384.21</w:t>
                    </w:r>
                  </w:p>
                </w:tc>
                <w:tc>
                  <w:tcPr>
                    <w:tcW w:w="1195"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2,016,892,148.65</w:t>
                    </w:r>
                  </w:p>
                </w:tc>
              </w:tr>
            </w:tbl>
            <w:p/>
            <w:p/>
            <w:p>
              <w:pPr>
                <w:snapToGrid w:val="0"/>
                <w:spacing w:line="240" w:lineRule="atLeast"/>
                <w:ind w:right="-153" w:rightChars="-73"/>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b872f4b10a12453987b2d73dfe2a5ff9"/>
                  <w:id w:val="1035461124"/>
                  <w:lock w:val="sdtLocked"/>
                  <w:placeholder>
                    <w:docPart w:val="GBC22222222222222222222222222222"/>
                  </w:placeholder>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29443dd8858043c68f8217b05d1e3346"/>
                  <w:id w:val="299269962"/>
                  <w:lock w:val="sdtLocked"/>
                  <w:placeholder>
                    <w:docPart w:val="GBC22222222222222222222222222222"/>
                  </w:placeholder>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952065710c0f41709539d877935c1903"/>
                  <w:id w:val="-1906062797"/>
                  <w:lock w:val="sdtLocked"/>
                  <w:placeholder>
                    <w:docPart w:val="GBC22222222222222222222222222222"/>
                  </w:placeholder>
                  <w:text/>
                </w:sdtPr>
                <w:sdtEndPr>
                  <w:rPr>
                    <w:rFonts w:hint="eastAsia"/>
                    <w:szCs w:val="21"/>
                  </w:rPr>
                </w:sdtEndPr>
                <w:sdtContent>
                  <w:r>
                    <w:rPr>
                      <w:rFonts w:hint="eastAsia"/>
                      <w:szCs w:val="21"/>
                    </w:rPr>
                    <w:t>张琳斌</w:t>
                  </w:r>
                </w:sdtContent>
              </w:sdt>
            </w:p>
          </w:sdtContent>
        </w:sdt>
        <w:p>
          <w:pPr>
            <w:rPr>
              <w:b/>
              <w:bCs/>
              <w:color w:val="FF0000"/>
              <w:szCs w:val="21"/>
            </w:rPr>
          </w:pPr>
        </w:p>
      </w:sdtContent>
    </w:sdt>
    <w:bookmarkEnd w:id="119"/>
    <w:p>
      <w:pPr>
        <w:rPr>
          <w:szCs w:val="21"/>
        </w:rPr>
      </w:pPr>
    </w:p>
    <w:p>
      <w:pPr>
        <w:snapToGrid w:val="0"/>
        <w:spacing w:line="240" w:lineRule="atLeast"/>
        <w:ind w:right="-153" w:rightChars="-73"/>
        <w:rPr>
          <w:szCs w:val="21"/>
        </w:rPr>
      </w:pPr>
    </w:p>
    <w:p>
      <w:pPr>
        <w:snapToGrid w:val="0"/>
        <w:spacing w:line="240" w:lineRule="atLeast"/>
        <w:ind w:right="-153" w:rightChars="-73"/>
        <w:rPr>
          <w:szCs w:val="21"/>
        </w:rPr>
      </w:pPr>
    </w:p>
    <w:p>
      <w:pPr>
        <w:snapToGrid w:val="0"/>
        <w:spacing w:line="240" w:lineRule="atLeast"/>
        <w:ind w:right="-153" w:rightChars="-73"/>
        <w:rPr>
          <w:szCs w:val="21"/>
        </w:rPr>
        <w:sectPr>
          <w:pgSz w:w="11906" w:h="16838"/>
          <w:pgMar w:top="1525" w:right="1276" w:bottom="1440" w:left="1797" w:header="856" w:footer="992" w:gutter="0"/>
          <w:cols w:space="425" w:num="1"/>
          <w:docGrid w:linePitch="312" w:charSpace="0"/>
        </w:sectPr>
      </w:pPr>
    </w:p>
    <w:sdt>
      <w:sdtPr>
        <w:rPr>
          <w:b/>
          <w:szCs w:val="21"/>
        </w:rPr>
        <w:alias w:val="选项模块:需要编制合并报表"/>
        <w:tag w:val="_GBC_3b1dcbfa33024cc0a5c2f3d693817342"/>
        <w:id w:val="-62645525"/>
        <w:lock w:val="sdtLocked"/>
        <w:placeholder>
          <w:docPart w:val="GBC22222222222222222222222222222"/>
        </w:placeholder>
      </w:sdtPr>
      <w:sdtEndPr>
        <w:rPr>
          <w:b w:val="0"/>
          <w:color w:val="FF0000"/>
          <w:szCs w:val="24"/>
        </w:rPr>
      </w:sdtEndPr>
      <w:sdtContent>
        <w:p>
          <w:pPr>
            <w:tabs>
              <w:tab w:val="left" w:pos="10080"/>
            </w:tabs>
            <w:snapToGrid w:val="0"/>
            <w:spacing w:line="240" w:lineRule="atLeast"/>
            <w:ind w:right="25" w:rightChars="12"/>
            <w:jc w:val="center"/>
            <w:rPr>
              <w:b/>
              <w:szCs w:val="21"/>
            </w:rPr>
          </w:pPr>
          <w:bookmarkStart w:id="120" w:name="_Hlk533930052"/>
        </w:p>
        <w:sdt>
          <w:sdtPr>
            <w:rPr>
              <w:b/>
              <w:szCs w:val="21"/>
            </w:rPr>
            <w:tag w:val="_GBC_3eeab460b9b64d53b91f5e0ddcd3030f"/>
            <w:id w:val="-16233634"/>
            <w:lock w:val="sdtLocked"/>
          </w:sdtPr>
          <w:sdtEndPr>
            <w:rPr>
              <w:rFonts w:hint="eastAsia"/>
              <w:b w:val="0"/>
              <w:szCs w:val="21"/>
            </w:rPr>
          </w:sdtEndPr>
          <w:sdtContent>
            <w:p>
              <w:pPr>
                <w:tabs>
                  <w:tab w:val="left" w:pos="10080"/>
                </w:tabs>
                <w:snapToGrid w:val="0"/>
                <w:spacing w:line="240" w:lineRule="atLeast"/>
                <w:ind w:right="25" w:rightChars="12"/>
                <w:jc w:val="center"/>
                <w:outlineLvl w:val="2"/>
                <w:rPr>
                  <w:b/>
                  <w:szCs w:val="21"/>
                </w:rPr>
              </w:pPr>
              <w:r>
                <w:rPr>
                  <w:b/>
                  <w:szCs w:val="21"/>
                </w:rPr>
                <w:t>合并</w:t>
              </w:r>
              <w:r>
                <w:rPr>
                  <w:rFonts w:hint="eastAsia"/>
                  <w:b/>
                  <w:szCs w:val="21"/>
                </w:rPr>
                <w:t>所有者权益变动表</w:t>
              </w:r>
            </w:p>
            <w:p>
              <w:pPr>
                <w:tabs>
                  <w:tab w:val="left" w:pos="10080"/>
                </w:tabs>
                <w:snapToGrid w:val="0"/>
                <w:spacing w:line="240" w:lineRule="atLeast"/>
                <w:ind w:right="25" w:rightChars="12"/>
                <w:jc w:val="center"/>
                <w:rPr>
                  <w:szCs w:val="21"/>
                </w:rPr>
              </w:pPr>
              <w:r>
                <w:rPr>
                  <w:szCs w:val="21"/>
                </w:rPr>
                <w:t>2021年</w:t>
              </w:r>
              <w:r>
                <w:rPr>
                  <w:rFonts w:hint="eastAsia"/>
                  <w:szCs w:val="21"/>
                </w:rPr>
                <w:t>1—12月</w:t>
              </w:r>
            </w:p>
            <w:p>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649602533"/>
                  <w:lock w:val="sdtLocked"/>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股东权益调节表"/>
                  <w:tag w:val="_GBC_cef77704267643d794145c73763360e5"/>
                  <w:id w:val="-16939879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8"/>
                <w:tblW w:w="5338"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416"/>
                <w:gridCol w:w="396"/>
                <w:gridCol w:w="396"/>
                <w:gridCol w:w="396"/>
                <w:gridCol w:w="1416"/>
                <w:gridCol w:w="1341"/>
                <w:gridCol w:w="1341"/>
                <w:gridCol w:w="396"/>
                <w:gridCol w:w="1266"/>
                <w:gridCol w:w="396"/>
                <w:gridCol w:w="1491"/>
                <w:gridCol w:w="396"/>
                <w:gridCol w:w="1491"/>
                <w:gridCol w:w="1416"/>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83" w:type="pct"/>
                    <w:vMerge w:val="restart"/>
                    <w:vAlign w:val="center"/>
                  </w:tcPr>
                  <w:sdt>
                    <w:sdtPr>
                      <w:rPr>
                        <w:rFonts w:hint="eastAsia"/>
                        <w:sz w:val="18"/>
                        <w:szCs w:val="18"/>
                      </w:rPr>
                      <w:tag w:val="_PLD_245a9e71ca1b403fad3a821efeb272de"/>
                      <w:id w:val="294184466"/>
                      <w:lock w:val="sdtLocked"/>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717" w:type="pct"/>
                    <w:gridSpan w:val="15"/>
                    <w:vAlign w:val="center"/>
                  </w:tcPr>
                  <w:p>
                    <w:pPr>
                      <w:snapToGrid w:val="0"/>
                      <w:spacing w:line="240" w:lineRule="atLeast"/>
                      <w:ind w:right="-1594" w:rightChars="-759"/>
                      <w:jc w:val="center"/>
                    </w:pPr>
                    <w:sdt>
                      <w:sdtPr>
                        <w:rPr>
                          <w:rFonts w:hint="eastAsia"/>
                        </w:rPr>
                        <w:tag w:val="_PLD_74b2c30f72fb403387c8b0e2a353f994"/>
                        <w:id w:val="-1720736908"/>
                        <w:lock w:val="sdtLocked"/>
                      </w:sdtPr>
                      <w:sdtEndPr>
                        <w:rPr>
                          <w:rFonts w:hint="eastAsia"/>
                        </w:rPr>
                      </w:sdtEndPr>
                      <w:sdtContent>
                        <w:r>
                          <w:rPr>
                            <w:rFonts w:hint="eastAsia"/>
                            <w:sz w:val="18"/>
                          </w:rPr>
                          <w:t>2021年度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283" w:type="pct"/>
                    <w:vMerge w:val="continue"/>
                  </w:tcPr>
                  <w:p>
                    <w:pPr>
                      <w:snapToGrid w:val="0"/>
                      <w:spacing w:line="240" w:lineRule="atLeast"/>
                      <w:ind w:right="-1594" w:rightChars="-759"/>
                      <w:rPr>
                        <w:sz w:val="18"/>
                        <w:szCs w:val="18"/>
                      </w:rPr>
                    </w:pPr>
                  </w:p>
                </w:tc>
                <w:sdt>
                  <w:sdtPr>
                    <w:tag w:val="_PLD_48b1c4daa55343f0a820ecc94c441958"/>
                    <w:id w:val="-107127938"/>
                    <w:lock w:val="sdtLocked"/>
                  </w:sdtPr>
                  <w:sdtContent>
                    <w:tc>
                      <w:tcPr>
                        <w:tcW w:w="3798" w:type="pct"/>
                        <w:gridSpan w:val="13"/>
                        <w:vAlign w:val="center"/>
                      </w:tcPr>
                      <w:p>
                        <w:pPr>
                          <w:jc w:val="center"/>
                        </w:pPr>
                        <w:r>
                          <w:rPr>
                            <w:sz w:val="18"/>
                            <w:szCs w:val="18"/>
                          </w:rPr>
                          <w:t>归属于母公司所有者权益</w:t>
                        </w:r>
                      </w:p>
                    </w:tc>
                  </w:sdtContent>
                </w:sdt>
                <w:sdt>
                  <w:sdtPr>
                    <w:tag w:val="_PLD_de4010a56d78401ebd4bb48e62167082"/>
                    <w:id w:val="1130976744"/>
                    <w:lock w:val="sdtLocked"/>
                  </w:sdtPr>
                  <w:sdtContent>
                    <w:tc>
                      <w:tcPr>
                        <w:tcW w:w="448" w:type="pct"/>
                        <w:vMerge w:val="restart"/>
                        <w:vAlign w:val="center"/>
                      </w:tcPr>
                      <w:p>
                        <w:pPr>
                          <w:jc w:val="center"/>
                          <w:rPr>
                            <w:sz w:val="18"/>
                            <w:szCs w:val="18"/>
                          </w:rPr>
                        </w:pPr>
                        <w:r>
                          <w:rPr>
                            <w:sz w:val="18"/>
                            <w:szCs w:val="18"/>
                          </w:rPr>
                          <w:t>少数股东权益</w:t>
                        </w:r>
                      </w:p>
                    </w:tc>
                  </w:sdtContent>
                </w:sdt>
                <w:sdt>
                  <w:sdtPr>
                    <w:tag w:val="_PLD_ff9bc6143ed9429e80e1ed144f5ff16d"/>
                    <w:id w:val="-125082547"/>
                    <w:lock w:val="sdtLocked"/>
                  </w:sdtPr>
                  <w:sdtContent>
                    <w:tc>
                      <w:tcPr>
                        <w:tcW w:w="471"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2" w:hRule="atLeast"/>
                </w:trPr>
                <w:tc>
                  <w:tcPr>
                    <w:tcW w:w="283" w:type="pct"/>
                    <w:vMerge w:val="continue"/>
                  </w:tcPr>
                  <w:p>
                    <w:pPr>
                      <w:snapToGrid w:val="0"/>
                      <w:spacing w:line="240" w:lineRule="atLeast"/>
                      <w:ind w:right="-1594" w:rightChars="-759"/>
                      <w:rPr>
                        <w:sz w:val="18"/>
                        <w:szCs w:val="18"/>
                      </w:rPr>
                    </w:pPr>
                  </w:p>
                </w:tc>
                <w:sdt>
                  <w:sdtPr>
                    <w:tag w:val="_PLD_2a43f0f223d141f0855f6cbb9e60b12f"/>
                    <w:id w:val="796656794"/>
                    <w:lock w:val="sdtLocked"/>
                  </w:sdtPr>
                  <w:sdtContent>
                    <w:tc>
                      <w:tcPr>
                        <w:tcW w:w="448" w:type="pct"/>
                        <w:vMerge w:val="restart"/>
                        <w:vAlign w:val="center"/>
                      </w:tcPr>
                      <w:p>
                        <w:pPr>
                          <w:snapToGrid w:val="0"/>
                          <w:spacing w:line="240" w:lineRule="atLeast"/>
                          <w:jc w:val="center"/>
                          <w:rPr>
                            <w:sz w:val="18"/>
                            <w:szCs w:val="18"/>
                          </w:rPr>
                        </w:pPr>
                        <w:r>
                          <w:rPr>
                            <w:rFonts w:hint="eastAsia"/>
                            <w:sz w:val="18"/>
                            <w:szCs w:val="18"/>
                          </w:rPr>
                          <w:t>实收资本(或股本)</w:t>
                        </w:r>
                      </w:p>
                    </w:tc>
                  </w:sdtContent>
                </w:sdt>
                <w:sdt>
                  <w:sdtPr>
                    <w:tag w:val="_PLD_39cb94703877409e9e50d4bf964d43e4"/>
                    <w:id w:val="-986471558"/>
                    <w:lock w:val="sdtLocked"/>
                  </w:sdtPr>
                  <w:sdtContent>
                    <w:tc>
                      <w:tcPr>
                        <w:tcW w:w="356"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0a2a84969d8f4cc5ab2f59451a4cf45c"/>
                    <w:id w:val="-661935685"/>
                    <w:lock w:val="sdtLocked"/>
                  </w:sdtPr>
                  <w:sdtContent>
                    <w:tc>
                      <w:tcPr>
                        <w:tcW w:w="448"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3eb4af6d758d4787987e21e90e79351d"/>
                    <w:id w:val="-762370379"/>
                    <w:lock w:val="sdtLocked"/>
                  </w:sdtPr>
                  <w:sdtContent>
                    <w:tc>
                      <w:tcPr>
                        <w:tcW w:w="424"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63b36aa6d5e74a289a4f2e40e95da929"/>
                    <w:id w:val="1250311199"/>
                    <w:lock w:val="sdtLocked"/>
                  </w:sdtPr>
                  <w:sdtContent>
                    <w:tc>
                      <w:tcPr>
                        <w:tcW w:w="424"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1560331b8c2f411cb5a844cb35b3d2b6"/>
                    <w:id w:val="-902763257"/>
                    <w:lock w:val="sdtLocked"/>
                  </w:sdtPr>
                  <w:sdtContent>
                    <w:tc>
                      <w:tcPr>
                        <w:tcW w:w="119"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6f43f79cacca48dca49685537156084f"/>
                    <w:id w:val="-1547062047"/>
                    <w:lock w:val="sdtLocked"/>
                  </w:sdtPr>
                  <w:sdtContent>
                    <w:tc>
                      <w:tcPr>
                        <w:tcW w:w="401"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56a430dce9564c199812862caead59b2"/>
                    <w:id w:val="1830636696"/>
                    <w:lock w:val="sdtLocked"/>
                  </w:sdtPr>
                  <w:sdtContent>
                    <w:tc>
                      <w:tcPr>
                        <w:tcW w:w="119"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cbc8cc4f323b4146bc3e0b624cb6a030"/>
                    <w:id w:val="-1134711884"/>
                    <w:lock w:val="sdtLocked"/>
                  </w:sdtPr>
                  <w:sdtContent>
                    <w:tc>
                      <w:tcPr>
                        <w:tcW w:w="471"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119" w:type="pct"/>
                    <w:vMerge w:val="restart"/>
                    <w:vAlign w:val="center"/>
                  </w:tcPr>
                  <w:sdt>
                    <w:sdtPr>
                      <w:rPr>
                        <w:rFonts w:hint="eastAsia"/>
                        <w:sz w:val="18"/>
                        <w:szCs w:val="18"/>
                      </w:rPr>
                      <w:tag w:val="_PLD_b504a77359e042b99ce9a2513e44008d"/>
                      <w:id w:val="-2031786873"/>
                      <w:lock w:val="sdtLocked"/>
                    </w:sdtPr>
                    <w:sdtEndPr>
                      <w:rPr>
                        <w:rFonts w:hint="eastAsia"/>
                        <w:sz w:val="18"/>
                        <w:szCs w:val="18"/>
                      </w:rPr>
                    </w:sdtEndPr>
                    <w:sdtContent>
                      <w:p>
                        <w:pPr>
                          <w:jc w:val="center"/>
                          <w:rPr>
                            <w:sz w:val="18"/>
                            <w:szCs w:val="18"/>
                          </w:rPr>
                        </w:pPr>
                        <w:r>
                          <w:rPr>
                            <w:rFonts w:hint="eastAsia"/>
                            <w:sz w:val="18"/>
                            <w:szCs w:val="18"/>
                          </w:rPr>
                          <w:t>其他</w:t>
                        </w:r>
                      </w:p>
                    </w:sdtContent>
                  </w:sdt>
                </w:tc>
                <w:tc>
                  <w:tcPr>
                    <w:tcW w:w="471" w:type="pct"/>
                    <w:vMerge w:val="restart"/>
                    <w:vAlign w:val="center"/>
                  </w:tcPr>
                  <w:sdt>
                    <w:sdtPr>
                      <w:rPr>
                        <w:rFonts w:hint="eastAsia"/>
                        <w:sz w:val="18"/>
                        <w:szCs w:val="18"/>
                      </w:rPr>
                      <w:tag w:val="_PLD_30b039ff7c714652865f3029df27082b"/>
                      <w:id w:val="-534269348"/>
                      <w:lock w:val="sdtLocked"/>
                    </w:sdtPr>
                    <w:sdtEndPr>
                      <w:rPr>
                        <w:rFonts w:hint="eastAsia"/>
                        <w:sz w:val="18"/>
                        <w:szCs w:val="18"/>
                      </w:rPr>
                    </w:sdtEndPr>
                    <w:sdtContent>
                      <w:p>
                        <w:pPr>
                          <w:jc w:val="center"/>
                          <w:rPr>
                            <w:sz w:val="18"/>
                            <w:szCs w:val="18"/>
                          </w:rPr>
                        </w:pPr>
                        <w:r>
                          <w:rPr>
                            <w:rFonts w:hint="eastAsia"/>
                            <w:sz w:val="18"/>
                            <w:szCs w:val="18"/>
                          </w:rPr>
                          <w:t>小计</w:t>
                        </w:r>
                      </w:p>
                    </w:sdtContent>
                  </w:sdt>
                </w:tc>
                <w:tc>
                  <w:tcPr>
                    <w:tcW w:w="448" w:type="pct"/>
                    <w:vMerge w:val="continue"/>
                  </w:tcPr>
                  <w:p>
                    <w:pPr>
                      <w:jc w:val="center"/>
                      <w:rPr>
                        <w:sz w:val="18"/>
                        <w:szCs w:val="18"/>
                      </w:rPr>
                    </w:pPr>
                  </w:p>
                </w:tc>
                <w:tc>
                  <w:tcPr>
                    <w:tcW w:w="471"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trPr>
                <w:tc>
                  <w:tcPr>
                    <w:tcW w:w="283" w:type="pct"/>
                    <w:vMerge w:val="continue"/>
                  </w:tcPr>
                  <w:p>
                    <w:pPr>
                      <w:snapToGrid w:val="0"/>
                      <w:spacing w:line="240" w:lineRule="atLeast"/>
                      <w:ind w:right="-1594" w:rightChars="-759"/>
                      <w:rPr>
                        <w:sz w:val="18"/>
                        <w:szCs w:val="18"/>
                      </w:rPr>
                    </w:pPr>
                  </w:p>
                </w:tc>
                <w:tc>
                  <w:tcPr>
                    <w:tcW w:w="448" w:type="pct"/>
                    <w:vMerge w:val="continue"/>
                  </w:tcPr>
                  <w:p>
                    <w:pPr>
                      <w:snapToGrid w:val="0"/>
                      <w:spacing w:line="240" w:lineRule="atLeast"/>
                      <w:jc w:val="center"/>
                      <w:rPr>
                        <w:sz w:val="18"/>
                        <w:szCs w:val="18"/>
                      </w:rPr>
                    </w:pPr>
                  </w:p>
                </w:tc>
                <w:sdt>
                  <w:sdtPr>
                    <w:tag w:val="_PLD_b607c17c743149d295a2a79708dbacd2"/>
                    <w:id w:val="-562335262"/>
                    <w:lock w:val="sdtLocked"/>
                  </w:sdtPr>
                  <w:sdtContent>
                    <w:tc>
                      <w:tcPr>
                        <w:tcW w:w="119" w:type="pct"/>
                        <w:vAlign w:val="center"/>
                      </w:tcPr>
                      <w:p>
                        <w:pPr>
                          <w:snapToGrid w:val="0"/>
                          <w:spacing w:line="240" w:lineRule="atLeast"/>
                          <w:jc w:val="center"/>
                          <w:rPr>
                            <w:sz w:val="18"/>
                            <w:szCs w:val="18"/>
                          </w:rPr>
                        </w:pPr>
                        <w:r>
                          <w:rPr>
                            <w:rFonts w:hint="eastAsia"/>
                            <w:sz w:val="18"/>
                            <w:szCs w:val="18"/>
                          </w:rPr>
                          <w:t>优先股</w:t>
                        </w:r>
                      </w:p>
                    </w:tc>
                  </w:sdtContent>
                </w:sdt>
                <w:sdt>
                  <w:sdtPr>
                    <w:tag w:val="_PLD_ff95d9a5f43c439aac9ba6d07675d878"/>
                    <w:id w:val="1295949901"/>
                    <w:lock w:val="sdtLocked"/>
                  </w:sdtPr>
                  <w:sdtContent>
                    <w:tc>
                      <w:tcPr>
                        <w:tcW w:w="119" w:type="pct"/>
                        <w:vAlign w:val="center"/>
                      </w:tcPr>
                      <w:p>
                        <w:pPr>
                          <w:snapToGrid w:val="0"/>
                          <w:spacing w:line="240" w:lineRule="atLeast"/>
                          <w:jc w:val="center"/>
                          <w:rPr>
                            <w:sz w:val="18"/>
                            <w:szCs w:val="18"/>
                          </w:rPr>
                        </w:pPr>
                        <w:r>
                          <w:rPr>
                            <w:rFonts w:hint="eastAsia"/>
                            <w:sz w:val="18"/>
                            <w:szCs w:val="18"/>
                          </w:rPr>
                          <w:t>永续债</w:t>
                        </w:r>
                      </w:p>
                    </w:tc>
                  </w:sdtContent>
                </w:sdt>
                <w:sdt>
                  <w:sdtPr>
                    <w:tag w:val="_PLD_172b1cd40c094b6fa71aba6fe6a10f81"/>
                    <w:id w:val="503329664"/>
                    <w:lock w:val="sdtLocked"/>
                  </w:sdtPr>
                  <w:sdtContent>
                    <w:tc>
                      <w:tcPr>
                        <w:tcW w:w="119" w:type="pct"/>
                        <w:vAlign w:val="center"/>
                      </w:tcPr>
                      <w:p>
                        <w:pPr>
                          <w:snapToGrid w:val="0"/>
                          <w:spacing w:line="240" w:lineRule="atLeast"/>
                          <w:jc w:val="center"/>
                          <w:rPr>
                            <w:sz w:val="18"/>
                            <w:szCs w:val="18"/>
                          </w:rPr>
                        </w:pPr>
                        <w:r>
                          <w:rPr>
                            <w:rFonts w:hint="eastAsia"/>
                            <w:sz w:val="18"/>
                            <w:szCs w:val="18"/>
                          </w:rPr>
                          <w:t>其他</w:t>
                        </w:r>
                      </w:p>
                    </w:tc>
                  </w:sdtContent>
                </w:sdt>
                <w:tc>
                  <w:tcPr>
                    <w:tcW w:w="448" w:type="pct"/>
                    <w:vMerge w:val="continue"/>
                  </w:tcPr>
                  <w:p>
                    <w:pPr>
                      <w:snapToGrid w:val="0"/>
                      <w:spacing w:line="240" w:lineRule="atLeast"/>
                      <w:jc w:val="center"/>
                      <w:rPr>
                        <w:sz w:val="18"/>
                        <w:szCs w:val="18"/>
                      </w:rPr>
                    </w:pPr>
                  </w:p>
                </w:tc>
                <w:tc>
                  <w:tcPr>
                    <w:tcW w:w="424" w:type="pct"/>
                    <w:vMerge w:val="continue"/>
                  </w:tcPr>
                  <w:p>
                    <w:pPr>
                      <w:snapToGrid w:val="0"/>
                      <w:spacing w:line="240" w:lineRule="atLeast"/>
                      <w:jc w:val="center"/>
                      <w:rPr>
                        <w:sz w:val="18"/>
                        <w:szCs w:val="18"/>
                      </w:rPr>
                    </w:pPr>
                  </w:p>
                </w:tc>
                <w:tc>
                  <w:tcPr>
                    <w:tcW w:w="424" w:type="pct"/>
                    <w:vMerge w:val="continue"/>
                  </w:tcPr>
                  <w:p>
                    <w:pPr>
                      <w:snapToGrid w:val="0"/>
                      <w:spacing w:line="240" w:lineRule="atLeast"/>
                      <w:jc w:val="center"/>
                      <w:rPr>
                        <w:sz w:val="18"/>
                        <w:szCs w:val="18"/>
                      </w:rPr>
                    </w:pPr>
                  </w:p>
                </w:tc>
                <w:tc>
                  <w:tcPr>
                    <w:tcW w:w="119" w:type="pct"/>
                    <w:vMerge w:val="continue"/>
                  </w:tcPr>
                  <w:p>
                    <w:pPr>
                      <w:snapToGrid w:val="0"/>
                      <w:spacing w:line="240" w:lineRule="atLeast"/>
                      <w:jc w:val="center"/>
                      <w:rPr>
                        <w:sz w:val="18"/>
                        <w:szCs w:val="18"/>
                      </w:rPr>
                    </w:pPr>
                  </w:p>
                </w:tc>
                <w:tc>
                  <w:tcPr>
                    <w:tcW w:w="401" w:type="pct"/>
                    <w:vMerge w:val="continue"/>
                  </w:tcPr>
                  <w:p>
                    <w:pPr>
                      <w:snapToGrid w:val="0"/>
                      <w:spacing w:line="240" w:lineRule="atLeast"/>
                      <w:jc w:val="center"/>
                      <w:rPr>
                        <w:sz w:val="18"/>
                        <w:szCs w:val="18"/>
                      </w:rPr>
                    </w:pPr>
                  </w:p>
                </w:tc>
                <w:tc>
                  <w:tcPr>
                    <w:tcW w:w="119" w:type="pct"/>
                    <w:vMerge w:val="continue"/>
                  </w:tcPr>
                  <w:p>
                    <w:pPr>
                      <w:snapToGrid w:val="0"/>
                      <w:spacing w:line="240" w:lineRule="atLeast"/>
                      <w:jc w:val="center"/>
                      <w:rPr>
                        <w:sz w:val="18"/>
                        <w:szCs w:val="18"/>
                      </w:rPr>
                    </w:pPr>
                  </w:p>
                </w:tc>
                <w:tc>
                  <w:tcPr>
                    <w:tcW w:w="471" w:type="pct"/>
                    <w:vMerge w:val="continue"/>
                  </w:tcPr>
                  <w:p>
                    <w:pPr>
                      <w:snapToGrid w:val="0"/>
                      <w:spacing w:line="240" w:lineRule="atLeast"/>
                      <w:jc w:val="center"/>
                      <w:rPr>
                        <w:sz w:val="18"/>
                        <w:szCs w:val="18"/>
                      </w:rPr>
                    </w:pPr>
                  </w:p>
                </w:tc>
                <w:tc>
                  <w:tcPr>
                    <w:tcW w:w="119" w:type="pct"/>
                    <w:vMerge w:val="continue"/>
                  </w:tcPr>
                  <w:p>
                    <w:pPr>
                      <w:jc w:val="center"/>
                      <w:rPr>
                        <w:sz w:val="18"/>
                        <w:szCs w:val="18"/>
                      </w:rPr>
                    </w:pPr>
                  </w:p>
                </w:tc>
                <w:tc>
                  <w:tcPr>
                    <w:tcW w:w="471" w:type="pct"/>
                    <w:vMerge w:val="continue"/>
                  </w:tcPr>
                  <w:p>
                    <w:pPr>
                      <w:jc w:val="center"/>
                      <w:rPr>
                        <w:sz w:val="18"/>
                        <w:szCs w:val="18"/>
                      </w:rPr>
                    </w:pPr>
                  </w:p>
                </w:tc>
                <w:tc>
                  <w:tcPr>
                    <w:tcW w:w="448" w:type="pct"/>
                    <w:vMerge w:val="continue"/>
                  </w:tcPr>
                  <w:p>
                    <w:pPr>
                      <w:jc w:val="center"/>
                      <w:rPr>
                        <w:sz w:val="18"/>
                        <w:szCs w:val="18"/>
                      </w:rPr>
                    </w:pPr>
                  </w:p>
                </w:tc>
                <w:tc>
                  <w:tcPr>
                    <w:tcW w:w="471"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4fdfc5e6b5c34cfdb08e5d5e3943966e"/>
                    <w:id w:val="-40287115"/>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一、上年</w:t>
                        </w:r>
                        <w:r>
                          <w:rPr>
                            <w:rFonts w:hint="eastAsia" w:asciiTheme="minorEastAsia" w:hAnsiTheme="minorEastAsia" w:eastAsiaTheme="minorEastAsia"/>
                            <w:sz w:val="15"/>
                            <w:szCs w:val="15"/>
                          </w:rPr>
                          <w:t>年</w:t>
                        </w:r>
                        <w:r>
                          <w:rPr>
                            <w:rFonts w:asciiTheme="minorEastAsia" w:hAnsiTheme="minorEastAsia" w:eastAsiaTheme="minorEastAsia"/>
                            <w:sz w:val="15"/>
                            <w:szCs w:val="15"/>
                          </w:rPr>
                          <w:t>末余额</w:t>
                        </w:r>
                      </w:p>
                    </w:tc>
                  </w:sdtContent>
                </w:sdt>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4,521,013,100.00</w:t>
                    </w: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8,647,221,763.25</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250,597,854.00</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-224,803,019.42</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-3,044,426,693.79</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10,075,401,049.68</w:t>
                    </w: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1,136,547,780.40</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11,211,948,830.08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90f04cf20717467298c2824a1c7b2f71"/>
                    <w:id w:val="-169260811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加：</w:t>
                        </w:r>
                        <w:r>
                          <w:rPr>
                            <w:rFonts w:asciiTheme="minorEastAsia" w:hAnsiTheme="minorEastAsia" w:eastAsiaTheme="minorEastAsia"/>
                            <w:sz w:val="15"/>
                            <w:szCs w:val="15"/>
                          </w:rPr>
                          <w:t>会计政策变更</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724580d38484f718fafd008f24a7505"/>
                    <w:id w:val="-4125434"/>
                    <w:lock w:val="sdtLocked"/>
                  </w:sdtPr>
                  <w:sdtEndPr>
                    <w:rPr>
                      <w:rFonts w:asciiTheme="minorEastAsia" w:hAnsiTheme="minorEastAsia" w:eastAsiaTheme="minorEastAsia"/>
                      <w:sz w:val="15"/>
                      <w:szCs w:val="15"/>
                    </w:rPr>
                  </w:sdtEndPr>
                  <w:sdtContent>
                    <w:tc>
                      <w:tcPr>
                        <w:tcW w:w="283" w:type="pct"/>
                      </w:tcPr>
                      <w:p>
                        <w:pPr>
                          <w:ind w:firstLine="300" w:firstLineChars="200"/>
                          <w:rPr>
                            <w:rFonts w:asciiTheme="minorEastAsia" w:hAnsiTheme="minorEastAsia" w:eastAsiaTheme="minorEastAsia"/>
                            <w:sz w:val="15"/>
                            <w:szCs w:val="15"/>
                          </w:rPr>
                        </w:pPr>
                        <w:r>
                          <w:rPr>
                            <w:rFonts w:asciiTheme="minorEastAsia" w:hAnsiTheme="minorEastAsia" w:eastAsiaTheme="minorEastAsia"/>
                            <w:sz w:val="15"/>
                            <w:szCs w:val="15"/>
                          </w:rPr>
                          <w:t>前期差错更正</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7107f73d7a074f5ea2342b03040f2d87"/>
                    <w:id w:val="-650983987"/>
                    <w:lock w:val="sdtLocked"/>
                  </w:sdtPr>
                  <w:sdtEndPr>
                    <w:rPr>
                      <w:rFonts w:asciiTheme="minorEastAsia" w:hAnsiTheme="minorEastAsia" w:eastAsiaTheme="minorEastAsia"/>
                      <w:sz w:val="15"/>
                      <w:szCs w:val="15"/>
                    </w:rPr>
                  </w:sdtEndPr>
                  <w:sdtContent>
                    <w:tc>
                      <w:tcPr>
                        <w:tcW w:w="283" w:type="pct"/>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同一控制下企业合并</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22e3287ddd140fb9d031a4dab8a8b13"/>
                    <w:id w:val="-1154058263"/>
                    <w:lock w:val="sdtLocked"/>
                  </w:sdtPr>
                  <w:sdtEndPr>
                    <w:rPr>
                      <w:rFonts w:asciiTheme="minorEastAsia" w:hAnsiTheme="minorEastAsia" w:eastAsiaTheme="minorEastAsia"/>
                      <w:sz w:val="15"/>
                      <w:szCs w:val="15"/>
                    </w:rPr>
                  </w:sdtEndPr>
                  <w:sdtContent>
                    <w:tc>
                      <w:tcPr>
                        <w:tcW w:w="283" w:type="pct"/>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4db836e110543eab1bb1c6fb46bd857"/>
                    <w:id w:val="2049025113"/>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二、本年</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初余额</w:t>
                        </w:r>
                      </w:p>
                    </w:tc>
                  </w:sdtContent>
                </w:sdt>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4,521,013,100.00</w:t>
                    </w: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8,647,221,763.25</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250,597,854.00</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-224,803,019.42</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-3,044,426,693.79</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10,075,401,049.68</w:t>
                    </w: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1,136,547,780.40</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11,211,948,830.08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ca4768a663c4afc8e9fee3a8dc71bc6"/>
                    <w:id w:val="120891125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三、本</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增减变动金额（减少以“－”号填列）</w:t>
                        </w:r>
                      </w:p>
                    </w:tc>
                  </w:sdtContent>
                </w:sdt>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-21,013,100.00</w:t>
                    </w: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-94,090,296.51</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-124,233,507.00</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46,691,625.57</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38,444,449.55</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94,266,185.61</w:t>
                    </w: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-5,768,202.57</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88,497,983.04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5a20255a0a245fd951d5eb42c559389"/>
                    <w:id w:val="-1174568566"/>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（一）综合收益总额</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29,494,006.52</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55,642,068.60</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85,136,075.12</w:t>
                    </w: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24,469,865.45</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109,605,940.57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cabd5a3f22a849b08cf8df11a07115b5"/>
                    <w:id w:val="-33646754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二</w:t>
                        </w:r>
                        <w:r>
                          <w:rPr>
                            <w:rFonts w:asciiTheme="minorEastAsia" w:hAnsiTheme="minorEastAsia" w:eastAsiaTheme="minorEastAsia"/>
                            <w:sz w:val="15"/>
                            <w:szCs w:val="15"/>
                          </w:rPr>
                          <w:t>）所有者投入和减少资本</w:t>
                        </w:r>
                      </w:p>
                    </w:tc>
                  </w:sdtContent>
                </w:sdt>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-21,013,100.00</w:t>
                    </w: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-94,090,296.51</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-124,233,507.00</w:t>
                    </w: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9,130,110.49</w:t>
                    </w: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-30,238,068.02</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-21,107,957.53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4d4d24462cb048579eb01f9b1c8956b1"/>
                    <w:id w:val="-150820721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1．所有者投入的普通股</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-30,238,068.02</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-30,238,068.02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b1df3030d9b41699f4a3e651f6c74e7"/>
                    <w:id w:val="-1101870950"/>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2．其他权益工具持有者投入资本</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f20c7d29dbe4ecc8acea7b1a1149bd3"/>
                    <w:id w:val="643860111"/>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．股份支付计入所有者权益的金额</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3ce563048a9409f9366506e205c4124"/>
                    <w:id w:val="2098358617"/>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4</w:t>
                        </w:r>
                        <w:r>
                          <w:rPr>
                            <w:rFonts w:asciiTheme="minorEastAsia" w:hAnsiTheme="minorEastAsia" w:eastAsiaTheme="minorEastAsia"/>
                            <w:sz w:val="15"/>
                            <w:szCs w:val="15"/>
                          </w:rPr>
                          <w:t>．其他</w:t>
                        </w:r>
                      </w:p>
                    </w:tc>
                  </w:sdtContent>
                </w:sdt>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-21,013,100.00</w:t>
                    </w: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-94,090,296.51</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-124,233,507.00</w:t>
                    </w: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9,130,110.49</w:t>
                    </w: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9,130,110.49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e5ace973797c4072b589e43841b34142"/>
                    <w:id w:val="-660003882"/>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三</w:t>
                        </w:r>
                        <w:r>
                          <w:rPr>
                            <w:rFonts w:asciiTheme="minorEastAsia" w:hAnsiTheme="minorEastAsia" w:eastAsiaTheme="minorEastAsia"/>
                            <w:sz w:val="15"/>
                            <w:szCs w:val="15"/>
                          </w:rPr>
                          <w:t>）利润分配</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6984731c08d48a08692b6a589fbe555"/>
                    <w:id w:val="615023270"/>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1．提取盈余公积</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30e7cefb4de4113b5c1abddf8a241d4"/>
                    <w:id w:val="2039467614"/>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2．提取一般风险准备</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d573481d9af49e2a8ab22ecd061ccf7"/>
                    <w:id w:val="1196436511"/>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3．对所有者（或股东）的分配</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d87d5b565c74b3faf2e05ed9840875a"/>
                    <w:id w:val="-93320004"/>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4．其他</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92da940e723e49d8b19944c326b0a372"/>
                    <w:id w:val="-89674418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四</w:t>
                        </w:r>
                        <w:r>
                          <w:rPr>
                            <w:rFonts w:asciiTheme="minorEastAsia" w:hAnsiTheme="minorEastAsia" w:eastAsiaTheme="minorEastAsia"/>
                            <w:sz w:val="15"/>
                            <w:szCs w:val="15"/>
                          </w:rPr>
                          <w:t>）所有者权益内部结转</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17,197,619.05</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color w:val="000000"/>
                        <w:sz w:val="15"/>
                        <w:szCs w:val="15"/>
                      </w:rPr>
                    </w:pPr>
                    <w:r>
                      <w:rPr>
                        <w:rFonts w:hint="eastAsia" w:asciiTheme="minorEastAsia" w:hAnsiTheme="minorEastAsia" w:eastAsiaTheme="minorEastAsia"/>
                        <w:color w:val="000000"/>
                        <w:sz w:val="15"/>
                        <w:szCs w:val="15"/>
                      </w:rPr>
                      <w:t xml:space="preserve">-17,197,619.05 </w:t>
                    </w:r>
                  </w:p>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8fb253c66e143fa8d6fda4d400657ec"/>
                    <w:id w:val="-194892788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1．资本公积转增资本（或股本）</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15cc23aa9ca343c08333ba7ee1b1325c"/>
                    <w:id w:val="-2080739046"/>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2．盈余公积转增资本（或股本）</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9db953ff4eb242bd9b2d516481ce5c51"/>
                    <w:id w:val="1464617035"/>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3．盈余公积弥补亏损</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tcPr>
                  <w:sdt>
                    <w:sdtPr>
                      <w:rPr>
                        <w:rFonts w:asciiTheme="minorEastAsia" w:hAnsiTheme="minorEastAsia" w:eastAsiaTheme="minorEastAsia"/>
                        <w:sz w:val="15"/>
                        <w:szCs w:val="15"/>
                      </w:rPr>
                      <w:tag w:val="_PLD_4cff15a1162840c480701077d824f063"/>
                      <w:id w:val="-959722120"/>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4．设定受益计划变动额结转留存收益</w:t>
                        </w:r>
                      </w:p>
                    </w:sdtContent>
                  </w:sdt>
                </w:tc>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 w:type="pct"/>
                  </w:tcPr>
                  <w:sdt>
                    <w:sdtPr>
                      <w:rPr>
                        <w:rFonts w:asciiTheme="minorEastAsia" w:hAnsiTheme="minorEastAsia" w:eastAsiaTheme="minorEastAsia"/>
                        <w:sz w:val="15"/>
                        <w:szCs w:val="15"/>
                      </w:rPr>
                      <w:tag w:val="_PLD_01b44dab85214948b610b65ce91a85dd"/>
                      <w:id w:val="-830519891"/>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5．其他综合收益结转留存收益</w:t>
                        </w:r>
                      </w:p>
                    </w:sdtContent>
                  </w:sdt>
                </w:tc>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17,197,619.05</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color w:val="000000"/>
                        <w:sz w:val="15"/>
                        <w:szCs w:val="15"/>
                      </w:rPr>
                    </w:pPr>
                    <w:r>
                      <w:rPr>
                        <w:rFonts w:hint="eastAsia" w:asciiTheme="minorEastAsia" w:hAnsiTheme="minorEastAsia" w:eastAsiaTheme="minorEastAsia"/>
                        <w:color w:val="000000"/>
                        <w:sz w:val="15"/>
                        <w:szCs w:val="15"/>
                      </w:rPr>
                      <w:t xml:space="preserve">-17,197,619.05 </w:t>
                    </w:r>
                  </w:p>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3ac599075bf24593ba41b1bec2fb0e9e"/>
                    <w:id w:val="1357077725"/>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6．其他</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e606d8680d944e6999b3743f1fcf75f9"/>
                    <w:id w:val="-276254909"/>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（五）专项储备</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c1e7a107b4eb42c48000b98a786d499c"/>
                    <w:id w:val="278845716"/>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1．本期提取</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9b59bbd4f7a49708a1fc0c2a96e3869"/>
                    <w:id w:val="1282376923"/>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2．本期使用</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e6f5912872d41cc910f3bdca18b82d0"/>
                    <w:id w:val="717638928"/>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（六）其他</w:t>
                        </w:r>
                      </w:p>
                    </w:tc>
                  </w:sdtContent>
                </w:sdt>
                <w:tc>
                  <w:tcPr>
                    <w:tcW w:w="448"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424"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f6ec7abefe954758b48497b1b1440546"/>
                    <w:id w:val="-1217282174"/>
                    <w:lock w:val="sdtLocked"/>
                  </w:sdtPr>
                  <w:sdtEndPr>
                    <w:rPr>
                      <w:rFonts w:asciiTheme="minorEastAsia" w:hAnsiTheme="minorEastAsia" w:eastAsiaTheme="minorEastAsia"/>
                      <w:sz w:val="15"/>
                      <w:szCs w:val="15"/>
                    </w:rPr>
                  </w:sdtEndPr>
                  <w:sdtContent>
                    <w:tc>
                      <w:tcPr>
                        <w:tcW w:w="283" w:type="pct"/>
                      </w:tcPr>
                      <w:p>
                        <w:pPr>
                          <w:rPr>
                            <w:rFonts w:asciiTheme="minorEastAsia" w:hAnsiTheme="minorEastAsia" w:eastAsiaTheme="minorEastAsia"/>
                            <w:sz w:val="15"/>
                            <w:szCs w:val="15"/>
                          </w:rPr>
                        </w:pPr>
                        <w:r>
                          <w:rPr>
                            <w:rFonts w:asciiTheme="minorEastAsia" w:hAnsiTheme="minorEastAsia" w:eastAsiaTheme="minorEastAsia"/>
                            <w:sz w:val="15"/>
                            <w:szCs w:val="15"/>
                          </w:rPr>
                          <w:t>四、本期期末余额</w:t>
                        </w:r>
                      </w:p>
                    </w:tc>
                  </w:sdtContent>
                </w:sdt>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4,500,000,000.00</w:t>
                    </w: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119" w:type="pct"/>
                    <w:vAlign w:val="center"/>
                  </w:tcPr>
                  <w:p>
                    <w:pPr>
                      <w:jc w:val="right"/>
                      <w:rPr>
                        <w:rFonts w:asciiTheme="minorEastAsia" w:hAnsiTheme="minorEastAsia" w:eastAsiaTheme="minorEastAsia"/>
                        <w:sz w:val="15"/>
                        <w:szCs w:val="15"/>
                      </w:rPr>
                    </w:pP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8,553,131,466.74</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126,364,347.00</w:t>
                    </w:r>
                  </w:p>
                </w:tc>
                <w:tc>
                  <w:tcPr>
                    <w:tcW w:w="42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-178,111,393.85</w:t>
                    </w:r>
                  </w:p>
                </w:tc>
                <w:tc>
                  <w:tcPr>
                    <w:tcW w:w="119" w:type="pct"/>
                    <w:vAlign w:val="center"/>
                  </w:tcPr>
                  <w:p>
                    <w:pPr>
                      <w:jc w:val="right"/>
                      <w:rPr>
                        <w:rFonts w:asciiTheme="minorEastAsia" w:hAnsiTheme="minorEastAsia" w:eastAsiaTheme="minorEastAsia"/>
                        <w:sz w:val="15"/>
                        <w:szCs w:val="15"/>
                      </w:rPr>
                    </w:pPr>
                  </w:p>
                </w:tc>
                <w:tc>
                  <w:tcPr>
                    <w:tcW w:w="40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-3,005,982,244.24</w:t>
                    </w:r>
                  </w:p>
                </w:tc>
                <w:tc>
                  <w:tcPr>
                    <w:tcW w:w="119" w:type="pct"/>
                    <w:vAlign w:val="center"/>
                  </w:tcPr>
                  <w:p>
                    <w:pPr>
                      <w:jc w:val="right"/>
                      <w:rPr>
                        <w:rFonts w:asciiTheme="minorEastAsia" w:hAnsiTheme="minorEastAsia" w:eastAsiaTheme="minorEastAsia"/>
                        <w:sz w:val="15"/>
                        <w:szCs w:val="15"/>
                      </w:rPr>
                    </w:pP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10,169,667,235.29</w:t>
                    </w:r>
                  </w:p>
                </w:tc>
                <w:tc>
                  <w:tcPr>
                    <w:tcW w:w="44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1,130,779,577.83</w:t>
                    </w:r>
                  </w:p>
                </w:tc>
                <w:tc>
                  <w:tcPr>
                    <w:tcW w:w="471"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11,300,446,813.12</w:t>
                    </w:r>
                  </w:p>
                </w:tc>
              </w:tr>
            </w:tbl>
            <w:p/>
            <w:p>
              <w:pPr>
                <w:rPr>
                  <w:szCs w:val="21"/>
                </w:rPr>
              </w:pPr>
              <w:r>
                <w:rPr>
                  <w:szCs w:val="21"/>
                </w:rPr>
                <w:br w:type="page"/>
              </w:r>
            </w:p>
            <w:p>
              <w:pPr>
                <w:snapToGrid w:val="0"/>
                <w:spacing w:line="240" w:lineRule="atLeast"/>
                <w:ind w:right="-1594" w:rightChars="-759"/>
                <w:rPr>
                  <w:szCs w:val="21"/>
                </w:rPr>
              </w:pPr>
            </w:p>
            <w:tbl>
              <w:tblPr>
                <w:tblStyle w:val="108"/>
                <w:tblW w:w="5308"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
                <w:gridCol w:w="1416"/>
                <w:gridCol w:w="396"/>
                <w:gridCol w:w="396"/>
                <w:gridCol w:w="396"/>
                <w:gridCol w:w="1491"/>
                <w:gridCol w:w="1266"/>
                <w:gridCol w:w="1341"/>
                <w:gridCol w:w="396"/>
                <w:gridCol w:w="1266"/>
                <w:gridCol w:w="396"/>
                <w:gridCol w:w="1491"/>
                <w:gridCol w:w="396"/>
                <w:gridCol w:w="1491"/>
                <w:gridCol w:w="1416"/>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7" w:type="pct"/>
                    <w:vMerge w:val="restart"/>
                    <w:vAlign w:val="center"/>
                  </w:tcPr>
                  <w:sdt>
                    <w:sdtPr>
                      <w:rPr>
                        <w:rFonts w:hint="eastAsia"/>
                        <w:sz w:val="18"/>
                        <w:szCs w:val="18"/>
                      </w:rPr>
                      <w:tag w:val="_PLD_229212c664af43faa41821d5eec551b8"/>
                      <w:id w:val="979729408"/>
                      <w:lock w:val="sdtLocked"/>
                    </w:sdtPr>
                    <w:sdtEndPr>
                      <w:rPr>
                        <w:rFonts w:hint="eastAsia"/>
                        <w:sz w:val="18"/>
                        <w:szCs w:val="18"/>
                      </w:rPr>
                    </w:sdtEndPr>
                    <w:sdtContent>
                      <w:p>
                        <w:pPr>
                          <w:snapToGrid w:val="0"/>
                          <w:spacing w:line="240" w:lineRule="atLeast"/>
                          <w:jc w:val="center"/>
                          <w:rPr>
                            <w:sz w:val="18"/>
                            <w:szCs w:val="18"/>
                          </w:rPr>
                        </w:pPr>
                        <w:r>
                          <w:rPr>
                            <w:rFonts w:hint="eastAsia"/>
                            <w:sz w:val="18"/>
                            <w:szCs w:val="18"/>
                          </w:rPr>
                          <w:t>项目</w:t>
                        </w:r>
                      </w:p>
                    </w:sdtContent>
                  </w:sdt>
                </w:tc>
                <w:tc>
                  <w:tcPr>
                    <w:tcW w:w="4763" w:type="pct"/>
                    <w:gridSpan w:val="15"/>
                  </w:tcPr>
                  <w:p>
                    <w:pPr>
                      <w:snapToGrid w:val="0"/>
                      <w:spacing w:line="240" w:lineRule="atLeast"/>
                      <w:ind w:right="-1594" w:rightChars="-759"/>
                      <w:jc w:val="center"/>
                    </w:pPr>
                    <w:sdt>
                      <w:sdtPr>
                        <w:rPr>
                          <w:rFonts w:hint="eastAsia"/>
                        </w:rPr>
                        <w:tag w:val="_PLD_5c8dcea3749f4f92b2d283c717162a73"/>
                        <w:id w:val="1995290728"/>
                        <w:lock w:val="sdtLocked"/>
                      </w:sdtPr>
                      <w:sdtEndPr>
                        <w:rPr>
                          <w:rFonts w:hint="eastAsia"/>
                        </w:rPr>
                      </w:sdtEndPr>
                      <w:sdtContent>
                        <w:r>
                          <w:rPr>
                            <w:rFonts w:hint="eastAsia"/>
                            <w:sz w:val="18"/>
                            <w:szCs w:val="18"/>
                          </w:rPr>
                          <w:t>2020年度</w:t>
                        </w:r>
                      </w:sdtContent>
                    </w:sdt>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237" w:type="pct"/>
                    <w:vMerge w:val="continue"/>
                  </w:tcPr>
                  <w:p>
                    <w:pPr>
                      <w:snapToGrid w:val="0"/>
                      <w:spacing w:line="240" w:lineRule="atLeast"/>
                      <w:ind w:right="-1594" w:rightChars="-759"/>
                      <w:rPr>
                        <w:sz w:val="18"/>
                        <w:szCs w:val="18"/>
                      </w:rPr>
                    </w:pPr>
                  </w:p>
                </w:tc>
                <w:sdt>
                  <w:sdtPr>
                    <w:tag w:val="_PLD_e725a8cacf9d4d1abedbfeae17c394e0"/>
                    <w:id w:val="-649674300"/>
                    <w:lock w:val="sdtLocked"/>
                  </w:sdtPr>
                  <w:sdtContent>
                    <w:tc>
                      <w:tcPr>
                        <w:tcW w:w="3826" w:type="pct"/>
                        <w:gridSpan w:val="13"/>
                        <w:vAlign w:val="center"/>
                      </w:tcPr>
                      <w:p>
                        <w:pPr>
                          <w:jc w:val="center"/>
                        </w:pPr>
                        <w:r>
                          <w:rPr>
                            <w:sz w:val="18"/>
                            <w:szCs w:val="18"/>
                          </w:rPr>
                          <w:t>归属于母公司所有者权益</w:t>
                        </w:r>
                      </w:p>
                    </w:tc>
                  </w:sdtContent>
                </w:sdt>
                <w:sdt>
                  <w:sdtPr>
                    <w:tag w:val="_PLD_fe6c49384f0941088b29ad945caeb72b"/>
                    <w:id w:val="-340390044"/>
                    <w:lock w:val="sdtLocked"/>
                  </w:sdtPr>
                  <w:sdtContent>
                    <w:tc>
                      <w:tcPr>
                        <w:tcW w:w="456" w:type="pct"/>
                        <w:vMerge w:val="restart"/>
                        <w:vAlign w:val="center"/>
                      </w:tcPr>
                      <w:p>
                        <w:pPr>
                          <w:jc w:val="center"/>
                          <w:rPr>
                            <w:sz w:val="18"/>
                            <w:szCs w:val="18"/>
                          </w:rPr>
                        </w:pPr>
                        <w:r>
                          <w:rPr>
                            <w:sz w:val="18"/>
                            <w:szCs w:val="18"/>
                          </w:rPr>
                          <w:t>少数股东权益</w:t>
                        </w:r>
                      </w:p>
                    </w:tc>
                  </w:sdtContent>
                </w:sdt>
                <w:sdt>
                  <w:sdtPr>
                    <w:tag w:val="_PLD_bbe71d4307504d648ce52638ee90ccd4"/>
                    <w:id w:val="-1100407539"/>
                    <w:lock w:val="sdtLocked"/>
                  </w:sdtPr>
                  <w:sdtContent>
                    <w:tc>
                      <w:tcPr>
                        <w:tcW w:w="480" w:type="pct"/>
                        <w:vMerge w:val="restart"/>
                        <w:vAlign w:val="center"/>
                      </w:tcPr>
                      <w:p>
                        <w:pPr>
                          <w:jc w:val="center"/>
                          <w:rPr>
                            <w:sz w:val="18"/>
                            <w:szCs w:val="18"/>
                          </w:rPr>
                        </w:pPr>
                        <w:r>
                          <w:rPr>
                            <w:sz w:val="18"/>
                            <w:szCs w:val="18"/>
                          </w:rPr>
                          <w:t>所有者权益合计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3" w:hRule="atLeast"/>
                </w:trPr>
                <w:tc>
                  <w:tcPr>
                    <w:tcW w:w="237" w:type="pct"/>
                    <w:vMerge w:val="continue"/>
                  </w:tcPr>
                  <w:p>
                    <w:pPr>
                      <w:snapToGrid w:val="0"/>
                      <w:spacing w:line="240" w:lineRule="atLeast"/>
                      <w:ind w:right="-1594" w:rightChars="-759"/>
                      <w:rPr>
                        <w:sz w:val="18"/>
                        <w:szCs w:val="18"/>
                      </w:rPr>
                    </w:pPr>
                  </w:p>
                </w:tc>
                <w:sdt>
                  <w:sdtPr>
                    <w:tag w:val="_PLD_941585ba85eb48fa931876151974e425"/>
                    <w:id w:val="-777632454"/>
                    <w:lock w:val="sdtLocked"/>
                  </w:sdtPr>
                  <w:sdtContent>
                    <w:tc>
                      <w:tcPr>
                        <w:tcW w:w="456" w:type="pct"/>
                        <w:vMerge w:val="restart"/>
                        <w:vAlign w:val="center"/>
                      </w:tcPr>
                      <w:p>
                        <w:pPr>
                          <w:snapToGrid w:val="0"/>
                          <w:spacing w:line="240" w:lineRule="atLeast"/>
                          <w:jc w:val="center"/>
                          <w:rPr>
                            <w:sz w:val="18"/>
                            <w:szCs w:val="18"/>
                          </w:rPr>
                        </w:pPr>
                        <w:r>
                          <w:rPr>
                            <w:sz w:val="18"/>
                            <w:szCs w:val="18"/>
                          </w:rPr>
                          <w:t>实收资本 (或股本)</w:t>
                        </w:r>
                      </w:p>
                    </w:tc>
                  </w:sdtContent>
                </w:sdt>
                <w:sdt>
                  <w:sdtPr>
                    <w:tag w:val="_PLD_4097b1c4c4f449ef94e9dedb67cf7c3a"/>
                    <w:id w:val="564005455"/>
                    <w:lock w:val="sdtLocked"/>
                  </w:sdtPr>
                  <w:sdtContent>
                    <w:tc>
                      <w:tcPr>
                        <w:tcW w:w="340" w:type="pct"/>
                        <w:gridSpan w:val="3"/>
                        <w:vAlign w:val="center"/>
                      </w:tcPr>
                      <w:p>
                        <w:pPr>
                          <w:snapToGrid w:val="0"/>
                          <w:spacing w:line="240" w:lineRule="atLeast"/>
                          <w:jc w:val="center"/>
                          <w:rPr>
                            <w:sz w:val="18"/>
                            <w:szCs w:val="18"/>
                          </w:rPr>
                        </w:pPr>
                        <w:r>
                          <w:rPr>
                            <w:rFonts w:hint="eastAsia"/>
                            <w:sz w:val="18"/>
                            <w:szCs w:val="18"/>
                          </w:rPr>
                          <w:t>其他权益工具</w:t>
                        </w:r>
                      </w:p>
                    </w:tc>
                  </w:sdtContent>
                </w:sdt>
                <w:sdt>
                  <w:sdtPr>
                    <w:tag w:val="_PLD_f8441471f9a041ac884142e2c9e87055"/>
                    <w:id w:val="-1018388551"/>
                    <w:lock w:val="sdtLocked"/>
                  </w:sdtPr>
                  <w:sdtContent>
                    <w:tc>
                      <w:tcPr>
                        <w:tcW w:w="480" w:type="pct"/>
                        <w:vMerge w:val="restart"/>
                        <w:vAlign w:val="center"/>
                      </w:tcPr>
                      <w:p>
                        <w:pPr>
                          <w:snapToGrid w:val="0"/>
                          <w:spacing w:line="240" w:lineRule="atLeast"/>
                          <w:jc w:val="center"/>
                          <w:rPr>
                            <w:sz w:val="18"/>
                            <w:szCs w:val="18"/>
                          </w:rPr>
                        </w:pPr>
                        <w:r>
                          <w:rPr>
                            <w:rFonts w:hint="eastAsia"/>
                            <w:sz w:val="18"/>
                            <w:szCs w:val="18"/>
                          </w:rPr>
                          <w:t>资本公积</w:t>
                        </w:r>
                      </w:p>
                    </w:tc>
                  </w:sdtContent>
                </w:sdt>
                <w:sdt>
                  <w:sdtPr>
                    <w:tag w:val="_PLD_f972a7ccc15d4f409243ecc02ea77629"/>
                    <w:id w:val="-458413322"/>
                    <w:lock w:val="sdtLocked"/>
                  </w:sdtPr>
                  <w:sdtContent>
                    <w:tc>
                      <w:tcPr>
                        <w:tcW w:w="408" w:type="pct"/>
                        <w:vMerge w:val="restart"/>
                        <w:vAlign w:val="center"/>
                      </w:tcPr>
                      <w:p>
                        <w:pPr>
                          <w:snapToGrid w:val="0"/>
                          <w:spacing w:line="240" w:lineRule="atLeast"/>
                          <w:jc w:val="center"/>
                          <w:rPr>
                            <w:sz w:val="18"/>
                            <w:szCs w:val="18"/>
                          </w:rPr>
                        </w:pPr>
                        <w:r>
                          <w:rPr>
                            <w:rFonts w:hint="eastAsia"/>
                            <w:sz w:val="18"/>
                            <w:szCs w:val="18"/>
                          </w:rPr>
                          <w:t>减：库存股</w:t>
                        </w:r>
                      </w:p>
                    </w:tc>
                  </w:sdtContent>
                </w:sdt>
                <w:sdt>
                  <w:sdtPr>
                    <w:tag w:val="_PLD_32394603dc124fdb904af0ad8606aa79"/>
                    <w:id w:val="2014415836"/>
                    <w:lock w:val="sdtLocked"/>
                  </w:sdtPr>
                  <w:sdtContent>
                    <w:tc>
                      <w:tcPr>
                        <w:tcW w:w="432" w:type="pct"/>
                        <w:vMerge w:val="restart"/>
                        <w:vAlign w:val="center"/>
                      </w:tcPr>
                      <w:p>
                        <w:pPr>
                          <w:snapToGrid w:val="0"/>
                          <w:spacing w:line="240" w:lineRule="atLeast"/>
                          <w:jc w:val="center"/>
                          <w:rPr>
                            <w:sz w:val="18"/>
                            <w:szCs w:val="18"/>
                          </w:rPr>
                        </w:pPr>
                        <w:r>
                          <w:rPr>
                            <w:rFonts w:hint="eastAsia"/>
                            <w:sz w:val="18"/>
                            <w:szCs w:val="18"/>
                          </w:rPr>
                          <w:t>其他综合收益</w:t>
                        </w:r>
                      </w:p>
                    </w:tc>
                  </w:sdtContent>
                </w:sdt>
                <w:sdt>
                  <w:sdtPr>
                    <w:tag w:val="_PLD_af29ec23e072452c89c8447237a4831e"/>
                    <w:id w:val="-842242722"/>
                    <w:lock w:val="sdtLocked"/>
                  </w:sdtPr>
                  <w:sdtContent>
                    <w:tc>
                      <w:tcPr>
                        <w:tcW w:w="113" w:type="pct"/>
                        <w:vMerge w:val="restart"/>
                        <w:vAlign w:val="center"/>
                      </w:tcPr>
                      <w:p>
                        <w:pPr>
                          <w:snapToGrid w:val="0"/>
                          <w:spacing w:line="240" w:lineRule="atLeast"/>
                          <w:jc w:val="center"/>
                          <w:rPr>
                            <w:sz w:val="18"/>
                            <w:szCs w:val="18"/>
                          </w:rPr>
                        </w:pPr>
                        <w:r>
                          <w:rPr>
                            <w:rFonts w:hint="eastAsia"/>
                            <w:sz w:val="18"/>
                            <w:szCs w:val="18"/>
                          </w:rPr>
                          <w:t>专项储备</w:t>
                        </w:r>
                      </w:p>
                    </w:tc>
                  </w:sdtContent>
                </w:sdt>
                <w:sdt>
                  <w:sdtPr>
                    <w:tag w:val="_PLD_81a68447a616402b99500dae3d54a22d"/>
                    <w:id w:val="596365947"/>
                    <w:lock w:val="sdtLocked"/>
                  </w:sdtPr>
                  <w:sdtContent>
                    <w:tc>
                      <w:tcPr>
                        <w:tcW w:w="408" w:type="pct"/>
                        <w:vMerge w:val="restart"/>
                        <w:vAlign w:val="center"/>
                      </w:tcPr>
                      <w:p>
                        <w:pPr>
                          <w:snapToGrid w:val="0"/>
                          <w:spacing w:line="240" w:lineRule="atLeast"/>
                          <w:jc w:val="center"/>
                          <w:rPr>
                            <w:sz w:val="18"/>
                            <w:szCs w:val="18"/>
                          </w:rPr>
                        </w:pPr>
                        <w:r>
                          <w:rPr>
                            <w:rFonts w:hint="eastAsia"/>
                            <w:sz w:val="18"/>
                            <w:szCs w:val="18"/>
                          </w:rPr>
                          <w:t>盈余公积</w:t>
                        </w:r>
                      </w:p>
                    </w:tc>
                  </w:sdtContent>
                </w:sdt>
                <w:sdt>
                  <w:sdtPr>
                    <w:tag w:val="_PLD_ad0dadbaf28f45779fefb69d05b7215d"/>
                    <w:id w:val="698367622"/>
                    <w:lock w:val="sdtLocked"/>
                  </w:sdtPr>
                  <w:sdtContent>
                    <w:tc>
                      <w:tcPr>
                        <w:tcW w:w="113" w:type="pct"/>
                        <w:vMerge w:val="restart"/>
                        <w:vAlign w:val="center"/>
                      </w:tcPr>
                      <w:p>
                        <w:pPr>
                          <w:snapToGrid w:val="0"/>
                          <w:spacing w:line="240" w:lineRule="atLeast"/>
                          <w:jc w:val="center"/>
                          <w:rPr>
                            <w:sz w:val="18"/>
                            <w:szCs w:val="18"/>
                          </w:rPr>
                        </w:pPr>
                        <w:r>
                          <w:rPr>
                            <w:rFonts w:hint="eastAsia"/>
                            <w:sz w:val="18"/>
                            <w:szCs w:val="18"/>
                          </w:rPr>
                          <w:t>一般风险准备</w:t>
                        </w:r>
                      </w:p>
                    </w:tc>
                  </w:sdtContent>
                </w:sdt>
                <w:sdt>
                  <w:sdtPr>
                    <w:tag w:val="_PLD_a51f5c6bdac744979b275b09b6a9d1d8"/>
                    <w:id w:val="-19853684"/>
                    <w:lock w:val="sdtLocked"/>
                  </w:sdtPr>
                  <w:sdtContent>
                    <w:tc>
                      <w:tcPr>
                        <w:tcW w:w="480" w:type="pct"/>
                        <w:vMerge w:val="restart"/>
                        <w:vAlign w:val="center"/>
                      </w:tcPr>
                      <w:p>
                        <w:pPr>
                          <w:snapToGrid w:val="0"/>
                          <w:spacing w:line="240" w:lineRule="atLeast"/>
                          <w:jc w:val="center"/>
                          <w:rPr>
                            <w:sz w:val="18"/>
                            <w:szCs w:val="18"/>
                          </w:rPr>
                        </w:pPr>
                        <w:r>
                          <w:rPr>
                            <w:rFonts w:hint="eastAsia"/>
                            <w:sz w:val="18"/>
                            <w:szCs w:val="18"/>
                          </w:rPr>
                          <w:t>未分配利润</w:t>
                        </w:r>
                      </w:p>
                    </w:tc>
                  </w:sdtContent>
                </w:sdt>
                <w:tc>
                  <w:tcPr>
                    <w:tcW w:w="113" w:type="pct"/>
                    <w:vMerge w:val="restart"/>
                    <w:vAlign w:val="center"/>
                  </w:tcPr>
                  <w:sdt>
                    <w:sdtPr>
                      <w:rPr>
                        <w:rFonts w:hint="eastAsia"/>
                        <w:sz w:val="18"/>
                        <w:szCs w:val="18"/>
                      </w:rPr>
                      <w:tag w:val="_PLD_ae449a7a80f64d56b34968f1f21d2198"/>
                      <w:id w:val="579413112"/>
                      <w:lock w:val="sdtLocked"/>
                    </w:sdtPr>
                    <w:sdtEndPr>
                      <w:rPr>
                        <w:rFonts w:hint="eastAsia"/>
                        <w:sz w:val="18"/>
                        <w:szCs w:val="18"/>
                      </w:rPr>
                    </w:sdtEndPr>
                    <w:sdtContent>
                      <w:sdt>
                        <w:sdtPr>
                          <w:rPr>
                            <w:rFonts w:hint="eastAsia"/>
                            <w:sz w:val="18"/>
                            <w:szCs w:val="18"/>
                          </w:rPr>
                          <w:tag w:val="_PLD_c4da6a74366840789b623f0d61440178"/>
                          <w:id w:val="1491825915"/>
                          <w:lock w:val="sdtLocked"/>
                        </w:sdtPr>
                        <w:sdtEndPr>
                          <w:rPr>
                            <w:rFonts w:hint="eastAsia"/>
                            <w:sz w:val="18"/>
                            <w:szCs w:val="18"/>
                          </w:rPr>
                        </w:sdtEndPr>
                        <w:sdtContent>
                          <w:p>
                            <w:pPr>
                              <w:jc w:val="center"/>
                              <w:rPr>
                                <w:sz w:val="18"/>
                                <w:szCs w:val="18"/>
                              </w:rPr>
                            </w:pPr>
                            <w:r>
                              <w:rPr>
                                <w:rFonts w:hint="eastAsia"/>
                                <w:sz w:val="18"/>
                                <w:szCs w:val="18"/>
                              </w:rPr>
                              <w:t>其他</w:t>
                            </w:r>
                          </w:p>
                        </w:sdtContent>
                      </w:sdt>
                    </w:sdtContent>
                  </w:sdt>
                </w:tc>
                <w:tc>
                  <w:tcPr>
                    <w:tcW w:w="480" w:type="pct"/>
                    <w:vMerge w:val="restart"/>
                    <w:vAlign w:val="center"/>
                  </w:tcPr>
                  <w:sdt>
                    <w:sdtPr>
                      <w:rPr>
                        <w:rFonts w:hint="eastAsia"/>
                        <w:sz w:val="18"/>
                        <w:szCs w:val="18"/>
                      </w:rPr>
                      <w:tag w:val="_PLD_f2691f33b2164ad8b83415f8cd404dea"/>
                      <w:id w:val="1773435813"/>
                      <w:lock w:val="sdtLocked"/>
                    </w:sdtPr>
                    <w:sdtEndPr>
                      <w:rPr>
                        <w:rFonts w:hint="eastAsia"/>
                        <w:sz w:val="18"/>
                        <w:szCs w:val="18"/>
                      </w:rPr>
                    </w:sdtEndPr>
                    <w:sdtContent>
                      <w:p>
                        <w:pPr>
                          <w:jc w:val="center"/>
                          <w:rPr>
                            <w:sz w:val="18"/>
                            <w:szCs w:val="18"/>
                          </w:rPr>
                        </w:pPr>
                        <w:r>
                          <w:rPr>
                            <w:rFonts w:hint="eastAsia"/>
                            <w:sz w:val="18"/>
                            <w:szCs w:val="18"/>
                          </w:rPr>
                          <w:t>小计</w:t>
                        </w:r>
                      </w:p>
                    </w:sdtContent>
                  </w:sdt>
                </w:tc>
                <w:tc>
                  <w:tcPr>
                    <w:tcW w:w="456" w:type="pct"/>
                    <w:vMerge w:val="continue"/>
                  </w:tcPr>
                  <w:p>
                    <w:pPr>
                      <w:jc w:val="center"/>
                      <w:rPr>
                        <w:sz w:val="18"/>
                        <w:szCs w:val="18"/>
                      </w:rPr>
                    </w:pPr>
                  </w:p>
                </w:tc>
                <w:tc>
                  <w:tcPr>
                    <w:tcW w:w="480" w:type="pct"/>
                    <w:vMerge w:val="continue"/>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3" w:hRule="atLeast"/>
                </w:trPr>
                <w:tc>
                  <w:tcPr>
                    <w:tcW w:w="237" w:type="pct"/>
                    <w:vMerge w:val="continue"/>
                  </w:tcPr>
                  <w:p>
                    <w:pPr>
                      <w:snapToGrid w:val="0"/>
                      <w:spacing w:line="240" w:lineRule="atLeast"/>
                      <w:ind w:right="-1594" w:rightChars="-759"/>
                      <w:rPr>
                        <w:sz w:val="18"/>
                        <w:szCs w:val="18"/>
                      </w:rPr>
                    </w:pPr>
                  </w:p>
                </w:tc>
                <w:tc>
                  <w:tcPr>
                    <w:tcW w:w="456" w:type="pct"/>
                    <w:vMerge w:val="continue"/>
                  </w:tcPr>
                  <w:p>
                    <w:pPr>
                      <w:snapToGrid w:val="0"/>
                      <w:spacing w:line="240" w:lineRule="atLeast"/>
                      <w:jc w:val="center"/>
                      <w:rPr>
                        <w:sz w:val="18"/>
                        <w:szCs w:val="18"/>
                      </w:rPr>
                    </w:pPr>
                  </w:p>
                </w:tc>
                <w:sdt>
                  <w:sdtPr>
                    <w:tag w:val="_PLD_c8e4e3f938444f399262729a0267aa59"/>
                    <w:id w:val="-829130103"/>
                    <w:lock w:val="sdtLocked"/>
                  </w:sdtPr>
                  <w:sdtContent>
                    <w:tc>
                      <w:tcPr>
                        <w:tcW w:w="113" w:type="pct"/>
                        <w:vAlign w:val="center"/>
                      </w:tcPr>
                      <w:p>
                        <w:pPr>
                          <w:jc w:val="center"/>
                          <w:rPr>
                            <w:sz w:val="18"/>
                            <w:szCs w:val="18"/>
                          </w:rPr>
                        </w:pPr>
                        <w:r>
                          <w:rPr>
                            <w:rFonts w:hint="eastAsia"/>
                            <w:sz w:val="18"/>
                            <w:szCs w:val="18"/>
                          </w:rPr>
                          <w:t>优先股</w:t>
                        </w:r>
                      </w:p>
                    </w:tc>
                  </w:sdtContent>
                </w:sdt>
                <w:sdt>
                  <w:sdtPr>
                    <w:tag w:val="_PLD_70f3796cf4ab4ecbb92343a346942a09"/>
                    <w:id w:val="1025142346"/>
                    <w:lock w:val="sdtLocked"/>
                  </w:sdtPr>
                  <w:sdtContent>
                    <w:tc>
                      <w:tcPr>
                        <w:tcW w:w="113" w:type="pct"/>
                        <w:vAlign w:val="center"/>
                      </w:tcPr>
                      <w:p>
                        <w:pPr>
                          <w:jc w:val="center"/>
                          <w:rPr>
                            <w:sz w:val="18"/>
                            <w:szCs w:val="18"/>
                          </w:rPr>
                        </w:pPr>
                        <w:r>
                          <w:rPr>
                            <w:rFonts w:hint="eastAsia"/>
                            <w:sz w:val="18"/>
                            <w:szCs w:val="18"/>
                          </w:rPr>
                          <w:t>永续债</w:t>
                        </w:r>
                      </w:p>
                    </w:tc>
                  </w:sdtContent>
                </w:sdt>
                <w:sdt>
                  <w:sdtPr>
                    <w:tag w:val="_PLD_a3d4853d11ed4217a1c5e27cfc45c1c9"/>
                    <w:id w:val="1798181874"/>
                    <w:lock w:val="sdtLocked"/>
                  </w:sdtPr>
                  <w:sdtContent>
                    <w:tc>
                      <w:tcPr>
                        <w:tcW w:w="113" w:type="pct"/>
                        <w:vAlign w:val="center"/>
                      </w:tcPr>
                      <w:p>
                        <w:pPr>
                          <w:jc w:val="center"/>
                          <w:rPr>
                            <w:sz w:val="18"/>
                            <w:szCs w:val="18"/>
                          </w:rPr>
                        </w:pPr>
                        <w:r>
                          <w:rPr>
                            <w:rFonts w:hint="eastAsia"/>
                            <w:sz w:val="18"/>
                            <w:szCs w:val="18"/>
                          </w:rPr>
                          <w:t>其他</w:t>
                        </w:r>
                      </w:p>
                    </w:tc>
                  </w:sdtContent>
                </w:sdt>
                <w:tc>
                  <w:tcPr>
                    <w:tcW w:w="480" w:type="pct"/>
                    <w:vMerge w:val="continue"/>
                  </w:tcPr>
                  <w:p>
                    <w:pPr>
                      <w:snapToGrid w:val="0"/>
                      <w:spacing w:line="240" w:lineRule="atLeast"/>
                      <w:jc w:val="center"/>
                      <w:rPr>
                        <w:sz w:val="18"/>
                        <w:szCs w:val="18"/>
                      </w:rPr>
                    </w:pPr>
                  </w:p>
                </w:tc>
                <w:tc>
                  <w:tcPr>
                    <w:tcW w:w="408" w:type="pct"/>
                    <w:vMerge w:val="continue"/>
                  </w:tcPr>
                  <w:p>
                    <w:pPr>
                      <w:snapToGrid w:val="0"/>
                      <w:spacing w:line="240" w:lineRule="atLeast"/>
                      <w:jc w:val="center"/>
                      <w:rPr>
                        <w:sz w:val="18"/>
                        <w:szCs w:val="18"/>
                      </w:rPr>
                    </w:pPr>
                  </w:p>
                </w:tc>
                <w:tc>
                  <w:tcPr>
                    <w:tcW w:w="432" w:type="pct"/>
                    <w:vMerge w:val="continue"/>
                  </w:tcPr>
                  <w:p>
                    <w:pPr>
                      <w:snapToGrid w:val="0"/>
                      <w:spacing w:line="240" w:lineRule="atLeast"/>
                      <w:jc w:val="center"/>
                      <w:rPr>
                        <w:sz w:val="18"/>
                        <w:szCs w:val="18"/>
                      </w:rPr>
                    </w:pPr>
                  </w:p>
                </w:tc>
                <w:tc>
                  <w:tcPr>
                    <w:tcW w:w="113" w:type="pct"/>
                    <w:vMerge w:val="continue"/>
                  </w:tcPr>
                  <w:p>
                    <w:pPr>
                      <w:snapToGrid w:val="0"/>
                      <w:spacing w:line="240" w:lineRule="atLeast"/>
                      <w:jc w:val="center"/>
                      <w:rPr>
                        <w:sz w:val="18"/>
                        <w:szCs w:val="18"/>
                      </w:rPr>
                    </w:pPr>
                  </w:p>
                </w:tc>
                <w:tc>
                  <w:tcPr>
                    <w:tcW w:w="408" w:type="pct"/>
                    <w:vMerge w:val="continue"/>
                  </w:tcPr>
                  <w:p>
                    <w:pPr>
                      <w:snapToGrid w:val="0"/>
                      <w:spacing w:line="240" w:lineRule="atLeast"/>
                      <w:jc w:val="center"/>
                      <w:rPr>
                        <w:sz w:val="18"/>
                        <w:szCs w:val="18"/>
                      </w:rPr>
                    </w:pPr>
                  </w:p>
                </w:tc>
                <w:tc>
                  <w:tcPr>
                    <w:tcW w:w="113" w:type="pct"/>
                    <w:vMerge w:val="continue"/>
                  </w:tcPr>
                  <w:p>
                    <w:pPr>
                      <w:snapToGrid w:val="0"/>
                      <w:spacing w:line="240" w:lineRule="atLeast"/>
                      <w:jc w:val="center"/>
                      <w:rPr>
                        <w:sz w:val="18"/>
                        <w:szCs w:val="18"/>
                      </w:rPr>
                    </w:pPr>
                  </w:p>
                </w:tc>
                <w:tc>
                  <w:tcPr>
                    <w:tcW w:w="480" w:type="pct"/>
                    <w:vMerge w:val="continue"/>
                  </w:tcPr>
                  <w:p>
                    <w:pPr>
                      <w:snapToGrid w:val="0"/>
                      <w:spacing w:line="240" w:lineRule="atLeast"/>
                      <w:jc w:val="center"/>
                      <w:rPr>
                        <w:sz w:val="18"/>
                        <w:szCs w:val="18"/>
                      </w:rPr>
                    </w:pPr>
                  </w:p>
                </w:tc>
                <w:tc>
                  <w:tcPr>
                    <w:tcW w:w="113" w:type="pct"/>
                    <w:vMerge w:val="continue"/>
                  </w:tcPr>
                  <w:p>
                    <w:pPr>
                      <w:jc w:val="center"/>
                      <w:rPr>
                        <w:sz w:val="18"/>
                        <w:szCs w:val="18"/>
                      </w:rPr>
                    </w:pPr>
                  </w:p>
                </w:tc>
                <w:tc>
                  <w:tcPr>
                    <w:tcW w:w="480" w:type="pct"/>
                    <w:vMerge w:val="continue"/>
                  </w:tcPr>
                  <w:p>
                    <w:pPr>
                      <w:jc w:val="center"/>
                      <w:rPr>
                        <w:sz w:val="18"/>
                        <w:szCs w:val="18"/>
                      </w:rPr>
                    </w:pPr>
                  </w:p>
                </w:tc>
                <w:tc>
                  <w:tcPr>
                    <w:tcW w:w="456" w:type="pct"/>
                    <w:vMerge w:val="continue"/>
                  </w:tcPr>
                  <w:p>
                    <w:pPr>
                      <w:jc w:val="center"/>
                      <w:rPr>
                        <w:sz w:val="18"/>
                        <w:szCs w:val="18"/>
                      </w:rPr>
                    </w:pPr>
                  </w:p>
                </w:tc>
                <w:tc>
                  <w:tcPr>
                    <w:tcW w:w="480" w:type="pct"/>
                    <w:vMerge w:val="continue"/>
                    <w:tcBorders>
                      <w:bottom w:val="nil"/>
                    </w:tcBorders>
                  </w:tcPr>
                  <w:p>
                    <w:pPr>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4c39056f5874862855dc37ef7f0d558"/>
                    <w:id w:val="-1986380122"/>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一、上年</w:t>
                        </w:r>
                        <w:r>
                          <w:rPr>
                            <w:rFonts w:hint="eastAsia" w:asciiTheme="minorEastAsia" w:hAnsiTheme="minorEastAsia" w:eastAsiaTheme="minorEastAsia"/>
                            <w:sz w:val="15"/>
                            <w:szCs w:val="15"/>
                          </w:rPr>
                          <w:t>年</w:t>
                        </w:r>
                        <w:r>
                          <w:rPr>
                            <w:rFonts w:asciiTheme="minorEastAsia" w:hAnsiTheme="minorEastAsia" w:eastAsiaTheme="minorEastAsia"/>
                            <w:sz w:val="15"/>
                            <w:szCs w:val="15"/>
                          </w:rPr>
                          <w:t>末余额</w:t>
                        </w:r>
                      </w:p>
                    </w:tc>
                  </w:sdtContent>
                </w:sdt>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1,306,839,379.00</w:t>
                    </w: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5,087,799,826.14</w:t>
                    </w: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119,496,963.00</w:t>
                    </w:r>
                  </w:p>
                </w:tc>
                <w:tc>
                  <w:tcPr>
                    <w:tcW w:w="432"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-855,303,612.33</w:t>
                    </w: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-3,102,530,488.25</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2,744,301,895.20</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89,242,102.93</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2,833,543,998.13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feb351bb250466a8fad5b20d2922c70"/>
                    <w:id w:val="-1032035532"/>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加：</w:t>
                        </w:r>
                        <w:r>
                          <w:rPr>
                            <w:rFonts w:asciiTheme="minorEastAsia" w:hAnsiTheme="minorEastAsia" w:eastAsiaTheme="minorEastAsia"/>
                            <w:sz w:val="15"/>
                            <w:szCs w:val="15"/>
                          </w:rPr>
                          <w:t>会计政策变更</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3480764b7144ae885e5b5b29f4f4705"/>
                    <w:id w:val="748079958"/>
                    <w:lock w:val="sdtLocked"/>
                  </w:sdtPr>
                  <w:sdtEndPr>
                    <w:rPr>
                      <w:rFonts w:asciiTheme="minorEastAsia" w:hAnsiTheme="minorEastAsia" w:eastAsiaTheme="minorEastAsia"/>
                      <w:sz w:val="15"/>
                      <w:szCs w:val="15"/>
                    </w:rPr>
                  </w:sdtEndPr>
                  <w:sdtContent>
                    <w:tc>
                      <w:tcPr>
                        <w:tcW w:w="237" w:type="pct"/>
                      </w:tcPr>
                      <w:p>
                        <w:pPr>
                          <w:ind w:firstLine="300" w:firstLineChars="200"/>
                          <w:rPr>
                            <w:rFonts w:asciiTheme="minorEastAsia" w:hAnsiTheme="minorEastAsia" w:eastAsiaTheme="minorEastAsia"/>
                            <w:sz w:val="15"/>
                            <w:szCs w:val="15"/>
                          </w:rPr>
                        </w:pPr>
                        <w:r>
                          <w:rPr>
                            <w:rFonts w:asciiTheme="minorEastAsia" w:hAnsiTheme="minorEastAsia" w:eastAsiaTheme="minorEastAsia"/>
                            <w:sz w:val="15"/>
                            <w:szCs w:val="15"/>
                          </w:rPr>
                          <w:t>前期差错更正</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3f09ee4c9b7416b9923560f93f21ac6"/>
                    <w:id w:val="5096374"/>
                    <w:lock w:val="sdtLocked"/>
                  </w:sdtPr>
                  <w:sdtEndPr>
                    <w:rPr>
                      <w:rFonts w:asciiTheme="minorEastAsia" w:hAnsiTheme="minorEastAsia" w:eastAsiaTheme="minorEastAsia"/>
                      <w:sz w:val="15"/>
                      <w:szCs w:val="15"/>
                    </w:rPr>
                  </w:sdtEndPr>
                  <w:sdtContent>
                    <w:tc>
                      <w:tcPr>
                        <w:tcW w:w="237" w:type="pct"/>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同一控制下企业合并</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3226061f12cf4cf887adc2639edc13d6"/>
                    <w:id w:val="-2026163023"/>
                    <w:lock w:val="sdtLocked"/>
                  </w:sdtPr>
                  <w:sdtEndPr>
                    <w:rPr>
                      <w:rFonts w:asciiTheme="minorEastAsia" w:hAnsiTheme="minorEastAsia" w:eastAsiaTheme="minorEastAsia"/>
                      <w:sz w:val="15"/>
                      <w:szCs w:val="15"/>
                    </w:rPr>
                  </w:sdtEndPr>
                  <w:sdtContent>
                    <w:tc>
                      <w:tcPr>
                        <w:tcW w:w="237" w:type="pct"/>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438083d485a4ed1a2cb2a35b3d400f3"/>
                    <w:id w:val="-1318269298"/>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二、本年</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初余额</w:t>
                        </w:r>
                      </w:p>
                    </w:tc>
                  </w:sdtContent>
                </w:sdt>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1,306,839,379.00</w:t>
                    </w: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5,087,799,826.14</w:t>
                    </w: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119,496,963.00</w:t>
                    </w:r>
                  </w:p>
                </w:tc>
                <w:tc>
                  <w:tcPr>
                    <w:tcW w:w="432"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-855,303,612.33</w:t>
                    </w: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-3,102,530,488.25</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2,744,301,895.20</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89,242,102.93</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2,833,543,998.13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a0d70a8ecfa64251bc0240cb363e3dd7"/>
                    <w:id w:val="-205784758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三、本</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增减变动金额（减少以“－”号填列）</w:t>
                        </w:r>
                      </w:p>
                    </w:tc>
                  </w:sdtContent>
                </w:sdt>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3,559,421,937.11</w:t>
                    </w: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131,100,891.00</w:t>
                    </w:r>
                  </w:p>
                </w:tc>
                <w:tc>
                  <w:tcPr>
                    <w:tcW w:w="432"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630,500,592.91</w:t>
                    </w: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58,103,794.46</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7,331,099,154.48</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1,047,305,677.47</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8,378,404,831.95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3b5283bf10a4a3c8882e3f3c30046c5"/>
                    <w:id w:val="168594123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（一）综合收益总额</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630,500,592.91</w:t>
                    </w: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58,103,794.46</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688,604,387.37</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-3,420,550.26</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685,183,837.11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ecb1a0919fe148e5893e9977ac112e36"/>
                    <w:id w:val="1223018387"/>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二</w:t>
                        </w:r>
                        <w:r>
                          <w:rPr>
                            <w:rFonts w:asciiTheme="minorEastAsia" w:hAnsiTheme="minorEastAsia" w:eastAsiaTheme="minorEastAsia"/>
                            <w:sz w:val="15"/>
                            <w:szCs w:val="15"/>
                          </w:rPr>
                          <w:t>）所有者投入和减少资本</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6,773,595,658.11</w:t>
                    </w: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131,100,891.00</w:t>
                    </w: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6,642,494,767.11</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1,050,726,227.73</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7,693,220,994.84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11ba2ed8c6b439788c9acf67433da0c"/>
                    <w:id w:val="-1157991088"/>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1．所有者投入的普通股</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3,000,000,000.00</w:t>
                    </w: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3,000,000,000.00</w:t>
                    </w: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3,000,000,000.00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c90ad87987d54aec9ebb059ca9fe2d83"/>
                    <w:id w:val="-82621414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2．其他权益工具持有者投入资本</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73580ad15ab461695606b09453b2233"/>
                    <w:id w:val="81658468"/>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．股份支付计入所有者权益的金额</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32d1c7d278224bfa80a28845c7639c86"/>
                    <w:id w:val="-25719020"/>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4</w:t>
                        </w:r>
                        <w:r>
                          <w:rPr>
                            <w:rFonts w:asciiTheme="minorEastAsia" w:hAnsiTheme="minorEastAsia" w:eastAsiaTheme="minorEastAsia"/>
                            <w:sz w:val="15"/>
                            <w:szCs w:val="15"/>
                          </w:rPr>
                          <w:t>．其他</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3,773,595,658.11</w:t>
                    </w: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131,100,891.00</w:t>
                    </w: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3,642,494,767.11</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1,050,726,227.73</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4,693,220,994.84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4f4c1a0d22784a4a81a90a7b772560b9"/>
                    <w:id w:val="1614933696"/>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三</w:t>
                        </w:r>
                        <w:r>
                          <w:rPr>
                            <w:rFonts w:asciiTheme="minorEastAsia" w:hAnsiTheme="minorEastAsia" w:eastAsiaTheme="minorEastAsia"/>
                            <w:sz w:val="15"/>
                            <w:szCs w:val="15"/>
                          </w:rPr>
                          <w:t>）利润分配</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73a49eb420a24cdbb4f7f5ce05660344"/>
                    <w:id w:val="-161621156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1．提取盈余公积</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30083ca1b684aa0b92b69b31995ea1b"/>
                    <w:id w:val="148712960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2．提取一般风险准备</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19b1d04bab14e67b22ee23afd215d76"/>
                    <w:id w:val="-29622095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3．对所有者（或股东）的分配</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6e5628e129d04d23a2d71da503cecfdd"/>
                    <w:id w:val="15489117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4．其他</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a953b61d69004a7a91974afa1318df0a"/>
                    <w:id w:val="-549148591"/>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四</w:t>
                        </w:r>
                        <w:r>
                          <w:rPr>
                            <w:rFonts w:asciiTheme="minorEastAsia" w:hAnsiTheme="minorEastAsia" w:eastAsiaTheme="minorEastAsia"/>
                            <w:sz w:val="15"/>
                            <w:szCs w:val="15"/>
                          </w:rPr>
                          <w:t>）所有者权益内部结转</w:t>
                        </w:r>
                      </w:p>
                    </w:tc>
                  </w:sdtContent>
                </w:sdt>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78fa3d290b3473aacd1d849016a2959"/>
                    <w:id w:val="-211851106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1．资本公积转增资本（或股本）</w:t>
                        </w:r>
                      </w:p>
                    </w:tc>
                  </w:sdtContent>
                </w:sdt>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dbeb2e6cbbd4ba2a65e4f369c7e7929"/>
                    <w:id w:val="1653794298"/>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2．盈余公积转增资本（或股本）</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8f2b570df754e85bb72c0f63cdd3f1c"/>
                    <w:id w:val="29388286"/>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3．盈余公积弥补亏损</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Pr>
                  <w:sdt>
                    <w:sdtPr>
                      <w:rPr>
                        <w:rFonts w:asciiTheme="minorEastAsia" w:hAnsiTheme="minorEastAsia" w:eastAsiaTheme="minorEastAsia"/>
                        <w:sz w:val="15"/>
                        <w:szCs w:val="15"/>
                      </w:rPr>
                      <w:tag w:val="_PLD_88022ba02c7c4775ba5e9f75f6b07fa4"/>
                      <w:id w:val="-260296788"/>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4．设定受益计划变动额结转留存收益</w:t>
                        </w:r>
                      </w:p>
                    </w:sdtContent>
                  </w:sdt>
                </w:tc>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 w:type="pct"/>
                  </w:tcPr>
                  <w:sdt>
                    <w:sdtPr>
                      <w:rPr>
                        <w:rFonts w:asciiTheme="minorEastAsia" w:hAnsiTheme="minorEastAsia" w:eastAsiaTheme="minorEastAsia"/>
                        <w:sz w:val="15"/>
                        <w:szCs w:val="15"/>
                      </w:rPr>
                      <w:tag w:val="_PLD_0259028a18dd4c059a8b77a9e4fe86f9"/>
                      <w:id w:val="482120765"/>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5．其他综合收益结转留存收益</w:t>
                        </w:r>
                      </w:p>
                    </w:sdtContent>
                  </w:sdt>
                </w:tc>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844253ac18b45ceaa765e5b2f55d052"/>
                    <w:id w:val="1320311956"/>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6．其他</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3bbf2260615f4991a49bda77fd1fc28b"/>
                    <w:id w:val="-486709332"/>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（五）专项储备</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f1e833fa15ec452384f3784c7a9b36fe"/>
                    <w:id w:val="2011014614"/>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1．本期提取</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301fc21ab7954268be9851ddd0cf2d8a"/>
                    <w:id w:val="1592888204"/>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2．本期使用</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43b1e5b489b047e98cf38f8c5f130759"/>
                    <w:id w:val="-513770725"/>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（六）其他</w:t>
                        </w:r>
                      </w:p>
                    </w:tc>
                  </w:sdtContent>
                </w:sdt>
                <w:tc>
                  <w:tcPr>
                    <w:tcW w:w="456"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432"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c>
                  <w:tcPr>
                    <w:tcW w:w="456"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7355d7c321c84166a15737d2581911bf"/>
                    <w:id w:val="206687943"/>
                    <w:lock w:val="sdtLocked"/>
                  </w:sdtPr>
                  <w:sdtEndPr>
                    <w:rPr>
                      <w:rFonts w:asciiTheme="minorEastAsia" w:hAnsiTheme="minorEastAsia" w:eastAsiaTheme="minorEastAsia"/>
                      <w:sz w:val="15"/>
                      <w:szCs w:val="15"/>
                    </w:rPr>
                  </w:sdtEndPr>
                  <w:sdtContent>
                    <w:tc>
                      <w:tcPr>
                        <w:tcW w:w="237" w:type="pct"/>
                      </w:tcPr>
                      <w:p>
                        <w:pPr>
                          <w:rPr>
                            <w:rFonts w:asciiTheme="minorEastAsia" w:hAnsiTheme="minorEastAsia" w:eastAsiaTheme="minorEastAsia"/>
                            <w:sz w:val="15"/>
                            <w:szCs w:val="15"/>
                          </w:rPr>
                        </w:pPr>
                        <w:r>
                          <w:rPr>
                            <w:rFonts w:asciiTheme="minorEastAsia" w:hAnsiTheme="minorEastAsia" w:eastAsiaTheme="minorEastAsia"/>
                            <w:sz w:val="15"/>
                            <w:szCs w:val="15"/>
                          </w:rPr>
                          <w:t>四、本期期末余额</w:t>
                        </w:r>
                      </w:p>
                    </w:tc>
                  </w:sdtContent>
                </w:sdt>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4,521,013,100.00</w:t>
                    </w: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8,647,221,763.25</w:t>
                    </w: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250,597,854.00</w:t>
                    </w:r>
                  </w:p>
                </w:tc>
                <w:tc>
                  <w:tcPr>
                    <w:tcW w:w="432"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-224,803,019.42</w:t>
                    </w:r>
                  </w:p>
                </w:tc>
                <w:tc>
                  <w:tcPr>
                    <w:tcW w:w="113" w:type="pct"/>
                    <w:vAlign w:val="center"/>
                  </w:tcPr>
                  <w:p>
                    <w:pPr>
                      <w:jc w:val="right"/>
                      <w:rPr>
                        <w:rFonts w:asciiTheme="minorEastAsia" w:hAnsiTheme="minorEastAsia" w:eastAsiaTheme="minorEastAsia"/>
                        <w:sz w:val="15"/>
                        <w:szCs w:val="15"/>
                      </w:rPr>
                    </w:pPr>
                  </w:p>
                </w:tc>
                <w:tc>
                  <w:tcPr>
                    <w:tcW w:w="408"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-3,044,426,693.79</w:t>
                    </w:r>
                  </w:p>
                </w:tc>
                <w:tc>
                  <w:tcPr>
                    <w:tcW w:w="113" w:type="pct"/>
                    <w:vAlign w:val="center"/>
                  </w:tcPr>
                  <w:p>
                    <w:pPr>
                      <w:jc w:val="right"/>
                      <w:rPr>
                        <w:rFonts w:asciiTheme="minorEastAsia" w:hAnsiTheme="minorEastAsia" w:eastAsiaTheme="minorEastAsia"/>
                        <w:sz w:val="15"/>
                        <w:szCs w:val="15"/>
                      </w:rPr>
                    </w:pP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10,075,401,049.68</w:t>
                    </w:r>
                  </w:p>
                </w:tc>
                <w:tc>
                  <w:tcPr>
                    <w:tcW w:w="456"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1,136,547,780.40</w:t>
                    </w:r>
                  </w:p>
                </w:tc>
                <w:tc>
                  <w:tcPr>
                    <w:tcW w:w="480"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11,211,948,830.08</w:t>
                    </w:r>
                  </w:p>
                </w:tc>
              </w:tr>
            </w:tbl>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076a4a0998a840bab20f0ed83e5bab3d"/>
                  <w:id w:val="405732041"/>
                  <w:lock w:val="sdtLocked"/>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5b21002df9e248fa81a6770579ce76cd"/>
                  <w:id w:val="1479185060"/>
                  <w:lock w:val="sdtLocked"/>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6a446d6543174dc48c72d440eefb0b71"/>
                  <w:id w:val="40097940"/>
                  <w:lock w:val="sdtLocked"/>
                  <w:text/>
                </w:sdtPr>
                <w:sdtEndPr>
                  <w:rPr>
                    <w:rFonts w:hint="eastAsia"/>
                    <w:szCs w:val="21"/>
                  </w:rPr>
                </w:sdtEndPr>
                <w:sdtContent>
                  <w:r>
                    <w:rPr>
                      <w:rFonts w:hint="eastAsia"/>
                      <w:szCs w:val="21"/>
                    </w:rPr>
                    <w:t>张琳斌</w:t>
                  </w:r>
                </w:sdtContent>
              </w:sdt>
            </w:p>
          </w:sdtContent>
        </w:sdt>
        <w:p>
          <w:pPr>
            <w:rPr>
              <w:szCs w:val="21"/>
            </w:rPr>
          </w:pPr>
        </w:p>
        <w:p>
          <w:pPr>
            <w:rPr>
              <w:szCs w:val="21"/>
            </w:rPr>
          </w:pPr>
        </w:p>
        <w:sdt>
          <w:sdtPr>
            <w:rPr>
              <w:b/>
              <w:szCs w:val="21"/>
            </w:rPr>
            <w:tag w:val="_GBC_24560eea01804b8b9d3678736eb60ca8"/>
            <w:id w:val="314691357"/>
            <w:lock w:val="sdtLocked"/>
          </w:sdtPr>
          <w:sdtEndPr>
            <w:rPr>
              <w:rFonts w:hint="eastAsia"/>
              <w:b w:val="0"/>
              <w:szCs w:val="21"/>
            </w:rPr>
          </w:sdtEndPr>
          <w:sdtContent>
            <w:p>
              <w:pPr>
                <w:tabs>
                  <w:tab w:val="left" w:pos="10080"/>
                </w:tabs>
                <w:snapToGrid w:val="0"/>
                <w:spacing w:line="240" w:lineRule="atLeast"/>
                <w:ind w:right="25" w:rightChars="12"/>
                <w:jc w:val="center"/>
                <w:outlineLvl w:val="2"/>
                <w:rPr>
                  <w:b/>
                  <w:szCs w:val="21"/>
                </w:rPr>
              </w:pPr>
            </w:p>
            <w:p>
              <w:pPr>
                <w:rPr>
                  <w:b/>
                  <w:szCs w:val="21"/>
                </w:rPr>
              </w:pPr>
              <w:r>
                <w:rPr>
                  <w:b/>
                  <w:szCs w:val="21"/>
                </w:rPr>
                <w:br w:type="page"/>
              </w:r>
            </w:p>
            <w:p>
              <w:pPr>
                <w:tabs>
                  <w:tab w:val="left" w:pos="10080"/>
                </w:tabs>
                <w:snapToGrid w:val="0"/>
                <w:spacing w:line="240" w:lineRule="atLeast"/>
                <w:ind w:right="25" w:rightChars="12"/>
                <w:jc w:val="center"/>
                <w:outlineLvl w:val="2"/>
                <w:rPr>
                  <w:b/>
                  <w:szCs w:val="21"/>
                </w:rPr>
              </w:pPr>
              <w:r>
                <w:rPr>
                  <w:b/>
                  <w:szCs w:val="21"/>
                </w:rPr>
                <w:t>母公司</w:t>
              </w:r>
              <w:r>
                <w:rPr>
                  <w:rFonts w:hint="eastAsia"/>
                  <w:b/>
                  <w:szCs w:val="21"/>
                </w:rPr>
                <w:t>所有者权益变动表</w:t>
              </w:r>
            </w:p>
            <w:p>
              <w:pPr>
                <w:tabs>
                  <w:tab w:val="left" w:pos="10080"/>
                </w:tabs>
                <w:snapToGrid w:val="0"/>
                <w:spacing w:line="240" w:lineRule="atLeast"/>
                <w:ind w:right="25" w:rightChars="12"/>
                <w:jc w:val="center"/>
                <w:rPr>
                  <w:b/>
                  <w:bCs/>
                  <w:szCs w:val="21"/>
                </w:rPr>
              </w:pPr>
              <w:r>
                <w:rPr>
                  <w:szCs w:val="21"/>
                </w:rPr>
                <w:t>2021年</w:t>
              </w:r>
              <w:r>
                <w:rPr>
                  <w:rFonts w:hint="eastAsia"/>
                  <w:szCs w:val="21"/>
                </w:rPr>
                <w:t>1—12</w:t>
              </w:r>
              <w:r>
                <w:rPr>
                  <w:szCs w:val="21"/>
                </w:rPr>
                <w:t>月</w:t>
              </w:r>
            </w:p>
            <w:p>
              <w:pPr>
                <w:snapToGrid w:val="0"/>
                <w:spacing w:line="240" w:lineRule="atLeast"/>
                <w:jc w:val="right"/>
                <w:rPr>
                  <w:szCs w:val="21"/>
                </w:rPr>
              </w:pPr>
              <w:r>
                <w:rPr>
                  <w:szCs w:val="21"/>
                </w:rPr>
                <w:t>单位:</w:t>
              </w:r>
              <w:sdt>
                <w:sdtPr>
                  <w:rPr>
                    <w:szCs w:val="21"/>
                  </w:rPr>
                  <w:alias w:val="单位：母公司股东权益调节表"/>
                  <w:tag w:val="_GBC_048773409e614c6bb753000b028316a5"/>
                  <w:id w:val="-1440375271"/>
                  <w:lock w:val="sdtLocked"/>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股东权益调节表"/>
                  <w:tag w:val="_GBC_5214b7a188334da286fc3038d017d072"/>
                  <w:id w:val="193786051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08"/>
                <w:tblW w:w="16019" w:type="dxa"/>
                <w:tblInd w:w="-8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50"/>
                <w:gridCol w:w="1520"/>
                <w:gridCol w:w="850"/>
                <w:gridCol w:w="851"/>
                <w:gridCol w:w="709"/>
                <w:gridCol w:w="1417"/>
                <w:gridCol w:w="1418"/>
                <w:gridCol w:w="1275"/>
                <w:gridCol w:w="1036"/>
                <w:gridCol w:w="1374"/>
                <w:gridCol w:w="1559"/>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tag w:val="_PLD_6243181199ca48faaab1b52ea7b6f562"/>
                    <w:id w:val="-1349555015"/>
                    <w:lock w:val="sdtLocked"/>
                  </w:sdtPr>
                  <w:sdtContent>
                    <w:tc>
                      <w:tcPr>
                        <w:tcW w:w="2450" w:type="dxa"/>
                        <w:vMerge w:val="restart"/>
                        <w:vAlign w:val="center"/>
                      </w:tcPr>
                      <w:p>
                        <w:pPr>
                          <w:adjustRightInd w:val="0"/>
                          <w:snapToGrid w:val="0"/>
                          <w:jc w:val="center"/>
                          <w:rPr>
                            <w:sz w:val="18"/>
                            <w:szCs w:val="18"/>
                          </w:rPr>
                        </w:pPr>
                        <w:r>
                          <w:rPr>
                            <w:rFonts w:hint="eastAsia"/>
                            <w:sz w:val="18"/>
                            <w:szCs w:val="18"/>
                          </w:rPr>
                          <w:t>项目</w:t>
                        </w:r>
                      </w:p>
                    </w:tc>
                  </w:sdtContent>
                </w:sdt>
                <w:tc>
                  <w:tcPr>
                    <w:tcW w:w="13569" w:type="dxa"/>
                    <w:gridSpan w:val="11"/>
                    <w:vAlign w:val="center"/>
                  </w:tcPr>
                  <w:p>
                    <w:pPr>
                      <w:adjustRightInd w:val="0"/>
                      <w:snapToGrid w:val="0"/>
                      <w:jc w:val="center"/>
                    </w:pPr>
                    <w:sdt>
                      <w:sdtPr>
                        <w:rPr>
                          <w:rFonts w:hint="eastAsia"/>
                        </w:rPr>
                        <w:tag w:val="_PLD_53ebc36a4faa4485960520df843f0c63"/>
                        <w:id w:val="1161885344"/>
                        <w:lock w:val="sdtLocked"/>
                      </w:sdtPr>
                      <w:sdtEndPr>
                        <w:rPr>
                          <w:rFonts w:hint="eastAsia"/>
                        </w:rPr>
                      </w:sdtEndPr>
                      <w:sdtContent>
                        <w:r>
                          <w:rPr>
                            <w:rFonts w:hint="eastAsia"/>
                            <w:sz w:val="18"/>
                          </w:rPr>
                          <w:t>2021年度</w:t>
                        </w:r>
                      </w:sdtContent>
                    </w:sdt>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450" w:type="dxa"/>
                    <w:vMerge w:val="continue"/>
                  </w:tcPr>
                  <w:p>
                    <w:pPr>
                      <w:adjustRightInd w:val="0"/>
                      <w:snapToGrid w:val="0"/>
                      <w:rPr>
                        <w:sz w:val="18"/>
                        <w:szCs w:val="18"/>
                      </w:rPr>
                    </w:pPr>
                  </w:p>
                </w:tc>
                <w:sdt>
                  <w:sdtPr>
                    <w:tag w:val="_PLD_d42b0ce5c44e4777bd36491652f20dd8"/>
                    <w:id w:val="-751277770"/>
                    <w:lock w:val="sdtLocked"/>
                  </w:sdtPr>
                  <w:sdtContent>
                    <w:tc>
                      <w:tcPr>
                        <w:tcW w:w="1520" w:type="dxa"/>
                        <w:vMerge w:val="restart"/>
                        <w:tcBorders>
                          <w:right w:val="single" w:color="auto" w:sz="4" w:space="0"/>
                        </w:tcBorders>
                        <w:vAlign w:val="center"/>
                      </w:tcPr>
                      <w:p>
                        <w:pPr>
                          <w:adjustRightInd w:val="0"/>
                          <w:snapToGrid w:val="0"/>
                          <w:jc w:val="center"/>
                          <w:rPr>
                            <w:sz w:val="18"/>
                            <w:szCs w:val="18"/>
                          </w:rPr>
                        </w:pPr>
                        <w:r>
                          <w:rPr>
                            <w:sz w:val="18"/>
                            <w:szCs w:val="18"/>
                          </w:rPr>
                          <w:t>实收资本</w:t>
                        </w:r>
                      </w:p>
                      <w:p>
                        <w:pPr>
                          <w:adjustRightInd w:val="0"/>
                          <w:snapToGrid w:val="0"/>
                          <w:jc w:val="center"/>
                          <w:rPr>
                            <w:sz w:val="18"/>
                            <w:szCs w:val="18"/>
                          </w:rPr>
                        </w:pPr>
                        <w:r>
                          <w:rPr>
                            <w:sz w:val="18"/>
                            <w:szCs w:val="18"/>
                          </w:rPr>
                          <w:t xml:space="preserve"> (或股本)</w:t>
                        </w:r>
                      </w:p>
                    </w:tc>
                  </w:sdtContent>
                </w:sdt>
                <w:sdt>
                  <w:sdtPr>
                    <w:tag w:val="_PLD_2b96b9233b354a859329aa59fac6fc9e"/>
                    <w:id w:val="-1464266556"/>
                    <w:lock w:val="sdtLocked"/>
                  </w:sdtPr>
                  <w:sdtContent>
                    <w:tc>
                      <w:tcPr>
                        <w:tcW w:w="2410"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dafb11707213467d9f285bde7429767a"/>
                    <w:id w:val="-1987152919"/>
                    <w:lock w:val="sdtLocked"/>
                  </w:sdtPr>
                  <w:sdtContent>
                    <w:tc>
                      <w:tcPr>
                        <w:tcW w:w="1417" w:type="dxa"/>
                        <w:vMerge w:val="restart"/>
                        <w:vAlign w:val="center"/>
                      </w:tcPr>
                      <w:p>
                        <w:pPr>
                          <w:adjustRightInd w:val="0"/>
                          <w:snapToGrid w:val="0"/>
                          <w:jc w:val="center"/>
                          <w:rPr>
                            <w:sz w:val="18"/>
                            <w:szCs w:val="18"/>
                          </w:rPr>
                        </w:pPr>
                        <w:r>
                          <w:rPr>
                            <w:sz w:val="18"/>
                            <w:szCs w:val="18"/>
                          </w:rPr>
                          <w:t>资本公积</w:t>
                        </w:r>
                      </w:p>
                    </w:tc>
                  </w:sdtContent>
                </w:sdt>
                <w:sdt>
                  <w:sdtPr>
                    <w:tag w:val="_PLD_2fb702eaa01c41839715d0f477a28608"/>
                    <w:id w:val="252481522"/>
                    <w:lock w:val="sdtLocked"/>
                  </w:sdtPr>
                  <w:sdtContent>
                    <w:tc>
                      <w:tcPr>
                        <w:tcW w:w="1418" w:type="dxa"/>
                        <w:vMerge w:val="restart"/>
                        <w:vAlign w:val="center"/>
                      </w:tcPr>
                      <w:p>
                        <w:pPr>
                          <w:adjustRightInd w:val="0"/>
                          <w:snapToGrid w:val="0"/>
                          <w:jc w:val="center"/>
                          <w:rPr>
                            <w:sz w:val="18"/>
                            <w:szCs w:val="18"/>
                          </w:rPr>
                        </w:pPr>
                        <w:r>
                          <w:rPr>
                            <w:sz w:val="18"/>
                            <w:szCs w:val="18"/>
                          </w:rPr>
                          <w:t>减：库存股</w:t>
                        </w:r>
                      </w:p>
                    </w:tc>
                  </w:sdtContent>
                </w:sdt>
                <w:sdt>
                  <w:sdtPr>
                    <w:tag w:val="_PLD_01fd07c61bdc4289ad848770e21829f0"/>
                    <w:id w:val="-1471586073"/>
                    <w:lock w:val="sdtLocked"/>
                  </w:sdtPr>
                  <w:sdtContent>
                    <w:tc>
                      <w:tcPr>
                        <w:tcW w:w="1275" w:type="dxa"/>
                        <w:vMerge w:val="restart"/>
                        <w:vAlign w:val="center"/>
                      </w:tcPr>
                      <w:p>
                        <w:pPr>
                          <w:jc w:val="center"/>
                          <w:rPr>
                            <w:sz w:val="18"/>
                            <w:szCs w:val="18"/>
                          </w:rPr>
                        </w:pPr>
                        <w:r>
                          <w:rPr>
                            <w:rFonts w:hint="eastAsia"/>
                            <w:sz w:val="18"/>
                            <w:szCs w:val="18"/>
                          </w:rPr>
                          <w:t>其他综合</w:t>
                        </w:r>
                      </w:p>
                      <w:p>
                        <w:pPr>
                          <w:jc w:val="center"/>
                          <w:rPr>
                            <w:sz w:val="18"/>
                            <w:szCs w:val="18"/>
                          </w:rPr>
                        </w:pPr>
                        <w:r>
                          <w:rPr>
                            <w:rFonts w:hint="eastAsia"/>
                            <w:sz w:val="18"/>
                            <w:szCs w:val="18"/>
                          </w:rPr>
                          <w:t>收益</w:t>
                        </w:r>
                      </w:p>
                    </w:tc>
                  </w:sdtContent>
                </w:sdt>
                <w:sdt>
                  <w:sdtPr>
                    <w:tag w:val="_PLD_90a7206226784441ae3a059bd6e2aeb9"/>
                    <w:id w:val="-832912524"/>
                    <w:lock w:val="sdtLocked"/>
                  </w:sdtPr>
                  <w:sdtContent>
                    <w:tc>
                      <w:tcPr>
                        <w:tcW w:w="1036"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9a70df1813948df997635772bea7de3"/>
                    <w:id w:val="-1526242309"/>
                    <w:lock w:val="sdtLocked"/>
                  </w:sdtPr>
                  <w:sdtContent>
                    <w:tc>
                      <w:tcPr>
                        <w:tcW w:w="1374" w:type="dxa"/>
                        <w:vMerge w:val="restart"/>
                        <w:vAlign w:val="center"/>
                      </w:tcPr>
                      <w:p>
                        <w:pPr>
                          <w:adjustRightInd w:val="0"/>
                          <w:snapToGrid w:val="0"/>
                          <w:jc w:val="center"/>
                          <w:rPr>
                            <w:sz w:val="18"/>
                            <w:szCs w:val="18"/>
                          </w:rPr>
                        </w:pPr>
                        <w:r>
                          <w:rPr>
                            <w:sz w:val="18"/>
                            <w:szCs w:val="18"/>
                          </w:rPr>
                          <w:t>盈余公积</w:t>
                        </w:r>
                      </w:p>
                    </w:tc>
                  </w:sdtContent>
                </w:sdt>
                <w:sdt>
                  <w:sdtPr>
                    <w:tag w:val="_PLD_9b2be5c2b4a3447c85cf695b1da440fa"/>
                    <w:id w:val="-211655985"/>
                    <w:lock w:val="sdtLocked"/>
                  </w:sdtPr>
                  <w:sdtContent>
                    <w:tc>
                      <w:tcPr>
                        <w:tcW w:w="1559" w:type="dxa"/>
                        <w:vMerge w:val="restart"/>
                        <w:vAlign w:val="center"/>
                      </w:tcPr>
                      <w:p>
                        <w:pPr>
                          <w:adjustRightInd w:val="0"/>
                          <w:snapToGrid w:val="0"/>
                          <w:jc w:val="center"/>
                          <w:rPr>
                            <w:sz w:val="18"/>
                            <w:szCs w:val="18"/>
                          </w:rPr>
                        </w:pPr>
                        <w:r>
                          <w:rPr>
                            <w:sz w:val="18"/>
                            <w:szCs w:val="18"/>
                          </w:rPr>
                          <w:t>未分配利润</w:t>
                        </w:r>
                      </w:p>
                    </w:tc>
                  </w:sdtContent>
                </w:sdt>
                <w:sdt>
                  <w:sdtPr>
                    <w:tag w:val="_PLD_61dd0378fbe645dfb87cfecfbc846206"/>
                    <w:id w:val="149029311"/>
                    <w:lock w:val="sdtLocked"/>
                  </w:sdtPr>
                  <w:sdtContent>
                    <w:tc>
                      <w:tcPr>
                        <w:tcW w:w="1560"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94" w:hRule="atLeast"/>
                </w:trPr>
                <w:tc>
                  <w:tcPr>
                    <w:tcW w:w="2450" w:type="dxa"/>
                    <w:vMerge w:val="continue"/>
                  </w:tcPr>
                  <w:p>
                    <w:pPr>
                      <w:adjustRightInd w:val="0"/>
                      <w:snapToGrid w:val="0"/>
                      <w:rPr>
                        <w:sz w:val="18"/>
                        <w:szCs w:val="18"/>
                      </w:rPr>
                    </w:pPr>
                  </w:p>
                </w:tc>
                <w:tc>
                  <w:tcPr>
                    <w:tcW w:w="1520" w:type="dxa"/>
                    <w:vMerge w:val="continue"/>
                    <w:tcBorders>
                      <w:right w:val="single" w:color="auto" w:sz="4" w:space="0"/>
                    </w:tcBorders>
                    <w:vAlign w:val="center"/>
                  </w:tcPr>
                  <w:p>
                    <w:pPr>
                      <w:adjustRightInd w:val="0"/>
                      <w:snapToGrid w:val="0"/>
                      <w:jc w:val="center"/>
                      <w:rPr>
                        <w:sz w:val="18"/>
                        <w:szCs w:val="18"/>
                      </w:rPr>
                    </w:pPr>
                  </w:p>
                </w:tc>
                <w:sdt>
                  <w:sdtPr>
                    <w:tag w:val="_PLD_506dd395f17d4bea92c50a0850471ea4"/>
                    <w:id w:val="981044658"/>
                    <w:lock w:val="sdtLocked"/>
                  </w:sdtPr>
                  <w:sdtContent>
                    <w:tc>
                      <w:tcPr>
                        <w:tcW w:w="850"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d66ebd59f659426db31ba0d488ae47d0"/>
                    <w:id w:val="1230345508"/>
                    <w:lock w:val="sdtLocked"/>
                  </w:sdtPr>
                  <w:sdtContent>
                    <w:tc>
                      <w:tcPr>
                        <w:tcW w:w="851"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997e05d9124249eeb1a10ac094efcb41"/>
                    <w:id w:val="-620681651"/>
                    <w:lock w:val="sdtLocked"/>
                  </w:sdtPr>
                  <w:sdtContent>
                    <w:tc>
                      <w:tcPr>
                        <w:tcW w:w="709"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417" w:type="dxa"/>
                    <w:vMerge w:val="continue"/>
                  </w:tcPr>
                  <w:p>
                    <w:pPr>
                      <w:adjustRightInd w:val="0"/>
                      <w:snapToGrid w:val="0"/>
                      <w:jc w:val="center"/>
                      <w:rPr>
                        <w:sz w:val="18"/>
                        <w:szCs w:val="18"/>
                      </w:rPr>
                    </w:pPr>
                  </w:p>
                </w:tc>
                <w:tc>
                  <w:tcPr>
                    <w:tcW w:w="1418" w:type="dxa"/>
                    <w:vMerge w:val="continue"/>
                  </w:tcPr>
                  <w:p>
                    <w:pPr>
                      <w:adjustRightInd w:val="0"/>
                      <w:snapToGrid w:val="0"/>
                      <w:jc w:val="center"/>
                      <w:rPr>
                        <w:sz w:val="18"/>
                        <w:szCs w:val="18"/>
                      </w:rPr>
                    </w:pPr>
                  </w:p>
                </w:tc>
                <w:tc>
                  <w:tcPr>
                    <w:tcW w:w="1275" w:type="dxa"/>
                    <w:vMerge w:val="continue"/>
                  </w:tcPr>
                  <w:p>
                    <w:pPr>
                      <w:jc w:val="center"/>
                      <w:rPr>
                        <w:sz w:val="18"/>
                        <w:szCs w:val="18"/>
                      </w:rPr>
                    </w:pPr>
                  </w:p>
                </w:tc>
                <w:tc>
                  <w:tcPr>
                    <w:tcW w:w="1036" w:type="dxa"/>
                    <w:vMerge w:val="continue"/>
                  </w:tcPr>
                  <w:p>
                    <w:pPr>
                      <w:adjustRightInd w:val="0"/>
                      <w:snapToGrid w:val="0"/>
                      <w:jc w:val="center"/>
                      <w:rPr>
                        <w:sz w:val="18"/>
                        <w:szCs w:val="18"/>
                      </w:rPr>
                    </w:pPr>
                  </w:p>
                </w:tc>
                <w:tc>
                  <w:tcPr>
                    <w:tcW w:w="1374" w:type="dxa"/>
                    <w:vMerge w:val="continue"/>
                  </w:tcPr>
                  <w:p>
                    <w:pPr>
                      <w:adjustRightInd w:val="0"/>
                      <w:snapToGrid w:val="0"/>
                      <w:jc w:val="center"/>
                      <w:rPr>
                        <w:sz w:val="18"/>
                        <w:szCs w:val="18"/>
                      </w:rPr>
                    </w:pPr>
                  </w:p>
                </w:tc>
                <w:tc>
                  <w:tcPr>
                    <w:tcW w:w="1559" w:type="dxa"/>
                    <w:vMerge w:val="continue"/>
                  </w:tcPr>
                  <w:p>
                    <w:pPr>
                      <w:adjustRightInd w:val="0"/>
                      <w:snapToGrid w:val="0"/>
                      <w:jc w:val="center"/>
                      <w:rPr>
                        <w:sz w:val="18"/>
                        <w:szCs w:val="18"/>
                      </w:rPr>
                    </w:pPr>
                  </w:p>
                </w:tc>
                <w:tc>
                  <w:tcPr>
                    <w:tcW w:w="1560" w:type="dxa"/>
                    <w:vMerge w:val="continue"/>
                  </w:tcPr>
                  <w:p>
                    <w:pPr>
                      <w:adjustRightInd w:val="0"/>
                      <w:snapToGrid w:val="0"/>
                      <w:jc w:val="center"/>
                      <w:rPr>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08f8c5f19f2b42f7ae650f62c6878570"/>
                    <w:id w:val="-1750726514"/>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一、上年</w:t>
                        </w:r>
                        <w:r>
                          <w:rPr>
                            <w:rFonts w:hint="eastAsia" w:asciiTheme="minorEastAsia" w:hAnsiTheme="minorEastAsia" w:eastAsiaTheme="minorEastAsia"/>
                            <w:sz w:val="15"/>
                            <w:szCs w:val="15"/>
                          </w:rPr>
                          <w:t>年</w:t>
                        </w:r>
                        <w:r>
                          <w:rPr>
                            <w:rFonts w:asciiTheme="minorEastAsia" w:hAnsiTheme="minorEastAsia" w:eastAsiaTheme="minorEastAsia"/>
                            <w:sz w:val="15"/>
                            <w:szCs w:val="15"/>
                          </w:rPr>
                          <w:t>末余额</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4,521,013,100.00</w:t>
                    </w: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417" w:type="dxa"/>
                    <w:tcBorders>
                      <w:lef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8,582,846,981.09</w:t>
                    </w:r>
                  </w:p>
                </w:tc>
                <w:tc>
                  <w:tcPr>
                    <w:tcW w:w="1418"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250,597,854.00</w:t>
                    </w: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14,303,021.38</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-1,217,296,343.40</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12,077,262,658.71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f977aa291b254801929edbd8e09eff6f"/>
                    <w:id w:val="-2093611210"/>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加：会计政策变更</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417" w:type="dxa"/>
                    <w:tcBorders>
                      <w:left w:val="single" w:color="auto" w:sz="4" w:space="0"/>
                    </w:tcBorders>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1dcd3d26f66745c0b48a5fac832ef867"/>
                    <w:id w:val="-593861000"/>
                    <w:lock w:val="sdtLocked"/>
                  </w:sdtPr>
                  <w:sdtEndPr>
                    <w:rPr>
                      <w:rFonts w:asciiTheme="minorEastAsia" w:hAnsiTheme="minorEastAsia" w:eastAsiaTheme="minorEastAsia"/>
                      <w:sz w:val="15"/>
                      <w:szCs w:val="15"/>
                    </w:rPr>
                  </w:sdtEndPr>
                  <w:sdtContent>
                    <w:tc>
                      <w:tcPr>
                        <w:tcW w:w="2450" w:type="dxa"/>
                      </w:tcPr>
                      <w:p>
                        <w:pPr>
                          <w:ind w:firstLine="300" w:firstLineChars="200"/>
                          <w:rPr>
                            <w:rFonts w:asciiTheme="minorEastAsia" w:hAnsiTheme="minorEastAsia" w:eastAsiaTheme="minorEastAsia"/>
                            <w:sz w:val="15"/>
                            <w:szCs w:val="15"/>
                          </w:rPr>
                        </w:pPr>
                        <w:r>
                          <w:rPr>
                            <w:rFonts w:asciiTheme="minorEastAsia" w:hAnsiTheme="minorEastAsia" w:eastAsiaTheme="minorEastAsia"/>
                            <w:sz w:val="15"/>
                            <w:szCs w:val="15"/>
                          </w:rPr>
                          <w:t>前期差错更正</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417" w:type="dxa"/>
                    <w:tcBorders>
                      <w:left w:val="single" w:color="auto" w:sz="4" w:space="0"/>
                    </w:tcBorders>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1e1d4d884e6e401b8c40d08e9d6c5d32"/>
                    <w:id w:val="1331167119"/>
                    <w:lock w:val="sdtLocked"/>
                  </w:sdtPr>
                  <w:sdtEndPr>
                    <w:rPr>
                      <w:rFonts w:asciiTheme="minorEastAsia" w:hAnsiTheme="minorEastAsia" w:eastAsiaTheme="minorEastAsia"/>
                      <w:sz w:val="15"/>
                      <w:szCs w:val="15"/>
                    </w:rPr>
                  </w:sdtEndPr>
                  <w:sdtContent>
                    <w:tc>
                      <w:tcPr>
                        <w:tcW w:w="2450" w:type="dxa"/>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417" w:type="dxa"/>
                    <w:tcBorders>
                      <w:left w:val="single" w:color="auto" w:sz="4" w:space="0"/>
                    </w:tcBorders>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abc6effbbaad4f92a93b112da199425f"/>
                    <w:id w:val="1858923216"/>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二、本年</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初余额</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4,521,013,100.00</w:t>
                    </w: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417" w:type="dxa"/>
                    <w:tcBorders>
                      <w:lef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8,582,846,981.09</w:t>
                    </w:r>
                  </w:p>
                </w:tc>
                <w:tc>
                  <w:tcPr>
                    <w:tcW w:w="1418"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250,597,854.00</w:t>
                    </w: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14,303,021.38</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-1,217,296,343.40</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12,077,262,658.71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22eea8f5bd284adbb011ea489737927b"/>
                    <w:id w:val="-1517765580"/>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三、本</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增减变动金额（减少以“－”号填列）</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-21,013,100.00</w:t>
                    </w: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-78,811,277.39</w:t>
                    </w:r>
                  </w:p>
                </w:tc>
                <w:tc>
                  <w:tcPr>
                    <w:tcW w:w="1418"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-124,233,507.00</w:t>
                    </w: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24,903,753.06</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111,233,849.05</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160,546,731.72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16bc7260292e4c19ad140bdfdf1ee46c"/>
                    <w:id w:val="1881746049"/>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（一）综合收益总额</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9,153,753.06</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126,983,849.05</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136,137,602.11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878006a38fe64d8788706ec54fa4a47b"/>
                    <w:id w:val="-262692895"/>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二</w:t>
                        </w:r>
                        <w:r>
                          <w:rPr>
                            <w:rFonts w:asciiTheme="minorEastAsia" w:hAnsiTheme="minorEastAsia" w:eastAsiaTheme="minorEastAsia"/>
                            <w:sz w:val="15"/>
                            <w:szCs w:val="15"/>
                          </w:rPr>
                          <w:t>）所有者投入和减少资本</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-21,013,100.00</w:t>
                    </w: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-78,811,277.39</w:t>
                    </w:r>
                  </w:p>
                </w:tc>
                <w:tc>
                  <w:tcPr>
                    <w:tcW w:w="1418"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-124,233,507.00</w:t>
                    </w: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24,409,129.61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87b7ce2356df4876b71161948845f6e6"/>
                    <w:id w:val="-559175200"/>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1．所有者投入的普通股</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364b722055ed48639a8a73b5223e270d"/>
                    <w:id w:val="1257637053"/>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2．其他权益工具持有者投入资本</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224ee219054e4248b57b186593db85a6"/>
                    <w:id w:val="506341718"/>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．股份支付计入所有者权益的金额</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2bb07b8c813f401e9b889121fc03b9bd"/>
                    <w:id w:val="623891954"/>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4</w:t>
                        </w:r>
                        <w:r>
                          <w:rPr>
                            <w:rFonts w:asciiTheme="minorEastAsia" w:hAnsiTheme="minorEastAsia" w:eastAsiaTheme="minorEastAsia"/>
                            <w:sz w:val="15"/>
                            <w:szCs w:val="15"/>
                          </w:rPr>
                          <w:t>．其他</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-21,013,100.00</w:t>
                    </w: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-78,811,277.39</w:t>
                    </w:r>
                  </w:p>
                </w:tc>
                <w:tc>
                  <w:tcPr>
                    <w:tcW w:w="1418"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-124,233,507.00</w:t>
                    </w: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24,409,129.61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b280cf7ceeaa4dd8b4b782055ca20607"/>
                    <w:id w:val="212862773"/>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三</w:t>
                        </w:r>
                        <w:r>
                          <w:rPr>
                            <w:rFonts w:asciiTheme="minorEastAsia" w:hAnsiTheme="minorEastAsia" w:eastAsiaTheme="minorEastAsia"/>
                            <w:sz w:val="15"/>
                            <w:szCs w:val="15"/>
                          </w:rPr>
                          <w:t>）利润分配</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bae08be416ce4c01886da1cc65a38bd8"/>
                    <w:id w:val="-1130930125"/>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1．提取盈余公积</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4deac8941f8344f99337c17d7e8feb6f"/>
                    <w:id w:val="-769620532"/>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w:t>
                        </w:r>
                        <w:r>
                          <w:rPr>
                            <w:rFonts w:asciiTheme="minorEastAsia" w:hAnsiTheme="minorEastAsia" w:eastAsiaTheme="minorEastAsia"/>
                            <w:sz w:val="15"/>
                            <w:szCs w:val="15"/>
                          </w:rPr>
                          <w:t>．对所有者（或股东）的分配</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ff58a7e98f194ea88a1175d96b9527b1"/>
                    <w:id w:val="1389072837"/>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．其他</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8938fb7f04ef4f54b6183645ffa42f40"/>
                    <w:id w:val="-1977366773"/>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四</w:t>
                        </w:r>
                        <w:r>
                          <w:rPr>
                            <w:rFonts w:asciiTheme="minorEastAsia" w:hAnsiTheme="minorEastAsia" w:eastAsiaTheme="minorEastAsia"/>
                            <w:sz w:val="15"/>
                            <w:szCs w:val="15"/>
                          </w:rPr>
                          <w:t>）所有者权益内部结转</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15,750,000.00</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-15,750,000.00</w:t>
                    </w: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805f473e3b5c4efd99b4c472dc99ddb5"/>
                    <w:id w:val="1607154032"/>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1．资本公积转增资本（或股本）</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c2dd17db22d54e02ba5942412d96f3ac"/>
                    <w:id w:val="-986860461"/>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2．盈余公积转增资本（或股本）</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de8855f6aaf94578a33d614865e23362"/>
                    <w:id w:val="1112633514"/>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3．盈余公积弥补亏损</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rFonts w:asciiTheme="minorEastAsia" w:hAnsiTheme="minorEastAsia" w:eastAsiaTheme="minorEastAsia"/>
                        <w:sz w:val="15"/>
                        <w:szCs w:val="15"/>
                      </w:rPr>
                      <w:tag w:val="_PLD_0a2eca501c544dfc9dfd8d666c32970b"/>
                      <w:id w:val="1344898639"/>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4．设定受益计划变动额结转留存收益</w:t>
                        </w:r>
                      </w:p>
                    </w:sdtContent>
                  </w:sdt>
                </w:tc>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rFonts w:asciiTheme="minorEastAsia" w:hAnsiTheme="minorEastAsia" w:eastAsiaTheme="minorEastAsia"/>
                        <w:sz w:val="15"/>
                        <w:szCs w:val="15"/>
                      </w:rPr>
                      <w:tag w:val="_PLD_e2c794a3876347288864cf2ea4ed53e5"/>
                      <w:id w:val="-808787171"/>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5．其他综合收益结转留存收益</w:t>
                        </w:r>
                      </w:p>
                    </w:sdtContent>
                  </w:sdt>
                </w:tc>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15,750,000.00</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-15,750,000.00</w:t>
                    </w: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tc>
                  <w:tcPr>
                    <w:tcW w:w="2450" w:type="dxa"/>
                  </w:tcPr>
                  <w:sdt>
                    <w:sdtPr>
                      <w:rPr>
                        <w:rFonts w:asciiTheme="minorEastAsia" w:hAnsiTheme="minorEastAsia" w:eastAsiaTheme="minorEastAsia"/>
                        <w:sz w:val="15"/>
                        <w:szCs w:val="15"/>
                      </w:rPr>
                      <w:tag w:val="_PLD_921b15a12ec54658b00654a6a398aa0c"/>
                      <w:id w:val="1114633512"/>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6．其他</w:t>
                        </w:r>
                      </w:p>
                    </w:sdtContent>
                  </w:sdt>
                </w:tc>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ea236cbce24c48eabfeb2f3f4a19c5a8"/>
                    <w:id w:val="1718781886"/>
                    <w:lock w:val="sdtLocked"/>
                  </w:sdtPr>
                  <w:sdtEndPr>
                    <w:rPr>
                      <w:rFonts w:asciiTheme="minorEastAsia" w:hAnsiTheme="minorEastAsia" w:eastAsiaTheme="minorEastAsia"/>
                      <w:sz w:val="15"/>
                      <w:szCs w:val="15"/>
                    </w:rPr>
                  </w:sdtEndPr>
                  <w:sdtContent>
                    <w:tc>
                      <w:tcPr>
                        <w:tcW w:w="2450" w:type="dxa"/>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（五）专项储备</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f798cf6aa8f24816a06eab77e71e6a42"/>
                    <w:id w:val="-297377489"/>
                    <w:lock w:val="sdtLocked"/>
                  </w:sdtPr>
                  <w:sdtEndPr>
                    <w:rPr>
                      <w:rFonts w:asciiTheme="minorEastAsia" w:hAnsiTheme="minorEastAsia" w:eastAsiaTheme="minorEastAsia"/>
                      <w:sz w:val="15"/>
                      <w:szCs w:val="15"/>
                    </w:rPr>
                  </w:sdtEndPr>
                  <w:sdtContent>
                    <w:tc>
                      <w:tcPr>
                        <w:tcW w:w="2450" w:type="dxa"/>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1．本期提取</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294f6f5256724757ad52c27b29a0bb7d"/>
                    <w:id w:val="-1576744324"/>
                    <w:lock w:val="sdtLocked"/>
                  </w:sdtPr>
                  <w:sdtEndPr>
                    <w:rPr>
                      <w:rFonts w:asciiTheme="minorEastAsia" w:hAnsiTheme="minorEastAsia" w:eastAsiaTheme="minorEastAsia"/>
                      <w:sz w:val="15"/>
                      <w:szCs w:val="15"/>
                    </w:rPr>
                  </w:sdtEndPr>
                  <w:sdtContent>
                    <w:tc>
                      <w:tcPr>
                        <w:tcW w:w="2450" w:type="dxa"/>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2．本期使用</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6633049a29464fd58ed8f9bdc82f6c7b"/>
                    <w:id w:val="1553649895"/>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（六）其他</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p>
                </w:tc>
                <w:tc>
                  <w:tcPr>
                    <w:tcW w:w="1418"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0d209cea233c428da026233fffdd75cf"/>
                    <w:id w:val="-1570336556"/>
                    <w:lock w:val="sdtLocked"/>
                  </w:sdtPr>
                  <w:sdtEndPr>
                    <w:rPr>
                      <w:rFonts w:asciiTheme="minorEastAsia" w:hAnsiTheme="minorEastAsia" w:eastAsiaTheme="minorEastAsia"/>
                      <w:sz w:val="15"/>
                      <w:szCs w:val="15"/>
                    </w:rPr>
                  </w:sdtEndPr>
                  <w:sdtContent>
                    <w:tc>
                      <w:tcPr>
                        <w:tcW w:w="2450" w:type="dxa"/>
                      </w:tcPr>
                      <w:p>
                        <w:pPr>
                          <w:rPr>
                            <w:rFonts w:asciiTheme="minorEastAsia" w:hAnsiTheme="minorEastAsia" w:eastAsiaTheme="minorEastAsia"/>
                            <w:sz w:val="15"/>
                            <w:szCs w:val="15"/>
                          </w:rPr>
                        </w:pPr>
                        <w:r>
                          <w:rPr>
                            <w:rFonts w:asciiTheme="minorEastAsia" w:hAnsiTheme="minorEastAsia" w:eastAsiaTheme="minorEastAsia"/>
                            <w:sz w:val="15"/>
                            <w:szCs w:val="15"/>
                          </w:rPr>
                          <w:t>四、本期期末余额</w:t>
                        </w:r>
                      </w:p>
                    </w:tc>
                  </w:sdtContent>
                </w:sdt>
                <w:tc>
                  <w:tcPr>
                    <w:tcW w:w="1520"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4,500,000,000.00</w:t>
                    </w: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417"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8,504,035,703.70</w:t>
                    </w:r>
                  </w:p>
                </w:tc>
                <w:tc>
                  <w:tcPr>
                    <w:tcW w:w="1418"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126,364,347.00</w:t>
                    </w: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39,206,774.44</w:t>
                    </w:r>
                  </w:p>
                </w:tc>
                <w:tc>
                  <w:tcPr>
                    <w:tcW w:w="1036" w:type="dxa"/>
                    <w:vAlign w:val="center"/>
                  </w:tcPr>
                  <w:p>
                    <w:pPr>
                      <w:jc w:val="right"/>
                      <w:rPr>
                        <w:rFonts w:asciiTheme="minorEastAsia" w:hAnsiTheme="minorEastAsia" w:eastAsiaTheme="minorEastAsia"/>
                        <w:sz w:val="15"/>
                        <w:szCs w:val="15"/>
                      </w:rPr>
                    </w:pPr>
                  </w:p>
                </w:tc>
                <w:tc>
                  <w:tcPr>
                    <w:tcW w:w="1374"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-1,106,062,494.35</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12,237,809,390.43</w:t>
                    </w:r>
                  </w:p>
                </w:tc>
              </w:tr>
            </w:tbl>
            <w:p>
              <w:pPr>
                <w:rPr>
                  <w:szCs w:val="21"/>
                </w:rPr>
              </w:pPr>
            </w:p>
            <w:p>
              <w:pPr>
                <w:rPr>
                  <w:szCs w:val="21"/>
                </w:rPr>
              </w:pPr>
              <w:r>
                <w:rPr>
                  <w:szCs w:val="21"/>
                </w:rPr>
                <w:br w:type="page"/>
              </w:r>
            </w:p>
            <w:p>
              <w:pPr>
                <w:rPr>
                  <w:szCs w:val="21"/>
                </w:rPr>
              </w:pPr>
            </w:p>
            <w:tbl>
              <w:tblPr>
                <w:tblStyle w:val="108"/>
                <w:tblW w:w="15452" w:type="dxa"/>
                <w:tblInd w:w="-885"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94"/>
                <w:gridCol w:w="1434"/>
                <w:gridCol w:w="851"/>
                <w:gridCol w:w="850"/>
                <w:gridCol w:w="709"/>
                <w:gridCol w:w="1559"/>
                <w:gridCol w:w="1276"/>
                <w:gridCol w:w="1276"/>
                <w:gridCol w:w="709"/>
                <w:gridCol w:w="1275"/>
                <w:gridCol w:w="1560"/>
                <w:gridCol w:w="155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vMerge w:val="restart"/>
                    <w:vAlign w:val="center"/>
                  </w:tcPr>
                  <w:sdt>
                    <w:sdtPr>
                      <w:rPr>
                        <w:rFonts w:hint="eastAsia"/>
                        <w:sz w:val="18"/>
                        <w:szCs w:val="18"/>
                      </w:rPr>
                      <w:tag w:val="_PLD_64a794ab75214f6d9d66748804bee4e8"/>
                      <w:id w:val="1776279865"/>
                      <w:lock w:val="sdtLocked"/>
                    </w:sdtPr>
                    <w:sdtEndPr>
                      <w:rPr>
                        <w:rFonts w:hint="eastAsia"/>
                        <w:sz w:val="18"/>
                        <w:szCs w:val="18"/>
                      </w:rPr>
                    </w:sdtEndPr>
                    <w:sdtContent>
                      <w:p>
                        <w:pPr>
                          <w:adjustRightInd w:val="0"/>
                          <w:snapToGrid w:val="0"/>
                          <w:jc w:val="center"/>
                          <w:rPr>
                            <w:sz w:val="18"/>
                            <w:szCs w:val="18"/>
                          </w:rPr>
                        </w:pPr>
                        <w:r>
                          <w:rPr>
                            <w:rFonts w:hint="eastAsia"/>
                            <w:sz w:val="18"/>
                            <w:szCs w:val="18"/>
                          </w:rPr>
                          <w:t>项目</w:t>
                        </w:r>
                      </w:p>
                    </w:sdtContent>
                  </w:sdt>
                </w:tc>
                <w:tc>
                  <w:tcPr>
                    <w:tcW w:w="13058" w:type="dxa"/>
                    <w:gridSpan w:val="11"/>
                  </w:tcPr>
                  <w:p>
                    <w:pPr>
                      <w:adjustRightInd w:val="0"/>
                      <w:snapToGrid w:val="0"/>
                      <w:jc w:val="center"/>
                      <w:rPr>
                        <w:sz w:val="18"/>
                      </w:rPr>
                    </w:pPr>
                    <w:sdt>
                      <w:sdtPr>
                        <w:rPr>
                          <w:rFonts w:hint="eastAsia"/>
                          <w:sz w:val="18"/>
                        </w:rPr>
                        <w:tag w:val="_PLD_6226137cffd442dfb505b8cfe7d1f423"/>
                        <w:id w:val="-1383096235"/>
                        <w:lock w:val="sdtLocked"/>
                      </w:sdtPr>
                      <w:sdtEndPr>
                        <w:rPr>
                          <w:rFonts w:hint="eastAsia"/>
                          <w:sz w:val="18"/>
                        </w:rPr>
                      </w:sdtEndPr>
                      <w:sdtContent>
                        <w:r>
                          <w:rPr>
                            <w:rFonts w:hint="eastAsia"/>
                            <w:sz w:val="18"/>
                          </w:rPr>
                          <w:t>2020年度</w:t>
                        </w:r>
                      </w:sdtContent>
                    </w:sdt>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15" w:hRule="atLeast"/>
                </w:trPr>
                <w:tc>
                  <w:tcPr>
                    <w:tcW w:w="2394" w:type="dxa"/>
                    <w:vMerge w:val="continue"/>
                  </w:tcPr>
                  <w:p>
                    <w:pPr>
                      <w:adjustRightInd w:val="0"/>
                      <w:snapToGrid w:val="0"/>
                      <w:rPr>
                        <w:sz w:val="18"/>
                        <w:szCs w:val="18"/>
                      </w:rPr>
                    </w:pPr>
                  </w:p>
                </w:tc>
                <w:sdt>
                  <w:sdtPr>
                    <w:tag w:val="_PLD_e0e316f064db43a38ddec14c349b4dfa"/>
                    <w:id w:val="1330247982"/>
                    <w:lock w:val="sdtLocked"/>
                  </w:sdtPr>
                  <w:sdtContent>
                    <w:tc>
                      <w:tcPr>
                        <w:tcW w:w="1434" w:type="dxa"/>
                        <w:vMerge w:val="restart"/>
                        <w:tcBorders>
                          <w:right w:val="single" w:color="auto" w:sz="4" w:space="0"/>
                        </w:tcBorders>
                        <w:vAlign w:val="center"/>
                      </w:tcPr>
                      <w:p>
                        <w:pPr>
                          <w:adjustRightInd w:val="0"/>
                          <w:snapToGrid w:val="0"/>
                          <w:jc w:val="center"/>
                          <w:rPr>
                            <w:sz w:val="18"/>
                            <w:szCs w:val="18"/>
                          </w:rPr>
                        </w:pPr>
                        <w:r>
                          <w:rPr>
                            <w:sz w:val="18"/>
                            <w:szCs w:val="18"/>
                          </w:rPr>
                          <w:t>实收资本 (或股本)</w:t>
                        </w:r>
                      </w:p>
                    </w:tc>
                  </w:sdtContent>
                </w:sdt>
                <w:sdt>
                  <w:sdtPr>
                    <w:tag w:val="_PLD_2c82747108ee4c518651265b45dbebcd"/>
                    <w:id w:val="-826675533"/>
                    <w:lock w:val="sdtLocked"/>
                  </w:sdtPr>
                  <w:sdtContent>
                    <w:tc>
                      <w:tcPr>
                        <w:tcW w:w="2410" w:type="dxa"/>
                        <w:gridSpan w:val="3"/>
                        <w:tcBorders>
                          <w:left w:val="single" w:color="auto" w:sz="4" w:space="0"/>
                          <w:bottom w:val="single" w:color="auto" w:sz="4" w:space="0"/>
                        </w:tcBorders>
                        <w:vAlign w:val="center"/>
                      </w:tcPr>
                      <w:p>
                        <w:pPr>
                          <w:adjustRightInd w:val="0"/>
                          <w:snapToGrid w:val="0"/>
                          <w:jc w:val="center"/>
                          <w:rPr>
                            <w:sz w:val="18"/>
                            <w:szCs w:val="18"/>
                          </w:rPr>
                        </w:pPr>
                        <w:r>
                          <w:rPr>
                            <w:rFonts w:hint="eastAsia"/>
                            <w:sz w:val="18"/>
                            <w:szCs w:val="18"/>
                          </w:rPr>
                          <w:t>其他权益工具</w:t>
                        </w:r>
                      </w:p>
                    </w:tc>
                  </w:sdtContent>
                </w:sdt>
                <w:sdt>
                  <w:sdtPr>
                    <w:tag w:val="_PLD_c459549b516242be83fce2e92cc794e6"/>
                    <w:id w:val="-1222446567"/>
                    <w:lock w:val="sdtLocked"/>
                  </w:sdtPr>
                  <w:sdtContent>
                    <w:tc>
                      <w:tcPr>
                        <w:tcW w:w="1559" w:type="dxa"/>
                        <w:vMerge w:val="restart"/>
                        <w:vAlign w:val="center"/>
                      </w:tcPr>
                      <w:p>
                        <w:pPr>
                          <w:adjustRightInd w:val="0"/>
                          <w:snapToGrid w:val="0"/>
                          <w:jc w:val="center"/>
                          <w:rPr>
                            <w:sz w:val="18"/>
                            <w:szCs w:val="18"/>
                          </w:rPr>
                        </w:pPr>
                        <w:r>
                          <w:rPr>
                            <w:sz w:val="18"/>
                            <w:szCs w:val="18"/>
                          </w:rPr>
                          <w:t>资本公积</w:t>
                        </w:r>
                      </w:p>
                    </w:tc>
                  </w:sdtContent>
                </w:sdt>
                <w:sdt>
                  <w:sdtPr>
                    <w:tag w:val="_PLD_9979085a666a4b7a9ee698268b0bb615"/>
                    <w:id w:val="127365713"/>
                    <w:lock w:val="sdtLocked"/>
                  </w:sdtPr>
                  <w:sdtContent>
                    <w:tc>
                      <w:tcPr>
                        <w:tcW w:w="1276" w:type="dxa"/>
                        <w:vMerge w:val="restart"/>
                        <w:vAlign w:val="center"/>
                      </w:tcPr>
                      <w:p>
                        <w:pPr>
                          <w:adjustRightInd w:val="0"/>
                          <w:snapToGrid w:val="0"/>
                          <w:jc w:val="center"/>
                          <w:rPr>
                            <w:sz w:val="18"/>
                            <w:szCs w:val="18"/>
                          </w:rPr>
                        </w:pPr>
                        <w:r>
                          <w:rPr>
                            <w:sz w:val="18"/>
                            <w:szCs w:val="18"/>
                          </w:rPr>
                          <w:t>减：库存股</w:t>
                        </w:r>
                      </w:p>
                    </w:tc>
                  </w:sdtContent>
                </w:sdt>
                <w:sdt>
                  <w:sdtPr>
                    <w:tag w:val="_PLD_3b870c2efbdc421980e0e6ed21bc828a"/>
                    <w:id w:val="-341865105"/>
                    <w:lock w:val="sdtLocked"/>
                  </w:sdtPr>
                  <w:sdtContent>
                    <w:tc>
                      <w:tcPr>
                        <w:tcW w:w="1276" w:type="dxa"/>
                        <w:vMerge w:val="restart"/>
                        <w:vAlign w:val="center"/>
                      </w:tcPr>
                      <w:p>
                        <w:pPr>
                          <w:jc w:val="center"/>
                          <w:rPr>
                            <w:sz w:val="18"/>
                            <w:szCs w:val="18"/>
                          </w:rPr>
                        </w:pPr>
                        <w:r>
                          <w:rPr>
                            <w:rFonts w:hint="eastAsia"/>
                            <w:sz w:val="18"/>
                            <w:szCs w:val="18"/>
                          </w:rPr>
                          <w:t>其他综合收益</w:t>
                        </w:r>
                      </w:p>
                    </w:tc>
                  </w:sdtContent>
                </w:sdt>
                <w:sdt>
                  <w:sdtPr>
                    <w:tag w:val="_PLD_68a9918174cf4752ad67388e59bb3c51"/>
                    <w:id w:val="1073931239"/>
                    <w:lock w:val="sdtLocked"/>
                  </w:sdtPr>
                  <w:sdtContent>
                    <w:tc>
                      <w:tcPr>
                        <w:tcW w:w="709" w:type="dxa"/>
                        <w:vMerge w:val="restart"/>
                        <w:vAlign w:val="center"/>
                      </w:tcPr>
                      <w:p>
                        <w:pPr>
                          <w:adjustRightInd w:val="0"/>
                          <w:snapToGrid w:val="0"/>
                          <w:jc w:val="center"/>
                          <w:rPr>
                            <w:sz w:val="18"/>
                            <w:szCs w:val="18"/>
                          </w:rPr>
                        </w:pPr>
                        <w:r>
                          <w:rPr>
                            <w:rFonts w:hint="eastAsia"/>
                            <w:sz w:val="18"/>
                            <w:szCs w:val="18"/>
                          </w:rPr>
                          <w:t>专项储备</w:t>
                        </w:r>
                      </w:p>
                    </w:tc>
                  </w:sdtContent>
                </w:sdt>
                <w:sdt>
                  <w:sdtPr>
                    <w:tag w:val="_PLD_eddda9b1710646a5811c9efb65bf8703"/>
                    <w:id w:val="-1914313398"/>
                    <w:lock w:val="sdtLocked"/>
                  </w:sdtPr>
                  <w:sdtContent>
                    <w:tc>
                      <w:tcPr>
                        <w:tcW w:w="1275" w:type="dxa"/>
                        <w:vMerge w:val="restart"/>
                        <w:vAlign w:val="center"/>
                      </w:tcPr>
                      <w:p>
                        <w:pPr>
                          <w:adjustRightInd w:val="0"/>
                          <w:snapToGrid w:val="0"/>
                          <w:jc w:val="center"/>
                          <w:rPr>
                            <w:sz w:val="18"/>
                            <w:szCs w:val="18"/>
                          </w:rPr>
                        </w:pPr>
                        <w:r>
                          <w:rPr>
                            <w:sz w:val="18"/>
                            <w:szCs w:val="18"/>
                          </w:rPr>
                          <w:t>盈余公积</w:t>
                        </w:r>
                      </w:p>
                    </w:tc>
                  </w:sdtContent>
                </w:sdt>
                <w:sdt>
                  <w:sdtPr>
                    <w:tag w:val="_PLD_d210b1f3e63743b7b7ad078da7c00997"/>
                    <w:id w:val="-1201923931"/>
                    <w:lock w:val="sdtLocked"/>
                  </w:sdtPr>
                  <w:sdtContent>
                    <w:tc>
                      <w:tcPr>
                        <w:tcW w:w="1560" w:type="dxa"/>
                        <w:vMerge w:val="restart"/>
                        <w:vAlign w:val="center"/>
                      </w:tcPr>
                      <w:p>
                        <w:pPr>
                          <w:adjustRightInd w:val="0"/>
                          <w:snapToGrid w:val="0"/>
                          <w:jc w:val="center"/>
                          <w:rPr>
                            <w:sz w:val="18"/>
                            <w:szCs w:val="18"/>
                          </w:rPr>
                        </w:pPr>
                        <w:r>
                          <w:rPr>
                            <w:sz w:val="18"/>
                            <w:szCs w:val="18"/>
                          </w:rPr>
                          <w:t>未分配利润</w:t>
                        </w:r>
                      </w:p>
                    </w:tc>
                  </w:sdtContent>
                </w:sdt>
                <w:sdt>
                  <w:sdtPr>
                    <w:tag w:val="_PLD_d0efa115b304401592a693cab0f3a46a"/>
                    <w:id w:val="-1299987868"/>
                    <w:lock w:val="sdtLocked"/>
                  </w:sdtPr>
                  <w:sdtContent>
                    <w:tc>
                      <w:tcPr>
                        <w:tcW w:w="1559" w:type="dxa"/>
                        <w:vMerge w:val="restart"/>
                        <w:vAlign w:val="center"/>
                      </w:tcPr>
                      <w:p>
                        <w:pPr>
                          <w:adjustRightInd w:val="0"/>
                          <w:snapToGrid w:val="0"/>
                          <w:jc w:val="center"/>
                          <w:rPr>
                            <w:sz w:val="18"/>
                            <w:szCs w:val="18"/>
                          </w:rPr>
                        </w:pPr>
                        <w:r>
                          <w:rPr>
                            <w:sz w:val="18"/>
                            <w:szCs w:val="18"/>
                          </w:rPr>
                          <w:t>所有者权益合计</w:t>
                        </w:r>
                      </w:p>
                    </w:tc>
                  </w:sdtContent>
                </w:sdt>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94" w:hRule="atLeast"/>
                </w:trPr>
                <w:tc>
                  <w:tcPr>
                    <w:tcW w:w="2394" w:type="dxa"/>
                    <w:vMerge w:val="continue"/>
                  </w:tcPr>
                  <w:p>
                    <w:pPr>
                      <w:adjustRightInd w:val="0"/>
                      <w:snapToGrid w:val="0"/>
                      <w:rPr>
                        <w:sz w:val="18"/>
                        <w:szCs w:val="18"/>
                      </w:rPr>
                    </w:pPr>
                  </w:p>
                </w:tc>
                <w:tc>
                  <w:tcPr>
                    <w:tcW w:w="1434" w:type="dxa"/>
                    <w:vMerge w:val="continue"/>
                    <w:tcBorders>
                      <w:right w:val="single" w:color="auto" w:sz="4" w:space="0"/>
                    </w:tcBorders>
                  </w:tcPr>
                  <w:p>
                    <w:pPr>
                      <w:adjustRightInd w:val="0"/>
                      <w:snapToGrid w:val="0"/>
                      <w:jc w:val="center"/>
                      <w:rPr>
                        <w:sz w:val="18"/>
                        <w:szCs w:val="18"/>
                      </w:rPr>
                    </w:pPr>
                  </w:p>
                </w:tc>
                <w:sdt>
                  <w:sdtPr>
                    <w:tag w:val="_PLD_f219b4732c3e4bd5a67b8c298432fd3d"/>
                    <w:id w:val="-824587492"/>
                    <w:lock w:val="sdtLocked"/>
                  </w:sdtPr>
                  <w:sdtContent>
                    <w:tc>
                      <w:tcPr>
                        <w:tcW w:w="851"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优先股</w:t>
                        </w:r>
                      </w:p>
                    </w:tc>
                  </w:sdtContent>
                </w:sdt>
                <w:sdt>
                  <w:sdtPr>
                    <w:tag w:val="_PLD_9c8ca36c728447658d99fee93d742edf"/>
                    <w:id w:val="1697275934"/>
                    <w:lock w:val="sdtLocked"/>
                  </w:sdtPr>
                  <w:sdtContent>
                    <w:tc>
                      <w:tcPr>
                        <w:tcW w:w="850" w:type="dxa"/>
                        <w:tcBorders>
                          <w:top w:val="single" w:color="auto" w:sz="4" w:space="0"/>
                          <w:left w:val="single" w:color="auto" w:sz="4" w:space="0"/>
                          <w:right w:val="single" w:color="auto" w:sz="4" w:space="0"/>
                        </w:tcBorders>
                        <w:vAlign w:val="center"/>
                      </w:tcPr>
                      <w:p>
                        <w:pPr>
                          <w:adjustRightInd w:val="0"/>
                          <w:snapToGrid w:val="0"/>
                          <w:jc w:val="center"/>
                          <w:rPr>
                            <w:sz w:val="18"/>
                            <w:szCs w:val="18"/>
                          </w:rPr>
                        </w:pPr>
                        <w:r>
                          <w:rPr>
                            <w:rFonts w:hint="eastAsia"/>
                            <w:sz w:val="18"/>
                            <w:szCs w:val="18"/>
                          </w:rPr>
                          <w:t>永续债</w:t>
                        </w:r>
                      </w:p>
                    </w:tc>
                  </w:sdtContent>
                </w:sdt>
                <w:sdt>
                  <w:sdtPr>
                    <w:tag w:val="_PLD_d053abd77b574111883b8fafe3a173d2"/>
                    <w:id w:val="-1314324037"/>
                    <w:lock w:val="sdtLocked"/>
                  </w:sdtPr>
                  <w:sdtContent>
                    <w:tc>
                      <w:tcPr>
                        <w:tcW w:w="709" w:type="dxa"/>
                        <w:tcBorders>
                          <w:top w:val="single" w:color="auto" w:sz="4" w:space="0"/>
                          <w:left w:val="single" w:color="auto" w:sz="4" w:space="0"/>
                        </w:tcBorders>
                        <w:vAlign w:val="center"/>
                      </w:tcPr>
                      <w:p>
                        <w:pPr>
                          <w:adjustRightInd w:val="0"/>
                          <w:snapToGrid w:val="0"/>
                          <w:jc w:val="center"/>
                          <w:rPr>
                            <w:sz w:val="18"/>
                            <w:szCs w:val="18"/>
                          </w:rPr>
                        </w:pPr>
                        <w:r>
                          <w:rPr>
                            <w:rFonts w:hint="eastAsia"/>
                            <w:sz w:val="18"/>
                            <w:szCs w:val="18"/>
                          </w:rPr>
                          <w:t>其他</w:t>
                        </w:r>
                      </w:p>
                    </w:tc>
                  </w:sdtContent>
                </w:sdt>
                <w:tc>
                  <w:tcPr>
                    <w:tcW w:w="1559" w:type="dxa"/>
                    <w:vMerge w:val="continue"/>
                  </w:tcPr>
                  <w:p>
                    <w:pPr>
                      <w:adjustRightInd w:val="0"/>
                      <w:snapToGrid w:val="0"/>
                      <w:jc w:val="center"/>
                      <w:rPr>
                        <w:sz w:val="18"/>
                        <w:szCs w:val="18"/>
                      </w:rPr>
                    </w:pPr>
                  </w:p>
                </w:tc>
                <w:tc>
                  <w:tcPr>
                    <w:tcW w:w="1276" w:type="dxa"/>
                    <w:vMerge w:val="continue"/>
                  </w:tcPr>
                  <w:p>
                    <w:pPr>
                      <w:adjustRightInd w:val="0"/>
                      <w:snapToGrid w:val="0"/>
                      <w:jc w:val="center"/>
                      <w:rPr>
                        <w:sz w:val="18"/>
                        <w:szCs w:val="18"/>
                      </w:rPr>
                    </w:pPr>
                  </w:p>
                </w:tc>
                <w:tc>
                  <w:tcPr>
                    <w:tcW w:w="1276" w:type="dxa"/>
                    <w:vMerge w:val="continue"/>
                  </w:tcPr>
                  <w:p>
                    <w:pPr>
                      <w:jc w:val="center"/>
                      <w:rPr>
                        <w:sz w:val="18"/>
                        <w:szCs w:val="18"/>
                      </w:rPr>
                    </w:pPr>
                  </w:p>
                </w:tc>
                <w:tc>
                  <w:tcPr>
                    <w:tcW w:w="709" w:type="dxa"/>
                    <w:vMerge w:val="continue"/>
                  </w:tcPr>
                  <w:p>
                    <w:pPr>
                      <w:adjustRightInd w:val="0"/>
                      <w:snapToGrid w:val="0"/>
                      <w:jc w:val="center"/>
                      <w:rPr>
                        <w:sz w:val="18"/>
                        <w:szCs w:val="18"/>
                      </w:rPr>
                    </w:pPr>
                  </w:p>
                </w:tc>
                <w:tc>
                  <w:tcPr>
                    <w:tcW w:w="1275" w:type="dxa"/>
                    <w:vMerge w:val="continue"/>
                  </w:tcPr>
                  <w:p>
                    <w:pPr>
                      <w:adjustRightInd w:val="0"/>
                      <w:snapToGrid w:val="0"/>
                      <w:jc w:val="center"/>
                      <w:rPr>
                        <w:sz w:val="18"/>
                        <w:szCs w:val="18"/>
                      </w:rPr>
                    </w:pPr>
                  </w:p>
                </w:tc>
                <w:tc>
                  <w:tcPr>
                    <w:tcW w:w="1560" w:type="dxa"/>
                    <w:vMerge w:val="continue"/>
                  </w:tcPr>
                  <w:p>
                    <w:pPr>
                      <w:adjustRightInd w:val="0"/>
                      <w:snapToGrid w:val="0"/>
                      <w:jc w:val="center"/>
                      <w:rPr>
                        <w:sz w:val="18"/>
                        <w:szCs w:val="18"/>
                      </w:rPr>
                    </w:pPr>
                  </w:p>
                </w:tc>
                <w:tc>
                  <w:tcPr>
                    <w:tcW w:w="1559" w:type="dxa"/>
                    <w:vMerge w:val="continue"/>
                  </w:tcPr>
                  <w:p>
                    <w:pPr>
                      <w:adjustRightInd w:val="0"/>
                      <w:snapToGrid w:val="0"/>
                      <w:jc w:val="center"/>
                      <w:rPr>
                        <w:sz w:val="18"/>
                        <w:szCs w:val="18"/>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4b9f68f704bb4acfae62b3d3cbf0d790"/>
                    <w:id w:val="-1468192745"/>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一、上年</w:t>
                        </w:r>
                        <w:r>
                          <w:rPr>
                            <w:rFonts w:hint="eastAsia" w:asciiTheme="minorEastAsia" w:hAnsiTheme="minorEastAsia" w:eastAsiaTheme="minorEastAsia"/>
                            <w:sz w:val="15"/>
                            <w:szCs w:val="15"/>
                          </w:rPr>
                          <w:t>年</w:t>
                        </w:r>
                        <w:r>
                          <w:rPr>
                            <w:rFonts w:asciiTheme="minorEastAsia" w:hAnsiTheme="minorEastAsia" w:eastAsiaTheme="minorEastAsia"/>
                            <w:sz w:val="15"/>
                            <w:szCs w:val="15"/>
                          </w:rPr>
                          <w:t>末余额</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1,306,839,379.00</w:t>
                    </w: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559" w:type="dxa"/>
                    <w:tcBorders>
                      <w:lef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5,023,425,043.98</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119,496,963.00</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34,034,367.96</w:t>
                    </w: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1,926,277,443.94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8,598,073,025.52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f7c284bf05bc4bb48bad7c818c157aa9"/>
                    <w:id w:val="1033536647"/>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加：会计政策变更</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559" w:type="dxa"/>
                    <w:tcBorders>
                      <w:left w:val="single" w:color="auto" w:sz="4" w:space="0"/>
                    </w:tcBorders>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b84d86ae618141938210b68f81aeafe0"/>
                    <w:id w:val="-1977053323"/>
                    <w:lock w:val="sdtLocked"/>
                  </w:sdtPr>
                  <w:sdtEndPr>
                    <w:rPr>
                      <w:rFonts w:asciiTheme="minorEastAsia" w:hAnsiTheme="minorEastAsia" w:eastAsiaTheme="minorEastAsia"/>
                      <w:sz w:val="15"/>
                      <w:szCs w:val="15"/>
                    </w:rPr>
                  </w:sdtEndPr>
                  <w:sdtContent>
                    <w:tc>
                      <w:tcPr>
                        <w:tcW w:w="2394" w:type="dxa"/>
                      </w:tcPr>
                      <w:p>
                        <w:pPr>
                          <w:ind w:firstLine="300" w:firstLineChars="200"/>
                          <w:rPr>
                            <w:rFonts w:asciiTheme="minorEastAsia" w:hAnsiTheme="minorEastAsia" w:eastAsiaTheme="minorEastAsia"/>
                            <w:sz w:val="15"/>
                            <w:szCs w:val="15"/>
                          </w:rPr>
                        </w:pPr>
                        <w:r>
                          <w:rPr>
                            <w:rFonts w:asciiTheme="minorEastAsia" w:hAnsiTheme="minorEastAsia" w:eastAsiaTheme="minorEastAsia"/>
                            <w:sz w:val="15"/>
                            <w:szCs w:val="15"/>
                          </w:rPr>
                          <w:t>前期差错更正</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559" w:type="dxa"/>
                    <w:tcBorders>
                      <w:left w:val="single" w:color="auto" w:sz="4" w:space="0"/>
                    </w:tcBorders>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ae13695d51ae418dba0671a598b76ffb"/>
                    <w:id w:val="-759528600"/>
                    <w:lock w:val="sdtLocked"/>
                  </w:sdtPr>
                  <w:sdtEndPr>
                    <w:rPr>
                      <w:rFonts w:asciiTheme="minorEastAsia" w:hAnsiTheme="minorEastAsia" w:eastAsiaTheme="minorEastAsia"/>
                      <w:sz w:val="15"/>
                      <w:szCs w:val="15"/>
                    </w:rPr>
                  </w:sdtEndPr>
                  <w:sdtContent>
                    <w:tc>
                      <w:tcPr>
                        <w:tcW w:w="2394" w:type="dxa"/>
                      </w:tcPr>
                      <w:p>
                        <w:pPr>
                          <w:ind w:firstLine="300" w:firstLineChars="200"/>
                          <w:rPr>
                            <w:rFonts w:asciiTheme="minorEastAsia" w:hAnsiTheme="minorEastAsia" w:eastAsiaTheme="minorEastAsia"/>
                            <w:sz w:val="15"/>
                            <w:szCs w:val="15"/>
                          </w:rPr>
                        </w:pPr>
                        <w:r>
                          <w:rPr>
                            <w:rFonts w:hint="eastAsia" w:asciiTheme="minorEastAsia" w:hAnsiTheme="minorEastAsia" w:eastAsiaTheme="minorEastAsia"/>
                            <w:sz w:val="15"/>
                            <w:szCs w:val="15"/>
                          </w:rPr>
                          <w:t>其他</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559" w:type="dxa"/>
                    <w:tcBorders>
                      <w:left w:val="single" w:color="auto" w:sz="4" w:space="0"/>
                    </w:tcBorders>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4841ceb909a14a2abffb67eeb3435694"/>
                    <w:id w:val="-1732684966"/>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二、本年</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初余额</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1,306,839,379.00</w:t>
                    </w: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1559" w:type="dxa"/>
                    <w:tcBorders>
                      <w:lef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5,023,425,043.98</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119,496,963.00</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34,034,367.96</w:t>
                    </w: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1,926,277,443.94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8,598,073,025.52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302909e63784410386a25e7b0c2339c7"/>
                    <w:id w:val="-93482035"/>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三、本</w:t>
                        </w:r>
                        <w:r>
                          <w:rPr>
                            <w:rFonts w:hint="eastAsia" w:asciiTheme="minorEastAsia" w:hAnsiTheme="minorEastAsia" w:eastAsiaTheme="minorEastAsia"/>
                            <w:sz w:val="15"/>
                            <w:szCs w:val="15"/>
                          </w:rPr>
                          <w:t>期</w:t>
                        </w:r>
                        <w:r>
                          <w:rPr>
                            <w:rFonts w:asciiTheme="minorEastAsia" w:hAnsiTheme="minorEastAsia" w:eastAsiaTheme="minorEastAsia"/>
                            <w:sz w:val="15"/>
                            <w:szCs w:val="15"/>
                          </w:rPr>
                          <w:t>增减变动金额（减少以“－”号填列）</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3,559,421,937.11</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131,100,891.00</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-19,731,346.58</w:t>
                    </w: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-3,143,573,787.34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3,479,189,633.19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565b6c314fb34fb6b0c677b992754d48"/>
                    <w:id w:val="2113166042"/>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（一）综合收益总额</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-19,731,346.58</w:t>
                    </w: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-3,143,573,787.34</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-3,163,305,133.92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4f759bcfeb8744e79a2c846685bf5bf7"/>
                    <w:id w:val="-1390881017"/>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二</w:t>
                        </w:r>
                        <w:r>
                          <w:rPr>
                            <w:rFonts w:asciiTheme="minorEastAsia" w:hAnsiTheme="minorEastAsia" w:eastAsiaTheme="minorEastAsia"/>
                            <w:sz w:val="15"/>
                            <w:szCs w:val="15"/>
                          </w:rPr>
                          <w:t>）所有者投入和减少资本</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6,773,595,658.11</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131,100,891.00</w:t>
                    </w: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6,642,494,767.11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2ca71442ff4441faa275f28e1236357f"/>
                    <w:id w:val="-1997485566"/>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1．所有者投入的普通股</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3,000,000,000.00</w:t>
                    </w: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3,000,000,000.00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c9217abeeb6e46ac8415ee33ff13a461"/>
                    <w:id w:val="604926092"/>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2．其他权益工具持有者投入资本</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5b62e12f39a04fa3a5e1647793ab3e5e"/>
                    <w:id w:val="67777299"/>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．股份支付计入所有者权益的金额</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09a354c759244b168ea7e28904658be8"/>
                    <w:id w:val="-1059163628"/>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4</w:t>
                        </w:r>
                        <w:r>
                          <w:rPr>
                            <w:rFonts w:asciiTheme="minorEastAsia" w:hAnsiTheme="minorEastAsia" w:eastAsiaTheme="minorEastAsia"/>
                            <w:sz w:val="15"/>
                            <w:szCs w:val="15"/>
                          </w:rPr>
                          <w:t>．其他</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3,773,595,658.11</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131,100,891.00</w:t>
                    </w: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3,642,494,767.11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806901fee79c40f688fa2f02ab1d596d"/>
                    <w:id w:val="-1093848945"/>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三</w:t>
                        </w:r>
                        <w:r>
                          <w:rPr>
                            <w:rFonts w:asciiTheme="minorEastAsia" w:hAnsiTheme="minorEastAsia" w:eastAsiaTheme="minorEastAsia"/>
                            <w:sz w:val="15"/>
                            <w:szCs w:val="15"/>
                          </w:rPr>
                          <w:t>）利润分配</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5936c2d33e22476597644c98158847c6"/>
                    <w:id w:val="621340307"/>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1．提取盈余公积</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210044b047ac492dbe47ba7aedd16fad"/>
                    <w:id w:val="-70742342"/>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w:t>
                        </w:r>
                        <w:r>
                          <w:rPr>
                            <w:rFonts w:asciiTheme="minorEastAsia" w:hAnsiTheme="minorEastAsia" w:eastAsiaTheme="minorEastAsia"/>
                            <w:sz w:val="15"/>
                            <w:szCs w:val="15"/>
                          </w:rPr>
                          <w:t>．对所有者（或股东）的分配</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65affb7384874e8facf889d04ab4dd24"/>
                    <w:id w:val="-483621773"/>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3</w:t>
                        </w:r>
                        <w:r>
                          <w:rPr>
                            <w:rFonts w:asciiTheme="minorEastAsia" w:hAnsiTheme="minorEastAsia" w:eastAsiaTheme="minorEastAsia"/>
                            <w:sz w:val="15"/>
                            <w:szCs w:val="15"/>
                          </w:rPr>
                          <w:t>．其他</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ed39015638e6485d9ecad98bd3aaac6b"/>
                    <w:id w:val="-1663231829"/>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w:t>
                        </w:r>
                        <w:r>
                          <w:rPr>
                            <w:rFonts w:hint="eastAsia" w:asciiTheme="minorEastAsia" w:hAnsiTheme="minorEastAsia" w:eastAsiaTheme="minorEastAsia"/>
                            <w:sz w:val="15"/>
                            <w:szCs w:val="15"/>
                          </w:rPr>
                          <w:t>四</w:t>
                        </w:r>
                        <w:r>
                          <w:rPr>
                            <w:rFonts w:asciiTheme="minorEastAsia" w:hAnsiTheme="minorEastAsia" w:eastAsiaTheme="minorEastAsia"/>
                            <w:sz w:val="15"/>
                            <w:szCs w:val="15"/>
                          </w:rPr>
                          <w:t>）所有者权益内部结转</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16ddc46b3a95453788bdcaaebfae99fa"/>
                    <w:id w:val="-1250421222"/>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1．资本公积转增资本（或股本）</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-3,214,173,721.00</w:t>
                    </w: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5f2b4bbca85e4693b990e3e25811eeab"/>
                    <w:id w:val="1109389648"/>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2．盈余公积转增资本（或股本）</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15d6c710562e41cc9b0f916bb42a3ecd"/>
                    <w:id w:val="-392125267"/>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3．盈余公积弥补亏损</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rFonts w:asciiTheme="minorEastAsia" w:hAnsiTheme="minorEastAsia" w:eastAsiaTheme="minorEastAsia"/>
                        <w:sz w:val="15"/>
                        <w:szCs w:val="15"/>
                      </w:rPr>
                      <w:tag w:val="_PLD_f4cb17050ad540c1b6765bbc5ef1d185"/>
                      <w:id w:val="-667638704"/>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4．设定受益计划变动额结转留存收益</w:t>
                        </w:r>
                      </w:p>
                    </w:sdtContent>
                  </w:sdt>
                </w:tc>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rFonts w:asciiTheme="minorEastAsia" w:hAnsiTheme="minorEastAsia" w:eastAsiaTheme="minorEastAsia"/>
                        <w:sz w:val="15"/>
                        <w:szCs w:val="15"/>
                      </w:rPr>
                      <w:tag w:val="_PLD_d570b02e3d674dc1a938a4710387119c"/>
                      <w:id w:val="-66423825"/>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5．其他综合收益结转留存收益</w:t>
                        </w:r>
                      </w:p>
                    </w:sdtContent>
                  </w:sdt>
                </w:tc>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tc>
                  <w:tcPr>
                    <w:tcW w:w="2394" w:type="dxa"/>
                  </w:tcPr>
                  <w:sdt>
                    <w:sdtPr>
                      <w:rPr>
                        <w:rFonts w:asciiTheme="minorEastAsia" w:hAnsiTheme="minorEastAsia" w:eastAsiaTheme="minorEastAsia"/>
                        <w:sz w:val="15"/>
                        <w:szCs w:val="15"/>
                      </w:rPr>
                      <w:tag w:val="_PLD_a5cd874c23c44b928dffd9bc4a74c38d"/>
                      <w:id w:val="-264390903"/>
                      <w:lock w:val="sdtLocked"/>
                    </w:sdtPr>
                    <w:sdtEndPr>
                      <w:rPr>
                        <w:rFonts w:asciiTheme="minorEastAsia" w:hAnsiTheme="minorEastAsia" w:eastAsiaTheme="minorEastAsia"/>
                        <w:sz w:val="15"/>
                        <w:szCs w:val="15"/>
                      </w:rPr>
                    </w:sdtEndPr>
                    <w:sdtContent>
                      <w:p>
                        <w:pPr>
                          <w:rPr>
                            <w:rFonts w:asciiTheme="minorEastAsia" w:hAnsiTheme="minorEastAsia" w:eastAsiaTheme="minorEastAsia"/>
                            <w:sz w:val="15"/>
                            <w:szCs w:val="15"/>
                          </w:rPr>
                        </w:pPr>
                        <w:r>
                          <w:rPr>
                            <w:rFonts w:asciiTheme="minorEastAsia" w:hAnsiTheme="minorEastAsia" w:eastAsiaTheme="minorEastAsia"/>
                            <w:sz w:val="15"/>
                            <w:szCs w:val="15"/>
                          </w:rPr>
                          <w:t>6．其他</w:t>
                        </w:r>
                      </w:p>
                    </w:sdtContent>
                  </w:sdt>
                </w:tc>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b6b13ecec0044452bf1609cb679a8ac5"/>
                    <w:id w:val="861629106"/>
                    <w:lock w:val="sdtLocked"/>
                  </w:sdtPr>
                  <w:sdtEndPr>
                    <w:rPr>
                      <w:rFonts w:asciiTheme="minorEastAsia" w:hAnsiTheme="minorEastAsia" w:eastAsiaTheme="minorEastAsia"/>
                      <w:sz w:val="15"/>
                      <w:szCs w:val="15"/>
                    </w:rPr>
                  </w:sdtEndPr>
                  <w:sdtContent>
                    <w:tc>
                      <w:tcPr>
                        <w:tcW w:w="2394" w:type="dxa"/>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（五）专项储备</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cbede54ab9934d5ea45cda3f59593c28"/>
                    <w:id w:val="2082404173"/>
                    <w:lock w:val="sdtLocked"/>
                  </w:sdtPr>
                  <w:sdtEndPr>
                    <w:rPr>
                      <w:rFonts w:asciiTheme="minorEastAsia" w:hAnsiTheme="minorEastAsia" w:eastAsiaTheme="minorEastAsia"/>
                      <w:sz w:val="15"/>
                      <w:szCs w:val="15"/>
                    </w:rPr>
                  </w:sdtEndPr>
                  <w:sdtContent>
                    <w:tc>
                      <w:tcPr>
                        <w:tcW w:w="2394" w:type="dxa"/>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1．本期提取</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7900abe823e94277be091b3f1c7a54a5"/>
                    <w:id w:val="-1404679570"/>
                    <w:lock w:val="sdtLocked"/>
                  </w:sdtPr>
                  <w:sdtEndPr>
                    <w:rPr>
                      <w:rFonts w:asciiTheme="minorEastAsia" w:hAnsiTheme="minorEastAsia" w:eastAsiaTheme="minorEastAsia"/>
                      <w:sz w:val="15"/>
                      <w:szCs w:val="15"/>
                    </w:rPr>
                  </w:sdtEndPr>
                  <w:sdtContent>
                    <w:tc>
                      <w:tcPr>
                        <w:tcW w:w="2394" w:type="dxa"/>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2．本期使用</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7cf659a70268475ea7233d8b82adad5a"/>
                    <w:id w:val="-1099717979"/>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（六）其他</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1276" w:type="dxa"/>
                    <w:vAlign w:val="center"/>
                  </w:tcPr>
                  <w:p>
                    <w:pPr>
                      <w:jc w:val="right"/>
                      <w:rPr>
                        <w:rFonts w:asciiTheme="minorEastAsia" w:hAnsiTheme="minorEastAsia" w:eastAsiaTheme="minorEastAsia"/>
                        <w:sz w:val="15"/>
                        <w:szCs w:val="15"/>
                      </w:rPr>
                    </w:pP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p>
                </w:tc>
                <w:tc>
                  <w:tcPr>
                    <w:tcW w:w="1560" w:type="dxa"/>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 w:hRule="atLeast"/>
                </w:trPr>
                <w:sdt>
                  <w:sdtPr>
                    <w:rPr>
                      <w:rFonts w:asciiTheme="minorEastAsia" w:hAnsiTheme="minorEastAsia" w:eastAsiaTheme="minorEastAsia"/>
                      <w:sz w:val="15"/>
                      <w:szCs w:val="15"/>
                    </w:rPr>
                    <w:tag w:val="_PLD_56eacf5a90be4746898504dda5c8a2c0"/>
                    <w:id w:val="-405541539"/>
                    <w:lock w:val="sdtLocked"/>
                  </w:sdtPr>
                  <w:sdtEndPr>
                    <w:rPr>
                      <w:rFonts w:asciiTheme="minorEastAsia" w:hAnsiTheme="minorEastAsia" w:eastAsiaTheme="minorEastAsia"/>
                      <w:sz w:val="15"/>
                      <w:szCs w:val="15"/>
                    </w:rPr>
                  </w:sdtEndPr>
                  <w:sdtContent>
                    <w:tc>
                      <w:tcPr>
                        <w:tcW w:w="2394" w:type="dxa"/>
                      </w:tcPr>
                      <w:p>
                        <w:pPr>
                          <w:rPr>
                            <w:rFonts w:asciiTheme="minorEastAsia" w:hAnsiTheme="minorEastAsia" w:eastAsiaTheme="minorEastAsia"/>
                            <w:sz w:val="15"/>
                            <w:szCs w:val="15"/>
                          </w:rPr>
                        </w:pPr>
                        <w:r>
                          <w:rPr>
                            <w:rFonts w:asciiTheme="minorEastAsia" w:hAnsiTheme="minorEastAsia" w:eastAsiaTheme="minorEastAsia"/>
                            <w:sz w:val="15"/>
                            <w:szCs w:val="15"/>
                          </w:rPr>
                          <w:t>四、本期期末余额</w:t>
                        </w:r>
                      </w:p>
                    </w:tc>
                  </w:sdtContent>
                </w:sdt>
                <w:tc>
                  <w:tcPr>
                    <w:tcW w:w="1434" w:type="dxa"/>
                    <w:tcBorders>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4,521,013,100.00</w:t>
                    </w:r>
                  </w:p>
                </w:tc>
                <w:tc>
                  <w:tcPr>
                    <w:tcW w:w="851"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850" w:type="dxa"/>
                    <w:tcBorders>
                      <w:left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709" w:type="dxa"/>
                    <w:tcBorders>
                      <w:left w:val="single" w:color="auto" w:sz="4" w:space="0"/>
                    </w:tcBorders>
                    <w:vAlign w:val="center"/>
                  </w:tcPr>
                  <w:p>
                    <w:pPr>
                      <w:jc w:val="right"/>
                      <w:rPr>
                        <w:rFonts w:asciiTheme="minorEastAsia" w:hAnsiTheme="minorEastAsia" w:eastAsiaTheme="minorEastAsia"/>
                        <w:sz w:val="15"/>
                        <w:szCs w:val="15"/>
                      </w:rPr>
                    </w:pP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8,582,846,981.09</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250,597,854.00</w:t>
                    </w:r>
                  </w:p>
                </w:tc>
                <w:tc>
                  <w:tcPr>
                    <w:tcW w:w="1276"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14,303,021.38</w:t>
                    </w:r>
                  </w:p>
                </w:tc>
                <w:tc>
                  <w:tcPr>
                    <w:tcW w:w="709" w:type="dxa"/>
                    <w:vAlign w:val="center"/>
                  </w:tcPr>
                  <w:p>
                    <w:pPr>
                      <w:jc w:val="right"/>
                      <w:rPr>
                        <w:rFonts w:asciiTheme="minorEastAsia" w:hAnsiTheme="minorEastAsia" w:eastAsiaTheme="minorEastAsia"/>
                        <w:sz w:val="15"/>
                        <w:szCs w:val="15"/>
                      </w:rPr>
                    </w:pPr>
                  </w:p>
                </w:tc>
                <w:tc>
                  <w:tcPr>
                    <w:tcW w:w="1275"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426,993,753.64</w:t>
                    </w:r>
                  </w:p>
                </w:tc>
                <w:tc>
                  <w:tcPr>
                    <w:tcW w:w="1560"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-1,217,296,343.40</w:t>
                    </w:r>
                  </w:p>
                </w:tc>
                <w:tc>
                  <w:tcPr>
                    <w:tcW w:w="1559" w:type="dxa"/>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12,077,262,658.71</w:t>
                    </w:r>
                  </w:p>
                </w:tc>
              </w:tr>
            </w:tbl>
            <w:p>
              <w:pPr>
                <w:snapToGrid w:val="0"/>
                <w:spacing w:line="240" w:lineRule="atLeast"/>
                <w:rPr>
                  <w:b/>
                  <w:bCs/>
                  <w:color w:val="FF0000"/>
                  <w:szCs w:val="21"/>
                </w:rPr>
              </w:pPr>
              <w:r>
                <w:rPr>
                  <w:rFonts w:hint="eastAsia"/>
                  <w:szCs w:val="21"/>
                </w:rPr>
                <w:t>公司负责</w:t>
              </w:r>
              <w:r>
                <w:rPr>
                  <w:szCs w:val="21"/>
                </w:rPr>
                <w:t>人</w:t>
              </w:r>
              <w:r>
                <w:rPr>
                  <w:rFonts w:hint="eastAsia"/>
                  <w:szCs w:val="21"/>
                </w:rPr>
                <w:t>：</w:t>
              </w:r>
              <w:sdt>
                <w:sdtPr>
                  <w:rPr>
                    <w:rFonts w:hint="eastAsia"/>
                    <w:szCs w:val="21"/>
                  </w:rPr>
                  <w:alias w:val="公司负责人姓名"/>
                  <w:tag w:val="_GBC_6042a2c12168484781348969a4da3e4c"/>
                  <w:id w:val="1657033081"/>
                  <w:lock w:val="sdtLocked"/>
                  <w:text/>
                </w:sdtPr>
                <w:sdtEndPr>
                  <w:rPr>
                    <w:rFonts w:hint="eastAsia"/>
                    <w:szCs w:val="21"/>
                  </w:rPr>
                </w:sdtEndPr>
                <w:sdtContent>
                  <w:r>
                    <w:rPr>
                      <w:rFonts w:hint="eastAsia"/>
                      <w:szCs w:val="21"/>
                    </w:rPr>
                    <w:t>徐志豪</w:t>
                  </w:r>
                </w:sdtContent>
              </w:sdt>
              <w:r>
                <w:rPr>
                  <w:szCs w:val="21"/>
                </w:rPr>
                <w:t xml:space="preserve">    主管会计工作负责人</w:t>
              </w:r>
              <w:r>
                <w:rPr>
                  <w:rFonts w:hint="eastAsia"/>
                  <w:szCs w:val="21"/>
                </w:rPr>
                <w:t>：</w:t>
              </w:r>
              <w:sdt>
                <w:sdtPr>
                  <w:rPr>
                    <w:rFonts w:hint="eastAsia"/>
                    <w:szCs w:val="21"/>
                  </w:rPr>
                  <w:alias w:val="主管会计工作负责人姓名"/>
                  <w:tag w:val="_GBC_3008dab61aca43f0a6d82ef192943e79"/>
                  <w:id w:val="-717277531"/>
                  <w:lock w:val="sdtLocked"/>
                  <w:text/>
                </w:sdtPr>
                <w:sdtEndPr>
                  <w:rPr>
                    <w:rFonts w:hint="eastAsia"/>
                    <w:szCs w:val="21"/>
                  </w:rPr>
                </w:sdtEndPr>
                <w:sdtContent>
                  <w:r>
                    <w:rPr>
                      <w:rFonts w:hint="eastAsia"/>
                      <w:szCs w:val="21"/>
                    </w:rPr>
                    <w:t>张琳斌</w:t>
                  </w:r>
                </w:sdtContent>
              </w:sdt>
              <w:r>
                <w:rPr>
                  <w:szCs w:val="21"/>
                </w:rPr>
                <w:t xml:space="preserve">    会计机构负责人</w:t>
              </w:r>
              <w:r>
                <w:rPr>
                  <w:rFonts w:hint="eastAsia"/>
                  <w:szCs w:val="21"/>
                </w:rPr>
                <w:t>：</w:t>
              </w:r>
              <w:sdt>
                <w:sdtPr>
                  <w:rPr>
                    <w:rFonts w:hint="eastAsia"/>
                    <w:szCs w:val="21"/>
                  </w:rPr>
                  <w:alias w:val="会计机构负责人姓名"/>
                  <w:tag w:val="_GBC_e6c21b270080402ca8dbdc0cab514bde"/>
                  <w:id w:val="-1363588502"/>
                  <w:lock w:val="sdtLocked"/>
                  <w:text/>
                </w:sdtPr>
                <w:sdtEndPr>
                  <w:rPr>
                    <w:rFonts w:hint="eastAsia"/>
                    <w:szCs w:val="21"/>
                  </w:rPr>
                </w:sdtEndPr>
                <w:sdtContent>
                  <w:r>
                    <w:rPr>
                      <w:rFonts w:hint="eastAsia"/>
                      <w:szCs w:val="21"/>
                    </w:rPr>
                    <w:t>张琳斌</w:t>
                  </w:r>
                </w:sdtContent>
              </w:sdt>
            </w:p>
          </w:sdtContent>
        </w:sdt>
        <w:p>
          <w:pPr>
            <w:rPr>
              <w:color w:val="FF0000"/>
            </w:rPr>
          </w:pPr>
        </w:p>
        <w:p>
          <w:pPr>
            <w:rPr>
              <w:color w:val="FF0000"/>
            </w:rPr>
          </w:pPr>
        </w:p>
      </w:sdtContent>
    </w:sdt>
    <w:bookmarkEnd w:id="120"/>
    <w:p>
      <w:pPr>
        <w:snapToGrid w:val="0"/>
        <w:spacing w:line="240" w:lineRule="atLeast"/>
        <w:ind w:right="-153" w:rightChars="-73"/>
        <w:rPr>
          <w:b/>
          <w:bCs/>
          <w:color w:val="FF0000"/>
          <w:szCs w:val="21"/>
        </w:rPr>
      </w:pPr>
    </w:p>
    <w:p>
      <w:pPr>
        <w:snapToGrid w:val="0"/>
        <w:spacing w:line="240" w:lineRule="atLeast"/>
        <w:rPr>
          <w:szCs w:val="21"/>
        </w:rPr>
        <w:sectPr>
          <w:pgSz w:w="16838" w:h="11906" w:orient="landscape"/>
          <w:pgMar w:top="1276" w:right="1440" w:bottom="1797" w:left="1525" w:header="856" w:footer="992" w:gutter="0"/>
          <w:cols w:space="425" w:num="1"/>
          <w:docGrid w:linePitch="312" w:charSpace="0"/>
        </w:sectPr>
      </w:pPr>
      <w:bookmarkStart w:id="121" w:name="_Hlk533930396"/>
    </w:p>
    <w:bookmarkEnd w:id="121"/>
    <w:sdt>
      <w:sdtPr>
        <w:rPr>
          <w:rFonts w:ascii="宋体" w:hAnsi="宋体" w:cs="宋体"/>
          <w:b w:val="0"/>
          <w:bCs w:val="0"/>
          <w:kern w:val="0"/>
          <w:szCs w:val="24"/>
        </w:rPr>
        <w:alias w:val="模块:公司基本情况"/>
        <w:tag w:val="_GBC_c49d72d4b04e4ead97addb731e9b6458"/>
        <w:id w:val="-808168196"/>
        <w:lock w:val="sdtLocked"/>
        <w:placeholder>
          <w:docPart w:val="GBC22222222222222222222222222222"/>
        </w:placeholder>
      </w:sdtPr>
      <w:sdtEndPr>
        <w:rPr>
          <w:rFonts w:hint="eastAsia" w:cs="Times New Roman" w:asciiTheme="minorEastAsia" w:hAnsiTheme="minorEastAsia" w:eastAsiaTheme="minorEastAsia"/>
          <w:b w:val="0"/>
          <w:bCs w:val="0"/>
          <w:kern w:val="2"/>
          <w:szCs w:val="24"/>
        </w:rPr>
      </w:sdtEndPr>
      <w:sdtContent>
        <w:p>
          <w:pPr>
            <w:pStyle w:val="113"/>
            <w:numPr>
              <w:ilvl w:val="0"/>
              <w:numId w:val="49"/>
            </w:numPr>
            <w:rPr>
              <w:rFonts w:ascii="宋体" w:hAnsi="宋体"/>
            </w:rPr>
          </w:pPr>
          <w:r>
            <w:rPr>
              <w:rFonts w:ascii="宋体" w:hAnsi="宋体"/>
            </w:rPr>
            <w:t>公司基本情况</w:t>
          </w:r>
        </w:p>
        <w:p>
          <w:pPr>
            <w:pStyle w:val="114"/>
            <w:numPr>
              <w:ilvl w:val="0"/>
              <w:numId w:val="50"/>
            </w:numPr>
          </w:pPr>
          <w:r>
            <w:rPr>
              <w:rFonts w:hint="eastAsia"/>
            </w:rPr>
            <w:t>公司概况</w:t>
          </w:r>
        </w:p>
        <w:sdt>
          <w:sdtPr>
            <w:rPr>
              <w:rFonts w:hint="eastAsia"/>
              <w:szCs w:val="21"/>
            </w:rPr>
            <w:alias w:val="是否适用：公司概况[双击切换]"/>
            <w:tag w:val="_GBC_7b613deb8c7f4027b73602e5cd1d4a2e"/>
            <w:id w:val="-9062164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ascii="Arial Narrow" w:hAnsi="Arial Narrow"/>
              <w:bCs w:val="0"/>
              <w:szCs w:val="21"/>
            </w:rPr>
            <w:alias w:val="公司概况"/>
            <w:tag w:val="_GBC_dfec127af3a7441dade8cb0f67119e66"/>
            <w:id w:val="1686792851"/>
            <w:lock w:val="sdtLocked"/>
            <w:placeholder>
              <w:docPart w:val="GBC22222222222222222222222222222"/>
            </w:placeholder>
          </w:sdtPr>
          <w:sdtEndPr>
            <w:rPr>
              <w:rFonts w:asciiTheme="minorEastAsia" w:hAnsiTheme="minorEastAsia" w:eastAsiaTheme="minorEastAsia"/>
              <w:b w:val="0"/>
              <w:bCs w:val="0"/>
              <w:szCs w:val="21"/>
            </w:rPr>
          </w:sdtEndPr>
          <w:sdtContent>
            <w:p>
              <w:pPr>
                <w:pStyle w:val="114"/>
                <w:numPr>
                  <w:ilvl w:val="1"/>
                  <w:numId w:val="51"/>
                </w:numPr>
                <w:snapToGrid w:val="0"/>
                <w:spacing w:before="0" w:after="0" w:line="360" w:lineRule="auto"/>
                <w:ind w:left="840"/>
                <w:rPr>
                  <w:rFonts w:asciiTheme="minorEastAsia" w:hAnsiTheme="minorEastAsia" w:eastAsiaTheme="minorEastAsia"/>
                </w:rPr>
              </w:pPr>
              <w:r>
                <w:rPr>
                  <w:rFonts w:asciiTheme="minorEastAsia" w:hAnsiTheme="minorEastAsia" w:eastAsiaTheme="minorEastAsia"/>
                </w:rPr>
                <w:t>公司注册地、组织形式和总部地址</w:t>
              </w:r>
            </w:p>
            <w:p>
              <w:pPr>
                <w:widowControl w:val="0"/>
                <w:snapToGrid w:val="0"/>
                <w:spacing w:line="360" w:lineRule="auto"/>
                <w:ind w:firstLine="420" w:firstLineChars="200"/>
                <w:jc w:val="both"/>
                <w:rPr>
                  <w:rFonts w:asciiTheme="minorEastAsia" w:hAnsiTheme="minorEastAsia" w:eastAsiaTheme="minorEastAsia"/>
                </w:rPr>
              </w:pPr>
              <w:r>
                <w:rPr>
                  <w:rFonts w:hint="eastAsia" w:asciiTheme="minorEastAsia" w:hAnsiTheme="minorEastAsia" w:eastAsiaTheme="minorEastAsia"/>
                </w:rPr>
                <w:t>力帆科技（集团）股份有限公司（以下简称公司或本公司）前身为力帆实业（集团）股份有限公司，现持有统一社会信用代码为915000006220209463的营业执照。公司于2010年11月25日在上海证券交易所上市，股票代码：601777。</w:t>
              </w:r>
            </w:p>
            <w:p>
              <w:pPr>
                <w:widowControl w:val="0"/>
                <w:snapToGrid w:val="0"/>
                <w:spacing w:line="360" w:lineRule="auto"/>
                <w:ind w:firstLine="420" w:firstLineChars="200"/>
                <w:jc w:val="both"/>
                <w:rPr>
                  <w:rFonts w:asciiTheme="minorEastAsia" w:hAnsiTheme="minorEastAsia" w:eastAsiaTheme="minorEastAsia"/>
                </w:rPr>
              </w:pPr>
              <w:r>
                <w:rPr>
                  <w:rFonts w:hint="eastAsia" w:asciiTheme="minorEastAsia" w:hAnsiTheme="minorEastAsia" w:eastAsiaTheme="minorEastAsia"/>
                </w:rPr>
                <w:t>经过历年的派送红股、增发新股及资本公积转增股本，截至202</w:t>
              </w:r>
              <w:r>
                <w:rPr>
                  <w:rFonts w:asciiTheme="minorEastAsia" w:hAnsiTheme="minorEastAsia" w:eastAsiaTheme="minorEastAsia"/>
                </w:rPr>
                <w:t>1</w:t>
              </w:r>
              <w:r>
                <w:rPr>
                  <w:rFonts w:hint="eastAsia" w:asciiTheme="minorEastAsia" w:hAnsiTheme="minorEastAsia" w:eastAsiaTheme="minorEastAsia"/>
                </w:rPr>
                <w:t>年12月31日，本公司注册资本：</w:t>
              </w:r>
              <w:r>
                <w:rPr>
                  <w:rFonts w:asciiTheme="minorEastAsia" w:hAnsiTheme="minorEastAsia" w:eastAsiaTheme="minorEastAsia"/>
                </w:rPr>
                <w:t>4,500,000,000.00</w:t>
              </w:r>
              <w:r>
                <w:rPr>
                  <w:rFonts w:hint="eastAsia" w:asciiTheme="minorEastAsia" w:hAnsiTheme="minorEastAsia" w:eastAsiaTheme="minorEastAsia"/>
                </w:rPr>
                <w:t>元，注册地址：重庆市两江新区金山大道黄环北路2号，总部地址：重庆市北碚区凤栖路16号。</w:t>
              </w:r>
            </w:p>
            <w:p>
              <w:pPr>
                <w:widowControl w:val="0"/>
                <w:snapToGrid w:val="0"/>
                <w:spacing w:line="360" w:lineRule="auto"/>
                <w:ind w:firstLine="420" w:firstLineChars="200"/>
                <w:jc w:val="both"/>
                <w:rPr>
                  <w:rFonts w:asciiTheme="minorEastAsia" w:hAnsiTheme="minorEastAsia" w:eastAsiaTheme="minorEastAsia"/>
                </w:rPr>
              </w:pPr>
              <w:r>
                <w:rPr>
                  <w:rFonts w:hint="eastAsia" w:asciiTheme="minorEastAsia" w:hAnsiTheme="minorEastAsia" w:eastAsiaTheme="minorEastAsia"/>
                </w:rPr>
                <w:t>2020年公司进行破产重整，根据重整计划中的出资人权益调整方案，公司以资本公积金转增股票3,214,173,721股。转增股票不向原股东分配，全部由重整投资人有条件受让。重庆满江红股权投资基金合伙企业（有限合伙）、重庆江河汇企业管理有限责任公司分别受让公司1,349,550,000股和900,000,000股转增股票，占重整并完成限售股回购注销后公司总股本的29.99%、20.00%。公司控股股东变更为重庆满江红股权投资基金合伙企业（有限合伙），实际控制人变更为重庆满江红企业管理有限公司。</w:t>
              </w:r>
            </w:p>
            <w:p>
              <w:pPr>
                <w:pStyle w:val="114"/>
                <w:numPr>
                  <w:ilvl w:val="1"/>
                  <w:numId w:val="51"/>
                </w:numPr>
                <w:snapToGrid w:val="0"/>
                <w:spacing w:before="0" w:after="0" w:line="360" w:lineRule="auto"/>
                <w:ind w:left="840"/>
                <w:rPr>
                  <w:rFonts w:asciiTheme="minorEastAsia" w:hAnsiTheme="minorEastAsia" w:eastAsiaTheme="minorEastAsia"/>
                </w:rPr>
              </w:pPr>
              <w:r>
                <w:rPr>
                  <w:rFonts w:asciiTheme="minorEastAsia" w:hAnsiTheme="minorEastAsia" w:eastAsiaTheme="minorEastAsia"/>
                </w:rPr>
                <w:t>公司业务性质和主要经营活动</w:t>
              </w:r>
            </w:p>
            <w:p>
              <w:pPr>
                <w:widowControl w:val="0"/>
                <w:snapToGrid w:val="0"/>
                <w:spacing w:line="360" w:lineRule="auto"/>
                <w:ind w:firstLine="420" w:firstLineChars="200"/>
                <w:jc w:val="both"/>
                <w:rPr>
                  <w:rFonts w:asciiTheme="minorEastAsia" w:hAnsiTheme="minorEastAsia" w:eastAsiaTheme="minorEastAsia"/>
                </w:rPr>
              </w:pPr>
              <w:r>
                <w:rPr>
                  <w:rFonts w:hint="eastAsia" w:asciiTheme="minorEastAsia" w:hAnsiTheme="minorEastAsia" w:eastAsiaTheme="minorEastAsia"/>
                </w:rPr>
                <w:t>本公司属制造行业。主要产品为汽车、汽车发动机、摩托车、摩托车发动机。经营范围为：研制、开发、生产、销售：汽车、汽车发动机、摩托车、摩托车发动机、车辆配件、摩托车配件、小型汽油机及配件、电动自行车及配件、汽油机助力车及配件；销售：有色金属（不含贵金属）、金属材料、金属制品、白银饰品、计算机、体育（限汽车、摩托车运动）及运动产品（不含研制、生产）；为本企业研制、生产、销售的产品提供售后服务；经营本企业研制开发的技术和生产的科技产品的出口业务；经营本企业科研和生产所需的技术、原辅材料、机械设备、仪器仪表、零配件的进口业务，经营本企业的进料加工和“三来一补”业务；经济信息咨询服务；批发、零售：润滑油、润滑脂；普通货运（除依法须经批准的项目外，凭营业执照依法自主开展经营活动）。</w:t>
              </w:r>
            </w:p>
            <w:p>
              <w:pPr>
                <w:pStyle w:val="114"/>
                <w:numPr>
                  <w:ilvl w:val="1"/>
                  <w:numId w:val="51"/>
                </w:numPr>
                <w:snapToGrid w:val="0"/>
                <w:spacing w:before="0" w:after="0" w:line="360" w:lineRule="auto"/>
                <w:ind w:left="840"/>
                <w:rPr>
                  <w:rFonts w:asciiTheme="minorEastAsia" w:hAnsiTheme="minorEastAsia" w:eastAsiaTheme="minorEastAsia"/>
                </w:rPr>
              </w:pPr>
              <w:r>
                <w:rPr>
                  <w:rFonts w:asciiTheme="minorEastAsia" w:hAnsiTheme="minorEastAsia" w:eastAsiaTheme="minorEastAsia"/>
                </w:rPr>
                <w:t>财务报表的批准报出</w:t>
              </w:r>
            </w:p>
            <w:p>
              <w:pPr>
                <w:pStyle w:val="198"/>
                <w:widowControl w:val="0"/>
                <w:snapToGrid w:val="0"/>
                <w:spacing w:beforeLines="0" w:afterLines="0"/>
                <w:ind w:left="840" w:firstLine="0"/>
                <w:jc w:val="both"/>
                <w:outlineLvl w:val="2"/>
                <w:rPr>
                  <w:rFonts w:asciiTheme="minorEastAsia" w:hAnsiTheme="minorEastAsia" w:eastAsiaTheme="minorEastAsia"/>
                  <w:b w:val="0"/>
                </w:rPr>
              </w:pPr>
              <w:r>
                <w:rPr>
                  <w:rFonts w:asciiTheme="minorEastAsia" w:hAnsiTheme="minorEastAsia" w:eastAsiaTheme="minorEastAsia"/>
                  <w:b w:val="0"/>
                </w:rPr>
                <w:t>本财务报表业经公司董事会于202</w:t>
              </w:r>
              <w:r>
                <w:rPr>
                  <w:rFonts w:hint="eastAsia" w:asciiTheme="minorEastAsia" w:hAnsiTheme="minorEastAsia" w:eastAsiaTheme="minorEastAsia"/>
                  <w:b w:val="0"/>
                </w:rPr>
                <w:t>2</w:t>
              </w:r>
              <w:r>
                <w:rPr>
                  <w:rFonts w:asciiTheme="minorEastAsia" w:hAnsiTheme="minorEastAsia" w:eastAsiaTheme="minorEastAsia"/>
                  <w:b w:val="0"/>
                </w:rPr>
                <w:t>年</w:t>
              </w:r>
              <w:r>
                <w:rPr>
                  <w:rFonts w:cs="Arial" w:asciiTheme="minorEastAsia" w:hAnsiTheme="minorEastAsia" w:eastAsiaTheme="minorEastAsia"/>
                  <w:b w:val="0"/>
                </w:rPr>
                <w:t>4</w:t>
              </w:r>
              <w:r>
                <w:rPr>
                  <w:rFonts w:asciiTheme="minorEastAsia" w:hAnsiTheme="minorEastAsia" w:eastAsiaTheme="minorEastAsia"/>
                  <w:b w:val="0"/>
                </w:rPr>
                <w:t>月</w:t>
              </w:r>
              <w:r>
                <w:rPr>
                  <w:rFonts w:cs="Arial" w:asciiTheme="minorEastAsia" w:hAnsiTheme="minorEastAsia" w:eastAsiaTheme="minorEastAsia"/>
                  <w:b w:val="0"/>
                </w:rPr>
                <w:t>22</w:t>
              </w:r>
              <w:r>
                <w:rPr>
                  <w:rFonts w:asciiTheme="minorEastAsia" w:hAnsiTheme="minorEastAsia" w:eastAsiaTheme="minorEastAsia"/>
                  <w:b w:val="0"/>
                </w:rPr>
                <w:t>日批准报出。</w:t>
              </w:r>
            </w:p>
          </w:sdtContent>
        </w:sdt>
        <w:p>
          <w:pPr>
            <w:pStyle w:val="114"/>
            <w:numPr>
              <w:ilvl w:val="0"/>
              <w:numId w:val="50"/>
            </w:numPr>
            <w:spacing w:before="0" w:after="0" w:line="360" w:lineRule="auto"/>
            <w:rPr>
              <w:rFonts w:asciiTheme="minorEastAsia" w:hAnsiTheme="minorEastAsia" w:eastAsiaTheme="minorEastAsia"/>
              <w:szCs w:val="21"/>
            </w:rPr>
          </w:pPr>
          <w:r>
            <w:rPr>
              <w:rFonts w:hint="eastAsia" w:asciiTheme="minorEastAsia" w:hAnsiTheme="minorEastAsia" w:eastAsiaTheme="minorEastAsia"/>
              <w:szCs w:val="21"/>
            </w:rPr>
            <w:t>合并财务</w:t>
          </w:r>
          <w:r>
            <w:rPr>
              <w:rFonts w:hint="eastAsia" w:asciiTheme="minorEastAsia" w:hAnsiTheme="minorEastAsia" w:eastAsiaTheme="minorEastAsia"/>
            </w:rPr>
            <w:t>报表</w:t>
          </w:r>
          <w:r>
            <w:rPr>
              <w:rFonts w:hint="eastAsia" w:asciiTheme="minorEastAsia" w:hAnsiTheme="minorEastAsia" w:eastAsiaTheme="minorEastAsia"/>
              <w:szCs w:val="21"/>
            </w:rPr>
            <w:t>范围</w:t>
          </w:r>
        </w:p>
        <w:sdt>
          <w:sdtPr>
            <w:rPr>
              <w:rFonts w:hint="eastAsia" w:asciiTheme="minorEastAsia" w:hAnsiTheme="minorEastAsia" w:eastAsiaTheme="minorEastAsia"/>
              <w:szCs w:val="21"/>
            </w:rPr>
            <w:alias w:val="是否适用：合并财务报表范围[双击切换]"/>
            <w:tag w:val="_GBC_a91e4e947d164f9a9ca7d1c18bebd2db"/>
            <w:id w:val="-171343479"/>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szCs w:val="21"/>
            </w:rPr>
            <w:alias w:val="本年度合并财务报表范围"/>
            <w:tag w:val="_GBC_696c121eead146fba6371fa5b371b2fc"/>
            <w:id w:val="-833304831"/>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本公司20</w:t>
              </w:r>
              <w:r>
                <w:rPr>
                  <w:rFonts w:asciiTheme="minorEastAsia" w:hAnsiTheme="minorEastAsia" w:eastAsiaTheme="minorEastAsia"/>
                </w:rPr>
                <w:t>21</w:t>
              </w:r>
              <w:r>
                <w:rPr>
                  <w:rFonts w:hint="eastAsia" w:asciiTheme="minorEastAsia" w:hAnsiTheme="minorEastAsia" w:eastAsiaTheme="minorEastAsia"/>
                </w:rPr>
                <w:t>年度纳入合并范围的子公司共</w:t>
              </w:r>
              <w:r>
                <w:rPr>
                  <w:rFonts w:asciiTheme="minorEastAsia" w:hAnsiTheme="minorEastAsia" w:eastAsiaTheme="minorEastAsia"/>
                </w:rPr>
                <w:t>6</w:t>
              </w:r>
              <w:r>
                <w:rPr>
                  <w:rFonts w:hint="eastAsia" w:asciiTheme="minorEastAsia" w:hAnsiTheme="minorEastAsia" w:eastAsiaTheme="minorEastAsia"/>
                </w:rPr>
                <w:t>1户，详见第十节财务报告九“在其他主体中的权益”。本公司本年度合并范围比上年度增加3户，减少</w:t>
              </w:r>
              <w:r>
                <w:rPr>
                  <w:rFonts w:asciiTheme="minorEastAsia" w:hAnsiTheme="minorEastAsia" w:eastAsiaTheme="minorEastAsia"/>
                </w:rPr>
                <w:t>8</w:t>
              </w:r>
              <w:r>
                <w:rPr>
                  <w:rFonts w:hint="eastAsia" w:asciiTheme="minorEastAsia" w:hAnsiTheme="minorEastAsia" w:eastAsiaTheme="minorEastAsia"/>
                </w:rPr>
                <w:t>户，详见第十节财务报告八“合并范围的变更”。</w:t>
              </w:r>
            </w:p>
            <w:p>
              <w:pPr>
                <w:spacing w:line="360" w:lineRule="auto"/>
                <w:rPr>
                  <w:rFonts w:asciiTheme="minorEastAsia" w:hAnsiTheme="minorEastAsia" w:eastAsiaTheme="minorEastAsia"/>
                  <w:szCs w:val="21"/>
                </w:rPr>
              </w:pPr>
            </w:p>
          </w:sdtContent>
        </w:sdt>
        <w:p>
          <w:pPr>
            <w:spacing w:line="360" w:lineRule="auto"/>
            <w:rPr>
              <w:rFonts w:asciiTheme="minorEastAsia" w:hAnsiTheme="minorEastAsia" w:eastAsiaTheme="minorEastAsia"/>
              <w:szCs w:val="21"/>
            </w:rPr>
          </w:pPr>
        </w:p>
      </w:sdtContent>
    </w:sdt>
    <w:p>
      <w:pPr>
        <w:pStyle w:val="113"/>
        <w:numPr>
          <w:ilvl w:val="0"/>
          <w:numId w:val="49"/>
        </w:numPr>
        <w:spacing w:before="0" w:after="0" w:line="360" w:lineRule="auto"/>
        <w:rPr>
          <w:rFonts w:asciiTheme="minorEastAsia" w:hAnsiTheme="minorEastAsia" w:eastAsiaTheme="minorEastAsia"/>
        </w:rPr>
      </w:pPr>
      <w:r>
        <w:rPr>
          <w:rFonts w:hint="eastAsia" w:asciiTheme="minorEastAsia" w:hAnsiTheme="minorEastAsia" w:eastAsiaTheme="minorEastAsia"/>
        </w:rPr>
        <w:t>财务报表的编制基础</w:t>
      </w:r>
    </w:p>
    <w:sdt>
      <w:sdtPr>
        <w:rPr>
          <w:rFonts w:cs="宋体" w:asciiTheme="minorEastAsia" w:hAnsiTheme="minorEastAsia" w:eastAsiaTheme="minorEastAsia"/>
          <w:b w:val="0"/>
          <w:bCs w:val="0"/>
          <w:kern w:val="0"/>
          <w:szCs w:val="22"/>
        </w:rPr>
        <w:alias w:val="模块:财务报表的编制基础"/>
        <w:tag w:val="_GBC_6d12949d3695402592266a78137dcfb5"/>
        <w:id w:val="-2140323816"/>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2"/>
            </w:numPr>
            <w:spacing w:before="0" w:after="0" w:line="360" w:lineRule="auto"/>
            <w:rPr>
              <w:rFonts w:asciiTheme="minorEastAsia" w:hAnsiTheme="minorEastAsia" w:eastAsiaTheme="minorEastAsia"/>
            </w:rPr>
          </w:pPr>
          <w:r>
            <w:rPr>
              <w:rFonts w:asciiTheme="minorEastAsia" w:hAnsiTheme="minorEastAsia" w:eastAsiaTheme="minorEastAsia"/>
            </w:rPr>
            <w:t>编制基础</w:t>
          </w:r>
        </w:p>
        <w:sdt>
          <w:sdtPr>
            <w:rPr>
              <w:rFonts w:hint="eastAsia" w:asciiTheme="minorEastAsia" w:hAnsiTheme="minorEastAsia" w:eastAsiaTheme="minorEastAsia"/>
            </w:rPr>
            <w:alias w:val="财务报表的编制基础"/>
            <w:tag w:val="_GBC_1dc2375ed7ab49628f5badf2d5006405"/>
            <w:id w:val="-1371299333"/>
            <w:lock w:val="sdtLocked"/>
            <w:placeholder>
              <w:docPart w:val="GBC22222222222222222222222222222"/>
            </w:placeholder>
          </w:sdtPr>
          <w:sdtEndPr>
            <w:rPr>
              <w:rFonts w:hint="eastAsia" w:asciiTheme="minorEastAsia" w:hAnsiTheme="minorEastAsia" w:eastAsiaTheme="minorEastAsia"/>
            </w:rPr>
          </w:sdtEndPr>
          <w:sdtContent>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本公司以持续经营为基础，根据实际发生的交易和事项，按照财政部颁布的《企业会计准则-基本准则》及具体会计准则、应用指南、解释以及其他相关规定进行确认和计量，在此基础上编制财务报表。</w:t>
              </w:r>
            </w:p>
          </w:sdtContent>
        </w:sdt>
      </w:sdtContent>
    </w:sdt>
    <w:sdt>
      <w:sdtPr>
        <w:rPr>
          <w:rFonts w:hint="eastAsia" w:cs="宋体" w:asciiTheme="minorEastAsia" w:hAnsiTheme="minorEastAsia" w:eastAsiaTheme="minorEastAsia"/>
          <w:b w:val="0"/>
          <w:bCs w:val="0"/>
          <w:kern w:val="0"/>
          <w:szCs w:val="22"/>
        </w:rPr>
        <w:alias w:val="模块:持续经营"/>
        <w:tag w:val="_GBC_69ae6baeacb44e8fa17b0b984abbf6ab"/>
        <w:id w:val="-1380626597"/>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2"/>
            </w:numPr>
            <w:spacing w:before="0" w:after="0" w:line="360" w:lineRule="auto"/>
            <w:rPr>
              <w:rFonts w:asciiTheme="minorEastAsia" w:hAnsiTheme="minorEastAsia" w:eastAsiaTheme="minorEastAsia"/>
            </w:rPr>
          </w:pPr>
          <w:r>
            <w:rPr>
              <w:rFonts w:hint="eastAsia" w:asciiTheme="minorEastAsia" w:hAnsiTheme="minorEastAsia" w:eastAsiaTheme="minorEastAsia"/>
            </w:rPr>
            <w:t>持续经营</w:t>
          </w:r>
        </w:p>
        <w:sdt>
          <w:sdtPr>
            <w:rPr>
              <w:rFonts w:hint="eastAsia" w:asciiTheme="minorEastAsia" w:hAnsiTheme="minorEastAsia" w:eastAsiaTheme="minorEastAsia"/>
              <w:szCs w:val="21"/>
            </w:rPr>
            <w:alias w:val="是否适用：持续经营[双击切换]"/>
            <w:tag w:val="_GBC_fa7177dc4f164e56b4df7bebc60acf50"/>
            <w:id w:val="1022285760"/>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szCs w:val="21"/>
            </w:rPr>
            <w:alias w:val="持续经营"/>
            <w:tag w:val="_GBC_dc876c24006b428987a041949eb554f3"/>
            <w:id w:val="1434866720"/>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rPr>
              </w:pPr>
              <w:r>
                <w:rPr>
                  <w:rFonts w:asciiTheme="minorEastAsia" w:hAnsiTheme="minorEastAsia" w:eastAsiaTheme="minorEastAsia"/>
                </w:rPr>
                <w:t>本公司对报告期末起12个月的持续经营能力进行了评价，未发现对持续经营能力产生重大怀疑的事项或情况。因此，本财务报表系在持续经营假设的基础上编制。</w:t>
              </w:r>
            </w:p>
          </w:sdtContent>
        </w:sdt>
        <w:p>
          <w:pPr>
            <w:spacing w:line="360" w:lineRule="auto"/>
            <w:rPr>
              <w:rFonts w:asciiTheme="minorEastAsia" w:hAnsiTheme="minorEastAsia" w:eastAsiaTheme="minorEastAsia"/>
              <w:szCs w:val="21"/>
            </w:rPr>
          </w:pPr>
        </w:p>
      </w:sdtContent>
    </w:sdt>
    <w:p>
      <w:pPr>
        <w:pStyle w:val="113"/>
        <w:numPr>
          <w:ilvl w:val="0"/>
          <w:numId w:val="49"/>
        </w:numPr>
        <w:spacing w:before="0" w:after="0" w:line="360" w:lineRule="auto"/>
        <w:rPr>
          <w:rFonts w:asciiTheme="minorEastAsia" w:hAnsiTheme="minorEastAsia" w:eastAsiaTheme="minorEastAsia"/>
        </w:rPr>
      </w:pPr>
      <w:r>
        <w:rPr>
          <w:rFonts w:hint="eastAsia" w:asciiTheme="minorEastAsia" w:hAnsiTheme="minorEastAsia" w:eastAsiaTheme="minorEastAsia"/>
        </w:rPr>
        <w:t>重</w:t>
      </w:r>
      <w:r>
        <w:rPr>
          <w:rFonts w:asciiTheme="minorEastAsia" w:hAnsiTheme="minorEastAsia" w:eastAsiaTheme="minorEastAsia"/>
        </w:rPr>
        <w:t>要会计政策</w:t>
      </w:r>
      <w:r>
        <w:rPr>
          <w:rFonts w:hint="eastAsia" w:asciiTheme="minorEastAsia" w:hAnsiTheme="minorEastAsia" w:eastAsiaTheme="minorEastAsia"/>
        </w:rPr>
        <w:t>及</w:t>
      </w:r>
      <w:r>
        <w:rPr>
          <w:rFonts w:asciiTheme="minorEastAsia" w:hAnsiTheme="minorEastAsia" w:eastAsiaTheme="minorEastAsia"/>
        </w:rPr>
        <w:t>会计估计</w:t>
      </w:r>
    </w:p>
    <w:sdt>
      <w:sdtPr>
        <w:rPr>
          <w:rFonts w:asciiTheme="minorEastAsia" w:hAnsiTheme="minorEastAsia" w:eastAsiaTheme="minorEastAsia"/>
        </w:rPr>
        <w:alias w:val="模块:具体会计政策和会计估计提示"/>
        <w:tag w:val="_GBC_03d97fea34d045cb980749ccc6860a5a"/>
        <w:id w:val="-647130801"/>
        <w:lock w:val="sdtLocked"/>
        <w:placeholder>
          <w:docPart w:val="GBC22222222222222222222222222222"/>
        </w:placeholder>
      </w:sdtPr>
      <w:sdtEndPr>
        <w:rPr>
          <w:rFonts w:asciiTheme="minorEastAsia" w:hAnsiTheme="minorEastAsia" w:eastAsiaTheme="minorEastAsia"/>
        </w:rPr>
      </w:sdtEndPr>
      <w:sdtContent>
        <w:p>
          <w:pPr>
            <w:spacing w:line="360" w:lineRule="auto"/>
            <w:rPr>
              <w:rFonts w:asciiTheme="minorEastAsia" w:hAnsiTheme="minorEastAsia" w:eastAsiaTheme="minorEastAsia"/>
            </w:rPr>
          </w:pPr>
          <w:r>
            <w:rPr>
              <w:rFonts w:hint="eastAsia" w:asciiTheme="minorEastAsia" w:hAnsiTheme="minorEastAsia" w:eastAsiaTheme="minorEastAsia"/>
            </w:rPr>
            <w:t>具体会计政策和会计估计提示：</w:t>
          </w:r>
        </w:p>
        <w:sdt>
          <w:sdtPr>
            <w:rPr>
              <w:rFonts w:asciiTheme="minorEastAsia" w:hAnsiTheme="minorEastAsia" w:eastAsiaTheme="minorEastAsia"/>
            </w:rPr>
            <w:alias w:val="是否适用：具体会计政策和会计估计提示[双击切换]"/>
            <w:tag w:val="_GBC_86fd142a599649f8a3574e6ddaba5f71"/>
            <w:id w:val="-1331208514"/>
            <w:lock w:val="sdtLocked"/>
            <w:placeholder>
              <w:docPart w:val="GBC22222222222222222222222222222"/>
            </w:placeholder>
          </w:sdtPr>
          <w:sdtEndPr>
            <w:rPr>
              <w:rFonts w:asciiTheme="minorEastAsia" w:hAnsiTheme="minorEastAsia" w:eastAsiaTheme="minorEastAsia"/>
            </w:rPr>
          </w:sdtEndPr>
          <w:sdtContent>
            <w:p>
              <w:pPr>
                <w:spacing w:line="360" w:lineRule="auto"/>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asciiTheme="minorEastAsia" w:hAnsiTheme="minorEastAsia" w:eastAsiaTheme="minorEastAsia"/>
            </w:rPr>
            <w:alias w:val="具体会计政策和会计估计提示"/>
            <w:tag w:val="_GBC_caddaeaf0d1a454ab0bede37f0db7782"/>
            <w:id w:val="-89239509"/>
            <w:lock w:val="sdtLocked"/>
            <w:placeholder>
              <w:docPart w:val="GBC22222222222222222222222222222"/>
            </w:placeholder>
          </w:sdtPr>
          <w:sdtEndPr>
            <w:rPr>
              <w:rFonts w:asciiTheme="minorEastAsia" w:hAnsiTheme="minorEastAsia" w:eastAsiaTheme="minorEastAsia"/>
            </w:rPr>
          </w:sdtEndPr>
          <w:sdtContent>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公司根据实际生产经营特点，依据相关企业会计准则的规定，对应收账款坏账计提方法、固定资产折旧和无形资产摊销、收入确认、研究开发支出等交易和事项制定了若干项具体会计政策和会计估计。关于管理层所作出的重大会计判断和估计的说明，请参阅第十节财务报告五、12应收款项、第十节财务报告五、23固定资产、第十节财务报告五、29无形资产、第十节财务报告五、38收入各项描述。</w:t>
              </w:r>
            </w:p>
          </w:sdtContent>
        </w:sdt>
      </w:sdtContent>
    </w:sdt>
    <w:sdt>
      <w:sdtPr>
        <w:rPr>
          <w:rFonts w:cs="宋体" w:asciiTheme="minorEastAsia" w:hAnsiTheme="minorEastAsia" w:eastAsiaTheme="minorEastAsia"/>
          <w:b w:val="0"/>
          <w:bCs w:val="0"/>
          <w:kern w:val="0"/>
          <w:szCs w:val="22"/>
        </w:rPr>
        <w:alias w:val="模块:遵循企业会计准则的声明"/>
        <w:tag w:val="_GBC_a0afbb5b3a444bce84ee78a2a282cb28"/>
        <w:id w:val="1077859963"/>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遵循企业会计准则的声明</w:t>
          </w:r>
        </w:p>
        <w:sdt>
          <w:sdtPr>
            <w:rPr>
              <w:rFonts w:hint="eastAsia" w:asciiTheme="minorEastAsia" w:hAnsiTheme="minorEastAsia" w:eastAsiaTheme="minorEastAsia"/>
            </w:rPr>
            <w:alias w:val="会计准则和会计制度"/>
            <w:tag w:val="_GBC_a350b889163a4ef3bb500c021e6a6b47"/>
            <w:id w:val="-436984332"/>
            <w:lock w:val="sdtLocked"/>
            <w:placeholder>
              <w:docPart w:val="GBC22222222222222222222222222222"/>
            </w:placeholder>
          </w:sdtPr>
          <w:sdtEndPr>
            <w:rPr>
              <w:rFonts w:hint="eastAsia" w:asciiTheme="minorEastAsia" w:hAnsiTheme="minorEastAsia" w:eastAsiaTheme="minorEastAsia"/>
            </w:rPr>
          </w:sdtEndPr>
          <w:sdtContent>
            <w:p>
              <w:pPr>
                <w:pStyle w:val="284"/>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本公司编制的财务报表符合企业会计准则的要求，真实、完整地反映了本公司的财务状况、经营成果和现金流量等有关信息。</w:t>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4"/>
        </w:rPr>
        <w:alias w:val="模块:会计期间"/>
        <w:tag w:val="_GBC_2d7f332501c8461ea731797db5588ee5"/>
        <w:id w:val="976267071"/>
        <w:lock w:val="sdtLocked"/>
        <w:placeholder>
          <w:docPart w:val="GBC22222222222222222222222222222"/>
        </w:placeholder>
      </w:sdtPr>
      <w:sdtEndPr>
        <w:rPr>
          <w:rFonts w:hint="eastAsia" w:cs="宋体" w:asciiTheme="minorEastAsia" w:hAnsiTheme="minorEastAsia" w:eastAsiaTheme="minorEastAsia"/>
          <w:b w:val="0"/>
          <w:bCs w:val="0"/>
          <w:kern w:val="0"/>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会计期间</w:t>
          </w:r>
        </w:p>
        <w:sdt>
          <w:sdtPr>
            <w:rPr>
              <w:rFonts w:hint="eastAsia" w:asciiTheme="minorEastAsia" w:hAnsiTheme="minorEastAsia" w:eastAsiaTheme="minorEastAsia"/>
              <w:szCs w:val="21"/>
            </w:rPr>
            <w:alias w:val="会计年度"/>
            <w:tag w:val="_GBC_fc896fba50b143f8a06984831f5d5600"/>
            <w:id w:val="-1687365103"/>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以公历</w:t>
              </w:r>
              <w:r>
                <w:rPr>
                  <w:rFonts w:asciiTheme="minorEastAsia" w:hAnsiTheme="minorEastAsia" w:eastAsiaTheme="minorEastAsia"/>
                  <w:szCs w:val="21"/>
                </w:rPr>
                <w:t>1月1日起至12月31日止为一个会计年度。</w:t>
              </w:r>
            </w:p>
          </w:sdtContent>
        </w:sdt>
      </w:sdtContent>
    </w:sdt>
    <w:p>
      <w:pPr>
        <w:spacing w:line="360" w:lineRule="auto"/>
        <w:rPr>
          <w:rFonts w:asciiTheme="minorEastAsia" w:hAnsiTheme="minorEastAsia" w:eastAsiaTheme="minorEastAsia"/>
          <w:szCs w:val="21"/>
        </w:rPr>
      </w:pPr>
    </w:p>
    <w:sdt>
      <w:sdtPr>
        <w:rPr>
          <w:rFonts w:hint="eastAsia" w:cs="宋体" w:asciiTheme="minorEastAsia" w:hAnsiTheme="minorEastAsia" w:eastAsiaTheme="minorEastAsia"/>
          <w:b w:val="0"/>
          <w:bCs w:val="0"/>
          <w:kern w:val="0"/>
          <w:szCs w:val="22"/>
        </w:rPr>
        <w:alias w:val="模块:营业周期"/>
        <w:tag w:val="_GBC_b045784ca7904d52a060134ffec0d88c"/>
        <w:id w:val="1798113730"/>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hint="eastAsia" w:asciiTheme="minorEastAsia" w:hAnsiTheme="minorEastAsia" w:eastAsiaTheme="minorEastAsia"/>
            </w:rPr>
            <w:t>营业周期</w:t>
          </w:r>
        </w:p>
        <w:sdt>
          <w:sdtPr>
            <w:rPr>
              <w:rFonts w:hint="eastAsia" w:asciiTheme="minorEastAsia" w:hAnsiTheme="minorEastAsia" w:eastAsiaTheme="minorEastAsia"/>
              <w:szCs w:val="21"/>
            </w:rPr>
            <w:alias w:val="是否适用：营业周期[双击切换]"/>
            <w:tag w:val="_GBC_41bd09d0a4bd429996597e58a613259e"/>
            <w:id w:val="1878202877"/>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szCs w:val="21"/>
            </w:rPr>
            <w:alias w:val="营业周期"/>
            <w:tag w:val="_GBC_e145e43187d9463889884f48e9e0b234"/>
            <w:id w:val="1117635983"/>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ind w:firstLine="420" w:firstLineChars="200"/>
                <w:rPr>
                  <w:rFonts w:asciiTheme="minorEastAsia" w:hAnsiTheme="minorEastAsia" w:eastAsiaTheme="minorEastAsia"/>
                </w:rPr>
              </w:pPr>
              <w:r>
                <w:rPr>
                  <w:rFonts w:asciiTheme="minorEastAsia" w:hAnsiTheme="minorEastAsia" w:eastAsiaTheme="minorEastAsia"/>
                </w:rPr>
                <w:t>本公司以12个月作为一个营业周期，并以其作为资产和负债的流动性划分标准。</w:t>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2"/>
        </w:rPr>
        <w:alias w:val="模块:记账本位币"/>
        <w:tag w:val="_GBC_13b1061968754e20bebf2099281ed54f"/>
        <w:id w:val="-1066251396"/>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记账本位币</w:t>
          </w:r>
        </w:p>
        <w:sdt>
          <w:sdtPr>
            <w:rPr>
              <w:rFonts w:hint="eastAsia" w:asciiTheme="minorEastAsia" w:hAnsiTheme="minorEastAsia" w:eastAsiaTheme="minorEastAsia"/>
            </w:rPr>
            <w:alias w:val="记账本位币"/>
            <w:tag w:val="_GBC_3749a2357eba44e8b968cb41cda75ff1"/>
            <w:id w:val="-1507047803"/>
            <w:lock w:val="sdtLocked"/>
            <w:placeholder>
              <w:docPart w:val="GBC22222222222222222222222222222"/>
            </w:placeholder>
          </w:sdtPr>
          <w:sdtEndPr>
            <w:rPr>
              <w:rFonts w:hint="eastAsia" w:asciiTheme="minorEastAsia" w:hAnsiTheme="minorEastAsia" w:eastAsiaTheme="minorEastAsia"/>
            </w:rPr>
          </w:sdtEndPr>
          <w:sdtContent>
            <w:p>
              <w:pPr>
                <w:pStyle w:val="284"/>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采用人民币为记账本位币。</w:t>
              </w:r>
            </w:p>
          </w:sdtContent>
        </w:sdt>
        <w:p>
          <w:pPr>
            <w:spacing w:line="360" w:lineRule="auto"/>
            <w:rPr>
              <w:rFonts w:asciiTheme="minorEastAsia" w:hAnsiTheme="minorEastAsia" w:eastAsiaTheme="minorEastAsia"/>
              <w:szCs w:val="21"/>
            </w:rPr>
          </w:pPr>
        </w:p>
      </w:sdtContent>
    </w:sdt>
    <w:sdt>
      <w:sdtPr>
        <w:rPr>
          <w:rFonts w:cs="宋体" w:asciiTheme="minorEastAsia" w:hAnsiTheme="minorEastAsia" w:eastAsiaTheme="minorEastAsia"/>
          <w:b w:val="0"/>
          <w:bCs w:val="0"/>
          <w:kern w:val="0"/>
          <w:szCs w:val="22"/>
        </w:rPr>
        <w:alias w:val="模块:同一控制下和非同一控制下企业合并的会计处理方法"/>
        <w:tag w:val="_GBC_f44e1e76b2a3457ea36bc088adcbb4c3"/>
        <w:id w:val="-464427228"/>
        <w:lock w:val="sdtLocked"/>
        <w:placeholder>
          <w:docPart w:val="GBC22222222222222222222222222222"/>
        </w:placeholder>
      </w:sdtPr>
      <w:sdtEndPr>
        <w:rPr>
          <w:rFonts w:hint="eastAsia" w:ascii="宋体" w:hAnsi="宋体" w:eastAsia="宋体" w:cs="Times New Roman"/>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同一控制下和非同一控制下企业合并的会计处理方法</w:t>
          </w:r>
        </w:p>
        <w:sdt>
          <w:sdtPr>
            <w:rPr>
              <w:rFonts w:hint="eastAsia" w:asciiTheme="minorEastAsia" w:hAnsiTheme="minorEastAsia" w:eastAsiaTheme="minorEastAsia"/>
              <w:szCs w:val="21"/>
            </w:rPr>
            <w:alias w:val="是否适用：同一控制下和非同一控制下企业合并的会计处理方法[双击切换]"/>
            <w:tag w:val="_GBC_46d00db18b44411d8dd79543c30557e3"/>
            <w:id w:val="939256730"/>
            <w:lock w:val="sdtLocked"/>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cs="宋体" w:asciiTheme="minorEastAsia" w:hAnsiTheme="minorEastAsia" w:eastAsiaTheme="minorEastAsia"/>
              <w:kern w:val="0"/>
              <w:szCs w:val="24"/>
            </w:rPr>
            <w:alias w:val="同一控制下和非同一控制下企业合并的会计处理方法"/>
            <w:tag w:val="_GBC_ef4b9a8d4ac34f45a0f61a23267bcbb8"/>
            <w:id w:val="-458964453"/>
            <w:lock w:val="sdtLocked"/>
          </w:sdtPr>
          <w:sdtEndPr>
            <w:rPr>
              <w:rFonts w:hint="eastAsia" w:ascii="宋体" w:hAnsi="宋体" w:eastAsia="宋体" w:cs="宋体"/>
              <w:kern w:val="0"/>
              <w:szCs w:val="24"/>
            </w:rPr>
          </w:sdtEndPr>
          <w:sdtContent>
            <w:p>
              <w:pPr>
                <w:pStyle w:val="199"/>
                <w:widowControl w:val="0"/>
                <w:spacing w:before="0" w:beforeAutospacing="0" w:afterLines="0"/>
                <w:ind w:firstLineChars="0"/>
                <w:jc w:val="both"/>
                <w:outlineLvl w:val="3"/>
                <w:rPr>
                  <w:rFonts w:asciiTheme="minorEastAsia" w:hAnsiTheme="minorEastAsia" w:eastAsiaTheme="minorEastAsia"/>
                  <w:bCs/>
                  <w:iCs/>
                </w:rPr>
              </w:pPr>
              <w:r>
                <w:rPr>
                  <w:rFonts w:hint="eastAsia" w:asciiTheme="minorEastAsia" w:hAnsiTheme="minorEastAsia" w:eastAsiaTheme="minorEastAsia"/>
                </w:rPr>
                <w:t xml:space="preserve">1. </w:t>
              </w:r>
              <w:r>
                <w:rPr>
                  <w:rFonts w:hint="eastAsia" w:asciiTheme="minorEastAsia" w:hAnsiTheme="minorEastAsia" w:eastAsiaTheme="minorEastAsia"/>
                  <w:bCs/>
                  <w:iCs/>
                </w:rPr>
                <w:t>同一控制下的企业合并</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参与合并的各方在合并前后均受同一方或相同的多方最终控制且该控制并非暂时性的，为同一控制下企业合并。合并方在企业合并中取得的资产和负债，以被合并方的资产、负债（包括最终控制方收购被合并方而形成的商誉）在最终控制方合并财务报表中的账面价值为基础，进行相关会计处理。合并方取得的净资产账面价值与支付的合并对价账面价值（或发行股份面值总额）的差额，调整资本公积（股本溢价），资本公积（股本溢价）不足以冲减的，调整留存收益。合并日为合并方实际取得对被合并方控制权的日期。</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通过多次交易分步实现的同一控制下企业合并，合并方在取得被合并方控制权之前持有的长期股权投资，在取得原股权之日与合并方和被合并方同处于同一方最终控制之日孰晚日与合并日之间已确认有关损益、其他综合收益和其他所有者权益变动，分别冲减比较报表期间的期初留存收益或当期损益。</w:t>
              </w:r>
            </w:p>
            <w:p>
              <w:pPr>
                <w:pStyle w:val="199"/>
                <w:widowControl w:val="0"/>
                <w:spacing w:before="0" w:beforeAutospacing="0" w:afterLines="0"/>
                <w:ind w:left="210" w:firstLine="0" w:firstLineChars="0"/>
                <w:outlineLvl w:val="3"/>
                <w:rPr>
                  <w:rFonts w:asciiTheme="minorEastAsia" w:hAnsiTheme="minorEastAsia" w:eastAsiaTheme="minorEastAsia"/>
                  <w:bCs/>
                  <w:iCs/>
                </w:rPr>
              </w:pPr>
              <w:r>
                <w:rPr>
                  <w:rFonts w:hint="eastAsia" w:asciiTheme="minorEastAsia" w:hAnsiTheme="minorEastAsia" w:eastAsiaTheme="minorEastAsia"/>
                  <w:bCs/>
                  <w:iCs/>
                </w:rPr>
                <w:t>2. 非同一控制下的企业合并</w:t>
              </w:r>
            </w:p>
            <w:p>
              <w:pPr>
                <w:pStyle w:val="129"/>
                <w:adjustRightInd w:val="0"/>
                <w:snapToGrid w:val="0"/>
                <w:spacing w:line="360" w:lineRule="auto"/>
                <w:ind w:firstLine="420" w:firstLineChars="200"/>
                <w:rPr>
                  <w:rFonts w:asciiTheme="minorEastAsia" w:hAnsiTheme="minorEastAsia" w:eastAsiaTheme="minorEastAsia"/>
                  <w:kern w:val="0"/>
                </w:rPr>
              </w:pPr>
              <w:r>
                <w:rPr>
                  <w:rFonts w:hint="eastAsia" w:asciiTheme="minorEastAsia" w:hAnsiTheme="minorEastAsia" w:eastAsiaTheme="minorEastAsia"/>
                  <w:kern w:val="0"/>
                </w:rPr>
                <w:t>参与合并的各方在合并前后不受同一方或相同的多方最终控制的，为非同一控制下企业合并。购买方支付的合并成本是为取得被购买方控制权而支付的资产、发生或承担的负债以及发行的权益性证券在购买日的公允价值之和。付出资产的公允价值与其账面价值的差额，计入当期损益。购买日是指购买方实际取得对被购买方控制权的日期。</w:t>
              </w:r>
            </w:p>
            <w:p>
              <w:pPr>
                <w:pStyle w:val="129"/>
                <w:adjustRightInd w:val="0"/>
                <w:snapToGrid w:val="0"/>
                <w:spacing w:line="360" w:lineRule="auto"/>
                <w:ind w:firstLine="420" w:firstLineChars="200"/>
                <w:rPr>
                  <w:rFonts w:asciiTheme="minorEastAsia" w:hAnsiTheme="minorEastAsia" w:eastAsiaTheme="minorEastAsia"/>
                  <w:kern w:val="0"/>
                </w:rPr>
              </w:pPr>
              <w:r>
                <w:rPr>
                  <w:rFonts w:hint="eastAsia" w:asciiTheme="minorEastAsia" w:hAnsiTheme="minorEastAsia" w:eastAsiaTheme="minorEastAsia"/>
                  <w:kern w:val="0"/>
                </w:rPr>
                <w:t>购买方在购买日对合并成本进行分配，确认所取得的被购买方各项可辨认资产、负债及或有负债的公允价值。合并成本大于合并中取得的被购买方可辨认净资产公允价值份额的差额，确认为商誉；合并成本小于合并中取得的被购买方可辨认净资产公允价值份额的差额，计入当期损益。</w:t>
              </w:r>
            </w:p>
            <w:p>
              <w:pPr>
                <w:pStyle w:val="129"/>
                <w:adjustRightInd w:val="0"/>
                <w:snapToGrid w:val="0"/>
                <w:spacing w:line="360" w:lineRule="auto"/>
                <w:ind w:firstLine="420" w:firstLineChars="200"/>
                <w:rPr>
                  <w:rFonts w:asciiTheme="minorEastAsia" w:hAnsiTheme="minorEastAsia" w:eastAsiaTheme="minorEastAsia"/>
                  <w:kern w:val="0"/>
                </w:rPr>
              </w:pPr>
              <w:r>
                <w:rPr>
                  <w:rFonts w:hint="eastAsia" w:asciiTheme="minorEastAsia" w:hAnsiTheme="minorEastAsia" w:eastAsiaTheme="minorEastAsia"/>
                  <w:kern w:val="0"/>
                </w:rPr>
                <w:t>通过多次交易分步实现的非同一控制下企业合并，对于购买日之前持有的被购买方的股权，按照该股权在购买日的公允价值进行重新计量，公允价值与其账面价值的差额计入当期投资收益；购买日之前持有的被购买方的股权涉及其他综合收益以及其他所有者权益变动的，与其相关的其他综合收益、其他所有者权益变动转为购买日所属当期投资收益，由于被投资方重新计量设定受益计划净负债或净资产变动而产生的其他综合收益除外。</w:t>
              </w:r>
            </w:p>
            <w:p>
              <w:pPr>
                <w:rPr>
                  <w:rFonts w:cs="Times New Roman"/>
                  <w:kern w:val="2"/>
                  <w:szCs w:val="21"/>
                </w:rPr>
              </w:pPr>
            </w:p>
          </w:sdtContent>
        </w:sdt>
        <w:p>
          <w:pPr>
            <w:rPr>
              <w:rFonts w:cs="Times New Roman"/>
              <w:kern w:val="2"/>
              <w:szCs w:val="21"/>
            </w:rPr>
          </w:pPr>
        </w:p>
      </w:sdtContent>
    </w:sdt>
    <w:p>
      <w:pPr>
        <w:rPr>
          <w:szCs w:val="21"/>
        </w:rPr>
      </w:pPr>
    </w:p>
    <w:sdt>
      <w:sdtPr>
        <w:rPr>
          <w:rFonts w:ascii="宋体" w:hAnsi="宋体" w:cs="宋体"/>
          <w:b w:val="0"/>
          <w:bCs w:val="0"/>
          <w:kern w:val="0"/>
          <w:szCs w:val="24"/>
        </w:rPr>
        <w:alias w:val="模块:合并财务报表的编制方法"/>
        <w:tag w:val="_GBC_c23be25e527044f689b710dabd312b04"/>
        <w:id w:val="-1069886415"/>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合并财务报表的编制方法</w:t>
          </w:r>
        </w:p>
        <w:sdt>
          <w:sdtPr>
            <w:rPr>
              <w:rFonts w:hint="eastAsia" w:asciiTheme="minorEastAsia" w:hAnsiTheme="minorEastAsia" w:eastAsiaTheme="minorEastAsia"/>
              <w:szCs w:val="21"/>
            </w:rPr>
            <w:alias w:val="是否适用：合并财务报表的编制方法[双击切换]"/>
            <w:tag w:val="_GBC_d8312ea572e647a59b796bf708b54713"/>
            <w:id w:val="707381562"/>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rPr>
            <w:alias w:val="企业合并及合并财务报表的说明"/>
            <w:tag w:val="_GBC_5201beca0c0944939b4a0d8d100d6fcf"/>
            <w:id w:val="370725470"/>
            <w:lock w:val="sdtLocked"/>
            <w:placeholder>
              <w:docPart w:val="GBC22222222222222222222222222222"/>
            </w:placeholder>
          </w:sdtPr>
          <w:sdtEndPr>
            <w:rPr>
              <w:rFonts w:hint="eastAsia" w:asciiTheme="minorEastAsia" w:hAnsiTheme="minorEastAsia" w:eastAsiaTheme="minorEastAsia"/>
            </w:rPr>
          </w:sdtEndPr>
          <w:sdtContent>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合并财务报表的合并范围以控制为基础确定，包括本公司及本公司的子公司（指被本公司控制的主体，包括企业、被投资单位中可分割部分、以及企业所控制的结构化主体等）。子公司的经营成果和财务状况由控制开始日起至控制结束日止包含于合并财务报表中。</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本公司通过同一控制下企业合并取得的子公司，在编制合并当期财务报表时，视同被合并子公司在本公司最终控制方对其实施控制时纳入合并范围，并对合并财务报表的期初数以及前期比较报表进行相应调整。</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本公司通过非同一控制下企业合并取得的子公司，在编制合并当期财务报表时，以购买日确定的各项可辨认资产、负债的公允价值为基础对子公司的财务报表进行调整，并自购买日起将被合并子公司纳入合并范围。</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子公司所采用的会计期间或会计政策与本公司不一致时，在编制合并财务报表时按本公司的会计期间或会计政策对子公司的财务报表进行必要的调整。合并范围内企业之间所有重大交易、余额以及未实现损益在编制合并财务报表时予以抵消。内部交易发生的未实现损失，有证据表明该损失是相关资产减值损失的，则不予抵消。</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子公司少数股东应占的权益和损益分别在合并资产负债表中股东权益项目下和合并利润表中净利润项目下单独列示。</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子公司少数股东分担的当期亏损超过了少数股东在该子公司期初所有者权益中所享有的份额的，其余额应当冲减少数股东权益。</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因处置部分股权投资或其他原因丧失了对原有子公司控制权的，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同时冲减商誉。与原有子公司股权投资相关的其他综合收益、其他所有者权益变动，在丧失控制权时转为当期投资收益，由于被投资方重新计量设定受益计划净负债或净资产变动而产生的其他综合收益除外。</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通过多次交易分步处置对子公司股权投资直至丧失控制权的，需考虑各项交易是否构成一揽子交易，处置对子公司股权投资的各项交易的条款、条件以及经济影响符合以下一种或多种情况，表明应将多次交易事项作为一揽子交易进行会计处理：（1）这些交易是同时或者在考虑了彼此影响的情况下订立的；（2）这些交易整体才能达成一项完整的商业结果；（3）一项交易的发生取决于其他至少一项交易的发生；（4）一项交易单独看是不经济的，但是和其他交易一并考虑时是经济的。</w:t>
              </w:r>
            </w:p>
            <w:p>
              <w:pPr>
                <w:pStyle w:val="197"/>
                <w:widowControl w:val="0"/>
                <w:spacing w:before="0" w:beforeAutospacing="0" w:after="0" w:afterAutospacing="0" w:line="360" w:lineRule="auto"/>
                <w:ind w:left="0" w:leftChars="0" w:firstLine="420" w:firstLineChars="200"/>
                <w:jc w:val="both"/>
                <w:rPr>
                  <w:rFonts w:cs="Calibri" w:asciiTheme="minorEastAsia" w:hAnsiTheme="minorEastAsia" w:eastAsiaTheme="minorEastAsia"/>
                  <w:bCs/>
                  <w:kern w:val="0"/>
                </w:rPr>
              </w:pPr>
              <w:r>
                <w:rPr>
                  <w:rFonts w:hint="eastAsia" w:cs="Calibri" w:asciiTheme="minorEastAsia" w:hAnsiTheme="minorEastAsia" w:eastAsiaTheme="minorEastAsia"/>
                  <w:bCs/>
                  <w:kern w:val="0"/>
                </w:rPr>
                <w:t>不属于一揽子交易的，对其中每一项交易分别按照前述进行会计处理；若各项交易属于一揽子交易的，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pPr>
        <w:spacing w:line="360" w:lineRule="auto"/>
        <w:rPr>
          <w:rFonts w:asciiTheme="minorEastAsia" w:hAnsiTheme="minorEastAsia" w:eastAsiaTheme="minorEastAsia"/>
          <w:szCs w:val="21"/>
        </w:rPr>
      </w:pPr>
    </w:p>
    <w:sdt>
      <w:sdtPr>
        <w:rPr>
          <w:rFonts w:hint="eastAsia" w:cs="宋体" w:asciiTheme="minorEastAsia" w:hAnsiTheme="minorEastAsia" w:eastAsiaTheme="minorEastAsia"/>
          <w:b w:val="0"/>
          <w:bCs w:val="0"/>
          <w:kern w:val="0"/>
          <w:szCs w:val="21"/>
        </w:rPr>
        <w:alias w:val="模块:合营安排分类及共同经营会计处理方法"/>
        <w:tag w:val="_GBC_a6643877dd0341e39dee12c064dc6fdc"/>
        <w:id w:val="1862464785"/>
        <w:lock w:val="sdtLocked"/>
        <w:placeholder>
          <w:docPart w:val="GBC22222222222222222222222222222"/>
        </w:placeholder>
      </w:sdtPr>
      <w:sdtEndPr>
        <w:rPr>
          <w:rFonts w:hint="eastAsia" w:cs="Times New Roman" w:asciiTheme="minorEastAsia" w:hAnsiTheme="minorEastAsia" w:eastAsiaTheme="minorEastAsia"/>
          <w:b/>
          <w:bCs/>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hint="eastAsia" w:asciiTheme="minorEastAsia" w:hAnsiTheme="minorEastAsia" w:eastAsiaTheme="minorEastAsia"/>
              <w:szCs w:val="21"/>
            </w:rPr>
            <w:t>合营安排分类及共同经营会计处理方法</w:t>
          </w:r>
        </w:p>
        <w:sdt>
          <w:sdtPr>
            <w:rPr>
              <w:rFonts w:hint="eastAsia" w:asciiTheme="minorEastAsia" w:hAnsiTheme="minorEastAsia" w:eastAsiaTheme="minorEastAsia"/>
              <w:szCs w:val="21"/>
            </w:rPr>
            <w:alias w:val="是否适用：合营安排分类及共同经营会计处理方法[双击切换]"/>
            <w:tag w:val="_GBC_e5a2f4bbc77f437e880fdd380b417236"/>
            <w:id w:val="-782414499"/>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rPr>
            <w:alias w:val="合营安排分类及共同经营会计处理方法"/>
            <w:tag w:val="_GBC_cf67ede4230c4056b34792c6a0db55e2"/>
            <w:id w:val="888156485"/>
            <w:lock w:val="sdtLocked"/>
            <w:placeholder>
              <w:docPart w:val="GBC22222222222222222222222222222"/>
            </w:placeholder>
          </w:sdtPr>
          <w:sdtEndPr>
            <w:rPr>
              <w:rFonts w:asciiTheme="minorEastAsia" w:hAnsiTheme="minorEastAsia" w:eastAsiaTheme="minorEastAsia"/>
            </w:rPr>
          </w:sdtEndPr>
          <w:sdtContent>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合营安排分为共同经营和合营企业。共同经营，是指合营方享有该安排相关资产且承担该安排相关负债的合营安排。合营企业，是指合营方仅对该安排的净资产享有权利的合营安排。</w:t>
              </w:r>
            </w:p>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共同经营的合营方应当确认其与共同经营中利益份额相关的下列项目，并按照相关企业会计准则的规定进行会计处理：（一）确认单独所持有的资产，以及按其份额确认共同持有的资产；（二）确认单独所承担的负债，以及按其份额确认共同承担的负债；（三）确认出售其享有的共同经营产出份额所产生的收入；（四）按其份额确认共同经营因出售产出所产生的收入；（五）确认单独所发生的费用，以及按其份额确认共同经营发生的费用。</w:t>
              </w:r>
            </w:p>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合营方向共同经营投出或出售资产等（该资产构成业务的除外），在该资产等由共同经营出售给第三方之前，应当仅确认因该交易产生的损益中归属于共同经营其他参与方的部分。投出或出售的资产发生符合《企业会计准则第8 号——资产减值》等规定的资产减值损失的，合营方应当全额确认该损失。</w:t>
              </w:r>
            </w:p>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合营方自共同经营购买资产等（该资产构成业务的除外），在将该资产等出售给第三方之前，应当仅确认因该交易产生的损益中归属于共同经营其他参与方的部分。购入的资产发生符合《企业会计准则第8号——资产减值》等规定的资产减值损失的，合营方应当按其承担的份额确认该部分损失。</w:t>
              </w:r>
            </w:p>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对共同经营不享有共同控制的参与方，如果享有该共同经营相关资产且承担该共同经营相关负债的，应当按照前述规定进行会计处理。</w:t>
              </w:r>
            </w:p>
          </w:sdtContent>
        </w:sdt>
      </w:sdtContent>
    </w:sdt>
    <w:sdt>
      <w:sdtPr>
        <w:rPr>
          <w:rFonts w:cs="宋体" w:asciiTheme="minorEastAsia" w:hAnsiTheme="minorEastAsia" w:eastAsiaTheme="minorEastAsia"/>
          <w:b w:val="0"/>
          <w:bCs w:val="0"/>
          <w:kern w:val="0"/>
          <w:szCs w:val="21"/>
        </w:rPr>
        <w:alias w:val="模块:现金及现金等价物的确定标准"/>
        <w:tag w:val="_GBC_9f2dfe6521c4434b9ad3e7bb1a8a52b7"/>
        <w:id w:val="1950730940"/>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现金及现金等价物的确定标准</w:t>
          </w:r>
        </w:p>
        <w:sdt>
          <w:sdtPr>
            <w:rPr>
              <w:rFonts w:hint="eastAsia" w:asciiTheme="minorEastAsia" w:hAnsiTheme="minorEastAsia" w:eastAsiaTheme="minorEastAsia"/>
            </w:rPr>
            <w:alias w:val="现金及现金等价物的确定标准"/>
            <w:tag w:val="_GBC_54f6bc3e44e840bc85cb3872600823b5"/>
            <w:id w:val="-288205913"/>
            <w:lock w:val="sdtLocked"/>
            <w:placeholder>
              <w:docPart w:val="GBC22222222222222222222222222222"/>
            </w:placeholder>
          </w:sdtPr>
          <w:sdtEndPr>
            <w:rPr>
              <w:rFonts w:hint="eastAsia" w:asciiTheme="minorEastAsia" w:hAnsiTheme="minorEastAsia" w:eastAsiaTheme="minorEastAsia"/>
            </w:rPr>
          </w:sdtEndPr>
          <w:sdtContent>
            <w:p>
              <w:pPr>
                <w:pStyle w:val="197"/>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现金是指库存现金及可以随时用于支付的存款。现金等价物是指持有的期限短、流动性强、易于转换为已知金额现金、价值变动风险很小的投资。</w:t>
              </w:r>
            </w:p>
          </w:sdtContent>
        </w:sdt>
      </w:sdtContent>
    </w:sdt>
    <w:sdt>
      <w:sdtPr>
        <w:rPr>
          <w:rFonts w:cs="宋体" w:asciiTheme="minorEastAsia" w:hAnsiTheme="minorEastAsia" w:eastAsiaTheme="minorEastAsia"/>
          <w:b w:val="0"/>
          <w:bCs w:val="0"/>
          <w:kern w:val="0"/>
          <w:szCs w:val="21"/>
        </w:rPr>
        <w:alias w:val="模块:外币业务和外币报表折算"/>
        <w:tag w:val="_GBC_cff1e1487c3242a8a1be0ce9c2b7a554"/>
        <w:id w:val="-1929800354"/>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外币业务和外币报表折算</w:t>
          </w:r>
        </w:p>
        <w:sdt>
          <w:sdtPr>
            <w:rPr>
              <w:rFonts w:hint="eastAsia" w:asciiTheme="minorEastAsia" w:hAnsiTheme="minorEastAsia" w:eastAsiaTheme="minorEastAsia"/>
              <w:szCs w:val="21"/>
            </w:rPr>
            <w:alias w:val="是否适用：外币业务和外币报表折算[双击切换]"/>
            <w:tag w:val="_GBC_9c9def5a1d2241b5a3ee696d03433778"/>
            <w:id w:val="-53167901"/>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b w:val="0"/>
              <w:bCs w:val="0"/>
            </w:rPr>
            <w:alias w:val="外币业务核算方法"/>
            <w:tag w:val="_GBC_1703fe5fc56b42a8972c0906a4ac6d6b"/>
            <w:id w:val="799426200"/>
            <w:lock w:val="sdtLocked"/>
            <w:placeholder>
              <w:docPart w:val="GBC22222222222222222222222222222"/>
            </w:placeholder>
          </w:sdtPr>
          <w:sdtEndPr>
            <w:rPr>
              <w:rFonts w:hint="eastAsia" w:asciiTheme="minorEastAsia" w:hAnsiTheme="minorEastAsia" w:eastAsiaTheme="minorEastAsia"/>
              <w:b w:val="0"/>
              <w:bCs w:val="0"/>
            </w:rPr>
          </w:sdtEndPr>
          <w:sdtContent>
            <w:p>
              <w:pPr>
                <w:pStyle w:val="201"/>
                <w:widowControl w:val="0"/>
                <w:numPr>
                  <w:ilvl w:val="0"/>
                  <w:numId w:val="54"/>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外币交易的会计处理</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发生外币交易时，采用交易发生日的即期汇率将外币金额折算为人民币金额。</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于资产负债表日，外币货币性项目采用资产负债表日的即期汇率折算为人民币，所产生的折算差额，除根据借款费用核算方法应予资本化的，计入当期损益。以历史成本计量的外币非货币性项目，于资产负债表日仍采用交易发生日的即期汇率折算。</w:t>
              </w:r>
            </w:p>
            <w:p>
              <w:pPr>
                <w:pStyle w:val="201"/>
                <w:widowControl w:val="0"/>
                <w:numPr>
                  <w:ilvl w:val="0"/>
                  <w:numId w:val="54"/>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外币财务报表的折算</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境外经营的资产负债表中的资产和负债项目，采用资产负债表日的即期汇率折算，股东权益项目除未分配利润项目外，其他项目采用发生时的即期汇率折算。境外经营的利润表中的收入和费用项目，采用年平均汇率折算。上述折算产生的外币报表折算差额，在其他综合收益中单独列示。</w:t>
              </w:r>
            </w:p>
          </w:sdtContent>
        </w:sdt>
      </w:sdtContent>
    </w:sdt>
    <w:sdt>
      <w:sdtPr>
        <w:rPr>
          <w:rFonts w:cs="宋体" w:asciiTheme="minorEastAsia" w:hAnsiTheme="minorEastAsia" w:eastAsiaTheme="minorEastAsia"/>
          <w:b w:val="0"/>
          <w:bCs w:val="0"/>
          <w:kern w:val="0"/>
          <w:szCs w:val="21"/>
        </w:rPr>
        <w:alias w:val="模块:金融工具"/>
        <w:tag w:val="_GBC_4b3a058b038b41689d379e6a2726a904"/>
        <w:id w:val="1298724386"/>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金融工具</w:t>
          </w:r>
        </w:p>
        <w:sdt>
          <w:sdtPr>
            <w:rPr>
              <w:rFonts w:hint="eastAsia" w:asciiTheme="minorEastAsia" w:hAnsiTheme="minorEastAsia" w:eastAsiaTheme="minorEastAsia"/>
              <w:szCs w:val="21"/>
            </w:rPr>
            <w:alias w:val="是否适用：金融工具_重要会计政策和估计[双击切换]"/>
            <w:tag w:val="_GBC_1537cea503f244c2af870a2a0d5fd7a9"/>
            <w:id w:val="-1824883209"/>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rPr>
            <w:alias w:val="金融资产和金融负债的核算方法"/>
            <w:tag w:val="_GBC_b358067bbe2a49bf880c383a5db50d8a"/>
            <w:id w:val="-952399401"/>
            <w:lock w:val="sdtLocked"/>
            <w:placeholder>
              <w:docPart w:val="GBC22222222222222222222222222222"/>
            </w:placeholder>
          </w:sdtPr>
          <w:sdtEndPr>
            <w:rPr>
              <w:rFonts w:hint="eastAsia" w:asciiTheme="minorEastAsia" w:hAnsiTheme="minorEastAsia" w:eastAsiaTheme="minorEastAsia"/>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金融工具，是指形成一方的金融资产并形成其他方的金融负债或权益工具的合同。</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金融工具的确认和终止确认</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当本公司成为金融工具合同的一方时，确认一项金融资产或金融负债。</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金融资产满足下列条件之一的，应当终止确认：（一）收取该金融资产现金流量的合同权利终止。（二）转移了收取金融资产现金流量的权利，或在“过手协议”下承担了及时将收取的现金流量全额支付给第三方的义务；并且实质上转让了金融资产所有权上几乎所有的风险和报酬，或虽然实质上既没有转移也没有保留金融资产所有权上几乎所有的风险和报酬，但放弃了对该金融资产的控制。</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金融负债（或其一部分）的现时义务已经解除的，终止确认该金融负债（或该部分金融负债）。</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对于以常规方式购买或出售金融资产的，公司在交易日确认将收到的资产和为此将承担的负债，或者在交易日终止确认已出售的资产。</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金融资产的分类和计量</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在初始确认金融资产时本公司</w:t>
              </w:r>
              <w:r>
                <w:rPr>
                  <w:rFonts w:asciiTheme="minorEastAsia" w:hAnsiTheme="minorEastAsia" w:eastAsiaTheme="minorEastAsia"/>
                </w:rPr>
                <w:t>根据管理金融资产的业务模式和金融资产的合同现金流量特征，将金融资产划分为：以摊余成本计量的金融资产；以公允价值计量且其变动计入其他综合收益的金融资产；以公允价值计量且其变动计入当期损益的金融资产。</w:t>
              </w:r>
            </w:p>
            <w:p>
              <w:pPr>
                <w:pStyle w:val="202"/>
                <w:spacing w:before="0" w:beforeAutospacing="0" w:after="0" w:afterAutospacing="0" w:line="360" w:lineRule="auto"/>
                <w:ind w:left="0" w:leftChars="0" w:firstLine="420" w:firstLineChars="200"/>
                <w:rPr>
                  <w:rFonts w:asciiTheme="minorEastAsia" w:hAnsiTheme="minorEastAsia" w:eastAsiaTheme="minorEastAsia"/>
                  <w:b/>
                  <w:bCs/>
                </w:rPr>
              </w:pPr>
              <w:r>
                <w:rPr>
                  <w:rFonts w:hint="eastAsia" w:asciiTheme="minorEastAsia" w:hAnsiTheme="minorEastAsia" w:eastAsiaTheme="minorEastAsia"/>
                </w:rPr>
                <w:t>（1）金融资产的初始计量：</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金融资产在初始确认时以公允价值计量。对于以公允价值计量且其变动计入当期损益的金融资产，相关交易费用直接计入当期损益；对于其他类别的金融资产，相关交易费用计入初始确认金额。因销售产品或提供劳务而产生的、未包含或不考虑重大融资成分的应收款，本公司按照预期有权收取的对价初始计量。</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（2）金融资产的后续计量：</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1）以摊余成本计量的债务工具投资</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金融资产的合同现金流量特征与基本借贷安排相一致，即在特定日期产生的现金流量，仅为对本金和以未偿付本金金额为基础的利息的支付，且公司管理此类金融资产的业务模式为以收取合同现金流量为目标的，本公司将其分类为以摊余成本计量的金融资产。该金融资产采用实际利率法，按照摊余成本进行后续计量，其摊销、减值及终止确认产生的利得或损失，计入当期损益。</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2）以公允价值计量且其变动计入其他综合收益的债务工具投资</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金融资产的合同现金流量特征与基本借贷安排相一致，即在特定日期产生的现金流量，仅为对本金和以未偿付本金金额为基础的利息的支付，且公司管理此类金融资产的业务模式为既以收取合同现金流量为目标又以出售为目标的，本公司将其分类为以公允价值计量且其变动计入其他综合收益的金融资产。该金融资产采用实际利率法确认的利息收入、减值损失及汇兑差额确认为当期损益，其余公允价值变动计入其他综合收益。终止确认时，之前计入其他综合收益的累计利得或损失从其他综合收益转出，计入当期损益。</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3）指定为以公允价值计量且其变动计入其他综合收益的权益工具投资</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初始确认时，本公司将部分非交易性权益工具投资指定为以公允价值计量且其变动计入其他综合收益的金融资产。本公司将其相关股利收入计入当期损益，其公允价值变动计入其他综合收益。该金融资产终止确认时，之前计入其他综合收益的累计利得或损失将从其他综合收益转入留存收益，不计入当期损益。</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4）以公允价值计量且其变动计入当期损益的金融资产</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包括分类为以公允价值计量且其变动计入当期损益的金融资产和指定为以公允价值计量且其变动计入当期损益的金融资产。</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本公司将持有的未划分为以摊余成本计量和以公允价值计量且其变动计入其他综合收益的金融资产，分类为以公允价值计量且其变动计入当期损益的金融资产。</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在初始确认时，为消除或显著减少会计错配，本公司可将金融资产指定为以公允价值计量且其变动计入当期损益的金融资产。</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金融资产转移的确认依据和计量方法</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本公司已将金融资产所有权上几乎所有的风险和报酬转移给转入方的，终止确认该金融资产；保留了金融资产所有权上几乎所有的风险和报酬的，不终止确认该金融资产。</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本公司既没有转移也没有保留金融资产所有权上几乎所有的风险和报酬，未保留对该金融资产控制的，终止确认该金融资产并将转移中产生或保留的权利和义务单独确认为资产或负债；保留了对该金融资产控制的，按照继续涉入被转移金融资产的程度继续确认有关金融资产，并相应确认相关负债。</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金融负债的分类和计量</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金融负债于初始确认时分类为以公允价值计量且其变动计入当期损益的金融负债和其他金融负债。</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（1）金融负债的初始计量</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金融负债在初始确认时以公允价值计量。对于以公允价值计量且其变动计入当期损益的金融负债，相关交易费用直接计入当期损益；对于以摊余成本计量的金融负债，相关交易费用计入初始确认金额。</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（2）金融负债的后续计量</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1）以公允价值计量且其变动计入当期损益的金融负债</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包括交易性金融负债（含属于金融负债的衍生工具）和初始确认时指定为以公允价值计量且其变动计入当期损益的金融负债。</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交易性金融负债（含属于金融负债的衍生工具），按照公允价值进行后续计量，除与套期会计有关外，公允价值变动计入当期损益。</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指定为以公允价值计量且其变动计入当期损益的金融负债，由本公司自身信用风险变动引起的公允价值变动计入其他综合收益；终止确认时，之前计入其他综合收益的累计利得或损失从其他综合收益中转出，计入留存收益。其余公允价值变动计入当期损益。如果前述会计处理会造成或扩大损益中的会计错配，将该金融负债的全部利得或损失（包括企业自身信用风险变动的影响金额）计入当期损益。</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2）其他金融负债</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除金融资产转移不符合终止确认条件或继续涉入被转移金融资产所形成的金融负债、财务担保合同外的其他金融负债分类为以摊余成本计量的金融负债，按摊余成本进行后续计量，终止确认或摊销产生的利得或损失计入当期损益。</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金融资产和金融负债的抵销</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同时满足下列条件的，金融资产和金融负债以相互抵销后的净额在资产负债表内列示：具有抵销已确认金额的法定权利，且该种法定权利是当前可执行的；计划以净额结算，或同时变现该金融资产和清偿该金融负债。</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金融工具的公允价值确定</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存在活跃市场的金融工具，以活跃市场中的报价确定其公允价值。不存在活跃市场的金融工具，采用估值技术确定其公允价值。在估值时，本公司釆用在当前情况下适用并且有足够可利用数据和其他信息支持的估值技术，选择与市场参与者在相关资产或负债的交易中所考虑的资产或负债特征相一致的输入值，并尽可能优先使用相关可观察输入值。在相关可观察输入值无法取得或取得不切实可行的情况下，使用不可观察输入值。</w:t>
              </w:r>
            </w:p>
            <w:p>
              <w:pPr>
                <w:pStyle w:val="201"/>
                <w:widowControl w:val="0"/>
                <w:numPr>
                  <w:ilvl w:val="0"/>
                  <w:numId w:val="5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金融工具减值（不含应收款项）</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本公司以预期信用损失为基础，对以摊余成本计量的金融资产、以公允价值计量且其变动计入其他综合收益的债务工具投资、财务担保合同等计提减值准备并确认信用减值损失。</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本公司在评估预期信用损失时，考虑所有合理且有依据的信息，包括前瞻性信息。</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金融工具自初始确认后已发生信用减值的，处于第三阶段，本公司按照整个存续期的预期信用损失计量损失准备。</w:t>
              </w:r>
            </w:p>
            <w:p>
              <w:pPr>
                <w:pStyle w:val="202"/>
                <w:spacing w:before="0" w:beforeAutospacing="0" w:after="0" w:afterAutospacing="0" w:line="360" w:lineRule="auto"/>
                <w:ind w:left="0" w:leftChars="0" w:firstLine="420" w:firstLineChars="200"/>
                <w:rPr>
                  <w:rFonts w:asciiTheme="minorEastAsia" w:hAnsiTheme="minorEastAsia" w:eastAsiaTheme="minorEastAsia"/>
                </w:rPr>
              </w:pPr>
              <w:r>
                <w:rPr>
                  <w:rFonts w:hint="eastAsia" w:asciiTheme="minorEastAsia" w:hAnsiTheme="minorEastAsia" w:eastAsiaTheme="minorEastAsia"/>
                </w:rPr>
                <w:t>对于在资产负债表日具有较低信用风险的金融工具，本公司假设其信用风险自初始确认后并未显著增加，按照未来 12 个月内的预期信用损失计量损失准备。</w:t>
              </w:r>
            </w:p>
          </w:sdtContent>
        </w:sdt>
      </w:sdtContent>
    </w:sdt>
    <w:p>
      <w:pPr>
        <w:rPr>
          <w:szCs w:val="21"/>
        </w:rPr>
      </w:pPr>
    </w:p>
    <w:p>
      <w:pPr>
        <w:pStyle w:val="114"/>
        <w:numPr>
          <w:ilvl w:val="0"/>
          <w:numId w:val="53"/>
        </w:numPr>
        <w:spacing w:before="0" w:after="0" w:line="360" w:lineRule="auto"/>
        <w:rPr>
          <w:rFonts w:cs="宋体" w:asciiTheme="minorEastAsia" w:hAnsiTheme="minorEastAsia" w:eastAsiaTheme="minorEastAsia"/>
          <w:kern w:val="0"/>
          <w:szCs w:val="21"/>
        </w:rPr>
      </w:pPr>
      <w:bookmarkStart w:id="122" w:name="_Hlk533667757"/>
      <w:r>
        <w:rPr>
          <w:rFonts w:hint="eastAsia" w:cs="宋体" w:asciiTheme="minorEastAsia" w:hAnsiTheme="minorEastAsia" w:eastAsiaTheme="minorEastAsia"/>
          <w:kern w:val="0"/>
          <w:szCs w:val="21"/>
        </w:rPr>
        <w:t>应收票据</w:t>
      </w:r>
    </w:p>
    <w:sdt>
      <w:sdtPr>
        <w:rPr>
          <w:rFonts w:hint="eastAsia" w:ascii="宋体" w:hAnsi="宋体" w:eastAsia="宋体" w:cs="宋体"/>
          <w:b w:val="0"/>
          <w:bCs w:val="0"/>
          <w:kern w:val="0"/>
          <w:szCs w:val="24"/>
        </w:rPr>
        <w:alias w:val="模块:应收票据的预期信用损失的确定方法及会计处理方法"/>
        <w:tag w:val="_SEC_362fa257dbf6485a955cc6289ec1ce23"/>
        <w:id w:val="-1227301533"/>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spacing w:before="0" w:after="0" w:line="360" w:lineRule="auto"/>
          </w:pPr>
          <w:r>
            <w:rPr>
              <w:rFonts w:hint="eastAsia"/>
            </w:rPr>
            <w:t>应收票据的预期信用损失的确定方法及会计处理方法</w:t>
          </w:r>
        </w:p>
        <w:sdt>
          <w:sdtPr>
            <w:rPr>
              <w:rFonts w:hint="eastAsia" w:asciiTheme="minorEastAsia" w:hAnsiTheme="minorEastAsia" w:eastAsiaTheme="minorEastAsia"/>
              <w:szCs w:val="21"/>
            </w:rPr>
            <w:alias w:val="是否适用：应收票据的预期信用损失的确定方法及会计处理方法[双击切换]"/>
            <w:tag w:val="_GBC_69cb5665c8994cf4bd8e8f7caa44c982"/>
            <w:id w:val="-269548604"/>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bookmarkEnd w:id="122"/>
    <w:sdt>
      <w:sdtPr>
        <w:rPr>
          <w:rFonts w:hint="eastAsia" w:cs="宋体" w:asciiTheme="minorEastAsia" w:hAnsiTheme="minorEastAsia" w:eastAsiaTheme="minorEastAsia"/>
          <w:b w:val="0"/>
          <w:bCs w:val="0"/>
          <w:kern w:val="0"/>
          <w:szCs w:val="21"/>
        </w:rPr>
        <w:alias w:val="模块:应收账款的预期信用损失的确定方法及会计处理方法"/>
        <w:tag w:val="_SEC_8c5112e0a6de47a6af2fe2c06199a1a9"/>
        <w:id w:val="1142771812"/>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4"/>
            <w:numPr>
              <w:ilvl w:val="0"/>
              <w:numId w:val="53"/>
            </w:numPr>
            <w:spacing w:before="0" w:after="0" w:line="360" w:lineRule="auto"/>
            <w:rPr>
              <w:rFonts w:cs="宋体" w:asciiTheme="minorEastAsia" w:hAnsiTheme="minorEastAsia" w:eastAsiaTheme="minorEastAsia"/>
              <w:kern w:val="0"/>
              <w:szCs w:val="21"/>
            </w:rPr>
          </w:pPr>
          <w:bookmarkStart w:id="123" w:name="_Hlk533667783"/>
          <w:r>
            <w:rPr>
              <w:rFonts w:hint="eastAsia" w:cs="宋体" w:asciiTheme="minorEastAsia" w:hAnsiTheme="minorEastAsia" w:eastAsiaTheme="minorEastAsia"/>
              <w:kern w:val="0"/>
              <w:szCs w:val="21"/>
            </w:rPr>
            <w:t>应收账款</w:t>
          </w:r>
        </w:p>
        <w:p>
          <w:pPr>
            <w:pStyle w:val="115"/>
            <w:spacing w:before="0" w:after="0" w:line="360" w:lineRule="auto"/>
          </w:pPr>
          <w:r>
            <w:rPr>
              <w:rFonts w:hint="eastAsia"/>
            </w:rPr>
            <w:t>应收账款的预期信用损失的确定方法及会计处理方法</w:t>
          </w:r>
        </w:p>
        <w:sdt>
          <w:sdtPr>
            <w:rPr>
              <w:rFonts w:asciiTheme="minorEastAsia" w:hAnsiTheme="minorEastAsia" w:eastAsiaTheme="minorEastAsia"/>
              <w:szCs w:val="21"/>
            </w:rPr>
            <w:alias w:val="是否适用：应收账款的预期信用损失的确定方法及会计处理方法[双击切换]"/>
            <w:tag w:val="_GBC_c7a0f46db952426d9af65139ce1c9b87"/>
            <w:id w:val="2111926553"/>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cs="宋体" w:asciiTheme="minorEastAsia" w:hAnsiTheme="minorEastAsia" w:eastAsiaTheme="minorEastAsia"/>
              <w:kern w:val="0"/>
              <w:szCs w:val="24"/>
            </w:rPr>
            <w:alias w:val="应收账款的预期信用损失的确定方法及会计处理方法"/>
            <w:tag w:val="_GBC_b61c1c3012c24b9fb0994266a51aa85a"/>
            <w:id w:val="742294534"/>
            <w:lock w:val="sdtLocked"/>
            <w:placeholder>
              <w:docPart w:val="GBC22222222222222222222222222222"/>
            </w:placeholder>
          </w:sdtPr>
          <w:sdtEndPr>
            <w:rPr>
              <w:rFonts w:ascii="宋体" w:hAnsi="宋体" w:eastAsia="宋体" w:cs="宋体"/>
              <w:kern w:val="0"/>
              <w:szCs w:val="24"/>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本公司应收款项主要包括应收票据、应收账款、应收款项融资、其他应收款、债权投资、其他债权投资和长期应收款。</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对于因销售产品或提供劳务而产生的应收款项及租赁应收款，本公司按照相当于整个存续期内的预期信用损失金额计量损失准备。</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其他类别的应收款项，本公司在每个资产负债表日评估金融工具的信用风险自初始确认后是否已经显著增加，如果某项金融工具在资产负债表日确定的预计存续期内的违约概率显著高于在初始确认时确定的预计存续期内的违约概率，则表明该项金融工具的信用风险显著增加。通常情况下，如果逾期超过30 日，则表明应收款项的信用风险已经显著增加。</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如果信用风险自初始确认后未显著增加，处于第一阶段，本公司按照未来12个月内预期信用损失的金额计量损失准备；如果信用风险自初始确认后已显著增加但尚未发生信用减值，处于第二阶段，本公司按照相当于整个存续期内预期信用损失的金额计量损失准备；应收款项自初始确认后已发生信用减值的，处于第三阶段，本公司按照整个存续期的预期信用损失计量损失准备。</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对于在资产负债表日具有较低信用风险的应收款项，本公司假设其信用风险自初始确认后并未显著增加，按照未来12个月内的预期信用损失计量损失准备。</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除单独评估信用风险的应收款项外，本公司根据信用风险特征将其他应收款项划分为若干组合，在组合基础上计算预期信用损失：</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单独评估信用风险的应收款项，如：与对方存在争议或涉及诉讼、仲裁的应收款项；已有明显迹象表明债务人很可能无法履行还款义务的应收款项等。</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除了单独评估信用风险的应收款项外，本公司基于共同风险特征将应收款项划分为不同的组合，在组合的基础上评估信用风险。不同组合的确定依据：</w:t>
              </w:r>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2693"/>
                <w:gridCol w:w="3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pct"/>
                    <w:vAlign w:val="center"/>
                  </w:tcPr>
                  <w:p>
                    <w:pPr>
                      <w:widowControl w:val="0"/>
                      <w:snapToGrid w:val="0"/>
                      <w:jc w:val="center"/>
                      <w:rPr>
                        <w:rFonts w:ascii="Arial Narrow" w:hAnsi="Arial Narrow"/>
                        <w:kern w:val="2"/>
                        <w:szCs w:val="21"/>
                      </w:rPr>
                    </w:pPr>
                    <w:r>
                      <w:t>组合名称</w:t>
                    </w:r>
                  </w:p>
                </w:tc>
                <w:tc>
                  <w:tcPr>
                    <w:tcW w:w="1579" w:type="pct"/>
                    <w:vAlign w:val="center"/>
                  </w:tcPr>
                  <w:p>
                    <w:pPr>
                      <w:widowControl w:val="0"/>
                      <w:snapToGrid w:val="0"/>
                      <w:jc w:val="center"/>
                      <w:rPr>
                        <w:rFonts w:ascii="Arial Narrow" w:hAnsi="Arial Narrow"/>
                        <w:kern w:val="2"/>
                        <w:szCs w:val="21"/>
                      </w:rPr>
                    </w:pPr>
                    <w:r>
                      <w:t>确定组合的依据</w:t>
                    </w:r>
                  </w:p>
                </w:tc>
                <w:tc>
                  <w:tcPr>
                    <w:tcW w:w="2111" w:type="pct"/>
                    <w:vAlign w:val="center"/>
                  </w:tcPr>
                  <w:p>
                    <w:pPr>
                      <w:widowControl w:val="0"/>
                      <w:snapToGrid w:val="0"/>
                      <w:jc w:val="center"/>
                      <w:rPr>
                        <w:rFonts w:ascii="Arial Narrow" w:hAnsi="Arial Narrow"/>
                        <w:kern w:val="2"/>
                        <w:szCs w:val="21"/>
                      </w:rPr>
                    </w:pPr>
                    <w:r>
                      <w:t>计提方法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pct"/>
                    <w:vAlign w:val="center"/>
                  </w:tcPr>
                  <w:p>
                    <w:pPr>
                      <w:widowControl w:val="0"/>
                      <w:snapToGrid w:val="0"/>
                      <w:jc w:val="both"/>
                      <w:rPr>
                        <w:rFonts w:ascii="Arial Narrow" w:hAnsi="Arial Narrow"/>
                        <w:kern w:val="2"/>
                        <w:szCs w:val="21"/>
                      </w:rPr>
                    </w:pPr>
                    <w:r>
                      <w:rPr>
                        <w:rFonts w:hint="eastAsia"/>
                      </w:rPr>
                      <w:t>应收票据-银行承兑汇票组合</w:t>
                    </w:r>
                  </w:p>
                </w:tc>
                <w:tc>
                  <w:tcPr>
                    <w:tcW w:w="1579" w:type="pct"/>
                    <w:vAlign w:val="center"/>
                  </w:tcPr>
                  <w:p>
                    <w:pPr>
                      <w:widowControl w:val="0"/>
                      <w:snapToGrid w:val="0"/>
                      <w:jc w:val="both"/>
                      <w:rPr>
                        <w:rFonts w:ascii="Arial Narrow" w:hAnsi="Arial Narrow"/>
                        <w:kern w:val="2"/>
                        <w:szCs w:val="21"/>
                      </w:rPr>
                    </w:pPr>
                    <w:r>
                      <w:rPr>
                        <w:rFonts w:hint="eastAsia"/>
                      </w:rPr>
                      <w:t>银行承兑汇票</w:t>
                    </w:r>
                  </w:p>
                </w:tc>
                <w:tc>
                  <w:tcPr>
                    <w:tcW w:w="2111" w:type="pct"/>
                    <w:vAlign w:val="center"/>
                  </w:tcPr>
                  <w:p>
                    <w:pPr>
                      <w:widowControl w:val="0"/>
                      <w:snapToGrid w:val="0"/>
                      <w:jc w:val="both"/>
                      <w:rPr>
                        <w:rFonts w:ascii="Arial Narrow" w:hAnsi="Arial Narrow"/>
                        <w:kern w:val="2"/>
                        <w:szCs w:val="21"/>
                      </w:rPr>
                    </w:pPr>
                    <w:r>
                      <w:rPr>
                        <w:rFonts w:hint="eastAsia"/>
                      </w:rPr>
                      <w:t>按照整个存续期逾期信用损失计量损失准备。参考历史信用损失经验，公司持有的银行承兑汇票不存在重大信用风险，逾期信用损失金额不重大。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pct"/>
                    <w:vAlign w:val="center"/>
                  </w:tcPr>
                  <w:p>
                    <w:pPr>
                      <w:widowControl w:val="0"/>
                      <w:snapToGrid w:val="0"/>
                      <w:jc w:val="both"/>
                      <w:rPr>
                        <w:rFonts w:ascii="Arial Narrow" w:hAnsi="Arial Narrow"/>
                        <w:kern w:val="2"/>
                        <w:szCs w:val="21"/>
                      </w:rPr>
                    </w:pPr>
                    <w:r>
                      <w:rPr>
                        <w:rFonts w:hint="eastAsia"/>
                      </w:rPr>
                      <w:t>应收票据-商业承兑汇票组合</w:t>
                    </w:r>
                  </w:p>
                </w:tc>
                <w:tc>
                  <w:tcPr>
                    <w:tcW w:w="1579" w:type="pct"/>
                    <w:vAlign w:val="center"/>
                  </w:tcPr>
                  <w:p>
                    <w:pPr>
                      <w:widowControl w:val="0"/>
                      <w:snapToGrid w:val="0"/>
                      <w:jc w:val="both"/>
                      <w:rPr>
                        <w:rFonts w:ascii="Arial Narrow" w:hAnsi="Arial Narrow"/>
                        <w:kern w:val="2"/>
                        <w:szCs w:val="21"/>
                      </w:rPr>
                    </w:pPr>
                    <w:r>
                      <w:rPr>
                        <w:rFonts w:hint="eastAsia"/>
                      </w:rPr>
                      <w:t>商业承兑汇票</w:t>
                    </w:r>
                  </w:p>
                </w:tc>
                <w:tc>
                  <w:tcPr>
                    <w:tcW w:w="2111" w:type="pct"/>
                    <w:vAlign w:val="center"/>
                  </w:tcPr>
                  <w:p>
                    <w:pPr>
                      <w:widowControl w:val="0"/>
                      <w:snapToGrid w:val="0"/>
                      <w:jc w:val="both"/>
                      <w:rPr>
                        <w:rFonts w:ascii="Arial Narrow" w:hAnsi="Arial Narrow"/>
                        <w:kern w:val="2"/>
                        <w:szCs w:val="21"/>
                      </w:rPr>
                    </w:pPr>
                    <w:r>
                      <w:rPr>
                        <w:rFonts w:hint="eastAsia"/>
                      </w:rPr>
                      <w:t>按照整个存续期逾期信用损失计量损失准备。参考历史信用损失经验， 结合出票人状况及对未来经济状况的预测计算预期信用损失。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pct"/>
                    <w:vAlign w:val="center"/>
                  </w:tcPr>
                  <w:p>
                    <w:pPr>
                      <w:widowControl w:val="0"/>
                      <w:snapToGrid w:val="0"/>
                      <w:jc w:val="both"/>
                      <w:rPr>
                        <w:rFonts w:ascii="Arial Narrow" w:hAnsi="Arial Narrow"/>
                        <w:kern w:val="2"/>
                        <w:szCs w:val="21"/>
                      </w:rPr>
                    </w:pPr>
                    <w:r>
                      <w:rPr>
                        <w:rFonts w:hint="eastAsia"/>
                      </w:rPr>
                      <w:t>应收款项-低风险组合</w:t>
                    </w:r>
                  </w:p>
                </w:tc>
                <w:tc>
                  <w:tcPr>
                    <w:tcW w:w="1579" w:type="pct"/>
                    <w:vAlign w:val="center"/>
                  </w:tcPr>
                  <w:p>
                    <w:pPr>
                      <w:widowControl w:val="0"/>
                      <w:snapToGrid w:val="0"/>
                      <w:jc w:val="both"/>
                      <w:rPr>
                        <w:rFonts w:ascii="Arial Narrow" w:hAnsi="Arial Narrow"/>
                        <w:kern w:val="2"/>
                        <w:szCs w:val="21"/>
                      </w:rPr>
                    </w:pPr>
                    <w:r>
                      <w:rPr>
                        <w:rFonts w:hint="eastAsia"/>
                      </w:rPr>
                      <w:t>根据业务性质，认定低信用风险，主要包括应收政府部门的款项、应收利息、保证金、合并范围内关联方等</w:t>
                    </w:r>
                  </w:p>
                </w:tc>
                <w:tc>
                  <w:tcPr>
                    <w:tcW w:w="2111" w:type="pct"/>
                    <w:vAlign w:val="center"/>
                  </w:tcPr>
                  <w:p>
                    <w:pPr>
                      <w:widowControl w:val="0"/>
                      <w:snapToGrid w:val="0"/>
                      <w:jc w:val="both"/>
                      <w:rPr>
                        <w:rFonts w:ascii="Arial Narrow" w:hAnsi="Arial Narrow"/>
                        <w:kern w:val="2"/>
                        <w:szCs w:val="21"/>
                      </w:rPr>
                    </w:pPr>
                    <w:r>
                      <w:rPr>
                        <w:rFonts w:hint="eastAsia"/>
                      </w:rPr>
                      <w:t>不存在重大信用风险，逾期信用损失金额不重大。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0" w:type="pct"/>
                    <w:vAlign w:val="center"/>
                  </w:tcPr>
                  <w:p>
                    <w:pPr>
                      <w:widowControl w:val="0"/>
                      <w:snapToGrid w:val="0"/>
                      <w:jc w:val="both"/>
                      <w:rPr>
                        <w:rFonts w:ascii="Arial Narrow" w:hAnsi="Arial Narrow"/>
                        <w:kern w:val="2"/>
                        <w:szCs w:val="21"/>
                      </w:rPr>
                    </w:pPr>
                    <w:r>
                      <w:rPr>
                        <w:rFonts w:hint="eastAsia"/>
                      </w:rPr>
                      <w:t>应收款项-账龄组合</w:t>
                    </w:r>
                  </w:p>
                </w:tc>
                <w:tc>
                  <w:tcPr>
                    <w:tcW w:w="1579" w:type="pct"/>
                    <w:vAlign w:val="center"/>
                  </w:tcPr>
                  <w:p>
                    <w:pPr>
                      <w:widowControl w:val="0"/>
                      <w:snapToGrid w:val="0"/>
                      <w:jc w:val="both"/>
                      <w:rPr>
                        <w:rFonts w:ascii="Arial Narrow" w:hAnsi="Arial Narrow"/>
                        <w:kern w:val="2"/>
                        <w:szCs w:val="21"/>
                      </w:rPr>
                    </w:pPr>
                    <w:r>
                      <w:rPr>
                        <w:rFonts w:hint="eastAsia"/>
                      </w:rPr>
                      <w:t>除上述组合之外的应收款项</w:t>
                    </w:r>
                  </w:p>
                </w:tc>
                <w:tc>
                  <w:tcPr>
                    <w:tcW w:w="2111" w:type="pct"/>
                    <w:vAlign w:val="center"/>
                  </w:tcPr>
                  <w:p>
                    <w:pPr>
                      <w:widowControl w:val="0"/>
                      <w:snapToGrid w:val="0"/>
                      <w:jc w:val="both"/>
                      <w:rPr>
                        <w:rFonts w:ascii="Arial Narrow" w:hAnsi="Arial Narrow"/>
                        <w:kern w:val="2"/>
                        <w:szCs w:val="21"/>
                      </w:rPr>
                    </w:pPr>
                    <w:r>
                      <w:rPr>
                        <w:rFonts w:hint="eastAsia"/>
                      </w:rPr>
                      <w:t>参考历史信用损失经验，结合当前状况以及对未来经济状况的预测，编制应收账款账龄与整个存续期预期信用损失率对照表，计算预期信用损失。</w:t>
                    </w:r>
                  </w:p>
                </w:tc>
              </w:tr>
            </w:tbl>
            <w:p>
              <w:pPr>
                <w:pStyle w:val="202"/>
                <w:widowControl w:val="0"/>
                <w:spacing w:before="0" w:beforeAutospacing="0" w:after="0" w:afterAutospacing="0" w:line="360" w:lineRule="auto"/>
                <w:ind w:left="0" w:leftChars="0" w:firstLine="420" w:firstLineChars="200"/>
                <w:jc w:val="both"/>
                <w:rPr>
                  <w:rFonts w:ascii="Times New Roman"/>
                </w:rPr>
              </w:pPr>
              <w:r>
                <w:rPr>
                  <w:rFonts w:hint="eastAsia"/>
                </w:rPr>
                <w:t>对于划分为账龄组合的应收款项，本公司参考历史信用损失经验，结合当前状况以及对未来经济状况的预测，编制应收款项账龄与整个存续期预期信用损失率对照表，计算预期信用损失。</w:t>
              </w:r>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6"/>
                <w:gridCol w:w="3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账龄</w:t>
                    </w:r>
                  </w:p>
                </w:tc>
                <w:tc>
                  <w:tcPr>
                    <w:tcW w:w="2223" w:type="pct"/>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应收款项计提比例（%）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0—6个月</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6个月—1年</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1—2年</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2—3年</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3—4年</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4—5年</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77"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5年以上</w:t>
                    </w:r>
                  </w:p>
                </w:tc>
                <w:tc>
                  <w:tcPr>
                    <w:tcW w:w="222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100.00</w:t>
                    </w:r>
                  </w:p>
                </w:tc>
              </w:tr>
            </w:tbl>
            <w:p>
              <w:pPr>
                <w:rPr>
                  <w:szCs w:val="21"/>
                </w:rPr>
              </w:pPr>
            </w:p>
          </w:sdtContent>
        </w:sdt>
        <w:p>
          <w:pPr>
            <w:rPr>
              <w:szCs w:val="21"/>
            </w:rPr>
          </w:pPr>
        </w:p>
      </w:sdtContent>
    </w:sdt>
    <w:bookmarkEnd w:id="123"/>
    <w:sdt>
      <w:sdtPr>
        <w:rPr>
          <w:rFonts w:ascii="宋体" w:hAnsi="宋体" w:cs="宋体"/>
          <w:b w:val="0"/>
          <w:bCs w:val="0"/>
          <w:kern w:val="0"/>
          <w:szCs w:val="24"/>
        </w:rPr>
        <w:alias w:val="模块:应收款项融资"/>
        <w:tag w:val="_SEC_53a8085b738a461ab82c366601a4ec80"/>
        <w:id w:val="-1207096642"/>
        <w:lock w:val="sdtLocked"/>
        <w:placeholder>
          <w:docPart w:val="GBC22222222222222222222222222222"/>
        </w:placeholder>
      </w:sdtPr>
      <w:sdtEndPr>
        <w:rPr>
          <w:rFonts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24" w:name="_Hlk24102310"/>
          <w:r>
            <w:rPr>
              <w:rFonts w:hint="eastAsia" w:asciiTheme="minorEastAsia" w:hAnsiTheme="minorEastAsia" w:eastAsiaTheme="minorEastAsia"/>
              <w:szCs w:val="21"/>
            </w:rPr>
            <w:t>应收款项融资</w:t>
          </w:r>
        </w:p>
        <w:sdt>
          <w:sdtPr>
            <w:rPr>
              <w:rFonts w:asciiTheme="minorEastAsia" w:hAnsiTheme="minorEastAsia" w:eastAsiaTheme="minorEastAsia"/>
              <w:szCs w:val="21"/>
            </w:rPr>
            <w:alias w:val="是否适用：应收款项融资_重要会计政策和估计[双击切换]"/>
            <w:tag w:val="_GBC_0096d3b0df9d4e67bcab21d747dee092"/>
            <w:id w:val="1838500784"/>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rPr>
            <w:alias w:val="应收款项融资的核算方法"/>
            <w:tag w:val="_GBC_27b64041746346078945e1a510603b07"/>
            <w:id w:val="1694414771"/>
            <w:lock w:val="sdtLocked"/>
            <w:placeholder>
              <w:docPart w:val="GBC22222222222222222222222222222"/>
            </w:placeholder>
          </w:sdtPr>
          <w:sdtEndPr>
            <w:rPr>
              <w:rFonts w:asciiTheme="minorEastAsia" w:hAnsiTheme="minorEastAsia" w:eastAsiaTheme="minorEastAsia"/>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于合同现金流量特征与基本借贷安排相一致，且公司管理此类金融资产的业务模式为既以收取合同现金流量为目标又以出售为目标的应收票据及应收账款，本公司将其分类为应收款项融资，以公允价值计量且其变动计入其他综合收益。应收款项融资采用实际利率法确认的利息收入、减值损失及汇兑差额确认为当期损益，其余公允价值变动计入其他综合收益。终止确认时，之前计入其他综合收益的累计利得或损失从其他综合收益转出，计入当期损益。</w:t>
              </w:r>
            </w:p>
          </w:sdtContent>
        </w:sdt>
      </w:sdtContent>
    </w:sdt>
    <w:bookmarkEnd w:id="124"/>
    <w:sdt>
      <w:sdtPr>
        <w:rPr>
          <w:rFonts w:hint="eastAsia" w:cs="宋体" w:asciiTheme="minorEastAsia" w:hAnsiTheme="minorEastAsia" w:eastAsiaTheme="minorEastAsia"/>
          <w:b w:val="0"/>
          <w:bCs w:val="0"/>
          <w:kern w:val="0"/>
          <w:szCs w:val="21"/>
        </w:rPr>
        <w:alias w:val="模块:其他应收款预期信用损失的确定方法及会计处理方法"/>
        <w:tag w:val="_SEC_ef6a22d43b7f4cfca911abd1cd64c22b"/>
        <w:id w:val="1583487698"/>
        <w:lock w:val="sdtLocked"/>
        <w:placeholder>
          <w:docPart w:val="GBC22222222222222222222222222222"/>
        </w:placeholder>
      </w:sdtPr>
      <w:sdtEndPr>
        <w:rPr>
          <w:rFonts w:hint="default" w:cs="宋体" w:asciiTheme="minorEastAsia" w:hAnsiTheme="minorEastAsia" w:eastAsiaTheme="minorEastAsia"/>
          <w:b w:val="0"/>
          <w:bCs w:val="0"/>
          <w:kern w:val="0"/>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25" w:name="_Hlk533667836"/>
          <w:r>
            <w:rPr>
              <w:rFonts w:hint="eastAsia" w:asciiTheme="minorEastAsia" w:hAnsiTheme="minorEastAsia" w:eastAsiaTheme="minorEastAsia"/>
              <w:szCs w:val="21"/>
            </w:rPr>
            <w:t>其他应收款</w:t>
          </w:r>
        </w:p>
        <w:p>
          <w:pPr>
            <w:pStyle w:val="115"/>
            <w:spacing w:before="0" w:after="0" w:line="360" w:lineRule="auto"/>
            <w:rPr>
              <w:szCs w:val="21"/>
            </w:rPr>
          </w:pPr>
          <w:r>
            <w:rPr>
              <w:rFonts w:hint="eastAsia"/>
              <w:szCs w:val="21"/>
            </w:rPr>
            <w:t>其他应收款</w:t>
          </w:r>
          <w:r>
            <w:rPr>
              <w:szCs w:val="21"/>
            </w:rPr>
            <w:t>预期信用损失的确定方法</w:t>
          </w:r>
          <w:r>
            <w:rPr>
              <w:rFonts w:cs="Calibri"/>
              <w:szCs w:val="21"/>
            </w:rPr>
            <w:t>及会计处理方法</w:t>
          </w:r>
        </w:p>
        <w:sdt>
          <w:sdtPr>
            <w:rPr>
              <w:rFonts w:asciiTheme="minorEastAsia" w:hAnsiTheme="minorEastAsia" w:eastAsiaTheme="minorEastAsia"/>
              <w:szCs w:val="21"/>
            </w:rPr>
            <w:alias w:val="是否适用：其他应收款预期信用损失的确定方法及会计处理方法[双击切换]"/>
            <w:tag w:val="_GBC_d0c5c796c0ac47848c0907121820cf83"/>
            <w:id w:val="336120257"/>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bookmarkEnd w:id="125"/>
    <w:sdt>
      <w:sdtPr>
        <w:rPr>
          <w:rFonts w:asciiTheme="minorEastAsia" w:hAnsiTheme="minorEastAsia" w:eastAsiaTheme="minorEastAsia" w:cstheme="minorBidi"/>
          <w:b w:val="0"/>
          <w:bCs w:val="0"/>
          <w:kern w:val="0"/>
          <w:szCs w:val="21"/>
        </w:rPr>
        <w:alias w:val="模块:存货"/>
        <w:tag w:val="_GBC_b0f90fdf6c7749dbb9bd3cde55d5c0c3"/>
        <w:id w:val="-603644555"/>
        <w:lock w:val="sdtLocked"/>
        <w:placeholder>
          <w:docPart w:val="GBC22222222222222222222222222222"/>
        </w:placeholder>
      </w:sdtPr>
      <w:sdtEndPr>
        <w:rPr>
          <w:rFonts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存货</w:t>
          </w:r>
        </w:p>
        <w:sdt>
          <w:sdtPr>
            <w:rPr>
              <w:rFonts w:hint="eastAsia" w:asciiTheme="minorEastAsia" w:hAnsiTheme="minorEastAsia" w:eastAsiaTheme="minorEastAsia"/>
              <w:szCs w:val="21"/>
            </w:rPr>
            <w:alias w:val="是否适用：存货_重要会计政策和估计[双击切换]"/>
            <w:tag w:val="_GBC_dcacbe0db27e4ea5b80fa4aefb3bdbac"/>
            <w:id w:val="1067078205"/>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b w:val="0"/>
              <w:bCs w:val="0"/>
            </w:rPr>
            <w:alias w:val="存货的核算方法"/>
            <w:tag w:val="_GBC_553fb8cba06d4979b05ae3dabe788fa6"/>
            <w:id w:val="1155268865"/>
            <w:lock w:val="sdtLocked"/>
            <w:placeholder>
              <w:docPart w:val="GBC22222222222222222222222222222"/>
            </w:placeholder>
          </w:sdtPr>
          <w:sdtEndPr>
            <w:rPr>
              <w:rFonts w:asciiTheme="minorEastAsia" w:hAnsiTheme="minorEastAsia" w:eastAsiaTheme="minorEastAsia"/>
              <w:b w:val="0"/>
              <w:bCs w:val="0"/>
            </w:rPr>
          </w:sdtEndPr>
          <w:sdtContent>
            <w:p>
              <w:pPr>
                <w:pStyle w:val="201"/>
                <w:widowControl w:val="0"/>
                <w:numPr>
                  <w:ilvl w:val="2"/>
                  <w:numId w:val="56"/>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存货的分类</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存货是指本公司在日常活动中持有以备出售的产成品或商品、处在生产过程中的在产品、在生产过程或提供劳务过程中耗用的材料和物料等。主要包括原材料、</w:t>
              </w:r>
              <w:r>
                <w:rPr>
                  <w:rFonts w:hint="eastAsia" w:asciiTheme="minorEastAsia" w:hAnsiTheme="minorEastAsia" w:eastAsiaTheme="minorEastAsia"/>
                </w:rPr>
                <w:t>低值易耗品</w:t>
              </w:r>
              <w:r>
                <w:rPr>
                  <w:rFonts w:asciiTheme="minorEastAsia" w:hAnsiTheme="minorEastAsia" w:eastAsiaTheme="minorEastAsia"/>
                </w:rPr>
                <w:t>、委托加工</w:t>
              </w:r>
              <w:r>
                <w:rPr>
                  <w:rFonts w:hint="eastAsia" w:asciiTheme="minorEastAsia" w:hAnsiTheme="minorEastAsia" w:eastAsiaTheme="minorEastAsia"/>
                </w:rPr>
                <w:t>物资</w:t>
              </w:r>
              <w:r>
                <w:rPr>
                  <w:rFonts w:asciiTheme="minorEastAsia" w:hAnsiTheme="minorEastAsia" w:eastAsiaTheme="minorEastAsia"/>
                </w:rPr>
                <w:t>、在产品、自制半成品、产成品（库存商品）、发出商品</w:t>
              </w:r>
              <w:r>
                <w:rPr>
                  <w:rFonts w:hint="eastAsia" w:asciiTheme="minorEastAsia" w:hAnsiTheme="minorEastAsia" w:eastAsiaTheme="minorEastAsia"/>
                </w:rPr>
                <w:t>、开发成本、开发产品</w:t>
              </w:r>
              <w:r>
                <w:rPr>
                  <w:rFonts w:asciiTheme="minorEastAsia" w:hAnsiTheme="minorEastAsia" w:eastAsiaTheme="minorEastAsia"/>
                </w:rPr>
                <w:t>等。</w:t>
              </w:r>
            </w:p>
            <w:p>
              <w:pPr>
                <w:pStyle w:val="201"/>
                <w:widowControl w:val="0"/>
                <w:numPr>
                  <w:ilvl w:val="2"/>
                  <w:numId w:val="56"/>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存货的计价方法</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存货在取得时，按成本进行初始计量，包括采购成本、加工成本和其他成本。存货发出时按月末一次加权平均法计价。</w:t>
              </w:r>
            </w:p>
            <w:p>
              <w:pPr>
                <w:pStyle w:val="201"/>
                <w:widowControl w:val="0"/>
                <w:numPr>
                  <w:ilvl w:val="2"/>
                  <w:numId w:val="56"/>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存货可变现净值的确定依据及存货跌价准备的计提方法</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存货可变现净值按存货的估计售价减去至完工时估计将要发生的成本、估计的销售费用以及相关税费后的金额确定。</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期末，按照单个存货成本高于可变现净值的差额计提存货跌价准备，计入当期损益；以前减记存货价值的影响因素已经消失的，减记的金额应当予以恢复，并在原已计提的存货跌价准备金额内转回，转回的金额计入当期损益。对于数量繁多、单价较低的存货，按存货类别计提存货跌价准备。</w:t>
              </w:r>
            </w:p>
            <w:p>
              <w:pPr>
                <w:pStyle w:val="201"/>
                <w:widowControl w:val="0"/>
                <w:numPr>
                  <w:ilvl w:val="2"/>
                  <w:numId w:val="56"/>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存货的盘存制度</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采用永续盘存制。</w:t>
              </w:r>
            </w:p>
            <w:p>
              <w:pPr>
                <w:pStyle w:val="201"/>
                <w:widowControl w:val="0"/>
                <w:numPr>
                  <w:ilvl w:val="2"/>
                  <w:numId w:val="56"/>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低值易耗品和包装物的摊销方法</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周转材料包括低值易耗品和包装物等，在领用时采用一次转销法进行摊销。</w:t>
              </w:r>
            </w:p>
          </w:sdtContent>
        </w:sdt>
      </w:sdtContent>
    </w:sdt>
    <w:sdt>
      <w:sdtPr>
        <w:rPr>
          <w:rFonts w:hint="eastAsia" w:cs="宋体" w:asciiTheme="minorEastAsia" w:hAnsiTheme="minorEastAsia" w:eastAsiaTheme="minorEastAsia"/>
          <w:b w:val="0"/>
          <w:bCs w:val="0"/>
          <w:kern w:val="0"/>
          <w:szCs w:val="21"/>
        </w:rPr>
        <w:alias w:val="模块:合同资产的确认方法和减值测试方法"/>
        <w:tag w:val="_SEC_9bd5a4d97fa44c929350119c9f058793"/>
        <w:id w:val="814919550"/>
        <w:lock w:val="sdtLocked"/>
        <w:placeholder>
          <w:docPart w:val="GBC22222222222222222222222222222"/>
        </w:placeholder>
      </w:sdtPr>
      <w:sdtEndPr>
        <w:rPr>
          <w:rFonts w:hint="default"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26" w:name="_Hlk533667851"/>
          <w:r>
            <w:rPr>
              <w:rFonts w:hint="eastAsia" w:asciiTheme="minorEastAsia" w:hAnsiTheme="minorEastAsia" w:eastAsiaTheme="minorEastAsia"/>
              <w:szCs w:val="21"/>
            </w:rPr>
            <w:t>合同资产</w:t>
          </w:r>
        </w:p>
        <w:p>
          <w:pPr>
            <w:pStyle w:val="115"/>
            <w:numPr>
              <w:ilvl w:val="0"/>
              <w:numId w:val="57"/>
            </w:numPr>
            <w:spacing w:before="0" w:after="0" w:line="360" w:lineRule="auto"/>
            <w:rPr>
              <w:szCs w:val="21"/>
            </w:rPr>
          </w:pPr>
          <w:r>
            <w:rPr>
              <w:rFonts w:hint="eastAsia"/>
              <w:szCs w:val="21"/>
            </w:rPr>
            <w:t>合同资产的确认方法及标准</w:t>
          </w:r>
        </w:p>
        <w:sdt>
          <w:sdtPr>
            <w:rPr>
              <w:rFonts w:asciiTheme="minorEastAsia" w:hAnsiTheme="minorEastAsia" w:eastAsiaTheme="minorEastAsia"/>
              <w:szCs w:val="21"/>
            </w:rPr>
            <w:alias w:val="是否适用：合同资产的确定方法、摊销方法和减值测试方法[双击切换]"/>
            <w:tag w:val="_GBC_1b5df72f15664694ad46f712f5c33e91"/>
            <w:id w:val="1453904325"/>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cs="Times New Roman" w:asciiTheme="minorEastAsia" w:hAnsiTheme="minorEastAsia" w:eastAsiaTheme="minorEastAsia"/>
              <w:kern w:val="2"/>
              <w:szCs w:val="21"/>
            </w:rPr>
            <w:alias w:val="合同资产的确定方法、摊销方法和减值测试方法"/>
            <w:tag w:val="_GBC_82d4491d0bbc4d81ab154bd0c0c35176"/>
            <w:id w:val="-321282344"/>
            <w:lock w:val="sdtLocked"/>
            <w:placeholder>
              <w:docPart w:val="GBC22222222222222222222222222222"/>
            </w:placeholder>
          </w:sdtPr>
          <w:sdtEndPr>
            <w:rPr>
              <w:rFonts w:cs="Times New Roman" w:asciiTheme="minorEastAsia" w:hAnsiTheme="minorEastAsia" w:eastAsiaTheme="minorEastAsia"/>
              <w:kern w:val="2"/>
              <w:szCs w:val="21"/>
            </w:rPr>
          </w:sdtEndPr>
          <w:sdtContent>
            <w:p>
              <w:pPr>
                <w:widowControl w:val="0"/>
                <w:adjustRightInd w:val="0"/>
                <w:snapToGrid w:val="0"/>
                <w:spacing w:line="360" w:lineRule="auto"/>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合同资产是指本公司已向客户转让商品或服务而有权收取对价的权利，且该权利取决于时间流逝之外的其他因素。本公司拥有的无条件(即，仅取决于时间流逝)向客户收取对价的权利作为应收款项单独列示。</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合同资产预期信用损失的确定方法及会计处理方法，与第十节财务报告五、12应收账款的预期信用损失的确定方法及会计处理方法一致。</w:t>
              </w:r>
            </w:p>
          </w:sdtContent>
        </w:sdt>
      </w:sdtContent>
    </w:sdt>
    <w:bookmarkEnd w:id="126"/>
    <w:sdt>
      <w:sdtPr>
        <w:rPr>
          <w:rFonts w:hint="eastAsia" w:ascii="宋体" w:hAnsi="宋体" w:eastAsia="宋体" w:cs="宋体"/>
          <w:b w:val="0"/>
          <w:bCs w:val="0"/>
          <w:kern w:val="0"/>
          <w:szCs w:val="21"/>
        </w:rPr>
        <w:alias w:val="模块:合同资产预期信用损失的确定方法及会计处理方法"/>
        <w:tag w:val="_SEC_360193ac6f414512ae2c1e2912c3ae6e"/>
        <w:id w:val="-1863886362"/>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0"/>
              <w:numId w:val="57"/>
            </w:numPr>
            <w:spacing w:before="0" w:after="0" w:line="360" w:lineRule="auto"/>
            <w:rPr>
              <w:szCs w:val="21"/>
            </w:rPr>
          </w:pPr>
          <w:bookmarkStart w:id="127" w:name="_Hlk533667866"/>
          <w:r>
            <w:rPr>
              <w:rFonts w:hint="eastAsia"/>
              <w:szCs w:val="21"/>
            </w:rPr>
            <w:t>合同资产预期信用损失的确定方法及会计处理方法</w:t>
          </w:r>
        </w:p>
        <w:sdt>
          <w:sdtPr>
            <w:rPr>
              <w:rFonts w:asciiTheme="minorEastAsia" w:hAnsiTheme="minorEastAsia" w:eastAsiaTheme="minorEastAsia"/>
              <w:szCs w:val="21"/>
            </w:rPr>
            <w:alias w:val="是否适用：合同资产预期信用损失的确定方法及会计处理方法[双击切换]"/>
            <w:tag w:val="_GBC_8c12b6b1febf4f9ab1540f119bcd3247"/>
            <w:id w:val="-623149532"/>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bookmarkEnd w:id="127"/>
    <w:sdt>
      <w:sdtPr>
        <w:rPr>
          <w:rFonts w:hint="eastAsia" w:cs="宋体" w:asciiTheme="minorEastAsia" w:hAnsiTheme="minorEastAsia" w:eastAsiaTheme="minorEastAsia"/>
          <w:b w:val="0"/>
          <w:bCs w:val="0"/>
          <w:kern w:val="0"/>
          <w:szCs w:val="21"/>
        </w:rPr>
        <w:alias w:val="模块:持有待售资产"/>
        <w:tag w:val="_GBC_a1a86a762feb43c3bed478ce8a19ae7c"/>
        <w:id w:val="1111705638"/>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hint="eastAsia" w:asciiTheme="minorEastAsia" w:hAnsiTheme="minorEastAsia" w:eastAsiaTheme="minorEastAsia"/>
              <w:szCs w:val="21"/>
            </w:rPr>
            <w:t>持有待售资产</w:t>
          </w:r>
        </w:p>
        <w:sdt>
          <w:sdtPr>
            <w:rPr>
              <w:rFonts w:hint="eastAsia" w:asciiTheme="minorEastAsia" w:hAnsiTheme="minorEastAsia" w:eastAsiaTheme="minorEastAsia"/>
              <w:szCs w:val="21"/>
            </w:rPr>
            <w:alias w:val="是否适用：划分为持有待售资产_重要会计政策和估计[双击切换]"/>
            <w:tag w:val="_GBC_f860c57547b540e0980c826c493b2d75"/>
            <w:id w:val="892075470"/>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bookmarkStart w:id="128" w:name="_Hlk533151067"/>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rPr>
            <w:alias w:val="划分为持有待售资产的确认标准"/>
            <w:tag w:val="_GBC_d8726eddbed2465794ccdff8edd6a7cc"/>
            <w:id w:val="1208600691"/>
            <w:lock w:val="sdtLocked"/>
          </w:sdtPr>
          <w:sdtEndPr>
            <w:rPr>
              <w:rFonts w:asciiTheme="minorEastAsia" w:hAnsiTheme="minorEastAsia" w:eastAsiaTheme="minorEastAsia"/>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本公司将同时满足下列条件的非流动资产或处置组划分为持有待售类别：</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 xml:space="preserve">1、根据类似交易中出售此类资产或处置组的惯例，在当前状况下即可立即出售； </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2、出售极可能发生，即企业已经就一项出售计划作出决议且获得确定的购买承诺，预计出售将在一年内完成。有关规定要求企业相关权力机构或者监管部门批准后方可出售的，应当已经获得批准。</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初始计量或在资产负债表日重新计量持有待售的非流动资产或处置组时，其账面价值高于公允价值减去出售费用后的净额的，将账面价值减记至公允价值减去出售费用后的净额，减记的金额确认为资产减值损失，计入当期损益，同时计提持有待售资产减值准备。</w:t>
              </w:r>
            </w:p>
          </w:sdtContent>
        </w:sdt>
      </w:sdtContent>
    </w:sdt>
    <w:bookmarkEnd w:id="128"/>
    <w:sdt>
      <w:sdtPr>
        <w:rPr>
          <w:rFonts w:hint="eastAsia" w:cs="宋体" w:asciiTheme="minorEastAsia" w:hAnsiTheme="minorEastAsia" w:eastAsiaTheme="minorEastAsia"/>
          <w:b w:val="0"/>
          <w:bCs w:val="0"/>
          <w:kern w:val="0"/>
          <w:szCs w:val="21"/>
        </w:rPr>
        <w:alias w:val="模块:债权投资"/>
        <w:tag w:val="_SEC_e844286f55704dad967ec5918d6d8015"/>
        <w:id w:val="-671253251"/>
        <w:lock w:val="sdtLocked"/>
        <w:placeholder>
          <w:docPart w:val="GBC22222222222222222222222222222"/>
        </w:placeholder>
      </w:sdtPr>
      <w:sdtEndPr>
        <w:rPr>
          <w:rFonts w:hint="default" w:cs="宋体" w:asciiTheme="minorEastAsia" w:hAnsiTheme="minorEastAsia" w:eastAsiaTheme="minorEastAsia"/>
          <w:b w:val="0"/>
          <w:bCs w:val="0"/>
          <w:kern w:val="0"/>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29" w:name="_Hlk533667896"/>
          <w:r>
            <w:rPr>
              <w:rFonts w:hint="eastAsia" w:asciiTheme="minorEastAsia" w:hAnsiTheme="minorEastAsia" w:eastAsiaTheme="minorEastAsia"/>
              <w:szCs w:val="21"/>
            </w:rPr>
            <w:t>债权投资</w:t>
          </w:r>
        </w:p>
        <w:p>
          <w:pPr>
            <w:pStyle w:val="115"/>
            <w:numPr>
              <w:ilvl w:val="0"/>
              <w:numId w:val="58"/>
            </w:numPr>
            <w:spacing w:before="0" w:after="0" w:line="360" w:lineRule="auto"/>
            <w:rPr>
              <w:szCs w:val="21"/>
            </w:rPr>
          </w:pPr>
          <w:r>
            <w:rPr>
              <w:rFonts w:hint="eastAsia"/>
              <w:szCs w:val="21"/>
            </w:rPr>
            <w:t>债权投资预期信用损失的确定方法及会计处理方法</w:t>
          </w:r>
        </w:p>
        <w:sdt>
          <w:sdtPr>
            <w:rPr>
              <w:rFonts w:asciiTheme="minorEastAsia" w:hAnsiTheme="minorEastAsia" w:eastAsiaTheme="minorEastAsia"/>
              <w:szCs w:val="21"/>
            </w:rPr>
            <w:alias w:val="是否适用：债权投资预期信用损失的确定方法及会计处理方法[双击切换]"/>
            <w:tag w:val="_GBC_87f8f287520948df93190a69892c32aa"/>
            <w:id w:val="601220207"/>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bookmarkEnd w:id="129"/>
    <w:sdt>
      <w:sdtPr>
        <w:rPr>
          <w:rFonts w:hint="eastAsia" w:cs="宋体" w:asciiTheme="minorEastAsia" w:hAnsiTheme="minorEastAsia" w:eastAsiaTheme="minorEastAsia"/>
          <w:b w:val="0"/>
          <w:bCs w:val="0"/>
          <w:kern w:val="0"/>
          <w:szCs w:val="21"/>
        </w:rPr>
        <w:alias w:val="模块:其他债权投资"/>
        <w:tag w:val="_SEC_c45e287df635454da1fc932b5d7bc19c"/>
        <w:id w:val="500250667"/>
        <w:lock w:val="sdtLocked"/>
        <w:placeholder>
          <w:docPart w:val="GBC22222222222222222222222222222"/>
        </w:placeholder>
      </w:sdtPr>
      <w:sdtEndPr>
        <w:rPr>
          <w:rFonts w:hint="default" w:cs="宋体" w:asciiTheme="minorEastAsia" w:hAnsiTheme="minorEastAsia" w:eastAsiaTheme="minorEastAsia"/>
          <w:b w:val="0"/>
          <w:bCs w:val="0"/>
          <w:kern w:val="0"/>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30" w:name="_Hlk533667949"/>
          <w:r>
            <w:rPr>
              <w:rFonts w:hint="eastAsia" w:asciiTheme="minorEastAsia" w:hAnsiTheme="minorEastAsia" w:eastAsiaTheme="minorEastAsia"/>
              <w:szCs w:val="21"/>
            </w:rPr>
            <w:t>其他债权投资</w:t>
          </w:r>
        </w:p>
        <w:p>
          <w:pPr>
            <w:pStyle w:val="115"/>
            <w:numPr>
              <w:ilvl w:val="0"/>
              <w:numId w:val="59"/>
            </w:numPr>
            <w:spacing w:before="0" w:after="0" w:line="360" w:lineRule="auto"/>
            <w:rPr>
              <w:szCs w:val="21"/>
            </w:rPr>
          </w:pPr>
          <w:r>
            <w:rPr>
              <w:rFonts w:hint="eastAsia"/>
              <w:szCs w:val="21"/>
            </w:rPr>
            <w:t>其他债权投资</w:t>
          </w:r>
          <w:r>
            <w:rPr>
              <w:szCs w:val="21"/>
            </w:rPr>
            <w:t>预期信用损失的确定方法</w:t>
          </w:r>
          <w:r>
            <w:rPr>
              <w:rFonts w:cs="Calibri"/>
              <w:szCs w:val="21"/>
            </w:rPr>
            <w:t>及会计处理方法</w:t>
          </w:r>
        </w:p>
        <w:sdt>
          <w:sdtPr>
            <w:rPr>
              <w:rFonts w:asciiTheme="minorEastAsia" w:hAnsiTheme="minorEastAsia" w:eastAsiaTheme="minorEastAsia"/>
              <w:szCs w:val="21"/>
            </w:rPr>
            <w:alias w:val="是否适用：其他债权投资预期信用损失的确定方法及会计处理方法[双击切换]"/>
            <w:tag w:val="_GBC_5b7d7522696a4d8e96ffced48fe733e8"/>
            <w:id w:val="1516270690"/>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bookmarkEnd w:id="130"/>
    <w:sdt>
      <w:sdtPr>
        <w:rPr>
          <w:rFonts w:hint="eastAsia" w:cs="宋体" w:asciiTheme="minorEastAsia" w:hAnsiTheme="minorEastAsia" w:eastAsiaTheme="minorEastAsia"/>
          <w:b w:val="0"/>
          <w:bCs w:val="0"/>
          <w:kern w:val="0"/>
          <w:szCs w:val="21"/>
        </w:rPr>
        <w:alias w:val="模块:长期应收款"/>
        <w:tag w:val="_SEC_90d4e338ecdf40dbbf3e9d454acdaa20"/>
        <w:id w:val="939952688"/>
        <w:lock w:val="sdtLocked"/>
        <w:placeholder>
          <w:docPart w:val="GBC22222222222222222222222222222"/>
        </w:placeholder>
      </w:sdtPr>
      <w:sdtEndPr>
        <w:rPr>
          <w:rFonts w:hint="default" w:cs="宋体" w:asciiTheme="minorEastAsia" w:hAnsiTheme="minorEastAsia" w:eastAsiaTheme="minorEastAsia"/>
          <w:b w:val="0"/>
          <w:bCs w:val="0"/>
          <w:kern w:val="0"/>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31" w:name="_Hlk533667970"/>
          <w:r>
            <w:rPr>
              <w:rFonts w:hint="eastAsia" w:asciiTheme="minorEastAsia" w:hAnsiTheme="minorEastAsia" w:eastAsiaTheme="minorEastAsia"/>
              <w:szCs w:val="21"/>
            </w:rPr>
            <w:t>长期应收款</w:t>
          </w:r>
        </w:p>
        <w:p>
          <w:pPr>
            <w:pStyle w:val="115"/>
            <w:numPr>
              <w:ilvl w:val="0"/>
              <w:numId w:val="60"/>
            </w:numPr>
            <w:spacing w:before="0" w:after="0" w:line="360" w:lineRule="auto"/>
            <w:rPr>
              <w:szCs w:val="21"/>
            </w:rPr>
          </w:pPr>
          <w:r>
            <w:rPr>
              <w:rFonts w:hint="eastAsia"/>
              <w:szCs w:val="21"/>
            </w:rPr>
            <w:t>长期应收款</w:t>
          </w:r>
          <w:r>
            <w:rPr>
              <w:szCs w:val="21"/>
            </w:rPr>
            <w:t>预期信用损失的确定方法</w:t>
          </w:r>
          <w:r>
            <w:rPr>
              <w:rFonts w:cs="Calibri"/>
              <w:szCs w:val="21"/>
            </w:rPr>
            <w:t>及会计处理方法</w:t>
          </w:r>
        </w:p>
        <w:sdt>
          <w:sdtPr>
            <w:rPr>
              <w:rFonts w:asciiTheme="minorEastAsia" w:hAnsiTheme="minorEastAsia" w:eastAsiaTheme="minorEastAsia"/>
              <w:szCs w:val="21"/>
            </w:rPr>
            <w:alias w:val="是否适用：长期应收款预期信用损失的确定方法及会计处理方法[双击切换]"/>
            <w:tag w:val="_GBC_fa51423384c54160b6a244317cd66743"/>
            <w:id w:val="519748858"/>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bookmarkEnd w:id="131"/>
    <w:sdt>
      <w:sdtPr>
        <w:rPr>
          <w:rFonts w:asciiTheme="minorEastAsia" w:hAnsiTheme="minorEastAsia" w:eastAsiaTheme="minorEastAsia" w:cstheme="minorBidi"/>
          <w:b w:val="0"/>
          <w:bCs w:val="0"/>
          <w:kern w:val="0"/>
          <w:szCs w:val="21"/>
        </w:rPr>
        <w:alias w:val="模块:长期股权投资"/>
        <w:tag w:val="_GBC_d82c12cf13554acd90dfb7880244798c"/>
        <w:id w:val="1340353446"/>
        <w:lock w:val="sdtLocked"/>
        <w:placeholder>
          <w:docPart w:val="GBC22222222222222222222222222222"/>
        </w:placeholder>
      </w:sdtPr>
      <w:sdtEndPr>
        <w:rPr>
          <w:rFonts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长期股权投资</w:t>
          </w:r>
        </w:p>
        <w:sdt>
          <w:sdtPr>
            <w:rPr>
              <w:rFonts w:hint="eastAsia" w:asciiTheme="minorEastAsia" w:hAnsiTheme="minorEastAsia" w:eastAsiaTheme="minorEastAsia"/>
              <w:szCs w:val="21"/>
            </w:rPr>
            <w:alias w:val="是否适用：长期股权投资_重要会计政策和估计[双击切换]"/>
            <w:tag w:val="_GBC_990faa4da4e64a5389a573293ba4981b"/>
            <w:id w:val="-1336304395"/>
            <w:lock w:val="sdtLocked"/>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rPr>
            <w:alias w:val="长期股权投资的核算方法"/>
            <w:tag w:val="_GBC_3e77074cd50946b1bccdff9bc1c9556f"/>
            <w:id w:val="-1083378920"/>
            <w:lock w:val="sdtLocked"/>
          </w:sdtPr>
          <w:sdtEndPr>
            <w:rPr>
              <w:rFonts w:asciiTheme="minorEastAsia" w:hAnsiTheme="minorEastAsia" w:eastAsiaTheme="minorEastAsia"/>
            </w:rPr>
          </w:sdtEndPr>
          <w:sdtContent>
            <w:p>
              <w:pPr>
                <w:pStyle w:val="199"/>
                <w:widowControl w:val="0"/>
                <w:numPr>
                  <w:ilvl w:val="0"/>
                  <w:numId w:val="61"/>
                </w:numPr>
                <w:spacing w:before="0" w:beforeAutospacing="0" w:afterLines="0"/>
                <w:ind w:left="425" w:firstLine="0" w:firstLineChars="0"/>
                <w:outlineLvl w:val="3"/>
                <w:rPr>
                  <w:rFonts w:asciiTheme="minorEastAsia" w:hAnsiTheme="minorEastAsia" w:eastAsiaTheme="minorEastAsia"/>
                  <w:b/>
                  <w:bCs/>
                  <w:iCs/>
                </w:rPr>
              </w:pPr>
              <w:r>
                <w:rPr>
                  <w:rFonts w:hint="eastAsia" w:asciiTheme="minorEastAsia" w:hAnsiTheme="minorEastAsia" w:eastAsiaTheme="minorEastAsia"/>
                  <w:b/>
                  <w:bCs/>
                  <w:iCs/>
                </w:rPr>
                <w:t>重大影响、共同控制的判断标准</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1）本公司结合以下情形综合考虑是否对被投资单位具有重大影响：是否在被投资单位董事会或类似权利机构中派有代表；是否参与被投资单位财务和经营政策制定过程；是否与被投资单位之间发生重要交易；是否向被投资单位派出管理人员；是否向被投资单位提供关键技术资料。</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（2）若本公司与其他参与方均受某合营安排的约束，任何一个参与方不能单独控制该安排，任何一个参与方均能够阻止其他参与方或参与方组合单独控制该安排，本公司判断对该项合营安排具有共同控制。</w:t>
              </w:r>
            </w:p>
            <w:p>
              <w:pPr>
                <w:pStyle w:val="199"/>
                <w:widowControl w:val="0"/>
                <w:numPr>
                  <w:ilvl w:val="0"/>
                  <w:numId w:val="61"/>
                </w:numPr>
                <w:spacing w:before="0" w:beforeAutospacing="0" w:afterLines="0"/>
                <w:ind w:left="0" w:firstLine="422"/>
                <w:jc w:val="both"/>
                <w:outlineLvl w:val="3"/>
                <w:rPr>
                  <w:rFonts w:asciiTheme="minorEastAsia" w:hAnsiTheme="minorEastAsia" w:eastAsiaTheme="minorEastAsia"/>
                  <w:b/>
                  <w:bCs/>
                  <w:iCs/>
                </w:rPr>
              </w:pPr>
              <w:r>
                <w:rPr>
                  <w:rFonts w:hint="eastAsia" w:asciiTheme="minorEastAsia" w:hAnsiTheme="minorEastAsia" w:eastAsiaTheme="minorEastAsia"/>
                  <w:b/>
                  <w:bCs/>
                  <w:iCs/>
                </w:rPr>
                <w:t>投资成本确定</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（1）企业合并形成的长期股权投资，按以下方法确定投资成本：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1）对于同一控制下企业合并形成的对子公司投资，以在合并日取得被合并方所有者权益在最终控制方合并财务报表中账面价值的份额作为长期股权投资的投资成本。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分步实现的同一控制下企业合并，在合并日根据合并后应享有被合并方净资产在最终控制方合并财务报表中的账面价值的份额，确定长期股权投资的初始投资成本；初始投资成本与达到合并前长期股权投资账面价值加上合并日进一步取得股份新支付对价的账面价值之和的差额，调整资本公积（资/股本溢价），资本公积不足冲减的，冲减留存收益。合并日之前持有的股权投资，因采用权益法核算或金融工具确认和计量准则核算而确认的其他综合收益暂不进行会计处理，直至处置该项投资时采用与投资单位直接处置相关资产或负债相同的基础进行会计处理；因采用权益法核算而确认的被投资单位净资产中除净损益、其他综合收益和利润分配以外的所有者权益其他变动，暂不进行会计处理，直至处置该项投资时转入当期损益。其中，处置后的剩余股权根据本准则采用成本法或权益法核算的，其他综合收益和其他所有者权益应按比例结转，处置后的剩余股权改按金融工具确认和计量准则进行会计处理的，其他综合收益和其他所有者权益应全部结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2）对于非同一控制下企业合并形成的对子公司投资，以企业合并成本作为投资成本。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追加投资能够对非同一控制下的被投资单位实施控制的，以购买日之前所持被购买方的股权投资的账面价值与购买日新增投资成本之和，作为改按成本法核算的初始投资成本；购买日之前持有的被购买方的股权投资因采用权益法核算而确认的其他综合收益，在处置该项投资时采用与被投资单位直接处置相关资产或负债相同的基础进行会计处理。购买日之前持有的股权投资按照《企业会计准则第22号——金融工具确认和计量》有关规定进行会计处理的，原计入其他综合收益的累计公允价值变动应当在改按成本法核算时转入留存收益。</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（2）除企业合并形成的长期股权投资以外，其他方式取得的长期股权投资，按以下方法确定投资成本：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1）以支付现金取得的长期股权投资，按实际支付的购买价款作为投资成本。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2）以发行权益性证券取得的长期股权投资，按发行权益性证券的公允价值作为投资成本。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3）因追加投资等原因，能够对被投资单位施加重大影响或实施共同控制但不构成控制的，应当按照《企业会计准则第22号——金融工具确认和计量》确定的原持有股权的公允价值加上新增投资成本之和，作为改按权益法核算的初始投资成本。原持有的股权投资分类为其他权益工具投资的，其公允价值与账面价值之间的差额，以及原计入其他综合收益的累计公允价值变动应当转入改按权益法核算的留存收益。</w:t>
              </w:r>
            </w:p>
            <w:p>
              <w:pPr>
                <w:pStyle w:val="199"/>
                <w:widowControl w:val="0"/>
                <w:numPr>
                  <w:ilvl w:val="0"/>
                  <w:numId w:val="61"/>
                </w:numPr>
                <w:spacing w:before="0" w:beforeAutospacing="0" w:afterLines="0"/>
                <w:ind w:left="0" w:firstLine="422"/>
                <w:jc w:val="both"/>
                <w:outlineLvl w:val="3"/>
                <w:rPr>
                  <w:rFonts w:asciiTheme="minorEastAsia" w:hAnsiTheme="minorEastAsia" w:eastAsiaTheme="minorEastAsia"/>
                  <w:b/>
                  <w:bCs/>
                  <w:iCs/>
                </w:rPr>
              </w:pPr>
              <w:r>
                <w:rPr>
                  <w:rFonts w:hint="eastAsia" w:asciiTheme="minorEastAsia" w:hAnsiTheme="minorEastAsia" w:eastAsiaTheme="minorEastAsia"/>
                  <w:b/>
                  <w:bCs/>
                  <w:iCs/>
                </w:rPr>
                <w:t>后续计量及损益确认方法</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（1）对子公司投资</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在合并财务报表中，对子公司投资按第十节财务报告五、6进行处理。</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在母公司财务报表中，对子公司投资采用成本法核算，在被投资单位宣告分派的现金股利或利润时，确认投资收益。</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（2）对合营企业投资和对联营企业投资</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对合营企业投资和对联营企业投资采用权益法核算，具体会计处理包括：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于初始投资成本大于投资时应享有被投资单位可辨认净资产公允价值份额的，其差额包含在长期股权投资成本中；对于初始投资成本小于投资时应享有被投资单位可辨认净资产公允价值份额的，其差额计入当期损益，同时调整长期股权投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取得对合营企业投资和对联营企业投资后，按照应享有或应分担的被投资单位实现的净损益和其他综合收益的份额，分别确认投资损益和其他综合收益并调整长期股权投资的账面价值；按照被投资单位宣告分派的现金股利或利润应分得的部分，相应减少长期股权投资的账面价值。</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在计算应享有或应分担的被投资单位实现的净损益的份额时，以取得投资时被投资单位可辨认净资产的公允价值为基础确定，对于被投资单位的会计政策或会计期间与本公司不同的，权益法核算时按照本公司的会计政策或会计期间对被投资单位的财务报表进行必要调整。与合营企业和联营企业之间内部交易产生的未实现损益按照持股比例计算归属于本公司的部分，在权益法核算时予以抵消。内部交易产生的未实现损失，有证据表明该损失是相关资产减值损失的，则全额确认该损失。</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合营企业或联营企业发生的净亏损，除本公司负有承担额外损失义务外，以长期股权投资的账面价值以及其他实质上构成对被投资单位净投资的长期权益减记至零为限。被投资企业以后实现净利润的，在收益分享额弥补未确认的亏损分担额后，恢复确认收益分享额。</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对于被投资单位除净损益、其他综合收益和利润分配以外所有者权益的其他变动，调整长期股权投资的账面价值并计入资本公积。处置该项投资时，将原计入资本公积的部分按相应比例转入当期损益。</w:t>
              </w:r>
            </w:p>
            <w:p>
              <w:pPr>
                <w:pStyle w:val="199"/>
                <w:widowControl w:val="0"/>
                <w:numPr>
                  <w:ilvl w:val="0"/>
                  <w:numId w:val="61"/>
                </w:numPr>
                <w:spacing w:before="0" w:beforeAutospacing="0" w:afterLines="0"/>
                <w:ind w:left="0" w:firstLine="422"/>
                <w:jc w:val="both"/>
                <w:outlineLvl w:val="3"/>
                <w:rPr>
                  <w:rFonts w:asciiTheme="minorEastAsia" w:hAnsiTheme="minorEastAsia" w:eastAsiaTheme="minorEastAsia"/>
                  <w:b/>
                  <w:bCs/>
                  <w:iCs/>
                </w:rPr>
              </w:pPr>
              <w:r>
                <w:rPr>
                  <w:rFonts w:hint="eastAsia" w:asciiTheme="minorEastAsia" w:hAnsiTheme="minorEastAsia" w:eastAsiaTheme="minorEastAsia"/>
                  <w:b/>
                  <w:bCs/>
                  <w:iCs/>
                </w:rPr>
                <w:t>处置长期股权投资</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处置长期股权投资，其账面价值与实际取得价款的差额计入当期损益，采用权益法核算的长期股权投资，处置时，采用与被投资单位直接处置相关资产或负债相同的基础，按相应比例对原计入其他综合收益的部分进行会计处理。</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因处置部分权益性投资等原因丧失了对被投资单位共同控制或重大影响的，处置后的剩余股权按《企业会计准则第22号——金融工具确认和计量》核算，其在丧失共同控制或重大影响之日的公允价值与账面价值间的差额计入当期损益。原股权投资因采用权益法核算而确认的其他综合收益，应当在终止采用权益法核算时采用与被投资单位直接处置相关资产或负债相同的基础进行会计处理。</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因处置部分权益性投资等原因丧失了对被投资单位控制的，在编制个别财务报表时，处置后的剩余股权能够对被投资单位实施共同控制或重大影响的，改按权益法核算，并对剩余股权视同自取得时即采用权益法核算进行调整。处置后剩余股权不能对被投资单位实施共同控制或重大影响的，按《企业会计准则第22号——金融工具确认和计量》的有关规定进行会计处理，其在丧失控制权之日的公允价值与账面价值间的差额计入当期损益。</w:t>
              </w:r>
            </w:p>
          </w:sdtContent>
        </w:sdt>
      </w:sdtContent>
    </w:sd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投资性房地产</w:t>
      </w:r>
    </w:p>
    <w:sdt>
      <w:sdtPr>
        <w:rPr>
          <w:rFonts w:hint="eastAsia" w:ascii="宋体" w:hAnsi="宋体" w:eastAsia="宋体" w:cs="宋体"/>
          <w:b w:val="0"/>
          <w:bCs w:val="0"/>
          <w:kern w:val="0"/>
          <w:szCs w:val="21"/>
        </w:rPr>
        <w:tag w:val="_GBC_2b2036270bc84711804cd256998442a6"/>
        <w:id w:val="1548955776"/>
        <w:lock w:val="sdtLocked"/>
        <w:placeholder>
          <w:docPart w:val="GBC22222222222222222222222222222"/>
        </w:placeholder>
      </w:sdtPr>
      <w:sdtEndPr>
        <w:rPr>
          <w:rFonts w:hint="eastAsia" w:ascii="宋体" w:hAnsi="宋体" w:eastAsia="宋体" w:cs="Times New Roman"/>
          <w:b w:val="0"/>
          <w:bCs w:val="0"/>
          <w:kern w:val="2"/>
          <w:szCs w:val="21"/>
        </w:rPr>
      </w:sdtEndPr>
      <w:sdtContent>
        <w:sdt>
          <w:sdtPr>
            <w:rPr>
              <w:rFonts w:ascii="宋体" w:hAnsi="宋体" w:eastAsia="宋体"/>
              <w:b w:val="0"/>
              <w:bCs w:val="0"/>
              <w:szCs w:val="21"/>
            </w:rPr>
            <w:alias w:val="采用公允价值计量模式的选择依据"/>
            <w:tag w:val="_GBC_3923e55fa36348df898ac65ec0c9f5a3"/>
            <w:id w:val="-921485801"/>
            <w:lock w:val="sdtLocked"/>
            <w:placeholder>
              <w:docPart w:val="GBC22222222222222222222222222222"/>
            </w:placeholder>
          </w:sdtPr>
          <w:sdtEndPr>
            <w:rPr>
              <w:rFonts w:ascii="宋体" w:hAnsi="宋体" w:eastAsia="宋体"/>
              <w:b w:val="0"/>
              <w:bCs w:val="0"/>
              <w:szCs w:val="21"/>
            </w:rPr>
          </w:sdtEndPr>
          <w:sdtContent>
            <w:p>
              <w:pPr>
                <w:pStyle w:val="115"/>
                <w:tabs>
                  <w:tab w:val="left" w:pos="360"/>
                </w:tabs>
                <w:spacing w:before="0" w:after="0" w:line="360" w:lineRule="auto"/>
                <w:rPr>
                  <w:b w:val="0"/>
                  <w:szCs w:val="21"/>
                </w:rPr>
              </w:pPr>
              <w:r>
                <w:rPr>
                  <w:b w:val="0"/>
                  <w:szCs w:val="21"/>
                </w:rPr>
                <w:t>投资性房地产是指为赚取租金或资本增值，或两者兼有而持有的房地产。包括已出租的土地使用权、持有并准备增值后转让的土地使用权、已出租的建筑物等。</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本公司的投资性房地产按其成本作为入账价值，外购投资性房地产的成本包括购买价款、相关税费和可直接归属于该资产的其他支出；自行建造投资性房地产的成本，由建造该项资产达到预定可使用状态前所发生的必要支出构成。</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本公司采用公允价值模式对投资性房地产进行后续计量，不对投资性房地产计提折旧或进行摊销，在资产负债表日以投资性房地产的公允价值为基础调整其账面价值，公允价值与原账面价值之间的差额计入当期损益。</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本公司确定投资性房地产的公允价值时，参照活跃市场上同类或类似房地产的现行市场价格；无法取得同类或类似房地产的现行市场价格的，参照活跃市场上同类或类似房地产的最近交易价格，并考虑资产状况、所在位置、交易情况、交易日期等因素，从而对投资性房地产的公允价值作出合理的估计；或基于预计未来获得的租金收益和有关现金流量的现值确定其公允价值。</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本公司有确凿证据表明房地产用途发生改变，将投资性房地产转换为自用房地产时，以其转换当日的公允价值作为自用房地产的账面价值，公允价值与原账面价值的差额计入当期损益。自用房地产或存货转换为采用公允价值模式计量的投资性房地产时，投资性房地产按照转换当日的公允价值计价，转换当日的公允价值小于原账面价值的，其差额计入当期损益；转换当日的公允价值大于原账面价值的，其差额计入其他综合收益。</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asciiTheme="minorEastAsia" w:hAnsiTheme="minorEastAsia" w:eastAsiaTheme="minorEastAsia"/>
                </w:rPr>
                <w:t>当投资性房地产被处置，或者永久退出使用且预计不能从其处置中取得经济利益时，终止确认该项投资性房地产。投资性房地产出售、转让、报废或毁损的处置收入扣除其账面价值和相关税费后的金额计入当期损益。</w:t>
              </w:r>
            </w:p>
          </w:sdtContent>
        </w:sdt>
      </w:sdtContent>
    </w:sdt>
    <w:p>
      <w:pPr>
        <w:pStyle w:val="114"/>
        <w:numPr>
          <w:ilvl w:val="0"/>
          <w:numId w:val="53"/>
        </w:numPr>
        <w:spacing w:before="0" w:after="0" w:line="360" w:lineRule="auto"/>
        <w:rPr>
          <w:rFonts w:asciiTheme="minorEastAsia" w:hAnsiTheme="minorEastAsia" w:eastAsiaTheme="minorEastAsia"/>
          <w:szCs w:val="21"/>
        </w:rPr>
      </w:pPr>
      <w:r>
        <w:rPr>
          <w:rFonts w:asciiTheme="minorEastAsia" w:hAnsiTheme="minorEastAsia" w:eastAsiaTheme="minorEastAsia"/>
          <w:szCs w:val="21"/>
        </w:rPr>
        <w:t>固定资产</w:t>
      </w:r>
    </w:p>
    <w:sdt>
      <w:sdtPr>
        <w:rPr>
          <w:rFonts w:ascii="宋体" w:hAnsi="宋体" w:eastAsia="宋体" w:cs="宋体"/>
          <w:b w:val="0"/>
          <w:bCs w:val="0"/>
          <w:kern w:val="0"/>
          <w:szCs w:val="21"/>
        </w:rPr>
        <w:alias w:val="模块:固定资产确认条件"/>
        <w:tag w:val="_GBC_662771796da549e1b2a02fb7d497f077"/>
        <w:id w:val="1809201681"/>
        <w:lock w:val="sdtLocked"/>
        <w:placeholder>
          <w:docPart w:val="GBC22222222222222222222222222222"/>
        </w:placeholder>
      </w:sdtPr>
      <w:sdtEndPr>
        <w:rPr>
          <w:rFonts w:ascii="宋体" w:hAnsi="宋体" w:eastAsia="宋体" w:cs="Times New Roman"/>
          <w:b w:val="0"/>
          <w:bCs w:val="0"/>
          <w:kern w:val="2"/>
          <w:szCs w:val="21"/>
        </w:rPr>
      </w:sdtEndPr>
      <w:sdtContent>
        <w:p>
          <w:pPr>
            <w:pStyle w:val="115"/>
            <w:numPr>
              <w:ilvl w:val="0"/>
              <w:numId w:val="62"/>
            </w:numPr>
            <w:spacing w:before="0" w:after="0" w:line="360" w:lineRule="auto"/>
            <w:rPr>
              <w:szCs w:val="21"/>
            </w:rPr>
          </w:pPr>
          <w:r>
            <w:rPr>
              <w:rFonts w:hint="eastAsia"/>
              <w:szCs w:val="21"/>
            </w:rPr>
            <w:t>确认条件</w:t>
          </w:r>
        </w:p>
        <w:sdt>
          <w:sdtPr>
            <w:rPr>
              <w:rFonts w:asciiTheme="minorEastAsia" w:hAnsiTheme="minorEastAsia" w:eastAsiaTheme="minorEastAsia"/>
              <w:szCs w:val="21"/>
            </w:rPr>
            <w:alias w:val="是否适用：固定资产确认条件[双击切换]"/>
            <w:tag w:val="_GBC_4c768c6eca804bab9e4fc027185bcda6"/>
            <w:id w:val="-98802014"/>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bCs/>
            </w:rPr>
            <w:alias w:val="固定资产确认条件"/>
            <w:tag w:val="_GBC_3044d53470b143fa9477fa34b85d4ec5"/>
            <w:id w:val="-1659376825"/>
            <w:lock w:val="sdtLocked"/>
            <w:placeholder>
              <w:docPart w:val="GBC22222222222222222222222222222"/>
            </w:placeholder>
          </w:sdtPr>
          <w:sdtEndPr>
            <w:rPr>
              <w:rFonts w:asciiTheme="minorEastAsia" w:hAnsiTheme="minorEastAsia" w:eastAsiaTheme="minorEastAsia"/>
              <w:b/>
              <w:bCs/>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固定资产是指为生产商品、提供劳务、出租或经营管理而持有的，使用寿命超过一个会计年度的有形资产。固定资产仅在与其有关的经济利益很可能流入本公司，且其成本能够可靠地计量时才予以确认。固定资产按成本并考虑预计弃置费用因素的影响进行初始计量。</w:t>
              </w:r>
            </w:p>
          </w:sdtContent>
        </w:sdt>
      </w:sdtContent>
    </w:sdt>
    <w:sdt>
      <w:sdtPr>
        <w:rPr>
          <w:rFonts w:ascii="宋体" w:hAnsi="宋体" w:eastAsia="宋体" w:cstheme="minorBidi"/>
          <w:b w:val="0"/>
          <w:bCs w:val="0"/>
          <w:kern w:val="0"/>
          <w:szCs w:val="21"/>
        </w:rPr>
        <w:alias w:val="模块:固定资产折旧方法"/>
        <w:tag w:val="_GBC_7c749a57d4094b3386978c34c3487e2a"/>
        <w:id w:val="-91099762"/>
        <w:lock w:val="sdtLocked"/>
        <w:placeholder>
          <w:docPart w:val="GBC22222222222222222222222222222"/>
        </w:placeholder>
      </w:sdtPr>
      <w:sdtEndPr>
        <w:rPr>
          <w:rFonts w:ascii="宋体" w:hAnsi="宋体" w:eastAsia="宋体" w:cs="宋体"/>
          <w:b w:val="0"/>
          <w:bCs w:val="0"/>
          <w:kern w:val="0"/>
          <w:szCs w:val="24"/>
        </w:rPr>
      </w:sdtEndPr>
      <w:sdtContent>
        <w:p>
          <w:pPr>
            <w:pStyle w:val="115"/>
            <w:numPr>
              <w:ilvl w:val="0"/>
              <w:numId w:val="62"/>
            </w:numPr>
            <w:spacing w:before="0" w:after="0" w:line="360" w:lineRule="auto"/>
            <w:rPr>
              <w:szCs w:val="21"/>
            </w:rPr>
          </w:pPr>
          <w:r>
            <w:rPr>
              <w:szCs w:val="21"/>
            </w:rPr>
            <w:t>折旧方法</w:t>
          </w:r>
        </w:p>
        <w:p>
          <w:pPr>
            <w:pStyle w:val="282"/>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本公司采用直线法计提固定资产折旧，各类固定资产使用寿命、预计净残值率和年折旧率如下：</w:t>
          </w:r>
        </w:p>
        <w:sdt>
          <w:sdtPr>
            <w:rPr>
              <w:rFonts w:asciiTheme="minorEastAsia" w:hAnsiTheme="minorEastAsia" w:eastAsiaTheme="minorEastAsia"/>
              <w:szCs w:val="21"/>
            </w:rPr>
            <w:alias w:val="是否适用：固定资产折旧方法[双击切换]"/>
            <w:tag w:val="_GBC_f89f129fe73045168ebdc30031da9fdd"/>
            <w:id w:val="-311095299"/>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tbl>
          <w:tblPr>
            <w:tblStyle w:val="110"/>
            <w:tblW w:w="5103"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1278"/>
            <w:gridCol w:w="1699"/>
            <w:gridCol w:w="2555"/>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93b748ee97a4a8bae6f8263364d91d5"/>
                <w:id w:val="-1717106714"/>
                <w:lock w:val="sdtLocked"/>
              </w:sdtPr>
              <w:sdtContent>
                <w:tc>
                  <w:tcPr>
                    <w:tcW w:w="896" w:type="pct"/>
                    <w:vAlign w:val="center"/>
                  </w:tcPr>
                  <w:p>
                    <w:pPr>
                      <w:jc w:val="center"/>
                      <w:rPr>
                        <w:szCs w:val="21"/>
                      </w:rPr>
                    </w:pPr>
                    <w:r>
                      <w:rPr>
                        <w:szCs w:val="21"/>
                      </w:rPr>
                      <w:t>类别</w:t>
                    </w:r>
                  </w:p>
                </w:tc>
              </w:sdtContent>
            </w:sdt>
            <w:sdt>
              <w:sdtPr>
                <w:tag w:val="_PLD_8eb75a8ba4fb45a3be1c35e2609526fb"/>
                <w:id w:val="1013880956"/>
                <w:lock w:val="sdtLocked"/>
              </w:sdtPr>
              <w:sdtContent>
                <w:tc>
                  <w:tcPr>
                    <w:tcW w:w="734" w:type="pct"/>
                    <w:vAlign w:val="center"/>
                  </w:tcPr>
                  <w:p>
                    <w:pPr>
                      <w:jc w:val="center"/>
                      <w:rPr>
                        <w:szCs w:val="21"/>
                      </w:rPr>
                    </w:pPr>
                    <w:r>
                      <w:rPr>
                        <w:rFonts w:hint="eastAsia"/>
                        <w:szCs w:val="21"/>
                      </w:rPr>
                      <w:t>折旧方法</w:t>
                    </w:r>
                  </w:p>
                </w:tc>
              </w:sdtContent>
            </w:sdt>
            <w:sdt>
              <w:sdtPr>
                <w:tag w:val="_PLD_288e4cb255e44ed98e0c53f336ac01e0"/>
                <w:id w:val="519743899"/>
                <w:lock w:val="sdtLocked"/>
              </w:sdtPr>
              <w:sdtContent>
                <w:tc>
                  <w:tcPr>
                    <w:tcW w:w="976" w:type="pct"/>
                    <w:vAlign w:val="center"/>
                  </w:tcPr>
                  <w:p>
                    <w:pPr>
                      <w:jc w:val="center"/>
                      <w:rPr>
                        <w:szCs w:val="21"/>
                      </w:rPr>
                    </w:pPr>
                    <w:r>
                      <w:rPr>
                        <w:szCs w:val="21"/>
                      </w:rPr>
                      <w:t>折旧年限</w:t>
                    </w:r>
                    <w:r>
                      <w:rPr>
                        <w:rFonts w:hint="eastAsia"/>
                        <w:szCs w:val="21"/>
                      </w:rPr>
                      <w:t>（年）</w:t>
                    </w:r>
                  </w:p>
                </w:tc>
              </w:sdtContent>
            </w:sdt>
            <w:sdt>
              <w:sdtPr>
                <w:tag w:val="_PLD_b978331f5a784568b426597e450ebc7a"/>
                <w:id w:val="-254748139"/>
                <w:lock w:val="sdtLocked"/>
              </w:sdtPr>
              <w:sdtContent>
                <w:tc>
                  <w:tcPr>
                    <w:tcW w:w="1468" w:type="pct"/>
                    <w:vAlign w:val="center"/>
                  </w:tcPr>
                  <w:p>
                    <w:pPr>
                      <w:jc w:val="center"/>
                      <w:rPr>
                        <w:szCs w:val="21"/>
                      </w:rPr>
                    </w:pPr>
                    <w:r>
                      <w:rPr>
                        <w:szCs w:val="21"/>
                      </w:rPr>
                      <w:t>残值率</w:t>
                    </w:r>
                  </w:p>
                </w:tc>
              </w:sdtContent>
            </w:sdt>
            <w:sdt>
              <w:sdtPr>
                <w:tag w:val="_PLD_02921e2cbb3b427bb4fe2aba2949e56a"/>
                <w:id w:val="-1202550006"/>
                <w:lock w:val="sdtLocked"/>
              </w:sdtPr>
              <w:sdtContent>
                <w:tc>
                  <w:tcPr>
                    <w:tcW w:w="926" w:type="pct"/>
                    <w:vAlign w:val="center"/>
                  </w:tcPr>
                  <w:p>
                    <w:pPr>
                      <w:jc w:val="center"/>
                      <w:rPr>
                        <w:szCs w:val="21"/>
                      </w:rPr>
                    </w:pPr>
                    <w:r>
                      <w:rPr>
                        <w:szCs w:val="21"/>
                      </w:rPr>
                      <w:t>年折旧率</w:t>
                    </w:r>
                  </w:p>
                </w:tc>
              </w:sdtContent>
            </w:sdt>
          </w:tr>
          <w:sdt>
            <w:sdtPr>
              <w:rPr>
                <w:rFonts w:asciiTheme="minorHAnsi" w:hAnsiTheme="minorHAnsi" w:eastAsiaTheme="minorEastAsia" w:cstheme="minorBidi"/>
                <w:kern w:val="2"/>
                <w:szCs w:val="21"/>
              </w:rPr>
              <w:alias w:val="其他固定资产计价、折旧、减值方法"/>
              <w:tag w:val="_GBC_f1ad6125c5d74d2a98f593d2ba574474"/>
              <w:id w:val="178452891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tcPr>
                  <w:p>
                    <w:pPr>
                      <w:jc w:val="center"/>
                      <w:rPr>
                        <w:szCs w:val="21"/>
                      </w:rPr>
                    </w:pPr>
                    <w:r>
                      <w:t>房屋及建筑物</w:t>
                    </w:r>
                  </w:p>
                </w:tc>
                <w:tc>
                  <w:tcPr>
                    <w:tcW w:w="734" w:type="pct"/>
                  </w:tcPr>
                  <w:p>
                    <w:pPr>
                      <w:jc w:val="center"/>
                      <w:rPr>
                        <w:szCs w:val="21"/>
                      </w:rPr>
                    </w:pPr>
                    <w:r>
                      <w:rPr>
                        <w:rFonts w:hint="eastAsia"/>
                        <w:szCs w:val="21"/>
                      </w:rPr>
                      <w:t>直线法</w:t>
                    </w:r>
                  </w:p>
                </w:tc>
                <w:tc>
                  <w:tcPr>
                    <w:tcW w:w="976" w:type="pct"/>
                  </w:tcPr>
                  <w:p>
                    <w:pPr>
                      <w:jc w:val="center"/>
                      <w:rPr>
                        <w:szCs w:val="21"/>
                      </w:rPr>
                    </w:pPr>
                    <w:r>
                      <w:t>8-30</w:t>
                    </w:r>
                  </w:p>
                </w:tc>
                <w:tc>
                  <w:tcPr>
                    <w:tcW w:w="1468" w:type="pct"/>
                  </w:tcPr>
                  <w:p>
                    <w:pPr>
                      <w:rPr>
                        <w:szCs w:val="21"/>
                      </w:rPr>
                    </w:pPr>
                    <w:r>
                      <w:t>0.00</w:t>
                    </w:r>
                    <w:r>
                      <w:rPr>
                        <w:rFonts w:hint="eastAsia"/>
                      </w:rPr>
                      <w:t>%</w:t>
                    </w:r>
                    <w:r>
                      <w:t xml:space="preserve"> 、3.00</w:t>
                    </w:r>
                    <w:r>
                      <w:rPr>
                        <w:rFonts w:hint="eastAsia"/>
                      </w:rPr>
                      <w:t>%</w:t>
                    </w:r>
                    <w:r>
                      <w:t xml:space="preserve"> 、5.00</w:t>
                    </w:r>
                    <w:r>
                      <w:rPr>
                        <w:rFonts w:hint="eastAsia"/>
                      </w:rPr>
                      <w:t>%</w:t>
                    </w:r>
                  </w:p>
                </w:tc>
                <w:tc>
                  <w:tcPr>
                    <w:tcW w:w="926" w:type="pct"/>
                  </w:tcPr>
                  <w:p>
                    <w:pPr>
                      <w:rPr>
                        <w:szCs w:val="21"/>
                      </w:rPr>
                    </w:pPr>
                    <w:r>
                      <w:t>3.17</w:t>
                    </w:r>
                    <w:r>
                      <w:rPr>
                        <w:rFonts w:hint="eastAsia"/>
                      </w:rPr>
                      <w:t>%</w:t>
                    </w:r>
                    <w:r>
                      <w:t>-12.50</w:t>
                    </w:r>
                    <w:r>
                      <w:rPr>
                        <w:rFonts w:hint="eastAsia"/>
                      </w:rPr>
                      <w:t>%</w:t>
                    </w:r>
                  </w:p>
                </w:tc>
              </w:tr>
            </w:sdtContent>
          </w:sdt>
          <w:sdt>
            <w:sdtPr>
              <w:rPr>
                <w:rFonts w:asciiTheme="minorHAnsi" w:hAnsiTheme="minorHAnsi" w:eastAsiaTheme="minorEastAsia" w:cstheme="minorBidi"/>
                <w:kern w:val="2"/>
                <w:szCs w:val="21"/>
              </w:rPr>
              <w:alias w:val="其他固定资产计价、折旧、减值方法"/>
              <w:tag w:val="_GBC_f1ad6125c5d74d2a98f593d2ba574474"/>
              <w:id w:val="166967946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tcPr>
                  <w:p>
                    <w:pPr>
                      <w:jc w:val="center"/>
                      <w:rPr>
                        <w:szCs w:val="21"/>
                      </w:rPr>
                    </w:pPr>
                    <w:r>
                      <w:t>机器设备</w:t>
                    </w:r>
                  </w:p>
                </w:tc>
                <w:tc>
                  <w:tcPr>
                    <w:tcW w:w="734" w:type="pct"/>
                  </w:tcPr>
                  <w:p>
                    <w:pPr>
                      <w:jc w:val="center"/>
                      <w:rPr>
                        <w:szCs w:val="21"/>
                      </w:rPr>
                    </w:pPr>
                    <w:r>
                      <w:rPr>
                        <w:rFonts w:hint="eastAsia"/>
                        <w:szCs w:val="21"/>
                      </w:rPr>
                      <w:t>直线法</w:t>
                    </w:r>
                  </w:p>
                </w:tc>
                <w:tc>
                  <w:tcPr>
                    <w:tcW w:w="976" w:type="pct"/>
                  </w:tcPr>
                  <w:p>
                    <w:pPr>
                      <w:jc w:val="center"/>
                      <w:rPr>
                        <w:szCs w:val="21"/>
                      </w:rPr>
                    </w:pPr>
                    <w:r>
                      <w:t>2-15</w:t>
                    </w:r>
                  </w:p>
                </w:tc>
                <w:tc>
                  <w:tcPr>
                    <w:tcW w:w="1468" w:type="pct"/>
                  </w:tcPr>
                  <w:p>
                    <w:pPr>
                      <w:rPr>
                        <w:szCs w:val="21"/>
                      </w:rPr>
                    </w:pPr>
                    <w:r>
                      <w:t>3.00</w:t>
                    </w:r>
                    <w:r>
                      <w:rPr>
                        <w:rFonts w:hint="eastAsia"/>
                      </w:rPr>
                      <w:t>%</w:t>
                    </w:r>
                    <w:r>
                      <w:t>、5.00</w:t>
                    </w:r>
                    <w:r>
                      <w:rPr>
                        <w:rFonts w:hint="eastAsia"/>
                      </w:rPr>
                      <w:t>%</w:t>
                    </w:r>
                  </w:p>
                </w:tc>
                <w:tc>
                  <w:tcPr>
                    <w:tcW w:w="926" w:type="pct"/>
                  </w:tcPr>
                  <w:p>
                    <w:pPr>
                      <w:rPr>
                        <w:szCs w:val="21"/>
                      </w:rPr>
                    </w:pPr>
                    <w:r>
                      <w:t>6.33</w:t>
                    </w:r>
                    <w:r>
                      <w:rPr>
                        <w:rFonts w:hint="eastAsia"/>
                      </w:rPr>
                      <w:t>%</w:t>
                    </w:r>
                    <w:r>
                      <w:t>-48.50</w:t>
                    </w:r>
                    <w:r>
                      <w:rPr>
                        <w:rFonts w:hint="eastAsia"/>
                      </w:rPr>
                      <w:t>%</w:t>
                    </w:r>
                  </w:p>
                </w:tc>
              </w:tr>
            </w:sdtContent>
          </w:sdt>
          <w:sdt>
            <w:sdtPr>
              <w:rPr>
                <w:rFonts w:asciiTheme="minorHAnsi" w:hAnsiTheme="minorHAnsi" w:eastAsiaTheme="minorEastAsia" w:cstheme="minorBidi"/>
                <w:kern w:val="2"/>
                <w:szCs w:val="21"/>
              </w:rPr>
              <w:alias w:val="其他固定资产计价、折旧、减值方法"/>
              <w:tag w:val="_GBC_f1ad6125c5d74d2a98f593d2ba574474"/>
              <w:id w:val="-963656666"/>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tcPr>
                  <w:p>
                    <w:pPr>
                      <w:jc w:val="center"/>
                      <w:rPr>
                        <w:szCs w:val="21"/>
                      </w:rPr>
                    </w:pPr>
                    <w:r>
                      <w:t>运输设备</w:t>
                    </w:r>
                  </w:p>
                </w:tc>
                <w:tc>
                  <w:tcPr>
                    <w:tcW w:w="734" w:type="pct"/>
                  </w:tcPr>
                  <w:p>
                    <w:pPr>
                      <w:jc w:val="center"/>
                      <w:rPr>
                        <w:szCs w:val="21"/>
                      </w:rPr>
                    </w:pPr>
                    <w:r>
                      <w:rPr>
                        <w:rFonts w:hint="eastAsia"/>
                        <w:szCs w:val="21"/>
                      </w:rPr>
                      <w:t>直线法</w:t>
                    </w:r>
                  </w:p>
                </w:tc>
                <w:tc>
                  <w:tcPr>
                    <w:tcW w:w="976" w:type="pct"/>
                  </w:tcPr>
                  <w:p>
                    <w:pPr>
                      <w:jc w:val="center"/>
                      <w:rPr>
                        <w:szCs w:val="21"/>
                      </w:rPr>
                    </w:pPr>
                    <w:r>
                      <w:t>2-10</w:t>
                    </w:r>
                  </w:p>
                </w:tc>
                <w:tc>
                  <w:tcPr>
                    <w:tcW w:w="1468" w:type="pct"/>
                  </w:tcPr>
                  <w:p>
                    <w:pPr>
                      <w:rPr>
                        <w:szCs w:val="21"/>
                      </w:rPr>
                    </w:pPr>
                    <w:r>
                      <w:t>3.00</w:t>
                    </w:r>
                    <w:r>
                      <w:rPr>
                        <w:rFonts w:hint="eastAsia"/>
                      </w:rPr>
                      <w:t>%</w:t>
                    </w:r>
                    <w:r>
                      <w:t>、5.00</w:t>
                    </w:r>
                    <w:r>
                      <w:rPr>
                        <w:rFonts w:hint="eastAsia"/>
                      </w:rPr>
                      <w:t>%</w:t>
                    </w:r>
                  </w:p>
                </w:tc>
                <w:tc>
                  <w:tcPr>
                    <w:tcW w:w="926" w:type="pct"/>
                  </w:tcPr>
                  <w:p>
                    <w:pPr>
                      <w:rPr>
                        <w:szCs w:val="21"/>
                      </w:rPr>
                    </w:pPr>
                    <w:r>
                      <w:t>9.50</w:t>
                    </w:r>
                    <w:r>
                      <w:rPr>
                        <w:rFonts w:hint="eastAsia"/>
                      </w:rPr>
                      <w:t>%</w:t>
                    </w:r>
                    <w:r>
                      <w:t>-48.50</w:t>
                    </w:r>
                    <w:r>
                      <w:rPr>
                        <w:rFonts w:hint="eastAsia"/>
                      </w:rPr>
                      <w:t>%</w:t>
                    </w:r>
                  </w:p>
                </w:tc>
              </w:tr>
            </w:sdtContent>
          </w:sdt>
          <w:sdt>
            <w:sdtPr>
              <w:rPr>
                <w:rFonts w:asciiTheme="minorHAnsi" w:hAnsiTheme="minorHAnsi" w:eastAsiaTheme="minorEastAsia" w:cstheme="minorBidi"/>
                <w:kern w:val="2"/>
                <w:szCs w:val="21"/>
              </w:rPr>
              <w:alias w:val="其他固定资产计价、折旧、减值方法"/>
              <w:tag w:val="_GBC_f1ad6125c5d74d2a98f593d2ba574474"/>
              <w:id w:val="139615652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pct"/>
                  </w:tcPr>
                  <w:p>
                    <w:pPr>
                      <w:jc w:val="center"/>
                      <w:rPr>
                        <w:szCs w:val="21"/>
                      </w:rPr>
                    </w:pPr>
                    <w:r>
                      <w:t>办公设备</w:t>
                    </w:r>
                  </w:p>
                </w:tc>
                <w:tc>
                  <w:tcPr>
                    <w:tcW w:w="734" w:type="pct"/>
                  </w:tcPr>
                  <w:p>
                    <w:pPr>
                      <w:jc w:val="center"/>
                      <w:rPr>
                        <w:szCs w:val="21"/>
                      </w:rPr>
                    </w:pPr>
                    <w:r>
                      <w:rPr>
                        <w:rFonts w:hint="eastAsia"/>
                        <w:szCs w:val="21"/>
                      </w:rPr>
                      <w:t>直线法</w:t>
                    </w:r>
                  </w:p>
                </w:tc>
                <w:tc>
                  <w:tcPr>
                    <w:tcW w:w="976" w:type="pct"/>
                  </w:tcPr>
                  <w:p>
                    <w:pPr>
                      <w:jc w:val="center"/>
                      <w:rPr>
                        <w:szCs w:val="21"/>
                      </w:rPr>
                    </w:pPr>
                    <w:r>
                      <w:t>3-10</w:t>
                    </w:r>
                  </w:p>
                </w:tc>
                <w:tc>
                  <w:tcPr>
                    <w:tcW w:w="1468" w:type="pct"/>
                  </w:tcPr>
                  <w:p>
                    <w:pPr>
                      <w:rPr>
                        <w:szCs w:val="21"/>
                      </w:rPr>
                    </w:pPr>
                    <w:r>
                      <w:t>5.00</w:t>
                    </w:r>
                    <w:r>
                      <w:rPr>
                        <w:rFonts w:hint="eastAsia"/>
                      </w:rPr>
                      <w:t>%</w:t>
                    </w:r>
                  </w:p>
                </w:tc>
                <w:tc>
                  <w:tcPr>
                    <w:tcW w:w="926" w:type="pct"/>
                  </w:tcPr>
                  <w:p>
                    <w:pPr>
                      <w:rPr>
                        <w:szCs w:val="21"/>
                      </w:rPr>
                    </w:pPr>
                    <w:r>
                      <w:t>9.50</w:t>
                    </w:r>
                    <w:r>
                      <w:rPr>
                        <w:rFonts w:hint="eastAsia"/>
                      </w:rPr>
                      <w:t>%</w:t>
                    </w:r>
                    <w:r>
                      <w:t>-31.67</w:t>
                    </w:r>
                    <w:r>
                      <w:rPr>
                        <w:rFonts w:hint="eastAsia"/>
                      </w:rPr>
                      <w:t>%</w:t>
                    </w:r>
                  </w:p>
                </w:tc>
              </w:tr>
            </w:sdtContent>
          </w:sdt>
        </w:tbl>
        <w:p/>
      </w:sdtContent>
    </w:sdt>
    <w:sdt>
      <w:sdtPr>
        <w:rPr>
          <w:rFonts w:eastAsia="宋体" w:cs="宋体" w:asciiTheme="minorHAnsi" w:hAnsiTheme="minorHAnsi"/>
          <w:b w:val="0"/>
          <w:bCs w:val="0"/>
          <w:kern w:val="0"/>
          <w:szCs w:val="22"/>
        </w:rPr>
        <w:alias w:val="模块:固定资产计价和折旧方法及减值准备的计提方法"/>
        <w:tag w:val="_GBC_a1560089c32f441f92e145c3cdc25289"/>
        <w:id w:val="616875463"/>
        <w:lock w:val="sdtLocked"/>
        <w:placeholder>
          <w:docPart w:val="GBC22222222222222222222222222222"/>
        </w:placeholder>
      </w:sdtPr>
      <w:sdtEndPr>
        <w:rPr>
          <w:rFonts w:hint="eastAsia" w:cs="Times New Roman" w:asciiTheme="minorEastAsia" w:hAnsiTheme="minorEastAsia" w:eastAsiaTheme="minorEastAsia"/>
          <w:b w:val="0"/>
          <w:bCs w:val="0"/>
          <w:kern w:val="2"/>
          <w:szCs w:val="24"/>
        </w:rPr>
      </w:sdtEndPr>
      <w:sdtContent>
        <w:p>
          <w:pPr>
            <w:pStyle w:val="115"/>
            <w:numPr>
              <w:ilvl w:val="0"/>
              <w:numId w:val="62"/>
            </w:numPr>
            <w:spacing w:before="0" w:after="0" w:line="360" w:lineRule="auto"/>
          </w:pPr>
          <w:r>
            <w:rPr>
              <w:rFonts w:hint="eastAsia"/>
            </w:rPr>
            <w:t>融资租入固定资产的认定依据、计价和折旧方法</w:t>
          </w:r>
        </w:p>
        <w:sdt>
          <w:sdtPr>
            <w:rPr>
              <w:rFonts w:hint="eastAsia" w:asciiTheme="minorEastAsia" w:hAnsiTheme="minorEastAsia" w:eastAsiaTheme="minorEastAsia"/>
              <w:szCs w:val="21"/>
            </w:rPr>
            <w:alias w:val="是否适用：融资租入固定资产的认定依据、计价和折旧方法[双击切换]"/>
            <w:tag w:val="_GBC_bd21629c9c534b4fb4447eeb15e0bc7e"/>
            <w:id w:val="-1110810224"/>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p>
          <w:pPr>
            <w:spacing w:line="360" w:lineRule="auto"/>
            <w:rPr>
              <w:rFonts w:asciiTheme="minorEastAsia" w:hAnsiTheme="minorEastAsia" w:eastAsiaTheme="minorEastAsia"/>
              <w:szCs w:val="21"/>
            </w:rPr>
          </w:pPr>
        </w:p>
      </w:sdtContent>
    </w:sdt>
    <w:sdt>
      <w:sdtPr>
        <w:rPr>
          <w:rFonts w:cs="宋体" w:asciiTheme="minorEastAsia" w:hAnsiTheme="minorEastAsia" w:eastAsiaTheme="minorEastAsia"/>
          <w:b w:val="0"/>
          <w:bCs w:val="0"/>
          <w:kern w:val="0"/>
          <w:szCs w:val="24"/>
        </w:rPr>
        <w:alias w:val="模块:在建工程会计处理方法"/>
        <w:tag w:val="_GBC_3eb5f960df3e47f0a4bf3af0bc67ca96"/>
        <w:id w:val="1981574150"/>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在建工程</w:t>
          </w:r>
        </w:p>
        <w:sdt>
          <w:sdtPr>
            <w:rPr>
              <w:rFonts w:hint="eastAsia" w:asciiTheme="minorEastAsia" w:hAnsiTheme="minorEastAsia" w:eastAsiaTheme="minorEastAsia"/>
              <w:szCs w:val="21"/>
            </w:rPr>
            <w:alias w:val="是否适用：在建工程_重要会计政策和估计[双击切换]"/>
            <w:tag w:val="_GBC_00730441e5ea4f57b3cd3ff1ecc5c1bd"/>
            <w:id w:val="-713802719"/>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rPr>
            <w:alias w:val="在建工程核算方法"/>
            <w:tag w:val="_GBC_ed79f983df814c58add61776fe84c76e"/>
            <w:id w:val="-14166012"/>
            <w:lock w:val="sdtLocked"/>
            <w:placeholder>
              <w:docPart w:val="GBC22222222222222222222222222222"/>
            </w:placeholder>
          </w:sdtPr>
          <w:sdtEndPr>
            <w:rPr>
              <w:rFonts w:hint="eastAsia" w:asciiTheme="minorEastAsia" w:hAnsiTheme="minorEastAsia" w:eastAsiaTheme="minorEastAsia"/>
            </w:rPr>
          </w:sdtEndPr>
          <w:sdtContent>
            <w:p>
              <w:pPr>
                <w:pStyle w:val="203"/>
                <w:adjustRightInd w:val="0"/>
                <w:snapToGrid w:val="0"/>
                <w:spacing w:line="360" w:lineRule="auto"/>
                <w:rPr>
                  <w:rFonts w:asciiTheme="minorEastAsia" w:hAnsiTheme="minorEastAsia" w:eastAsiaTheme="minorEastAsia"/>
                </w:rPr>
              </w:pPr>
              <w:r>
                <w:rPr>
                  <w:rFonts w:hint="eastAsia" w:asciiTheme="minorEastAsia" w:hAnsiTheme="minorEastAsia" w:eastAsiaTheme="minorEastAsia"/>
                </w:rPr>
                <w:t>在建工程成本按实际工程支出确定，包括在建期间发生的各项工程支出以及其他相关费用等。在建工程在达到预定可使用状态后结转为固定资产。</w:t>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2"/>
        </w:rPr>
        <w:alias w:val="模块:借款费用会计处理方法"/>
        <w:tag w:val="_GBC_e3e4d07ea08d4589a9293563ea655b42"/>
        <w:id w:val="-519164174"/>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借款费用</w:t>
          </w:r>
        </w:p>
        <w:sdt>
          <w:sdtPr>
            <w:rPr>
              <w:rFonts w:hint="eastAsia" w:asciiTheme="minorEastAsia" w:hAnsiTheme="minorEastAsia" w:eastAsiaTheme="minorEastAsia"/>
              <w:szCs w:val="21"/>
            </w:rPr>
            <w:alias w:val="是否适用：借款费用_重要会计政策和估计[双击切换]"/>
            <w:tag w:val="_GBC_84ea3b60fd54474487b81f25f176d989"/>
            <w:id w:val="-2095851734"/>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hint="eastAsia" w:asciiTheme="minorEastAsia" w:hAnsiTheme="minorEastAsia" w:eastAsiaTheme="minorEastAsia"/>
            </w:rPr>
            <w:alias w:val="借款费用的会计处理方法"/>
            <w:tag w:val="_GBC_2101c32d32c64f39a8b8fcd2b72dbb0a"/>
            <w:id w:val="-1037658464"/>
            <w:lock w:val="sdtLocked"/>
            <w:placeholder>
              <w:docPart w:val="GBC22222222222222222222222222222"/>
            </w:placeholder>
          </w:sdtPr>
          <w:sdtEndPr>
            <w:rPr>
              <w:rFonts w:hint="eastAsia" w:asciiTheme="minorEastAsia" w:hAnsiTheme="minorEastAsia" w:eastAsiaTheme="minorEastAsia"/>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借款费用包括借款利息、折价或溢价的摊销、辅助费用以及因外币借款而发生的汇兑差额等。可直接归属于符合资本化条件的资产的购建或者生产的借款费用，予以资本化，计入相关资产成本；其他借款费用计入当期损益。</w:t>
              </w:r>
            </w:p>
            <w:p>
              <w:pPr>
                <w:pStyle w:val="201"/>
                <w:widowControl w:val="0"/>
                <w:numPr>
                  <w:ilvl w:val="0"/>
                  <w:numId w:val="63"/>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借款费用资本化的确认原则</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当资产支出已经发生、借款费用已经发生且为使资产达到预定可使用或者可销售状态所必要的购建或者生产活动已经开始时，开始借款费用的资本化。符合资本化条件的资产在购建或者生产过程中发生非正常中断、且中断时间连续超过3个月的，暂停借款费用的资本化。当所购建或者生产的资产达到预定可使用或者可销售状态时，停止借款费用的资本化，以后发生的借款费用计入当期损益。</w:t>
              </w:r>
            </w:p>
            <w:p>
              <w:pPr>
                <w:pStyle w:val="201"/>
                <w:widowControl w:val="0"/>
                <w:numPr>
                  <w:ilvl w:val="0"/>
                  <w:numId w:val="63"/>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借款费用资本化金额的计算方法</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1）为购建或者生产符合资本化条件的资产而借入的专门借款所发生的借款费用（包括借款利息、折价或溢价的摊销、辅助费用、外币专门借款本金和利息的汇兑差额），其资本化金额为在资本化期间内专门借款实际发生的借款费用减去尚未动用的借款资金存入银行取得的利息收入或进行暂时性投资取得的投资收益后的金额。</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2）为购建或者生产符合资本化条件的资产而占用的一般借款所发生的借款费用（包括借款利息、折价或溢价的摊销），其资本化金额根据在资本化期间内累计资产支出超过专门借款部分的资产支出加权平均数乘以所占用一般借款的资本化率计算确定。</w:t>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2"/>
        </w:rPr>
        <w:alias w:val="模块:生物资产会计处理方法"/>
        <w:tag w:val="_GBC_0b83f813710f436286429917c8c39567"/>
        <w:id w:val="-625997154"/>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生物资产</w:t>
          </w:r>
        </w:p>
        <w:sdt>
          <w:sdtPr>
            <w:rPr>
              <w:rFonts w:hint="eastAsia" w:asciiTheme="minorEastAsia" w:hAnsiTheme="minorEastAsia" w:eastAsiaTheme="minorEastAsia"/>
              <w:szCs w:val="21"/>
            </w:rPr>
            <w:alias w:val="是否适用：生物资产_重要会计政策和估计[双击切换]"/>
            <w:tag w:val="_GBC_f511e8d0a6dc417eb1d10eeecb5b05a5"/>
            <w:id w:val="973487222"/>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cs="Times New Roman" w:asciiTheme="minorEastAsia" w:hAnsiTheme="minorEastAsia" w:eastAsiaTheme="minorEastAsia"/>
                  <w:kern w:val="2"/>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2"/>
        </w:rPr>
        <w:alias w:val="模块:油气资产会计处理方法"/>
        <w:tag w:val="_GBC_ed738d1d51d04aad8efd3fb3e88bf021"/>
        <w:id w:val="8879485"/>
        <w:lock w:val="sdtLocked"/>
        <w:placeholder>
          <w:docPart w:val="GBC22222222222222222222222222222"/>
        </w:placeholder>
      </w:sdtPr>
      <w:sdtEndPr>
        <w:rPr>
          <w:rFonts w:hint="eastAsia"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油气资产</w:t>
          </w:r>
        </w:p>
        <w:sdt>
          <w:sdtPr>
            <w:rPr>
              <w:rFonts w:hint="eastAsia" w:asciiTheme="minorEastAsia" w:hAnsiTheme="minorEastAsia" w:eastAsiaTheme="minorEastAsia"/>
              <w:szCs w:val="21"/>
            </w:rPr>
            <w:alias w:val="是否适用：油气资产_重要会计政策和估计[双击切换]"/>
            <w:tag w:val="_GBC_fb60dd1d8d2346fb9b2e461875c070c9"/>
            <w:id w:val="-1668926652"/>
            <w:lock w:val="sdtLocked"/>
            <w:placeholder>
              <w:docPart w:val="GBC22222222222222222222222222222"/>
            </w:placeholder>
          </w:sdtPr>
          <w:sdtEndPr>
            <w:rPr>
              <w:rFonts w:hint="eastAsia" w:asciiTheme="minorEastAsia" w:hAnsiTheme="minorEastAsia" w:eastAsiaTheme="minorEastAsia"/>
              <w:szCs w:val="21"/>
            </w:rPr>
          </w:sdtEndPr>
          <w:sdtContent>
            <w:p>
              <w:pPr>
                <w:spacing w:line="360" w:lineRule="auto"/>
                <w:rPr>
                  <w:rFonts w:cs="Times New Roman" w:asciiTheme="minorEastAsia" w:hAnsiTheme="minorEastAsia" w:eastAsiaTheme="minorEastAsia"/>
                  <w:kern w:val="2"/>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Content>
    </w:sdt>
    <w:p>
      <w:pPr>
        <w:spacing w:line="360" w:lineRule="auto"/>
        <w:rPr>
          <w:rFonts w:asciiTheme="minorEastAsia" w:hAnsiTheme="minorEastAsia" w:eastAsiaTheme="minorEastAsia"/>
          <w:szCs w:val="21"/>
        </w:rPr>
      </w:pPr>
    </w:p>
    <w:sdt>
      <w:sdtPr>
        <w:rPr>
          <w:rFonts w:cs="宋体" w:asciiTheme="minorEastAsia" w:hAnsiTheme="minorEastAsia" w:eastAsiaTheme="minorEastAsia"/>
          <w:b w:val="0"/>
          <w:bCs w:val="0"/>
          <w:kern w:val="0"/>
          <w:szCs w:val="21"/>
        </w:rPr>
        <w:alias w:val="模块:使用权资产"/>
        <w:tag w:val="_SEC_c609e6522cb94604b2ba3e771a8bd22e"/>
        <w:id w:val="-780733764"/>
        <w:lock w:val="sdtLocked"/>
        <w:placeholder>
          <w:docPart w:val="GBC22222222222222222222222222222"/>
        </w:placeholder>
      </w:sdtPr>
      <w:sdtEndPr>
        <w:rPr>
          <w:rFonts w:cs="Times New Roman" w:asciiTheme="minorEastAsia" w:hAnsiTheme="minorEastAsia" w:eastAsiaTheme="minorEastAsia"/>
          <w:b w:val="0"/>
          <w:bCs w:val="0"/>
          <w:kern w:val="2"/>
          <w:szCs w:val="21"/>
        </w:rPr>
      </w:sdtEndPr>
      <w:sdtContent>
        <w:p>
          <w:pPr>
            <w:pStyle w:val="114"/>
            <w:numPr>
              <w:ilvl w:val="0"/>
              <w:numId w:val="53"/>
            </w:numPr>
            <w:spacing w:before="0" w:after="0" w:line="360" w:lineRule="auto"/>
            <w:rPr>
              <w:rFonts w:asciiTheme="minorEastAsia" w:hAnsiTheme="minorEastAsia" w:eastAsiaTheme="minorEastAsia"/>
              <w:szCs w:val="21"/>
            </w:rPr>
          </w:pPr>
          <w:bookmarkStart w:id="132" w:name="_Hlk24378536"/>
          <w:r>
            <w:rPr>
              <w:rFonts w:hint="eastAsia" w:asciiTheme="minorEastAsia" w:hAnsiTheme="minorEastAsia" w:eastAsiaTheme="minorEastAsia"/>
              <w:szCs w:val="21"/>
            </w:rPr>
            <w:t>使用权资产</w:t>
          </w:r>
        </w:p>
        <w:sdt>
          <w:sdtPr>
            <w:rPr>
              <w:rFonts w:asciiTheme="minorEastAsia" w:hAnsiTheme="minorEastAsia" w:eastAsiaTheme="minorEastAsia"/>
              <w:szCs w:val="21"/>
            </w:rPr>
            <w:alias w:val="是否适用：使用权资产_重要会计政策和估计[双击切换]"/>
            <w:tag w:val="_GBC_d5fa1c5f8f2e496ba11642eb8ee9d382"/>
            <w:id w:val="-1827353171"/>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sdt>
          <w:sdtPr>
            <w:rPr>
              <w:rFonts w:asciiTheme="minorEastAsia" w:hAnsiTheme="minorEastAsia" w:eastAsiaTheme="minorEastAsia"/>
            </w:rPr>
            <w:alias w:val="使用权资产的核算方法"/>
            <w:tag w:val="_GBC_b0f7701b37f24dbe8f59289a41676ba7"/>
            <w:id w:val="-1046981245"/>
            <w:lock w:val="sdtLocked"/>
            <w:placeholder>
              <w:docPart w:val="GBC22222222222222222222222222222"/>
            </w:placeholder>
          </w:sdtPr>
          <w:sdtEndPr>
            <w:rPr>
              <w:rFonts w:asciiTheme="minorEastAsia" w:hAnsiTheme="minorEastAsia" w:eastAsiaTheme="minorEastAsia"/>
            </w:rPr>
          </w:sdtEndPr>
          <w:sdtContent>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使用权资产，是指承租人可在租赁期内使用租赁资产的权利。</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按照成本对使用权资产进行初始计量，该成本包括：（1）租赁负债的初始计量金额；（2）在租赁期开始日或之前支付的租赁付款额，存在租赁激励的，扣除已享受的租赁激励相关金额；（3）承租人发生的初始直接费用；（4）承租人为拆卸及移除租赁资产、复原租赁资产所在场地或将租赁资产恢复至租赁条款约定状态预计将发生的成本。</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参照《企业会计准则第4号——固定资产》有关折旧规定，对使用权资产计提折旧。能够合理确定租赁期届满时取得租赁资产所有权的，在租赁资产剩余使用寿命内计提折旧。无法合理确定租赁期届满时能够取得租赁资产所有权的，在租赁期与租赁资产剩余使用寿命两者孰短的期间内计提折旧。</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本公司按照变动后的租赁付款额的现值重新计量租赁负债，并相应调整使用权资产的账面价值时，如使用权资产账面价值已调减至零，但租赁负债仍需进一步调减的，将剩余金额计入当期损益。</w:t>
              </w:r>
            </w:p>
          </w:sdtContent>
        </w:sdt>
      </w:sdtContent>
    </w:sdt>
    <w:bookmarkEnd w:id="132"/>
    <w:sdt>
      <w:sdtPr>
        <w:rPr>
          <w:rFonts w:cs="宋体" w:asciiTheme="minorEastAsia" w:hAnsiTheme="minorEastAsia" w:eastAsiaTheme="minorEastAsia"/>
          <w:b w:val="0"/>
          <w:bCs w:val="0"/>
          <w:kern w:val="0"/>
          <w:szCs w:val="22"/>
        </w:rPr>
        <w:alias w:val="模块:无形资产会计处理方法"/>
        <w:tag w:val="_GBC_0a8b293ff9e94173b2e385f4ef2a8c89"/>
        <w:id w:val="265663900"/>
        <w:lock w:val="sdtLocked"/>
        <w:placeholder>
          <w:docPart w:val="GBC22222222222222222222222222222"/>
        </w:placeholder>
      </w:sdtPr>
      <w:sdtEndPr>
        <w:rPr>
          <w:rFonts w:hint="eastAsia" w:ascii="宋体" w:hAnsi="宋体" w:eastAsia="宋体" w:cs="Times New Roman"/>
          <w:b w:val="0"/>
          <w:bCs w:val="0"/>
          <w:kern w:val="2"/>
          <w:szCs w:val="21"/>
        </w:rPr>
      </w:sdtEndPr>
      <w:sdtContent>
        <w:p>
          <w:pPr>
            <w:pStyle w:val="114"/>
            <w:numPr>
              <w:ilvl w:val="0"/>
              <w:numId w:val="53"/>
            </w:numPr>
            <w:spacing w:before="0" w:after="0" w:line="360" w:lineRule="auto"/>
            <w:rPr>
              <w:rFonts w:asciiTheme="minorEastAsia" w:hAnsiTheme="minorEastAsia" w:eastAsiaTheme="minorEastAsia"/>
            </w:rPr>
          </w:pPr>
          <w:r>
            <w:rPr>
              <w:rFonts w:asciiTheme="minorEastAsia" w:hAnsiTheme="minorEastAsia" w:eastAsiaTheme="minorEastAsia"/>
            </w:rPr>
            <w:t>无形资产</w:t>
          </w:r>
        </w:p>
        <w:p>
          <w:pPr>
            <w:pStyle w:val="201"/>
            <w:numPr>
              <w:ilvl w:val="3"/>
              <w:numId w:val="64"/>
            </w:numPr>
            <w:spacing w:before="0" w:beforeAutospacing="0" w:after="0" w:afterAutospacing="0" w:line="360" w:lineRule="auto"/>
            <w:ind w:left="1256" w:hanging="538"/>
            <w:rPr>
              <w:rFonts w:asciiTheme="minorEastAsia" w:hAnsiTheme="minorEastAsia" w:eastAsiaTheme="minorEastAsia"/>
            </w:rPr>
          </w:pPr>
          <w:r>
            <w:rPr>
              <w:rFonts w:hint="eastAsia" w:asciiTheme="minorEastAsia" w:hAnsiTheme="minorEastAsia" w:eastAsiaTheme="minorEastAsia"/>
            </w:rPr>
            <w:t>计价方法、使用寿命、减值测试</w:t>
          </w:r>
        </w:p>
        <w:sdt>
          <w:sdtPr>
            <w:rPr>
              <w:rFonts w:asciiTheme="minorEastAsia" w:hAnsiTheme="minorEastAsia" w:eastAsiaTheme="minorEastAsia"/>
            </w:rPr>
            <w:alias w:val="是否适用：无形资产计价方法、使用寿命、减值测试[双击切换]"/>
            <w:tag w:val="_GBC_40df8c87b47d48bbbf73a71cc533a892"/>
            <w:id w:val="2063823919"/>
            <w:lock w:val="sdtLocked"/>
            <w:placeholder>
              <w:docPart w:val="GBC22222222222222222222222222222"/>
            </w:placeholder>
          </w:sdtPr>
          <w:sdtEndPr>
            <w:rPr>
              <w:rFonts w:asciiTheme="minorEastAsia" w:hAnsiTheme="minorEastAsia" w:eastAsiaTheme="minorEastAsia"/>
            </w:rPr>
          </w:sdtEndPr>
          <w:sdtContent>
            <w:p>
              <w:pPr>
                <w:spacing w:line="360" w:lineRule="auto"/>
                <w:rPr>
                  <w:rFonts w:asciiTheme="minorEastAsia" w:hAnsiTheme="minorEastAsia" w:eastAsiaTheme="minorEastAsia"/>
                </w:rPr>
              </w:pPr>
              <w:r>
                <w:rPr>
                  <w:rFonts w:asciiTheme="minorEastAsia" w:hAnsiTheme="minorEastAsia" w:eastAsiaTheme="minorEastAsia"/>
                </w:rPr>
                <w:fldChar w:fldCharType="begin"/>
              </w:r>
              <w:r>
                <w:rPr>
                  <w:rFonts w:asciiTheme="minorEastAsia" w:hAnsiTheme="minorEastAsia" w:eastAsiaTheme="minorEastAsia"/>
                </w:rPr>
                <w:instrText xml:space="preserve">MACROBUTTON  SnrToggleCheckbox √适用 </w:instrText>
              </w:r>
              <w:r>
                <w:rPr>
                  <w:rFonts w:asciiTheme="minorEastAsia" w:hAnsiTheme="minorEastAsia" w:eastAsiaTheme="minorEastAsia"/>
                </w:rPr>
                <w:fldChar w:fldCharType="end"/>
              </w:r>
              <w:r>
                <w:rPr>
                  <w:rFonts w:asciiTheme="minorEastAsia" w:hAnsiTheme="minorEastAsia" w:eastAsiaTheme="minorEastAsia"/>
                </w:rPr>
                <w:fldChar w:fldCharType="begin"/>
              </w:r>
              <w:r>
                <w:rPr>
                  <w:rFonts w:asciiTheme="minorEastAsia" w:hAnsiTheme="minorEastAsia" w:eastAsiaTheme="minorEastAsia"/>
                </w:rPr>
                <w:instrText xml:space="preserve"> MACROBUTTON  SnrToggleCheckbox □不适用 </w:instrText>
              </w:r>
              <w:r>
                <w:rPr>
                  <w:rFonts w:asciiTheme="minorEastAsia" w:hAnsiTheme="minorEastAsia" w:eastAsiaTheme="minorEastAsia"/>
                </w:rPr>
                <w:fldChar w:fldCharType="end"/>
              </w:r>
            </w:p>
          </w:sdtContent>
        </w:sdt>
        <w:sdt>
          <w:sdtPr>
            <w:rPr>
              <w:rFonts w:asciiTheme="minorEastAsia" w:hAnsiTheme="minorEastAsia" w:eastAsiaTheme="minorEastAsia"/>
              <w:b w:val="0"/>
              <w:bCs w:val="0"/>
            </w:rPr>
            <w:alias w:val="无形资产计价方法、使用寿命、减值测试"/>
            <w:tag w:val="_GBC_a9e64b18f452482eb6674ec605618dcc"/>
            <w:id w:val="-1847935591"/>
            <w:lock w:val="sdtLocked"/>
            <w:placeholder>
              <w:docPart w:val="GBC22222222222222222222222222222"/>
            </w:placeholder>
          </w:sdtPr>
          <w:sdtEndPr>
            <w:rPr>
              <w:rFonts w:ascii="宋体" w:hAnsi="宋体" w:eastAsia="宋体"/>
              <w:b w:val="0"/>
              <w:bCs w:val="0"/>
            </w:rPr>
          </w:sdtEndPr>
          <w:sdtContent>
            <w:p>
              <w:pPr>
                <w:pStyle w:val="201"/>
                <w:widowControl w:val="0"/>
                <w:numPr>
                  <w:ilvl w:val="3"/>
                  <w:numId w:val="6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asciiTheme="minorEastAsia" w:hAnsiTheme="minorEastAsia" w:eastAsiaTheme="minorEastAsia"/>
                </w:rPr>
                <w:t>无形资产的初始计量</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无形资产按照取得时的成本进行初始计量。</w:t>
              </w:r>
            </w:p>
            <w:p>
              <w:pPr>
                <w:pStyle w:val="201"/>
                <w:widowControl w:val="0"/>
                <w:numPr>
                  <w:ilvl w:val="3"/>
                  <w:numId w:val="65"/>
                </w:numPr>
                <w:spacing w:before="0" w:beforeAutospacing="0" w:after="0" w:afterAutospacing="0" w:line="360" w:lineRule="auto"/>
                <w:ind w:left="0" w:leftChars="0" w:firstLine="420" w:firstLineChars="200"/>
                <w:jc w:val="both"/>
                <w:outlineLvl w:val="3"/>
                <w:rPr>
                  <w:rFonts w:asciiTheme="minorEastAsia" w:hAnsiTheme="minorEastAsia" w:eastAsiaTheme="minorEastAsia"/>
                </w:rPr>
              </w:pPr>
              <w:r>
                <w:rPr>
                  <w:rFonts w:hint="eastAsia" w:asciiTheme="minorEastAsia" w:hAnsiTheme="minorEastAsia" w:eastAsiaTheme="minorEastAsia"/>
                </w:rPr>
                <w:t>无形资产的摊销方法</w:t>
              </w:r>
            </w:p>
            <w:p>
              <w:pPr>
                <w:pStyle w:val="202"/>
                <w:widowControl w:val="0"/>
                <w:spacing w:before="0" w:beforeAutospacing="0" w:after="0" w:afterAutospacing="0" w:line="360" w:lineRule="auto"/>
                <w:ind w:left="0" w:leftChars="0" w:firstLine="420" w:firstLineChars="200"/>
                <w:jc w:val="both"/>
                <w:rPr>
                  <w:rFonts w:asciiTheme="minorEastAsia" w:hAnsiTheme="minorEastAsia" w:eastAsiaTheme="minorEastAsia"/>
                </w:rPr>
              </w:pPr>
              <w:r>
                <w:rPr>
                  <w:rFonts w:cs="Arial" w:asciiTheme="minorEastAsia" w:hAnsiTheme="minorEastAsia" w:eastAsiaTheme="minorEastAsia"/>
                </w:rPr>
                <w:t>本公司在取得无形资产时分析判断其使用寿命，划分为使用寿命有限和使用寿命不确定的无形资产。</w:t>
              </w:r>
            </w:p>
            <w:p>
              <w:pPr>
                <w:pStyle w:val="202"/>
                <w:widowControl w:val="0"/>
                <w:numPr>
                  <w:ilvl w:val="0"/>
                  <w:numId w:val="66"/>
                </w:numPr>
                <w:spacing w:before="0" w:beforeAutospacing="0" w:after="0" w:afterAutospacing="0" w:line="360" w:lineRule="auto"/>
                <w:ind w:leftChars="0"/>
                <w:jc w:val="both"/>
                <w:rPr>
                  <w:rFonts w:asciiTheme="minorEastAsia" w:hAnsiTheme="minorEastAsia" w:eastAsiaTheme="minorEastAsia"/>
                </w:rPr>
              </w:pPr>
              <w:r>
                <w:rPr>
                  <w:rFonts w:hint="eastAsia" w:asciiTheme="minorEastAsia" w:hAnsiTheme="minorEastAsia" w:eastAsiaTheme="minorEastAsia"/>
                </w:rPr>
                <w:t>对于使用寿命有限的无形资产，在使用寿命期限内，采用直线法摊销。</w:t>
              </w:r>
            </w:p>
            <w:tbl>
              <w:tblPr>
                <w:tblStyle w:val="110"/>
                <w:tblW w:w="81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
              <w:tblGrid>
                <w:gridCol w:w="2806"/>
                <w:gridCol w:w="2336"/>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97" w:hRule="atLeast"/>
                </w:trPr>
                <w:tc>
                  <w:tcPr>
                    <w:tcW w:w="2806"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项目</w:t>
                    </w:r>
                  </w:p>
                </w:tc>
                <w:tc>
                  <w:tcPr>
                    <w:tcW w:w="2336"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预计使用寿命</w:t>
                    </w:r>
                    <w:r>
                      <w:rPr>
                        <w:rFonts w:hint="eastAsia" w:asciiTheme="minorEastAsia" w:hAnsiTheme="minorEastAsia" w:eastAsiaTheme="minorEastAsia"/>
                      </w:rPr>
                      <w:t>（年）</w:t>
                    </w:r>
                  </w:p>
                </w:tc>
                <w:tc>
                  <w:tcPr>
                    <w:tcW w:w="2977"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97" w:hRule="atLeast"/>
                </w:trPr>
                <w:tc>
                  <w:tcPr>
                    <w:tcW w:w="2806"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土地使用权</w:t>
                    </w:r>
                  </w:p>
                </w:tc>
                <w:tc>
                  <w:tcPr>
                    <w:tcW w:w="2336"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45-50</w:t>
                    </w:r>
                  </w:p>
                </w:tc>
                <w:tc>
                  <w:tcPr>
                    <w:tcW w:w="2977"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法律规定的年限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97" w:hRule="atLeast"/>
                </w:trPr>
                <w:tc>
                  <w:tcPr>
                    <w:tcW w:w="2806"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专利权、商标权</w:t>
                    </w:r>
                  </w:p>
                </w:tc>
                <w:tc>
                  <w:tcPr>
                    <w:tcW w:w="2336"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5-10</w:t>
                    </w:r>
                  </w:p>
                </w:tc>
                <w:tc>
                  <w:tcPr>
                    <w:tcW w:w="2977"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估计使用年限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97" w:hRule="atLeast"/>
                </w:trPr>
                <w:tc>
                  <w:tcPr>
                    <w:tcW w:w="2806"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软件</w:t>
                    </w:r>
                  </w:p>
                </w:tc>
                <w:tc>
                  <w:tcPr>
                    <w:tcW w:w="2336"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5-10</w:t>
                    </w:r>
                  </w:p>
                </w:tc>
                <w:tc>
                  <w:tcPr>
                    <w:tcW w:w="2977"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估计使用年限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108" w:type="dxa"/>
                  </w:tblCellMar>
                </w:tblPrEx>
                <w:trPr>
                  <w:trHeight w:val="397" w:hRule="atLeast"/>
                </w:trPr>
                <w:tc>
                  <w:tcPr>
                    <w:tcW w:w="2806"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其他</w:t>
                    </w:r>
                  </w:p>
                </w:tc>
                <w:tc>
                  <w:tcPr>
                    <w:tcW w:w="2336"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2-10</w:t>
                    </w:r>
                  </w:p>
                </w:tc>
                <w:tc>
                  <w:tcPr>
                    <w:tcW w:w="2977" w:type="dxa"/>
                    <w:vAlign w:val="center"/>
                  </w:tcPr>
                  <w:p>
                    <w:pPr>
                      <w:widowControl w:val="0"/>
                      <w:adjustRightInd w:val="0"/>
                      <w:snapToGrid w:val="0"/>
                      <w:jc w:val="center"/>
                      <w:rPr>
                        <w:rFonts w:asciiTheme="minorEastAsia" w:hAnsiTheme="minorEastAsia" w:eastAsiaTheme="minorEastAsia"/>
                        <w:kern w:val="2"/>
                        <w:szCs w:val="21"/>
                      </w:rPr>
                    </w:pPr>
                    <w:r>
                      <w:rPr>
                        <w:rFonts w:asciiTheme="minorEastAsia" w:hAnsiTheme="minorEastAsia" w:eastAsiaTheme="minorEastAsia"/>
                      </w:rPr>
                      <w:t>估计使用年限</w:t>
                    </w:r>
                  </w:p>
                </w:tc>
              </w:tr>
            </w:tbl>
            <w:p>
              <w:pPr>
                <w:pStyle w:val="202"/>
                <w:widowControl w:val="0"/>
                <w:spacing w:before="0" w:beforeAutospacing="0" w:after="0" w:afterAutospacing="0" w:line="360" w:lineRule="auto"/>
                <w:ind w:left="0" w:leftChars="0" w:firstLine="420" w:firstLineChars="200"/>
                <w:jc w:val="both"/>
              </w:pPr>
              <w:r>
                <w:rPr>
                  <w:rFonts w:hint="eastAsia"/>
                </w:rPr>
                <w:t>本公司至少于每年年度终了对无形资产的使用寿命及摊销方法进行复核。</w:t>
              </w:r>
            </w:p>
            <w:p>
              <w:pPr>
                <w:pStyle w:val="202"/>
                <w:widowControl w:val="0"/>
                <w:spacing w:before="0" w:beforeAutospacing="0" w:after="0" w:afterAutospacing="0" w:line="360" w:lineRule="auto"/>
                <w:ind w:left="0" w:leftChars="0" w:firstLine="420" w:firstLineChars="200"/>
                <w:jc w:val="both"/>
              </w:pPr>
              <w:r>
                <w:rPr>
                  <w:rFonts w:hint="eastAsia"/>
                </w:rPr>
                <w:t>（2）对于使用寿命不确定的无形资产，不摊销。于每年年度终了，对使用寿命不确定的无形资产的使用寿命进行复核，如果有证据表明其使用寿命是有限的，则估计其使用寿命，并按其使用寿命进行摊销。</w:t>
              </w:r>
            </w:p>
          </w:sdtContent>
        </w:sdt>
        <w:p>
          <w:pPr>
            <w:pStyle w:val="201"/>
            <w:numPr>
              <w:ilvl w:val="3"/>
              <w:numId w:val="64"/>
            </w:numPr>
            <w:spacing w:before="0" w:beforeAutospacing="0" w:after="0" w:afterAutospacing="0" w:line="360" w:lineRule="auto"/>
            <w:ind w:left="1256" w:hanging="538"/>
          </w:pPr>
          <w:r>
            <w:rPr>
              <w:rFonts w:hint="eastAsia"/>
            </w:rPr>
            <w:t>内部研究开发支出会计政策</w:t>
          </w:r>
        </w:p>
        <w:sdt>
          <w:sdtPr>
            <w:alias w:val="是否适用：无形资产内部研究开发支出会计政策[双击切换]"/>
            <w:tag w:val="_GBC_8f6b939ea36a42808f60b7c024994f2b"/>
            <w:id w:val="193965903"/>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无形资产内部研究、开发支出会计政策"/>
            <w:tag w:val="_GBC_af7b1338d88344dfb8cd34ed66bfe672"/>
            <w:id w:val="-775090804"/>
            <w:lock w:val="sdtLocked"/>
            <w:placeholder>
              <w:docPart w:val="GBC22222222222222222222222222222"/>
            </w:placeholder>
          </w:sdtPr>
          <w:sdtEndPr>
            <w:rPr>
              <w:szCs w:val="21"/>
            </w:rPr>
          </w:sdtEndPr>
          <w:sdtContent>
            <w:p>
              <w:pPr>
                <w:adjustRightInd w:val="0"/>
                <w:snapToGrid w:val="0"/>
                <w:spacing w:line="360" w:lineRule="auto"/>
                <w:ind w:firstLine="420" w:firstLineChars="200"/>
              </w:pPr>
              <w:r>
                <w:rPr>
                  <w:rFonts w:hint="eastAsia"/>
                </w:rPr>
                <w:t>（1）划分公司内部研究开发项目研究阶段和开发阶段的具体标准</w:t>
              </w:r>
            </w:p>
            <w:p>
              <w:pPr>
                <w:adjustRightInd w:val="0"/>
                <w:snapToGrid w:val="0"/>
                <w:spacing w:line="360" w:lineRule="auto"/>
                <w:ind w:firstLine="420" w:firstLineChars="200"/>
              </w:pPr>
              <w:r>
                <w:rPr>
                  <w:rFonts w:hint="eastAsia"/>
                </w:rPr>
                <w:t>研究是指为获取并理解新的科学或技术知识而进行的独创性的有计划调查。开发是指在进行商业性生产或使用前，将研究成果或其他知识应用于一项或若干项计划或设计，以生产出新的或具有实质性改进的材料、装置、产品或获得新工序等。</w:t>
              </w:r>
            </w:p>
            <w:p>
              <w:pPr>
                <w:adjustRightInd w:val="0"/>
                <w:snapToGrid w:val="0"/>
                <w:spacing w:line="360" w:lineRule="auto"/>
                <w:ind w:firstLine="420" w:firstLineChars="200"/>
              </w:pPr>
              <w:r>
                <w:rPr>
                  <w:rFonts w:hint="eastAsia"/>
                </w:rPr>
                <w:t>（2）开发阶段支出符合资本化的具体标准</w:t>
              </w:r>
            </w:p>
            <w:p>
              <w:pPr>
                <w:adjustRightInd w:val="0"/>
                <w:snapToGrid w:val="0"/>
                <w:spacing w:line="360" w:lineRule="auto"/>
                <w:ind w:firstLine="420" w:firstLineChars="200"/>
              </w:pPr>
              <w:r>
                <w:rPr>
                  <w:rFonts w:hint="eastAsia"/>
                </w:rPr>
                <w:t>研究阶段的支出，于发生时计入当期损益。开发阶段的支出，同时满足下列条件的，予以资本化：</w:t>
              </w:r>
            </w:p>
            <w:p>
              <w:pPr>
                <w:adjustRightInd w:val="0"/>
                <w:snapToGrid w:val="0"/>
                <w:spacing w:line="360" w:lineRule="auto"/>
                <w:ind w:firstLine="420" w:firstLineChars="200"/>
              </w:pPr>
              <w:r>
                <w:rPr>
                  <w:rFonts w:hint="eastAsia"/>
                </w:rPr>
                <w:t>1）完成该无形资产以使其能够使用或出售在技术上具有可行性；</w:t>
              </w:r>
            </w:p>
            <w:p>
              <w:pPr>
                <w:adjustRightInd w:val="0"/>
                <w:snapToGrid w:val="0"/>
                <w:spacing w:line="360" w:lineRule="auto"/>
                <w:ind w:firstLine="420" w:firstLineChars="200"/>
              </w:pPr>
              <w:r>
                <w:rPr>
                  <w:rFonts w:hint="eastAsia"/>
                </w:rPr>
                <w:t>2）具有完成该无形资产并使用或出售的意图；</w:t>
              </w:r>
            </w:p>
            <w:p>
              <w:pPr>
                <w:adjustRightInd w:val="0"/>
                <w:snapToGrid w:val="0"/>
                <w:spacing w:line="360" w:lineRule="auto"/>
                <w:ind w:firstLine="420" w:firstLineChars="200"/>
              </w:pPr>
              <w:r>
                <w:rPr>
                  <w:rFonts w:hint="eastAsia"/>
                </w:rPr>
                <w:t>3）无形资产产生经济利益的方式，包括能够证明运用该无形资产生产的产品存在市场或无形资产自身存在市场，无形资产将在内部使用的，应当证明其有用性；</w:t>
              </w:r>
            </w:p>
            <w:p>
              <w:pPr>
                <w:adjustRightInd w:val="0"/>
                <w:snapToGrid w:val="0"/>
                <w:spacing w:line="360" w:lineRule="auto"/>
                <w:ind w:firstLine="420" w:firstLineChars="200"/>
              </w:pPr>
              <w:r>
                <w:rPr>
                  <w:rFonts w:hint="eastAsia"/>
                </w:rPr>
                <w:t>4）有足够的技术、财务资源和其他资源支持，以完成该无形资产的开发，并有能力使用或出售该无形资产；</w:t>
              </w:r>
            </w:p>
            <w:p>
              <w:pPr>
                <w:adjustRightInd w:val="0"/>
                <w:snapToGrid w:val="0"/>
                <w:spacing w:line="360" w:lineRule="auto"/>
                <w:ind w:firstLine="420" w:firstLineChars="200"/>
              </w:pPr>
              <w:r>
                <w:rPr>
                  <w:rFonts w:hint="eastAsia"/>
                </w:rPr>
                <w:t>5）归属于该无形资产开发阶段的支出能够可靠地计量。</w:t>
              </w:r>
            </w:p>
          </w:sdtContent>
        </w:sdt>
      </w:sdtContent>
    </w:sdt>
    <w:p>
      <w:pPr>
        <w:spacing w:line="360" w:lineRule="auto"/>
      </w:pPr>
    </w:p>
    <w:sdt>
      <w:sdtPr>
        <w:rPr>
          <w:rFonts w:hint="eastAsia" w:ascii="宋体" w:hAnsi="宋体" w:cs="宋体"/>
          <w:b w:val="0"/>
          <w:bCs w:val="0"/>
          <w:kern w:val="0"/>
          <w:szCs w:val="21"/>
        </w:rPr>
        <w:alias w:val="模块:非金融长期资产减值"/>
        <w:tag w:val="_GBC_da2f3f0531094e5e9dcd987c45223bec"/>
        <w:id w:val="-1735697597"/>
        <w:lock w:val="sdtLocked"/>
        <w:placeholder>
          <w:docPart w:val="GBC22222222222222222222222222222"/>
        </w:placeholder>
      </w:sdtPr>
      <w:sdtEndPr>
        <w:rPr>
          <w:rFonts w:hint="eastAsia" w:ascii="宋体" w:hAnsi="宋体" w:cs="Times New Roman"/>
          <w:b w:val="0"/>
          <w:bCs w:val="0"/>
          <w:kern w:val="2"/>
          <w:szCs w:val="21"/>
        </w:rPr>
      </w:sdtEndPr>
      <w:sdtContent>
        <w:p>
          <w:pPr>
            <w:pStyle w:val="114"/>
            <w:numPr>
              <w:ilvl w:val="0"/>
              <w:numId w:val="53"/>
            </w:numPr>
            <w:spacing w:before="0" w:after="0" w:line="360" w:lineRule="auto"/>
            <w:rPr>
              <w:szCs w:val="21"/>
            </w:rPr>
          </w:pPr>
          <w:r>
            <w:rPr>
              <w:rFonts w:hint="eastAsia"/>
              <w:szCs w:val="21"/>
            </w:rPr>
            <w:t>长期资产减值</w:t>
          </w:r>
        </w:p>
        <w:sdt>
          <w:sdtPr>
            <w:rPr>
              <w:rFonts w:hint="eastAsia"/>
              <w:szCs w:val="21"/>
            </w:rPr>
            <w:alias w:val="是否适用：长期资产减值_重要会计政策和估计[双击切换]"/>
            <w:tag w:val="_GBC_e9110d6af45c4c0d808e2f284fadf642"/>
            <w:id w:val="-1882397937"/>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Times New Roman"/>
              <w:kern w:val="2"/>
              <w:szCs w:val="21"/>
            </w:rPr>
            <w:alias w:val="非金融长期资产减值测试方法及会计处理方法"/>
            <w:tag w:val="_GBC_0a065c1269a846f6923598a2c1fc4269"/>
            <w:id w:val="290260915"/>
            <w:lock w:val="sdtLocked"/>
            <w:placeholder>
              <w:docPart w:val="GBC22222222222222222222222222222"/>
            </w:placeholder>
          </w:sdtPr>
          <w:sdtEndPr>
            <w:rPr>
              <w:rFonts w:hint="eastAsia" w:cs="Times New Roman"/>
              <w:kern w:val="2"/>
              <w:szCs w:val="21"/>
            </w:rPr>
          </w:sdtEndPr>
          <w:sdtContent>
            <w:p>
              <w:pPr>
                <w:adjustRightInd w:val="0"/>
                <w:snapToGrid w:val="0"/>
                <w:spacing w:line="360" w:lineRule="auto"/>
                <w:ind w:firstLine="420" w:firstLineChars="200"/>
              </w:pPr>
              <w:r>
                <w:rPr>
                  <w:rFonts w:hint="eastAsia"/>
                </w:rPr>
                <w:t>本公司在资产负债表日根据内部及外部信息以确定长期股权投资、采用成本模式计量的投资性房地产、固定资产、在建工程、采用成本模式计量的生产性生物资产、油气资产、使用权资产、无形资产等长期资产是否存在减值的迹象，对存在减值迹象的长期资产进行减值测试，估计其可收回金额。此外，无论是否存在减值迹象，本公司至少于每年年度终了对商誉、使用寿命不确定的无形资产以及尚未达到可使用状态的无形资产进行减值测试，估计其可收回金额。</w:t>
              </w:r>
            </w:p>
            <w:p>
              <w:pPr>
                <w:adjustRightInd w:val="0"/>
                <w:snapToGrid w:val="0"/>
                <w:spacing w:line="360" w:lineRule="auto"/>
                <w:ind w:firstLine="420" w:firstLineChars="200"/>
              </w:pPr>
              <w:r>
                <w:rPr>
                  <w:rFonts w:hint="eastAsia"/>
                </w:rPr>
                <w:t>可收回金额的估计结果表明上述长期资产可收回金额低于其账面价值的，其账面价值会减记至可收回金额，减记的金额确认为资产减值损失，计入当期损益，同时计提相应的减值准备。</w:t>
              </w:r>
            </w:p>
            <w:p>
              <w:pPr>
                <w:adjustRightInd w:val="0"/>
                <w:snapToGrid w:val="0"/>
                <w:spacing w:line="360" w:lineRule="auto"/>
                <w:ind w:firstLine="420" w:firstLineChars="200"/>
              </w:pPr>
              <w:r>
                <w:rPr>
                  <w:rFonts w:hint="eastAsia"/>
                </w:rPr>
                <w:t>可收回金额是指资产（或资产组、资产组组合，下同）的公允价值减去处置费用后的净额与资产预计未来现金流量的现值两者之间较高者。</w:t>
              </w:r>
            </w:p>
            <w:p>
              <w:pPr>
                <w:adjustRightInd w:val="0"/>
                <w:snapToGrid w:val="0"/>
                <w:spacing w:line="360" w:lineRule="auto"/>
                <w:ind w:firstLine="420" w:firstLineChars="200"/>
              </w:pPr>
              <w:r>
                <w:rPr>
                  <w:rFonts w:hint="eastAsia"/>
                </w:rPr>
                <w:t>资产组是可以认定的最小资产组合，其产生的现金流入基本上独立于其他资产或者资产组。资产组由创造现金流入相关的资产组成。在认定资产组时，主要考虑该资产组能否独立产生现金流入，同时考虑管理层对生产经营活动的管理方式、以及对资产使用或者处置的决策方式等。</w:t>
              </w:r>
            </w:p>
            <w:p>
              <w:pPr>
                <w:widowControl w:val="0"/>
                <w:adjustRightInd w:val="0"/>
                <w:snapToGrid w:val="0"/>
                <w:spacing w:line="360" w:lineRule="auto"/>
                <w:ind w:firstLine="420" w:firstLineChars="200"/>
              </w:pPr>
              <w:r>
                <w:rPr>
                  <w:rFonts w:hint="eastAsia"/>
                </w:rPr>
                <w:t>资产的公允价值减去处置费用后的净额，是根据市场参与者在计量日发生的有序交易中，出售一项资产所能收到或者转移一项负债所需支付的价格减去可直接归属于该资产处置费用的金额确定。资产预计未来现金流量的现值，按照资产在持续使用过程中和最终处置时所产生的预计未来现金流量，选择恰当的税前折现率对其进行折现后的金额加以确定。</w:t>
              </w:r>
            </w:p>
            <w:p>
              <w:pPr>
                <w:widowControl w:val="0"/>
                <w:adjustRightInd w:val="0"/>
                <w:snapToGrid w:val="0"/>
                <w:spacing w:line="360" w:lineRule="auto"/>
                <w:ind w:firstLine="420" w:firstLineChars="200"/>
              </w:pPr>
              <w:r>
                <w:rPr>
                  <w:rFonts w:hint="eastAsia"/>
                </w:rPr>
                <w:t>与资产组或者资产组组合相关的减值损失，先抵减分摊至该资产组或者资产组组合中商誉的账面价值，再根据资产组或者资产组组合中除商誉之外的其他各项资产的账面价值所占比重，按比例抵减其他各项资产的账面价值，但抵减后的各资产的账面价值不得低于该资产的公允价值减去处置费用后的净额（如可确定的）、该资产预计未来现金流量的现值（如可确定的）和零三者之中最高者。</w:t>
              </w:r>
            </w:p>
            <w:p>
              <w:pPr>
                <w:pStyle w:val="202"/>
                <w:widowControl w:val="0"/>
                <w:spacing w:before="0" w:beforeAutospacing="0" w:after="0" w:afterAutospacing="0" w:line="360" w:lineRule="auto"/>
                <w:ind w:left="0" w:leftChars="0" w:firstLine="420" w:firstLineChars="200"/>
                <w:jc w:val="both"/>
                <w:rPr>
                  <w:rFonts w:ascii="Times New Roman"/>
                </w:rPr>
              </w:pPr>
              <w:r>
                <w:rPr>
                  <w:rFonts w:hint="eastAsia"/>
                </w:rPr>
                <w:t>前述长期资产减值损失一经确认，在以后会计期间不得转回。</w:t>
              </w:r>
            </w:p>
          </w:sdtContent>
        </w:sdt>
      </w:sdtContent>
    </w:sdt>
    <w:sdt>
      <w:sdtPr>
        <w:rPr>
          <w:rFonts w:cs="宋体" w:asciiTheme="minorHAnsi" w:hAnsiTheme="minorHAnsi"/>
          <w:b w:val="0"/>
          <w:bCs w:val="0"/>
          <w:kern w:val="0"/>
          <w:szCs w:val="22"/>
        </w:rPr>
        <w:alias w:val="模块:长期待摊费用会计处理方法"/>
        <w:tag w:val="_GBC_fffe6f948ebb468ba812d16acce5c0b9"/>
        <w:id w:val="-1769307847"/>
        <w:lock w:val="sdtLocked"/>
        <w:placeholder>
          <w:docPart w:val="GBC22222222222222222222222222222"/>
        </w:placeholder>
      </w:sdtPr>
      <w:sdtEndPr>
        <w:rPr>
          <w:rFonts w:hint="eastAsia" w:ascii="宋体" w:hAnsi="宋体" w:cs="Times New Roman"/>
          <w:b w:val="0"/>
          <w:bCs w:val="0"/>
          <w:kern w:val="2"/>
          <w:szCs w:val="21"/>
        </w:rPr>
      </w:sdtEndPr>
      <w:sdtContent>
        <w:p>
          <w:pPr>
            <w:pStyle w:val="114"/>
            <w:numPr>
              <w:ilvl w:val="0"/>
              <w:numId w:val="53"/>
            </w:numPr>
            <w:spacing w:before="0" w:after="0" w:line="360" w:lineRule="auto"/>
          </w:pPr>
          <w:r>
            <w:t>长期待摊费用</w:t>
          </w:r>
        </w:p>
        <w:sdt>
          <w:sdtPr>
            <w:rPr>
              <w:rFonts w:hint="eastAsia"/>
              <w:szCs w:val="21"/>
            </w:rPr>
            <w:alias w:val="是否适用：长期待摊费用_重要会计政策和估计[双击切换]"/>
            <w:tag w:val="_GBC_5f2bbee5e66644d489f8d74ae8f96539"/>
            <w:id w:val="1970779591"/>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rPr>
            <w:alias w:val="开办费、长期待摊费用摊销方法"/>
            <w:tag w:val="_GBC_a0e2b7a5a9454eaea97ca201421d7dde"/>
            <w:id w:val="-97179616"/>
            <w:lock w:val="sdtLocked"/>
            <w:placeholder>
              <w:docPart w:val="GBC22222222222222222222222222222"/>
            </w:placeholder>
          </w:sdtPr>
          <w:sdtEndPr>
            <w:rPr>
              <w:rFonts w:hint="eastAsia"/>
            </w:rPr>
          </w:sdtEndPr>
          <w:sdtContent>
            <w:p>
              <w:pPr>
                <w:pStyle w:val="202"/>
                <w:widowControl w:val="0"/>
                <w:spacing w:before="0" w:beforeAutospacing="0" w:after="0" w:afterAutospacing="0" w:line="360" w:lineRule="auto"/>
                <w:ind w:left="0" w:leftChars="0" w:firstLine="420" w:firstLineChars="200"/>
                <w:jc w:val="both"/>
                <w:rPr>
                  <w:rFonts w:ascii="Times New Roman" w:hAnsi="Times New Roman"/>
                </w:rPr>
              </w:pPr>
              <w:r>
                <w:rPr>
                  <w:rFonts w:hint="eastAsia"/>
                </w:rPr>
                <w:t>长期待摊费用在受益期内采用直线法摊销。</w:t>
              </w:r>
            </w:p>
            <w:tbl>
              <w:tblPr>
                <w:tblStyle w:val="11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2"/>
                <w:gridCol w:w="2843"/>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类别</w:t>
                    </w:r>
                  </w:p>
                </w:tc>
                <w:tc>
                  <w:tcPr>
                    <w:tcW w:w="2843"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收益期</w:t>
                    </w:r>
                    <w:r>
                      <w:rPr>
                        <w:rFonts w:hint="eastAsia" w:asciiTheme="minorEastAsia" w:hAnsiTheme="minorEastAsia" w:eastAsiaTheme="minorEastAsia"/>
                        <w:bCs/>
                      </w:rPr>
                      <w:t>（年）</w:t>
                    </w:r>
                  </w:p>
                </w:tc>
                <w:tc>
                  <w:tcPr>
                    <w:tcW w:w="2843"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装修费</w:t>
                    </w:r>
                  </w:p>
                </w:tc>
                <w:tc>
                  <w:tcPr>
                    <w:tcW w:w="2843"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5</w:t>
                    </w:r>
                  </w:p>
                </w:tc>
                <w:tc>
                  <w:tcPr>
                    <w:tcW w:w="2843" w:type="dxa"/>
                    <w:vAlign w:val="center"/>
                  </w:tcPr>
                  <w:p>
                    <w:pPr>
                      <w:pStyle w:val="199"/>
                      <w:widowControl w:val="0"/>
                      <w:spacing w:afterLines="0"/>
                      <w:ind w:firstLine="0" w:firstLineChars="0"/>
                      <w:jc w:val="center"/>
                      <w:rPr>
                        <w:rFonts w:asciiTheme="minorEastAsia" w:hAnsiTheme="minorEastAsia" w:eastAsiaTheme="minorEastAsia"/>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2"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固定资产改良</w:t>
                    </w:r>
                  </w:p>
                </w:tc>
                <w:tc>
                  <w:tcPr>
                    <w:tcW w:w="2843" w:type="dxa"/>
                    <w:vAlign w:val="center"/>
                  </w:tcPr>
                  <w:p>
                    <w:pPr>
                      <w:pStyle w:val="199"/>
                      <w:widowControl w:val="0"/>
                      <w:spacing w:afterLines="0"/>
                      <w:ind w:firstLine="0" w:firstLineChars="0"/>
                      <w:jc w:val="center"/>
                      <w:rPr>
                        <w:rFonts w:asciiTheme="minorEastAsia" w:hAnsiTheme="minorEastAsia" w:eastAsiaTheme="minorEastAsia"/>
                        <w:bCs/>
                      </w:rPr>
                    </w:pPr>
                    <w:r>
                      <w:rPr>
                        <w:rFonts w:asciiTheme="minorEastAsia" w:hAnsiTheme="minorEastAsia" w:eastAsiaTheme="minorEastAsia"/>
                        <w:bCs/>
                      </w:rPr>
                      <w:t>3</w:t>
                    </w:r>
                  </w:p>
                </w:tc>
                <w:tc>
                  <w:tcPr>
                    <w:tcW w:w="2843" w:type="dxa"/>
                    <w:vAlign w:val="center"/>
                  </w:tcPr>
                  <w:p>
                    <w:pPr>
                      <w:pStyle w:val="199"/>
                      <w:widowControl w:val="0"/>
                      <w:spacing w:afterLines="0"/>
                      <w:ind w:firstLine="0" w:firstLineChars="0"/>
                      <w:jc w:val="center"/>
                      <w:rPr>
                        <w:rFonts w:asciiTheme="minorEastAsia" w:hAnsiTheme="minorEastAsia" w:eastAsiaTheme="minorEastAsia"/>
                        <w:bCs/>
                      </w:rPr>
                    </w:pPr>
                  </w:p>
                </w:tc>
              </w:tr>
            </w:tbl>
            <w:p>
              <w:pPr>
                <w:pStyle w:val="202"/>
                <w:widowControl w:val="0"/>
                <w:spacing w:before="156" w:beforeLines="50" w:beforeAutospacing="0" w:line="360" w:lineRule="auto"/>
                <w:ind w:left="0" w:leftChars="0" w:firstLine="420" w:firstLineChars="200"/>
                <w:jc w:val="both"/>
              </w:pPr>
              <w:r>
                <w:rPr>
                  <w:rFonts w:hint="eastAsia"/>
                </w:rPr>
                <w:t>如果长期待摊的费用项目不能使以后会计期间受益的，将尚未摊销的该项目的摊余价值全部转入当期损益。</w:t>
              </w:r>
            </w:p>
          </w:sdtContent>
        </w:sdt>
      </w:sdtContent>
    </w:sdt>
    <w:sdt>
      <w:sdtPr>
        <w:rPr>
          <w:rFonts w:hint="eastAsia" w:ascii="宋体" w:hAnsi="宋体" w:cs="宋体"/>
          <w:b w:val="0"/>
          <w:bCs w:val="0"/>
          <w:kern w:val="0"/>
          <w:szCs w:val="21"/>
        </w:rPr>
        <w:alias w:val="模块:合同负债"/>
        <w:tag w:val="_SEC_cf70b80a8aab43fe9ea65f35584a808d"/>
        <w:id w:val="1713298464"/>
        <w:lock w:val="sdtLocked"/>
        <w:placeholder>
          <w:docPart w:val="GBC22222222222222222222222222222"/>
        </w:placeholder>
      </w:sdtPr>
      <w:sdtEndPr>
        <w:rPr>
          <w:rFonts w:hint="default" w:ascii="宋体" w:hAnsi="宋体" w:cs="宋体"/>
          <w:b w:val="0"/>
          <w:bCs w:val="0"/>
          <w:kern w:val="0"/>
          <w:szCs w:val="21"/>
        </w:rPr>
      </w:sdtEndPr>
      <w:sdtContent>
        <w:p>
          <w:pPr>
            <w:pStyle w:val="114"/>
            <w:numPr>
              <w:ilvl w:val="0"/>
              <w:numId w:val="53"/>
            </w:numPr>
            <w:rPr>
              <w:szCs w:val="21"/>
            </w:rPr>
          </w:pPr>
          <w:bookmarkStart w:id="133" w:name="_Hlk533668008"/>
          <w:r>
            <w:rPr>
              <w:rFonts w:hint="eastAsia"/>
              <w:szCs w:val="21"/>
            </w:rPr>
            <w:t>合同负债</w:t>
          </w:r>
        </w:p>
        <w:p>
          <w:pPr>
            <w:pStyle w:val="115"/>
            <w:numPr>
              <w:ilvl w:val="3"/>
              <w:numId w:val="67"/>
            </w:numPr>
            <w:ind w:left="426" w:hanging="426"/>
            <w:rPr>
              <w:szCs w:val="21"/>
            </w:rPr>
          </w:pPr>
          <w:r>
            <w:rPr>
              <w:rFonts w:hint="eastAsia"/>
              <w:szCs w:val="21"/>
            </w:rPr>
            <w:t>合同负债的确认方法</w:t>
          </w:r>
        </w:p>
        <w:sdt>
          <w:sdtPr>
            <w:rPr>
              <w:szCs w:val="21"/>
            </w:rPr>
            <w:alias w:val="是否适用：合同负债的确定方法、摊销方法和减值测试方法[双击切换]"/>
            <w:tag w:val="_GBC_1d0f6a0a7f304d3f94158c9d73a7239a"/>
            <w:id w:val="-96080454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
            <w:sdtPr>
              <w:rPr>
                <w:szCs w:val="21"/>
              </w:rPr>
              <w:alias w:val="合同负债的确定方法、摊销方法和减值测试方法"/>
              <w:tag w:val="_GBC_0555b9144f6c494282d03f175d2fa19d"/>
              <w:id w:val="1571147192"/>
              <w:lock w:val="sdtLocked"/>
              <w:placeholder>
                <w:docPart w:val="GBC22222222222222222222222222222"/>
              </w:placeholder>
            </w:sdtPr>
            <w:sdtEndPr>
              <w:rPr>
                <w:szCs w:val="21"/>
              </w:rPr>
            </w:sdtEndPr>
            <w:sdtContent>
              <w:r>
                <w:rPr>
                  <w:rFonts w:hint="eastAsia"/>
                </w:rPr>
                <w:t>合同负债，是指本公司已收或应收客户对价而应向客户转让商品或服务的义务。同一合同下的合同资产和合同负债以净额列示。</w:t>
              </w:r>
            </w:sdtContent>
          </w:sdt>
        </w:p>
      </w:sdtContent>
    </w:sdt>
    <w:bookmarkEnd w:id="133"/>
    <w:sdt>
      <w:sdtPr>
        <w:rPr>
          <w:rFonts w:hint="eastAsia" w:asciiTheme="minorHAnsi" w:hAnsiTheme="minorHAnsi" w:cstheme="minorBidi"/>
          <w:b w:val="0"/>
          <w:bCs w:val="0"/>
          <w:kern w:val="0"/>
          <w:szCs w:val="22"/>
        </w:rPr>
        <w:alias w:val="模块:职工薪酬"/>
        <w:tag w:val="_GBC_8ec8855eb4d5447ab785e4bd4b0b73aa"/>
        <w:id w:val="1115403746"/>
        <w:lock w:val="sdtLocked"/>
        <w:placeholder>
          <w:docPart w:val="GBC22222222222222222222222222222"/>
        </w:placeholder>
      </w:sdtPr>
      <w:sdtEndPr>
        <w:rPr>
          <w:rFonts w:hint="eastAsia" w:ascii="宋体" w:hAnsi="宋体" w:cs="Times New Roman"/>
          <w:b w:val="0"/>
          <w:bCs w:val="0"/>
          <w:kern w:val="2"/>
          <w:szCs w:val="21"/>
        </w:rPr>
      </w:sdtEndPr>
      <w:sdtContent>
        <w:p>
          <w:pPr>
            <w:pStyle w:val="114"/>
            <w:numPr>
              <w:ilvl w:val="0"/>
              <w:numId w:val="53"/>
            </w:numPr>
          </w:pPr>
          <w:r>
            <w:rPr>
              <w:rFonts w:hint="eastAsia"/>
            </w:rPr>
            <w:t>职工薪酬</w:t>
          </w:r>
        </w:p>
        <w:p>
          <w:pPr>
            <w:spacing w:line="360" w:lineRule="auto"/>
            <w:ind w:firstLine="420" w:firstLineChars="200"/>
            <w:rPr>
              <w:rFonts w:ascii="Arial" w:cs="Arial"/>
            </w:rPr>
          </w:pPr>
          <w:r>
            <w:rPr>
              <w:rFonts w:cs="Arial"/>
            </w:rPr>
            <w:t>职工薪酬包括短期薪酬、离职后福利、辞退福利和其他长期职工福利。</w:t>
          </w:r>
        </w:p>
        <w:p>
          <w:pPr>
            <w:pStyle w:val="115"/>
            <w:numPr>
              <w:ilvl w:val="3"/>
              <w:numId w:val="68"/>
            </w:numPr>
            <w:ind w:left="426" w:hanging="426"/>
          </w:pPr>
          <w:r>
            <w:rPr>
              <w:rFonts w:hint="eastAsia"/>
            </w:rPr>
            <w:t>短期薪酬的会计处理方法</w:t>
          </w:r>
        </w:p>
        <w:sdt>
          <w:sdtPr>
            <w:rPr>
              <w:rFonts w:hint="eastAsia"/>
              <w:szCs w:val="21"/>
            </w:rPr>
            <w:alias w:val="是否适用：短期薪酬的会计处理方法[双击切换]"/>
            <w:tag w:val="_GBC_efadddc5ff4a48fb9432574c3528c6b3"/>
            <w:id w:val="58064991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短期薪酬的会计处理方法"/>
            <w:tag w:val="_GBC_8fdf44b194ac45fb945d36b9896df796"/>
            <w:id w:val="-103413696"/>
            <w:lock w:val="sdtLocked"/>
            <w:placeholder>
              <w:docPart w:val="GBC22222222222222222222222222222"/>
            </w:placeholder>
          </w:sdtPr>
          <w:sdtEndPr>
            <w:rPr>
              <w:szCs w:val="21"/>
            </w:rPr>
          </w:sdtEndPr>
          <w:sdtContent>
            <w:p>
              <w:pPr>
                <w:widowControl w:val="0"/>
                <w:snapToGrid w:val="0"/>
                <w:spacing w:line="360" w:lineRule="auto"/>
                <w:ind w:firstLine="420" w:firstLineChars="200"/>
                <w:jc w:val="both"/>
                <w:rPr>
                  <w:rFonts w:ascii="Arial Narrow" w:hAnsi="Arial Narrow"/>
                </w:rPr>
              </w:pPr>
              <w:r>
                <w:rPr>
                  <w:rFonts w:hint="eastAsia"/>
                </w:rPr>
                <w:t>短期薪酬主要包括工资、奖金、津贴和补贴、职工福利费、医疗保险费、生育保险费、工伤保险费、住房公积金、工会经费和职工教育经费、非货币性福利等。本公司在职工为本公司提供服务的会计期间将实际发生的短期职工薪酬确认为负债，并计入当期损益或相关资产成本。其中非货币性福利按公允价值计量。</w:t>
              </w:r>
            </w:p>
          </w:sdtContent>
        </w:sdt>
        <w:p>
          <w:pPr>
            <w:rPr>
              <w:szCs w:val="21"/>
            </w:rPr>
          </w:pPr>
        </w:p>
        <w:p>
          <w:pPr>
            <w:pStyle w:val="115"/>
            <w:numPr>
              <w:ilvl w:val="3"/>
              <w:numId w:val="68"/>
            </w:numPr>
            <w:ind w:left="426" w:hanging="426"/>
          </w:pPr>
          <w:r>
            <w:rPr>
              <w:rFonts w:hint="eastAsia"/>
            </w:rPr>
            <w:t>离职后福利的会计处理方法</w:t>
          </w:r>
        </w:p>
        <w:sdt>
          <w:sdtPr>
            <w:rPr>
              <w:rFonts w:hint="eastAsia"/>
              <w:szCs w:val="21"/>
            </w:rPr>
            <w:alias w:val="是否适用：离职后福利的会计处理方法[双击切换]"/>
            <w:tag w:val="_GBC_64248844b1544474ae8d85d08e7479af"/>
            <w:id w:val="-70078681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离职后福利的会计处理方法"/>
            <w:tag w:val="_GBC_3b0bafa6ef784ba99c829e2f60cf828e"/>
            <w:id w:val="-1632545374"/>
            <w:lock w:val="sdtLocked"/>
            <w:placeholder>
              <w:docPart w:val="GBC22222222222222222222222222222"/>
            </w:placeholder>
          </w:sdtPr>
          <w:sdtEndPr>
            <w:rPr>
              <w:szCs w:val="21"/>
            </w:rPr>
          </w:sdtEndPr>
          <w:sdtContent>
            <w:p>
              <w:pPr>
                <w:widowControl w:val="0"/>
                <w:snapToGrid w:val="0"/>
                <w:spacing w:line="360" w:lineRule="auto"/>
                <w:ind w:firstLine="420" w:firstLineChars="200"/>
                <w:jc w:val="both"/>
                <w:rPr>
                  <w:rFonts w:ascii="Arial Narrow" w:hAnsi="Arial Narrow"/>
                </w:rPr>
              </w:pPr>
              <w:r>
                <w:t>本公司的离职后福利计划全部为设定提存计划。</w:t>
              </w:r>
            </w:p>
            <w:p>
              <w:pPr>
                <w:widowControl w:val="0"/>
                <w:snapToGrid w:val="0"/>
                <w:spacing w:line="360" w:lineRule="auto"/>
                <w:ind w:firstLine="420" w:firstLineChars="200"/>
                <w:jc w:val="both"/>
                <w:rPr>
                  <w:rFonts w:ascii="Arial Narrow" w:hAnsi="Arial Narrow"/>
                </w:rPr>
              </w:pPr>
              <w:r>
                <w:t>离职后福利设定提存计划主要为参加由各地劳动及社会保障机构组织实施的社会基本养老保险、失业保险等，相应的支出于发生时计入相关资产成本或当期损益。</w:t>
              </w:r>
            </w:p>
          </w:sdtContent>
        </w:sdt>
        <w:p>
          <w:pPr>
            <w:rPr>
              <w:szCs w:val="21"/>
            </w:rPr>
          </w:pPr>
        </w:p>
        <w:p>
          <w:pPr>
            <w:pStyle w:val="115"/>
            <w:numPr>
              <w:ilvl w:val="3"/>
              <w:numId w:val="68"/>
            </w:numPr>
            <w:ind w:left="426" w:hanging="426"/>
          </w:pPr>
          <w:r>
            <w:rPr>
              <w:rFonts w:hint="eastAsia"/>
            </w:rPr>
            <w:t>辞退福利的会计处理方法</w:t>
          </w:r>
        </w:p>
        <w:sdt>
          <w:sdtPr>
            <w:rPr>
              <w:rFonts w:hint="eastAsia"/>
              <w:szCs w:val="21"/>
            </w:rPr>
            <w:alias w:val="是否适用：辞退福利的会计处理方法[双击切换]"/>
            <w:tag w:val="_GBC_7a3bf6905df64c658fb0148a81f2964d"/>
            <w:id w:val="-214233332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辞退福利的会计处理方法"/>
            <w:tag w:val="_GBC_a93705fb60b24bceb25c88a68ed87432"/>
            <w:id w:val="-326593669"/>
            <w:lock w:val="sdtLocked"/>
            <w:placeholder>
              <w:docPart w:val="GBC22222222222222222222222222222"/>
            </w:placeholder>
          </w:sdtPr>
          <w:sdtContent>
            <w:p>
              <w:pPr>
                <w:pStyle w:val="197"/>
                <w:widowControl w:val="0"/>
                <w:spacing w:line="360" w:lineRule="auto"/>
                <w:ind w:left="0" w:leftChars="0" w:firstLine="420" w:firstLineChars="200"/>
                <w:jc w:val="both"/>
                <w:outlineLvl w:val="3"/>
                <w:rPr>
                  <w:rFonts w:ascii="Arial Narrow" w:hAnsi="Arial Narrow"/>
                  <w:b/>
                </w:rPr>
              </w:pPr>
              <w:r>
                <w:rPr>
                  <w:rFonts w:hint="eastAsia"/>
                </w:rPr>
                <w:t>在职工劳动合同到期之前解除与职工的劳动关系，或为鼓励职工自愿接受裁减而提出给予补偿的建议，本公司在下列两者孰早日确认辞退福利产生的职工薪酬负债，并计入当期损益：本公司不能单方面撤回因解除劳动关系计划或裁减建议所提供的辞退福利时；本公司确认与涉及支付辞退福利的重组相关的成本或费用时。</w:t>
              </w:r>
            </w:p>
          </w:sdtContent>
        </w:sdt>
        <w:p>
          <w:pPr>
            <w:pStyle w:val="115"/>
            <w:numPr>
              <w:ilvl w:val="3"/>
              <w:numId w:val="68"/>
            </w:numPr>
            <w:ind w:left="426" w:hanging="426"/>
          </w:pPr>
          <w:r>
            <w:rPr>
              <w:rFonts w:hint="eastAsia"/>
            </w:rPr>
            <w:t>其他长期职工福利的会计处理方法</w:t>
          </w:r>
        </w:p>
        <w:sdt>
          <w:sdtPr>
            <w:rPr>
              <w:rFonts w:hint="eastAsia"/>
              <w:szCs w:val="21"/>
            </w:rPr>
            <w:alias w:val="是否适用：其他长期职工福利的会计处理方法[双击切换]"/>
            <w:tag w:val="_GBC_94d434167e154a30ad2071a069525a71"/>
            <w:id w:val="101858292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其他长期职工福利的会计处理方法"/>
            <w:tag w:val="_GBC_0e549e9400284de7b64ddf6ecc255dea"/>
            <w:id w:val="700209332"/>
            <w:lock w:val="sdtLocked"/>
            <w:placeholder>
              <w:docPart w:val="GBC22222222222222222222222222222"/>
            </w:placeholder>
          </w:sdtPr>
          <w:sdtContent>
            <w:p>
              <w:pPr>
                <w:pStyle w:val="197"/>
                <w:widowControl w:val="0"/>
                <w:spacing w:line="360" w:lineRule="auto"/>
                <w:ind w:left="0" w:leftChars="0" w:firstLine="420" w:firstLineChars="200"/>
                <w:jc w:val="both"/>
                <w:outlineLvl w:val="3"/>
                <w:rPr>
                  <w:rFonts w:ascii="Arial Narrow" w:hAnsi="Arial Narrow"/>
                  <w:b/>
                </w:rPr>
              </w:pPr>
              <w:r>
                <w:rPr>
                  <w:rFonts w:hint="eastAsia"/>
                </w:rPr>
                <w:t>本公司向职工提供的其他长期职工福利，符合设定提存计划的，按照设定提存计划进行会计处理，除此之外按照设定收益计划进行会计处理。</w:t>
              </w:r>
            </w:p>
          </w:sdtContent>
        </w:sdt>
      </w:sdtContent>
    </w:sdt>
    <w:p>
      <w:pPr>
        <w:rPr>
          <w:rFonts w:cs="Times New Roman"/>
          <w:szCs w:val="21"/>
        </w:rPr>
      </w:pPr>
    </w:p>
    <w:sdt>
      <w:sdtPr>
        <w:rPr>
          <w:rFonts w:ascii="宋体" w:hAnsi="宋体" w:cs="宋体"/>
          <w:b w:val="0"/>
          <w:bCs w:val="0"/>
          <w:kern w:val="0"/>
          <w:szCs w:val="21"/>
        </w:rPr>
        <w:alias w:val="模块:租赁负债"/>
        <w:tag w:val="_SEC_59f78615a7b840fb9a34d42105d99413"/>
        <w:id w:val="-2051221172"/>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53"/>
            </w:numPr>
            <w:rPr>
              <w:szCs w:val="21"/>
            </w:rPr>
          </w:pPr>
          <w:bookmarkStart w:id="134" w:name="_Hlk24102406"/>
          <w:r>
            <w:rPr>
              <w:rFonts w:hint="eastAsia"/>
              <w:szCs w:val="21"/>
            </w:rPr>
            <w:t>租赁负债</w:t>
          </w:r>
        </w:p>
        <w:sdt>
          <w:sdtPr>
            <w:alias w:val="是否适用：租赁负债_重要会计政策和估计[双击切换]"/>
            <w:tag w:val="_GBC_035c8438d4994b9aa7f1e8e70adec79d"/>
            <w:id w:val="10886776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租赁负债的核算方法"/>
            <w:tag w:val="_GBC_0926be58d3434b5cbc922e1cb39d077e"/>
            <w:id w:val="2076936571"/>
            <w:lock w:val="sdtLocked"/>
            <w:placeholder>
              <w:docPart w:val="GBC22222222222222222222222222222"/>
            </w:placeholder>
          </w:sdtPr>
          <w:sdtEndPr>
            <w:rPr>
              <w:rFonts w:hint="eastAsia"/>
            </w:rPr>
          </w:sdtEndPr>
          <w:sdtContent>
            <w:p>
              <w:pPr>
                <w:widowControl w:val="0"/>
                <w:adjustRightInd w:val="0"/>
                <w:snapToGrid w:val="0"/>
                <w:spacing w:line="360" w:lineRule="auto"/>
                <w:ind w:firstLine="420" w:firstLineChars="200"/>
                <w:jc w:val="both"/>
              </w:pPr>
              <w:r>
                <w:rPr>
                  <w:rFonts w:hint="eastAsia"/>
                </w:rPr>
                <w:t>在租赁期开始日，本公司将尚未支付的租赁付款额的现值确认为租赁负债（短期租赁和低价值资产租赁除外）。在计算租赁付款额的现值时，采用租赁内含利率作为折现率；无法确定租赁内含利率的，采用承租人增量借款利率作为折现率。未纳入租赁负债计量的可变租赁付款额于实际发生时计入当期损益。</w:t>
              </w:r>
            </w:p>
            <w:p>
              <w:pPr>
                <w:widowControl w:val="0"/>
                <w:adjustRightInd w:val="0"/>
                <w:snapToGrid w:val="0"/>
                <w:spacing w:line="360" w:lineRule="auto"/>
                <w:ind w:firstLine="420" w:firstLineChars="200"/>
                <w:jc w:val="both"/>
              </w:pPr>
              <w:r>
                <w:rPr>
                  <w:rFonts w:hint="eastAsia"/>
                </w:rPr>
                <w:t>本公司按照固定的周期性利率计算租赁负债在租赁期内利息费用，并计入当期损益，按照其他准则规定应当计入相关资产成本的，从其规定。未纳入租赁负债计量的可变租赁付款额于实际发生时计入当期损益，按照其他准则规定应当计入相关资产成本的，从其规定。</w:t>
              </w:r>
            </w:p>
            <w:p>
              <w:pPr>
                <w:widowControl w:val="0"/>
                <w:adjustRightInd w:val="0"/>
                <w:snapToGrid w:val="0"/>
                <w:spacing w:line="360" w:lineRule="auto"/>
                <w:ind w:firstLine="420" w:firstLineChars="200"/>
                <w:jc w:val="both"/>
              </w:pPr>
              <w:r>
                <w:rPr>
                  <w:rFonts w:hint="eastAsia"/>
                </w:rPr>
                <w:t>租赁期开始日后，因续租选择权、终止租赁选择权或购买选择权的评估结果或实际行使情况发生变化的，重新确定租赁付款额，并按变动后租赁付款额和修订后的折现率计算的现值重新计量租赁负债。</w:t>
              </w:r>
            </w:p>
            <w:p>
              <w:pPr>
                <w:widowControl w:val="0"/>
                <w:adjustRightInd w:val="0"/>
                <w:snapToGrid w:val="0"/>
                <w:spacing w:line="360" w:lineRule="auto"/>
                <w:ind w:firstLine="420" w:firstLineChars="200"/>
                <w:jc w:val="both"/>
              </w:pPr>
              <w:r>
                <w:rPr>
                  <w:rFonts w:hint="eastAsia"/>
                </w:rPr>
                <w:t>租赁期开始日后，根据担保余值预计的应付金额发生变动，或者因用于确定租赁付款额的指数或比率变动而导致未来租赁付款额发生变动的，按照变动后租赁付款额的现值重新计量租赁负债。</w:t>
              </w:r>
            </w:p>
            <w:p>
              <w:pPr>
                <w:widowControl w:val="0"/>
                <w:adjustRightInd w:val="0"/>
                <w:snapToGrid w:val="0"/>
                <w:spacing w:line="360" w:lineRule="auto"/>
                <w:ind w:firstLine="420" w:firstLineChars="200"/>
                <w:jc w:val="both"/>
              </w:pPr>
              <w:r>
                <w:rPr>
                  <w:rFonts w:hint="eastAsia"/>
                </w:rPr>
                <w:t>在针对上述原因或因实质固定付款额变动重新计量租赁负债时，相应调整使用权资产的账面价值。使用权资产的账面价值已调减至零，但租赁负债仍需进一步调减的，将剩余金额计入当期损益。</w:t>
              </w:r>
            </w:p>
          </w:sdtContent>
        </w:sdt>
      </w:sdtContent>
    </w:sdt>
    <w:bookmarkEnd w:id="134"/>
    <w:p/>
    <w:sdt>
      <w:sdtPr>
        <w:rPr>
          <w:rFonts w:ascii="宋体" w:hAnsi="宋体" w:cs="宋体"/>
          <w:b w:val="0"/>
          <w:bCs w:val="0"/>
          <w:kern w:val="0"/>
          <w:szCs w:val="24"/>
        </w:rPr>
        <w:alias w:val="模块:预计负债会计处理方法"/>
        <w:tag w:val="_GBC_b5b71a4d3cc1425c80f55e751e7e18c2"/>
        <w:id w:val="223810457"/>
        <w:lock w:val="sdtLocked"/>
        <w:placeholder>
          <w:docPart w:val="GBC22222222222222222222222222222"/>
        </w:placeholder>
      </w:sdtPr>
      <w:sdtEndPr>
        <w:rPr>
          <w:rFonts w:hint="eastAsia" w:ascii="宋体" w:hAnsi="宋体" w:cs="宋体"/>
          <w:b w:val="0"/>
          <w:bCs w:val="0"/>
          <w:kern w:val="0"/>
          <w:szCs w:val="21"/>
        </w:rPr>
      </w:sdtEndPr>
      <w:sdtContent>
        <w:p>
          <w:pPr>
            <w:pStyle w:val="114"/>
            <w:numPr>
              <w:ilvl w:val="0"/>
              <w:numId w:val="53"/>
            </w:numPr>
          </w:pPr>
          <w:r>
            <w:t>预计负债</w:t>
          </w:r>
        </w:p>
        <w:sdt>
          <w:sdtPr>
            <w:rPr>
              <w:rFonts w:hint="eastAsia"/>
              <w:szCs w:val="21"/>
            </w:rPr>
            <w:alias w:val="是否适用：预计负债_重要会计政策和估计[双击切换]"/>
            <w:tag w:val="_GBC_546a7423773c46d2b57f08fc5fdbc638"/>
            <w:id w:val="-129589700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cs="宋体"/>
              <w:kern w:val="0"/>
              <w:szCs w:val="24"/>
            </w:rPr>
            <w:alias w:val="预计负债的核算方法"/>
            <w:tag w:val="_GBC_d6934772e41e485d9e00e349486f9d7e"/>
            <w:id w:val="-2135617817"/>
            <w:lock w:val="sdtLocked"/>
            <w:placeholder>
              <w:docPart w:val="GBC22222222222222222222222222222"/>
            </w:placeholder>
          </w:sdtPr>
          <w:sdtEndPr>
            <w:rPr>
              <w:rFonts w:hint="eastAsia" w:cs="宋体"/>
              <w:kern w:val="0"/>
              <w:szCs w:val="24"/>
            </w:rPr>
          </w:sdtEndPr>
          <w:sdtContent>
            <w:p>
              <w:pPr>
                <w:pStyle w:val="197"/>
                <w:widowControl w:val="0"/>
                <w:numPr>
                  <w:ilvl w:val="0"/>
                  <w:numId w:val="69"/>
                </w:numPr>
                <w:spacing w:line="360" w:lineRule="auto"/>
                <w:ind w:left="0" w:leftChars="0" w:firstLine="420" w:firstLineChars="200"/>
                <w:jc w:val="both"/>
                <w:outlineLvl w:val="3"/>
                <w:rPr>
                  <w:rFonts w:ascii="Arial Narrow" w:hAnsi="Arial Narrow"/>
                  <w:b/>
                </w:rPr>
              </w:pPr>
              <w:r>
                <w:rPr>
                  <w:rFonts w:hint="eastAsia"/>
                  <w:b/>
                </w:rPr>
                <w:t>预计负债的确认标准</w:t>
              </w:r>
            </w:p>
            <w:p>
              <w:pPr>
                <w:widowControl w:val="0"/>
                <w:adjustRightInd w:val="0"/>
                <w:snapToGrid w:val="0"/>
                <w:spacing w:line="360" w:lineRule="auto"/>
                <w:ind w:firstLine="420" w:firstLineChars="200"/>
                <w:jc w:val="both"/>
                <w:rPr>
                  <w:rFonts w:ascii="Times New Roman"/>
                </w:rPr>
              </w:pPr>
              <w:r>
                <w:rPr>
                  <w:rFonts w:hint="eastAsia"/>
                </w:rPr>
                <w:t>与或有事项相关的义务同时满足下列条件的，应当确认为预计负债：</w:t>
              </w:r>
            </w:p>
            <w:p>
              <w:pPr>
                <w:widowControl w:val="0"/>
                <w:adjustRightInd w:val="0"/>
                <w:snapToGrid w:val="0"/>
                <w:spacing w:line="360" w:lineRule="auto"/>
                <w:ind w:firstLine="420" w:firstLineChars="200"/>
                <w:jc w:val="both"/>
              </w:pPr>
              <w:r>
                <w:rPr>
                  <w:rFonts w:hint="eastAsia"/>
                </w:rPr>
                <w:t xml:space="preserve">（1）该义务是企业承担的现时义务； </w:t>
              </w:r>
            </w:p>
            <w:p>
              <w:pPr>
                <w:widowControl w:val="0"/>
                <w:adjustRightInd w:val="0"/>
                <w:snapToGrid w:val="0"/>
                <w:spacing w:line="360" w:lineRule="auto"/>
                <w:ind w:firstLine="420" w:firstLineChars="200"/>
                <w:jc w:val="both"/>
              </w:pPr>
              <w:r>
                <w:rPr>
                  <w:rFonts w:hint="eastAsia"/>
                </w:rPr>
                <w:t xml:space="preserve">（2）履行该义务很可能导致经济利益流出企业； </w:t>
              </w:r>
            </w:p>
            <w:p>
              <w:pPr>
                <w:widowControl w:val="0"/>
                <w:adjustRightInd w:val="0"/>
                <w:snapToGrid w:val="0"/>
                <w:spacing w:line="360" w:lineRule="auto"/>
                <w:ind w:firstLine="420" w:firstLineChars="200"/>
                <w:jc w:val="both"/>
              </w:pPr>
              <w:r>
                <w:rPr>
                  <w:rFonts w:hint="eastAsia"/>
                </w:rPr>
                <w:t>（3）该义务的金额能够可靠地计量。</w:t>
              </w:r>
            </w:p>
            <w:p>
              <w:pPr>
                <w:pStyle w:val="197"/>
                <w:widowControl w:val="0"/>
                <w:numPr>
                  <w:ilvl w:val="0"/>
                  <w:numId w:val="69"/>
                </w:numPr>
                <w:spacing w:line="360" w:lineRule="auto"/>
                <w:ind w:left="0" w:leftChars="0" w:firstLine="420" w:firstLineChars="200"/>
                <w:jc w:val="both"/>
                <w:outlineLvl w:val="3"/>
                <w:rPr>
                  <w:rFonts w:ascii="Arial Narrow" w:hAnsi="Arial Narrow"/>
                  <w:b/>
                </w:rPr>
              </w:pPr>
              <w:r>
                <w:rPr>
                  <w:rFonts w:hint="eastAsia"/>
                  <w:b/>
                </w:rPr>
                <w:t>预计负债按照履行相关现时义务所需支出的最佳估计数进行初始计量</w:t>
              </w:r>
            </w:p>
            <w:p>
              <w:pPr>
                <w:widowControl w:val="0"/>
                <w:adjustRightInd w:val="0"/>
                <w:snapToGrid w:val="0"/>
                <w:spacing w:line="360" w:lineRule="auto"/>
                <w:ind w:firstLine="420" w:firstLineChars="200"/>
                <w:jc w:val="both"/>
                <w:rPr>
                  <w:rFonts w:ascii="Times New Roman"/>
                </w:rPr>
              </w:pPr>
              <w:r>
                <w:rPr>
                  <w:rFonts w:hint="eastAsia"/>
                </w:rPr>
                <w:t>如所需支出存在一个连续范围，且该范围内各种结果发生的可能性相同的，最佳估计数按照该范围内的中间值确定。</w:t>
              </w:r>
            </w:p>
            <w:p>
              <w:pPr>
                <w:widowControl w:val="0"/>
                <w:adjustRightInd w:val="0"/>
                <w:snapToGrid w:val="0"/>
                <w:spacing w:line="360" w:lineRule="auto"/>
                <w:ind w:firstLine="420" w:firstLineChars="200"/>
                <w:jc w:val="both"/>
              </w:pPr>
              <w:r>
                <w:rPr>
                  <w:rFonts w:hint="eastAsia"/>
                </w:rPr>
                <w:t xml:space="preserve">在其他情况下，最佳估计数分别下列情况处理： </w:t>
              </w:r>
            </w:p>
            <w:p>
              <w:pPr>
                <w:widowControl w:val="0"/>
                <w:adjustRightInd w:val="0"/>
                <w:snapToGrid w:val="0"/>
                <w:spacing w:line="360" w:lineRule="auto"/>
                <w:ind w:firstLine="420" w:firstLineChars="200"/>
                <w:jc w:val="both"/>
              </w:pPr>
              <w:r>
                <w:rPr>
                  <w:rFonts w:hint="eastAsia"/>
                </w:rPr>
                <w:t xml:space="preserve">（1）或有事项涉及单个项目的，按照最可能发生金额确定。 </w:t>
              </w:r>
            </w:p>
            <w:p>
              <w:pPr>
                <w:widowControl w:val="0"/>
                <w:adjustRightInd w:val="0"/>
                <w:snapToGrid w:val="0"/>
                <w:spacing w:line="360" w:lineRule="auto"/>
                <w:ind w:firstLine="420" w:firstLineChars="200"/>
                <w:jc w:val="both"/>
              </w:pPr>
              <w:r>
                <w:rPr>
                  <w:rFonts w:hint="eastAsia"/>
                </w:rPr>
                <w:t>（2）或有事项涉及多个项目的，按照各种可能结果及相关概率计算确定。</w:t>
              </w:r>
            </w:p>
          </w:sdtContent>
        </w:sdt>
      </w:sdtContent>
    </w:sdt>
    <w:p>
      <w:pPr>
        <w:rPr>
          <w:szCs w:val="21"/>
        </w:rPr>
      </w:pPr>
    </w:p>
    <w:sdt>
      <w:sdtPr>
        <w:rPr>
          <w:rFonts w:hint="eastAsia" w:asciiTheme="minorHAnsi" w:hAnsiTheme="minorHAnsi" w:cstheme="minorBidi"/>
          <w:b w:val="0"/>
          <w:bCs w:val="0"/>
          <w:kern w:val="0"/>
          <w:szCs w:val="22"/>
        </w:rPr>
        <w:alias w:val="模块:股份支付"/>
        <w:tag w:val="_GBC_5300d3ce4b5f4c1690fe13bde0a610e3"/>
        <w:id w:val="258185864"/>
        <w:lock w:val="sdtLocked"/>
        <w:placeholder>
          <w:docPart w:val="GBC22222222222222222222222222222"/>
        </w:placeholder>
      </w:sdtPr>
      <w:sdtEndPr>
        <w:rPr>
          <w:rFonts w:hint="eastAsia" w:ascii="宋体" w:hAnsi="宋体" w:cs="Times New Roman"/>
          <w:b w:val="0"/>
          <w:bCs w:val="0"/>
          <w:kern w:val="2"/>
          <w:szCs w:val="21"/>
        </w:rPr>
      </w:sdtEndPr>
      <w:sdtContent>
        <w:p>
          <w:pPr>
            <w:pStyle w:val="114"/>
            <w:numPr>
              <w:ilvl w:val="0"/>
              <w:numId w:val="53"/>
            </w:numPr>
          </w:pPr>
          <w:r>
            <w:rPr>
              <w:rFonts w:hint="eastAsia"/>
            </w:rPr>
            <w:t>股份支付</w:t>
          </w:r>
        </w:p>
        <w:sdt>
          <w:sdtPr>
            <w:rPr>
              <w:rFonts w:hint="eastAsia"/>
              <w:szCs w:val="21"/>
            </w:rPr>
            <w:alias w:val="是否适用：股份支付_重要会计政策和估计[双击切换]"/>
            <w:tag w:val="_GBC_7741eb89da65434190830ba1cd87e4dc"/>
            <w:id w:val="38276384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alias w:val="股份支付的核算方法"/>
            <w:tag w:val="_GBC_99e197c555ed4cf8aa00bbd5da2fe98b"/>
            <w:id w:val="1030460362"/>
            <w:lock w:val="sdtLocked"/>
            <w:placeholder>
              <w:docPart w:val="GBC22222222222222222222222222222"/>
            </w:placeholder>
          </w:sdtPr>
          <w:sdtContent>
            <w:p>
              <w:pPr>
                <w:pStyle w:val="197"/>
                <w:widowControl w:val="0"/>
                <w:numPr>
                  <w:ilvl w:val="0"/>
                  <w:numId w:val="70"/>
                </w:numPr>
                <w:spacing w:line="360" w:lineRule="auto"/>
                <w:ind w:left="0" w:leftChars="0" w:firstLine="420" w:firstLineChars="200"/>
                <w:jc w:val="both"/>
                <w:outlineLvl w:val="3"/>
                <w:rPr>
                  <w:rFonts w:ascii="Arial Narrow" w:hAnsi="Arial Narrow"/>
                  <w:b/>
                </w:rPr>
              </w:pPr>
              <w:r>
                <w:rPr>
                  <w:rFonts w:hint="eastAsia"/>
                  <w:b/>
                </w:rPr>
                <w:t>股份支付的种类</w:t>
              </w:r>
            </w:p>
            <w:p>
              <w:pPr>
                <w:pStyle w:val="202"/>
                <w:widowControl w:val="0"/>
                <w:spacing w:line="360" w:lineRule="auto"/>
                <w:ind w:left="0" w:leftChars="0" w:firstLine="420" w:firstLineChars="200"/>
                <w:jc w:val="both"/>
              </w:pPr>
              <w:r>
                <w:rPr>
                  <w:rFonts w:hint="eastAsia"/>
                </w:rPr>
                <w:t>股份支付是为了获取职工或其他方提供服务而授予权益工具或者承担以权益工具为基础确定的负债的交易。股份支付分为以权益结算的股份支付和以现金结算的股份支付。</w:t>
              </w:r>
            </w:p>
            <w:p>
              <w:pPr>
                <w:pStyle w:val="202"/>
                <w:widowControl w:val="0"/>
                <w:spacing w:line="360" w:lineRule="auto"/>
                <w:ind w:left="0" w:leftChars="0" w:firstLine="420" w:firstLineChars="200"/>
                <w:jc w:val="both"/>
              </w:pPr>
              <w:r>
                <w:rPr>
                  <w:rFonts w:hint="eastAsia"/>
                </w:rPr>
                <w:t>（1）以权益结算的股份支付</w:t>
              </w:r>
            </w:p>
            <w:p>
              <w:pPr>
                <w:pStyle w:val="202"/>
                <w:widowControl w:val="0"/>
                <w:spacing w:line="360" w:lineRule="auto"/>
                <w:ind w:left="0" w:leftChars="0" w:firstLine="420" w:firstLineChars="200"/>
                <w:jc w:val="both"/>
              </w:pPr>
              <w:r>
                <w:rPr>
                  <w:rFonts w:hint="eastAsia"/>
                </w:rPr>
                <w:t>用以换取职工提供的服务的权益结算的股份支付，以授予职工权益工具在授予日的公允价值计量。该公允价值的金额在完成等待期内的服务或达到规定业绩条件才可行权的情况下，在等待期内以对可行权权益工具数量的最佳估计为基础，按直线法计算计入相关成本或费用，在授予后立即可行权时，在授予日计入相关成本或费用，相应增加资本公积。</w:t>
              </w:r>
            </w:p>
            <w:p>
              <w:pPr>
                <w:pStyle w:val="202"/>
                <w:widowControl w:val="0"/>
                <w:spacing w:line="360" w:lineRule="auto"/>
                <w:ind w:left="0" w:leftChars="0" w:firstLine="420" w:firstLineChars="200"/>
                <w:jc w:val="both"/>
              </w:pPr>
              <w:r>
                <w:rPr>
                  <w:rFonts w:hint="eastAsia"/>
                </w:rPr>
                <w:t>用以换取其他方服务的权益结算的股份支付，如果其他方服务的公允价值能够可靠计量，按照其他方服务在取得日的公允价值计量，如果其他方服务的公允价值不能可靠计量，但权益工具的公允价值能够可靠计量的，按照权益工具在服务取得日的公允价值计量，计入相关成本或费用，相应增加股东权益。</w:t>
              </w:r>
            </w:p>
            <w:p>
              <w:pPr>
                <w:pStyle w:val="202"/>
                <w:widowControl w:val="0"/>
                <w:spacing w:line="360" w:lineRule="auto"/>
                <w:ind w:left="0" w:leftChars="0" w:firstLine="420" w:firstLineChars="200"/>
                <w:jc w:val="both"/>
              </w:pPr>
              <w:r>
                <w:rPr>
                  <w:rFonts w:hint="eastAsia"/>
                </w:rPr>
                <w:t>（2）以现金结算的股份支付</w:t>
              </w:r>
            </w:p>
            <w:p>
              <w:pPr>
                <w:pStyle w:val="202"/>
                <w:widowControl w:val="0"/>
                <w:spacing w:line="360" w:lineRule="auto"/>
                <w:ind w:left="0" w:leftChars="0" w:firstLine="420" w:firstLineChars="200"/>
                <w:jc w:val="both"/>
              </w:pPr>
              <w:r>
                <w:rPr>
                  <w:rFonts w:hint="eastAsia"/>
                </w:rPr>
                <w:t>以现金结算的股份支付，按照本公司承担的以股份或其他权益工具为基础确定的负债的公允价值计量。如授予后立即可行权，在授予日计入相关成本或费用，相应增加负债；如须完成等待期内的服务或达到规定业绩条件以后才可行权，在等待期的每个资产负债表日，以对可行权情况的最佳估计为基础，按照本公司承担负债的公允价值金额，将当期取得的服务计入成本或费用，相应增加负债。</w:t>
              </w:r>
            </w:p>
            <w:p>
              <w:pPr>
                <w:pStyle w:val="202"/>
                <w:widowControl w:val="0"/>
                <w:spacing w:line="360" w:lineRule="auto"/>
                <w:ind w:left="0" w:leftChars="0" w:firstLine="420" w:firstLineChars="200"/>
                <w:jc w:val="both"/>
              </w:pPr>
              <w:r>
                <w:rPr>
                  <w:rFonts w:hint="eastAsia"/>
                </w:rPr>
                <w:t>在相关负债结算前的每个资产负债表日以及结算日，对负债的公允价值重新计量，其变动计入当期损益。</w:t>
              </w:r>
            </w:p>
            <w:p>
              <w:pPr>
                <w:pStyle w:val="197"/>
                <w:widowControl w:val="0"/>
                <w:numPr>
                  <w:ilvl w:val="0"/>
                  <w:numId w:val="70"/>
                </w:numPr>
                <w:spacing w:line="360" w:lineRule="auto"/>
                <w:ind w:left="0" w:leftChars="0" w:firstLine="420" w:firstLineChars="200"/>
                <w:jc w:val="both"/>
                <w:outlineLvl w:val="3"/>
                <w:rPr>
                  <w:rFonts w:ascii="Arial Narrow" w:hAnsi="Arial Narrow"/>
                  <w:b/>
                </w:rPr>
              </w:pPr>
              <w:r>
                <w:rPr>
                  <w:rFonts w:hint="eastAsia"/>
                  <w:b/>
                </w:rPr>
                <w:t>实施、修改、终止股份支付计划的相关会计处理</w:t>
              </w:r>
            </w:p>
            <w:p>
              <w:pPr>
                <w:pStyle w:val="202"/>
                <w:widowControl w:val="0"/>
                <w:spacing w:line="360" w:lineRule="auto"/>
                <w:ind w:left="0" w:leftChars="0" w:firstLine="420" w:firstLineChars="200"/>
                <w:jc w:val="both"/>
              </w:pPr>
              <w:r>
                <w:rPr>
                  <w:rFonts w:hint="eastAsia"/>
                </w:rPr>
                <w:t>本公司对股份支付计划进行修改时，若修改增加了所授予权益工具的公允价值，按照权益工具公允价值的增加相应确认取得服务的增加。权益工具公允价值的增加是指修改前后的权益工具在修改日的公允价值之间的差额。若修改减少了股份支付公允价值总额或采用了其他不利于职工的方式，则仍继续对取得的服务进行会计处理，视同该变更从未发生，除非本公司取消了部分或全部已授予的权益工具。</w:t>
              </w:r>
            </w:p>
            <w:p>
              <w:pPr>
                <w:pStyle w:val="202"/>
                <w:widowControl w:val="0"/>
                <w:spacing w:line="360" w:lineRule="auto"/>
                <w:ind w:left="0" w:leftChars="0" w:firstLine="420" w:firstLineChars="200"/>
                <w:jc w:val="both"/>
              </w:pPr>
              <w:r>
                <w:rPr>
                  <w:rFonts w:hint="eastAsia"/>
                </w:rPr>
                <w:t>在等待期内，如果取消了授予的权益工具，本公司对取消所授予的权益性工具作为加速行权处理，将剩余等待期内应确认的金额立即计入当期损益，同时确认资本公积。职工或其他方能够选择满足非可行权条件但在等待期内未满足的，本公司将其作为授予权益工具的取消处理。</w:t>
              </w:r>
            </w:p>
          </w:sdtContent>
        </w:sdt>
      </w:sdtContent>
    </w:sdt>
    <w:p>
      <w:pPr>
        <w:rPr>
          <w:szCs w:val="21"/>
        </w:rPr>
      </w:pPr>
    </w:p>
    <w:sdt>
      <w:sdtPr>
        <w:rPr>
          <w:rFonts w:hint="eastAsia" w:asciiTheme="minorHAnsi" w:hAnsiTheme="minorHAnsi" w:cstheme="minorBidi"/>
          <w:b w:val="0"/>
          <w:bCs w:val="0"/>
          <w:kern w:val="0"/>
          <w:szCs w:val="22"/>
        </w:rPr>
        <w:alias w:val="模块:优先股、永续债"/>
        <w:tag w:val="_GBC_d3c9524999e647d78f354bb216cfb1aa"/>
        <w:id w:val="-248125513"/>
        <w:lock w:val="sdtLocked"/>
        <w:placeholder>
          <w:docPart w:val="GBC22222222222222222222222222222"/>
        </w:placeholder>
      </w:sdtPr>
      <w:sdtEndPr>
        <w:rPr>
          <w:rFonts w:hint="eastAsia" w:ascii="宋体" w:hAnsi="宋体" w:cs="Times New Roman"/>
          <w:b w:val="0"/>
          <w:bCs w:val="0"/>
          <w:kern w:val="0"/>
          <w:szCs w:val="21"/>
        </w:rPr>
      </w:sdtEndPr>
      <w:sdtContent>
        <w:p>
          <w:pPr>
            <w:pStyle w:val="114"/>
            <w:numPr>
              <w:ilvl w:val="0"/>
              <w:numId w:val="53"/>
            </w:numPr>
          </w:pPr>
          <w:r>
            <w:rPr>
              <w:rFonts w:hint="eastAsia"/>
            </w:rPr>
            <w:t>优先股、永续债等其他金融工具</w:t>
          </w:r>
        </w:p>
        <w:sdt>
          <w:sdtPr>
            <w:rPr>
              <w:rFonts w:hint="eastAsia"/>
              <w:szCs w:val="21"/>
            </w:rPr>
            <w:alias w:val="是否适用：优先股、永续债等其他金融工具[双击切换]"/>
            <w:tag w:val="_GBC_00e1aed4ff2c40d6bda73971e87d6eb8"/>
            <w:id w:val="-139348806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收入确认和计量所采用的会计政策"/>
        <w:tag w:val="_SEC_61f33e672a394985bb61a08db1fab3a1"/>
        <w:id w:val="470645667"/>
        <w:lock w:val="sdtLocked"/>
        <w:placeholder>
          <w:docPart w:val="GBC22222222222222222222222222222"/>
        </w:placeholder>
      </w:sdtPr>
      <w:sdtEndPr>
        <w:rPr>
          <w:rFonts w:hint="default" w:ascii="宋体" w:hAnsi="Courier New" w:cs="Times New Roman"/>
          <w:b w:val="0"/>
          <w:bCs w:val="0"/>
          <w:kern w:val="2"/>
          <w:szCs w:val="21"/>
        </w:rPr>
      </w:sdtEndPr>
      <w:sdtContent>
        <w:p>
          <w:pPr>
            <w:pStyle w:val="114"/>
            <w:numPr>
              <w:ilvl w:val="0"/>
              <w:numId w:val="53"/>
            </w:numPr>
            <w:rPr>
              <w:szCs w:val="21"/>
            </w:rPr>
          </w:pPr>
          <w:bookmarkStart w:id="135" w:name="_Hlk533668053"/>
          <w:r>
            <w:rPr>
              <w:rFonts w:hint="eastAsia"/>
              <w:szCs w:val="21"/>
            </w:rPr>
            <w:t>收入</w:t>
          </w:r>
        </w:p>
        <w:p>
          <w:pPr>
            <w:pStyle w:val="115"/>
            <w:numPr>
              <w:ilvl w:val="3"/>
              <w:numId w:val="71"/>
            </w:numPr>
            <w:ind w:left="426" w:hanging="426"/>
            <w:rPr>
              <w:szCs w:val="21"/>
            </w:rPr>
          </w:pPr>
          <w:r>
            <w:rPr>
              <w:rFonts w:hint="eastAsia"/>
              <w:szCs w:val="21"/>
            </w:rPr>
            <w:t>收入确认和计量所采用的会计政策</w:t>
          </w:r>
        </w:p>
        <w:sdt>
          <w:sdtPr>
            <w:rPr>
              <w:szCs w:val="21"/>
            </w:rPr>
            <w:alias w:val="是否适用：收入确认和计量所采用的会计政策[双击切换]"/>
            <w:tag w:val="_GBC_58b9f76eca7b4d9d8e5c5dfd0fba5c09"/>
            <w:id w:val="-80824015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Ansi="Courier New"/>
              <w:szCs w:val="20"/>
            </w:rPr>
            <w:alias w:val="收入确认和计量所采用的会计政策"/>
            <w:tag w:val="_GBC_9ba2713a8f0a44ef9a4ee890aa13e0fb"/>
            <w:id w:val="1736741167"/>
            <w:lock w:val="sdtLocked"/>
            <w:placeholder>
              <w:docPart w:val="GBC22222222222222222222222222222"/>
            </w:placeholder>
          </w:sdtPr>
          <w:sdtEndPr>
            <w:rPr>
              <w:rFonts w:hAnsi="Courier New" w:cs="宋体"/>
              <w:kern w:val="0"/>
              <w:szCs w:val="20"/>
            </w:rPr>
          </w:sdtEndPr>
          <w:sdtContent>
            <w:p>
              <w:pPr>
                <w:pStyle w:val="202"/>
                <w:widowControl w:val="0"/>
                <w:spacing w:line="360" w:lineRule="auto"/>
                <w:ind w:left="0" w:leftChars="0" w:firstLine="420" w:firstLineChars="200"/>
                <w:jc w:val="both"/>
              </w:pPr>
              <w:r>
                <w:rPr>
                  <w:rFonts w:hint="eastAsia"/>
                </w:rPr>
                <w:t>本公司在履行了合同中的履约义务，即在客户取得相关商品或服务控制权时，按照分摊至该项履约义务的交易价格确认收入。</w:t>
              </w:r>
            </w:p>
            <w:p>
              <w:pPr>
                <w:widowControl w:val="0"/>
                <w:spacing w:line="360" w:lineRule="auto"/>
                <w:ind w:firstLine="420" w:firstLineChars="200"/>
                <w:jc w:val="both"/>
              </w:pPr>
              <w:r>
                <w:rPr>
                  <w:rFonts w:hint="eastAsia"/>
                </w:rPr>
                <w:t>合同中包含两项或多项履约义务的，本公司在合同开始日，按照各单项履约义务所承诺商品或服务的单独售价的相对比例，将交易价格分摊至各单项履约义务。对于附有质量保证条款的销售，如果该质量保证在向客户保证所销售商品或服务符合既定标准之外提供了一项单独的服务，该质量保证构成单项履约义务。否则，本公司按照《企业会计准则第13号——或有事项》规定对质量保证责任进行会计处理。</w:t>
              </w:r>
            </w:p>
            <w:p>
              <w:pPr>
                <w:widowControl w:val="0"/>
                <w:spacing w:line="360" w:lineRule="auto"/>
                <w:ind w:firstLine="420" w:firstLineChars="200"/>
                <w:jc w:val="both"/>
              </w:pPr>
              <w:r>
                <w:rPr>
                  <w:rFonts w:hint="eastAsia"/>
                </w:rPr>
                <w:t>交易价格，是指本公司因向客户转让商品或服务而预期有权收取的对价金额，但不包含代第三方收取的款项以及本公司预期将退还给客户的款项。合同中存在可变对价的，本公司按照期望值或最可能发生金额确定可变对价的最佳估计数。包含可变对价的交易价格，不超过在相关不确定性消除时累计已确认收入极可能不会发生重大转回的金额。合同中存在应付客户对价的，除非该对价是为了向客户取得其他可明确区分商品或服务的，本公司将该应付对价冲减交易价格，并在确认相关收入与支付(或承诺支付)客户对价二者孰晚的时点冲减当期收入。合同中如果存在重大融资成分，本公司将根据合同中的融资成分调整交易价格；对于控制权转移与客户支付价款间隔未超过一年的，本公司不考虑其中的融资成分。</w:t>
              </w:r>
            </w:p>
            <w:p>
              <w:pPr>
                <w:widowControl w:val="0"/>
                <w:spacing w:line="360" w:lineRule="auto"/>
                <w:ind w:firstLine="420" w:firstLineChars="200"/>
                <w:jc w:val="both"/>
              </w:pPr>
              <w:r>
                <w:rPr>
                  <w:rFonts w:hint="eastAsia"/>
                </w:rPr>
                <w:t>本公司根据在向客户转让商品或服务前是否拥有对该商品或服务的控制权，来判断从事交易时本公司的身份是主要责任人还是代理人。本公司在向客户转让商品或服务前能够控制该商品或服务的，本公司为主要责任人，按照已收或应收对价总额确认收入；否则，本公司为代理人，按照预期有权收取的佣金或手续费的金额确认收入，该金额按照已收或应收对价总额扣除应支付给其他相关方的价款后的净额确定。</w:t>
              </w:r>
            </w:p>
            <w:p>
              <w:pPr>
                <w:widowControl w:val="0"/>
                <w:spacing w:line="360" w:lineRule="auto"/>
                <w:ind w:firstLine="420" w:firstLineChars="200"/>
                <w:jc w:val="both"/>
                <w:rPr>
                  <w:rFonts w:ascii="Arial Narrow" w:hAnsi="Arial Narrow"/>
                </w:rPr>
              </w:pPr>
              <w:r>
                <w:t>本公司收入主要来源于销售汽车、摩托车、发动机</w:t>
              </w:r>
              <w:r>
                <w:rPr>
                  <w:rFonts w:hint="eastAsia"/>
                </w:rPr>
                <w:t>、商品房</w:t>
              </w:r>
              <w:r>
                <w:t>等产品。公司与客户之间的商品销售合同通常仅包含转让汽车、摩托车、发动机</w:t>
              </w:r>
              <w:r>
                <w:rPr>
                  <w:rFonts w:hint="eastAsia"/>
                </w:rPr>
                <w:t>、商品房</w:t>
              </w:r>
              <w:r>
                <w:t>等产品的单项履约义务。本公司通常在综合考虑了下列因素的基础上以货物控制权转移给购买方时确认收入。</w:t>
              </w:r>
            </w:p>
            <w:p>
              <w:pPr>
                <w:pStyle w:val="129"/>
                <w:adjustRightInd w:val="0"/>
                <w:snapToGrid w:val="0"/>
                <w:spacing w:line="360" w:lineRule="auto"/>
                <w:ind w:firstLine="420" w:firstLineChars="200"/>
                <w:rPr>
                  <w:rFonts w:ascii="Arial Narrow" w:hAnsi="Arial Narrow"/>
                </w:rPr>
              </w:pPr>
              <w:r>
                <w:rPr>
                  <w:rFonts w:hAnsi="宋体"/>
                </w:rPr>
                <w:t>内销产品收入确认需满足以下条件：公司已根据合同约定将产品交付给购货方，取得商品的现时收款权利、商品所有权上的主要风险和报酬的转移、商品的法定所有权的转移。外销产品收入确认需满足以下条件：公司已根据合同约定将产品报关、离港，取得</w:t>
              </w:r>
              <w:r>
                <w:rPr>
                  <w:rFonts w:ascii="Arial Narrow" w:hAnsi="Arial Narrow"/>
                </w:rPr>
                <w:t>报关单</w:t>
              </w:r>
              <w:r>
                <w:rPr>
                  <w:rFonts w:hAnsi="宋体"/>
                </w:rPr>
                <w:t>，取得商品的现时收款权利、商品所有权上的主要风险和报酬的转移、商品的法定所有权的转移。</w:t>
              </w:r>
              <w:r>
                <w:rPr>
                  <w:rFonts w:hint="eastAsia" w:hAnsi="宋体"/>
                </w:rPr>
                <w:t>商品房收入确认需满足以下条件：房地产开发项目已经竣工并验收合格，达到合同约定的完工开发产品移交条件；已按合同约定办理完开发产品的实物移交手续，客户取得商品房的控制权。</w:t>
              </w:r>
            </w:p>
          </w:sdtContent>
        </w:sdt>
      </w:sdtContent>
    </w:sdt>
    <w:bookmarkEnd w:id="135"/>
    <w:sdt>
      <w:sdtPr>
        <w:rPr>
          <w:rFonts w:hint="eastAsia" w:ascii="宋体" w:hAnsi="宋体" w:eastAsia="宋体" w:cs="宋体"/>
          <w:b w:val="0"/>
          <w:bCs w:val="0"/>
          <w:kern w:val="0"/>
          <w:szCs w:val="21"/>
        </w:rPr>
        <w:alias w:val="模块:同类业务采用不同经营模式导致收入确认会计政策存在差异的情况"/>
        <w:tag w:val="_SEC_502969bc54cf47dd9cfa68a9ddc4e556"/>
        <w:id w:val="-691617053"/>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3"/>
              <w:numId w:val="71"/>
            </w:numPr>
            <w:ind w:left="426" w:hanging="426"/>
            <w:rPr>
              <w:szCs w:val="21"/>
            </w:rPr>
          </w:pPr>
          <w:bookmarkStart w:id="136" w:name="_Hlk533668087"/>
          <w:r>
            <w:rPr>
              <w:rFonts w:hint="eastAsia" w:ascii="宋体" w:hAnsi="宋体" w:eastAsia="宋体" w:cs="宋体"/>
              <w:bCs w:val="0"/>
              <w:kern w:val="0"/>
              <w:szCs w:val="21"/>
            </w:rPr>
            <w:t>同类业务采用不同经营模式导致收入确认会计政策存在差异的情况</w:t>
          </w:r>
        </w:p>
        <w:sdt>
          <w:sdtPr>
            <w:rPr>
              <w:szCs w:val="21"/>
            </w:rPr>
            <w:alias w:val="是否适用：同类业务采用不同经营模式导致收入确认会计政策存在差异的情况[双击切换]"/>
            <w:tag w:val="_GBC_778cfed951bb4cf4997e2d67e4b1e3a9"/>
            <w:id w:val="179324558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36"/>
    <w:sdt>
      <w:sdtPr>
        <w:rPr>
          <w:rFonts w:hint="eastAsia" w:ascii="宋体" w:hAnsi="宋体" w:cs="宋体"/>
          <w:b w:val="0"/>
          <w:bCs w:val="0"/>
          <w:kern w:val="0"/>
          <w:szCs w:val="21"/>
        </w:rPr>
        <w:alias w:val="模块:合同成本"/>
        <w:tag w:val="_SEC_27ff142af5d04d4aac9aad3af48e3716"/>
        <w:id w:val="473574852"/>
        <w:lock w:val="sdtLocked"/>
        <w:placeholder>
          <w:docPart w:val="GBC22222222222222222222222222222"/>
        </w:placeholder>
      </w:sdtPr>
      <w:sdtEndPr>
        <w:rPr>
          <w:rFonts w:hint="default" w:ascii="宋体" w:hAnsi="宋体" w:cs="Times New Roman"/>
          <w:b w:val="0"/>
          <w:bCs w:val="0"/>
          <w:kern w:val="2"/>
          <w:szCs w:val="21"/>
        </w:rPr>
      </w:sdtEndPr>
      <w:sdtContent>
        <w:p>
          <w:pPr>
            <w:pStyle w:val="114"/>
            <w:numPr>
              <w:ilvl w:val="0"/>
              <w:numId w:val="53"/>
            </w:numPr>
            <w:rPr>
              <w:szCs w:val="21"/>
            </w:rPr>
          </w:pPr>
          <w:bookmarkStart w:id="137" w:name="_Hlk533668133"/>
          <w:r>
            <w:rPr>
              <w:rFonts w:hint="eastAsia"/>
              <w:szCs w:val="21"/>
            </w:rPr>
            <w:t>合同成本</w:t>
          </w:r>
        </w:p>
        <w:sdt>
          <w:sdtPr>
            <w:alias w:val="是否适用：合同成本_重要会计政策和估计[双击切换]"/>
            <w:tag w:val="_GBC_c5b4accd569d48e8a81ed05eb0bf64fb"/>
            <w:id w:val="-73879278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b w:val="0"/>
              <w:bCs w:val="0"/>
            </w:rPr>
            <w:alias w:val="合同成本_重要会计政策和估计"/>
            <w:tag w:val="_GBC_74258d199b3d4540b8df00b35751b505"/>
            <w:id w:val="1944421355"/>
            <w:lock w:val="sdtLocked"/>
            <w:placeholder>
              <w:docPart w:val="GBC22222222222222222222222222222"/>
            </w:placeholder>
          </w:sdtPr>
          <w:sdtEndPr>
            <w:rPr>
              <w:rFonts w:cs="宋体"/>
              <w:b w:val="0"/>
              <w:bCs w:val="0"/>
              <w:kern w:val="0"/>
              <w:szCs w:val="24"/>
            </w:rPr>
          </w:sdtEndPr>
          <w:sdtContent>
            <w:p>
              <w:pPr>
                <w:pStyle w:val="281"/>
                <w:widowControl w:val="0"/>
                <w:numPr>
                  <w:ilvl w:val="2"/>
                  <w:numId w:val="72"/>
                </w:numPr>
                <w:tabs>
                  <w:tab w:val="clear" w:pos="1273"/>
                </w:tabs>
                <w:spacing w:line="360" w:lineRule="auto"/>
                <w:ind w:left="0" w:leftChars="0" w:firstLine="420" w:firstLineChars="200"/>
                <w:jc w:val="both"/>
                <w:outlineLvl w:val="3"/>
                <w:rPr>
                  <w:rFonts w:ascii="Arial Narrow" w:hAnsi="Arial Narrow"/>
                </w:rPr>
              </w:pPr>
              <w:r>
                <w:rPr>
                  <w:rFonts w:hint="eastAsia" w:ascii="Arial Narrow" w:hAnsi="Arial Narrow"/>
                </w:rPr>
                <w:t>取得合同的成本</w:t>
              </w:r>
            </w:p>
            <w:p>
              <w:pPr>
                <w:pStyle w:val="282"/>
                <w:widowControl w:val="0"/>
                <w:tabs>
                  <w:tab w:val="left" w:pos="196"/>
                  <w:tab w:val="left" w:pos="426"/>
                </w:tabs>
                <w:spacing w:line="360" w:lineRule="auto"/>
                <w:ind w:left="0" w:leftChars="0" w:firstLine="420" w:firstLineChars="200"/>
                <w:jc w:val="both"/>
              </w:pPr>
              <w:r>
                <w:rPr>
                  <w:rFonts w:hint="eastAsia"/>
                </w:rPr>
                <w:t>本公司为取得合同发生的增量成本(即不取得合同就不会发生的成本)预期能够收回的，确认为一项资产，并采用与该资产相关的商品或服务收入确认相同的基础进行推销，计入当期损益。若该项资产摊销期限不超过一年的，在发生时计入当期损益。本公司为取得合同发生的其他支出，在发生时计入当期损益，明确由客户承担的除外。</w:t>
              </w:r>
            </w:p>
            <w:p>
              <w:pPr>
                <w:pStyle w:val="281"/>
                <w:widowControl w:val="0"/>
                <w:numPr>
                  <w:ilvl w:val="2"/>
                  <w:numId w:val="72"/>
                </w:numPr>
                <w:tabs>
                  <w:tab w:val="clear" w:pos="1273"/>
                </w:tabs>
                <w:spacing w:line="360" w:lineRule="auto"/>
                <w:ind w:left="0" w:leftChars="0" w:firstLine="420" w:firstLineChars="200"/>
                <w:jc w:val="both"/>
                <w:outlineLvl w:val="3"/>
                <w:rPr>
                  <w:rFonts w:ascii="Arial Narrow" w:hAnsi="Arial Narrow"/>
                </w:rPr>
              </w:pPr>
              <w:r>
                <w:rPr>
                  <w:rFonts w:hint="eastAsia" w:ascii="Arial Narrow" w:hAnsi="Arial Narrow"/>
                </w:rPr>
                <w:t>履行合同的成本</w:t>
              </w:r>
            </w:p>
            <w:p>
              <w:pPr>
                <w:pStyle w:val="282"/>
                <w:widowControl w:val="0"/>
                <w:tabs>
                  <w:tab w:val="left" w:pos="196"/>
                  <w:tab w:val="left" w:pos="426"/>
                </w:tabs>
                <w:spacing w:line="360" w:lineRule="auto"/>
                <w:ind w:left="0" w:leftChars="0" w:firstLine="420" w:firstLineChars="200"/>
                <w:jc w:val="both"/>
              </w:pPr>
              <w:r>
                <w:rPr>
                  <w:rFonts w:hint="eastAsia"/>
                </w:rPr>
                <w:t>本公司为履行合同发生的成本，不属于除收入准则外的其他企业会计准则范围且同时满足下列条件的，确认为一项资产：（1）该成本与一份当前或预期取得的合同直接相关；（2）该成本增加了本公司未来用于履行履约义务的资源；（3）该成本预期能够收回。确认的资产采用与该资产相关的商品或服务收入确认相同的基础进行摊销，计入当期损益。</w:t>
              </w:r>
            </w:p>
            <w:p>
              <w:pPr>
                <w:pStyle w:val="281"/>
                <w:widowControl w:val="0"/>
                <w:numPr>
                  <w:ilvl w:val="2"/>
                  <w:numId w:val="72"/>
                </w:numPr>
                <w:tabs>
                  <w:tab w:val="clear" w:pos="1273"/>
                </w:tabs>
                <w:spacing w:line="360" w:lineRule="auto"/>
                <w:ind w:left="0" w:leftChars="0" w:firstLine="420" w:firstLineChars="200"/>
                <w:jc w:val="both"/>
                <w:outlineLvl w:val="3"/>
                <w:rPr>
                  <w:rFonts w:ascii="Arial Narrow" w:hAnsi="Arial Narrow"/>
                </w:rPr>
              </w:pPr>
              <w:r>
                <w:rPr>
                  <w:rFonts w:hint="eastAsia" w:ascii="Arial Narrow" w:hAnsi="Arial Narrow"/>
                </w:rPr>
                <w:t>合同成本减值</w:t>
              </w:r>
            </w:p>
            <w:p>
              <w:pPr>
                <w:pStyle w:val="282"/>
                <w:widowControl w:val="0"/>
                <w:tabs>
                  <w:tab w:val="left" w:pos="196"/>
                  <w:tab w:val="left" w:pos="426"/>
                </w:tabs>
                <w:spacing w:line="360" w:lineRule="auto"/>
                <w:ind w:left="0" w:leftChars="0" w:firstLine="420" w:firstLineChars="200"/>
                <w:jc w:val="both"/>
                <w:rPr>
                  <w:rFonts w:ascii="Times New Roman"/>
                </w:rPr>
              </w:pPr>
              <w:r>
                <w:rPr>
                  <w:rFonts w:hint="eastAsia" w:ascii="Times New Roman"/>
                </w:rPr>
                <w:t>合同成本账面价值高于下列两项的差额的，计提减值准备，并确认为资产减值损失：（1）因转让与该资产相关的商品预期能够取得的剩余对价；（2）为转让该相关商品估计将要发生的成本。</w:t>
              </w:r>
            </w:p>
            <w:p>
              <w:pPr>
                <w:pStyle w:val="282"/>
                <w:widowControl w:val="0"/>
                <w:tabs>
                  <w:tab w:val="left" w:pos="196"/>
                  <w:tab w:val="left" w:pos="426"/>
                </w:tabs>
                <w:spacing w:line="360" w:lineRule="auto"/>
                <w:ind w:left="0" w:leftChars="0" w:firstLine="420" w:firstLineChars="200"/>
                <w:jc w:val="both"/>
                <w:rPr>
                  <w:rFonts w:ascii="Times New Roman"/>
                </w:rPr>
              </w:pPr>
              <w:r>
                <w:rPr>
                  <w:rFonts w:hint="eastAsia" w:ascii="Times New Roman"/>
                </w:rPr>
                <w:t>以前期间减值的因素之后发生变化，使得前款（1）减（2）的差额高于合同成本账面价值的，应当转回原已计提的资产减值准备，并计入当期损益，但转回后的合同成本账面价值不应超过假定不计提减值准备情况下该资产在转回日的账面价值。</w:t>
              </w:r>
            </w:p>
          </w:sdtContent>
        </w:sdt>
      </w:sdtContent>
    </w:sdt>
    <w:bookmarkEnd w:id="137"/>
    <w:sdt>
      <w:sdtPr>
        <w:rPr>
          <w:rFonts w:ascii="宋体" w:hAnsi="宋体" w:cs="宋体"/>
          <w:b w:val="0"/>
          <w:bCs w:val="0"/>
          <w:kern w:val="0"/>
          <w:szCs w:val="24"/>
        </w:rPr>
        <w:alias w:val="模块:政府补助会计处理方法"/>
        <w:tag w:val="_GBC_b03bd816e50b42ae97b660897ca33234"/>
        <w:id w:val="672452678"/>
        <w:lock w:val="sdtLocked"/>
        <w:placeholder>
          <w:docPart w:val="GBC22222222222222222222222222222"/>
        </w:placeholder>
      </w:sdtPr>
      <w:sdtEndPr>
        <w:rPr>
          <w:rFonts w:ascii="宋体" w:hAnsi="宋体" w:cs="Times New Roman"/>
          <w:b/>
          <w:bCs/>
          <w:kern w:val="2"/>
          <w:szCs w:val="21"/>
        </w:rPr>
      </w:sdtEndPr>
      <w:sdtContent>
        <w:p>
          <w:pPr>
            <w:pStyle w:val="114"/>
            <w:numPr>
              <w:ilvl w:val="0"/>
              <w:numId w:val="53"/>
            </w:numPr>
          </w:pPr>
          <w:bookmarkStart w:id="138" w:name="_Hlk533668149"/>
          <w:r>
            <w:t>政府补助</w:t>
          </w:r>
        </w:p>
        <w:sdt>
          <w:sdtPr>
            <w:alias w:val="是否适用：政府补助_重要会计政策和估计[双击切换]"/>
            <w:tag w:val="_GBC_d8ac76c6a68c49fb952fadc0e46c9ef4"/>
            <w:id w:val="2606674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rPr>
            <w:alias w:val="政府补助_重要会计政策和估计"/>
            <w:tag w:val="_GBC_cbcbe4da2edd4cf1b6108f1c89e035f7"/>
            <w:id w:val="-1647353803"/>
            <w:lock w:val="sdtLocked"/>
            <w:placeholder>
              <w:docPart w:val="GBC22222222222222222222222222222"/>
            </w:placeholder>
          </w:sdtPr>
          <w:sdtEndPr>
            <w:rPr>
              <w:rFonts w:ascii="宋体" w:hAnsi="宋体"/>
            </w:rPr>
          </w:sdtEndPr>
          <w:sdtContent>
            <w:p>
              <w:pPr>
                <w:pStyle w:val="203"/>
                <w:adjustRightInd w:val="0"/>
                <w:snapToGrid w:val="0"/>
                <w:spacing w:line="360" w:lineRule="auto"/>
                <w:rPr>
                  <w:rFonts w:ascii="宋体" w:hAnsi="宋体"/>
                </w:rPr>
              </w:pPr>
              <w:r>
                <w:rPr>
                  <w:rFonts w:hint="eastAsia" w:ascii="宋体" w:hAnsi="宋体"/>
                </w:rPr>
                <w:t>政府补助是指本公司从政府无偿取得货币性资产和非货币性资产，不包括政府作为所有者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项目的，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w:t>
              </w:r>
            </w:p>
            <w:p>
              <w:pPr>
                <w:pStyle w:val="203"/>
                <w:adjustRightInd w:val="0"/>
                <w:snapToGrid w:val="0"/>
                <w:spacing w:line="360" w:lineRule="auto"/>
                <w:rPr>
                  <w:rFonts w:ascii="宋体" w:hAnsi="宋体"/>
                </w:rPr>
              </w:pPr>
              <w:r>
                <w:rPr>
                  <w:rFonts w:hint="eastAsia" w:ascii="宋体" w:hAnsi="宋体"/>
                </w:rPr>
                <w:t>政府补助为货币性资产的，按照收到或应收的金额计量。政府补助为非货币性资产的，按照公允价值计量；公允价值不能够可靠取得的，按照名义金额计量。</w:t>
              </w:r>
            </w:p>
            <w:p>
              <w:pPr>
                <w:adjustRightInd w:val="0"/>
                <w:snapToGrid w:val="0"/>
                <w:spacing w:line="360" w:lineRule="auto"/>
                <w:ind w:firstLine="420" w:firstLineChars="200"/>
              </w:pPr>
              <w:r>
                <w:rPr>
                  <w:rFonts w:hint="eastAsia"/>
                </w:rPr>
                <w:t>政府补助同时满足下列条件的，予以确认：（1）企业能够满足政府补助所附条件；（2）企业能够收到政府补助。与企业日常活动相关的政府补助，按照经济业务实质，计入其他收益或冲减相关成本费用。与企业日常活动无关的政府补助，计入营业外收入。</w:t>
              </w:r>
            </w:p>
            <w:p>
              <w:pPr>
                <w:adjustRightInd w:val="0"/>
                <w:snapToGrid w:val="0"/>
                <w:spacing w:line="360" w:lineRule="auto"/>
                <w:ind w:firstLine="420" w:firstLineChars="200"/>
              </w:pPr>
              <w:r>
                <w:rPr>
                  <w:rFonts w:hint="eastAsia"/>
                </w:rPr>
                <w:t>与收益相关的政府补助，用于补偿企业以后期间的相关成本费用或损失的，确认为递延收益，并在确认相关成本费用或损失的期间，计入当期损益或冲减相关成本；用于补偿企业已发生的相关成本费用或损失的，直接计入当期损益或冲减相关成本。</w:t>
              </w:r>
            </w:p>
            <w:p>
              <w:pPr>
                <w:pStyle w:val="202"/>
                <w:widowControl w:val="0"/>
                <w:spacing w:line="360" w:lineRule="auto"/>
                <w:ind w:left="0" w:leftChars="0" w:firstLine="420" w:firstLineChars="200"/>
                <w:jc w:val="both"/>
                <w:rPr>
                  <w:rFonts w:ascii="Times New Roman"/>
                </w:rPr>
              </w:pPr>
              <w:r>
                <w:rPr>
                  <w:rFonts w:hint="eastAsia"/>
                </w:rPr>
                <w:t>与资产相关的政府补助，确认为递延收益或冲减相关资产的账面价值。递延收益在相关资产使用寿命内按照资产使用寿命平均分配方法分期计入损益。按照名义金额计量的政府补助，直接计入当期损益。 相关资产在使用寿命结束前被出售、转让、报废或发生毁损的，应当将尚未分配的相关递延收益余额转入资产处置当期的损益。</w:t>
              </w:r>
            </w:p>
          </w:sdtContent>
        </w:sdt>
      </w:sdtContent>
    </w:sdt>
    <w:bookmarkEnd w:id="138"/>
    <w:sdt>
      <w:sdtPr>
        <w:rPr>
          <w:rFonts w:cs="宋体" w:asciiTheme="minorHAnsi" w:hAnsiTheme="minorHAnsi"/>
          <w:b w:val="0"/>
          <w:bCs w:val="0"/>
          <w:kern w:val="0"/>
          <w:szCs w:val="22"/>
        </w:rPr>
        <w:alias w:val="模块:递延所得税资产/递延所得税负债会计处理方法"/>
        <w:tag w:val="_GBC_01f1973e44f24cd99b90200f8205be13"/>
        <w:id w:val="-1934503346"/>
        <w:lock w:val="sdtLocked"/>
        <w:placeholder>
          <w:docPart w:val="GBC22222222222222222222222222222"/>
        </w:placeholder>
      </w:sdtPr>
      <w:sdtEndPr>
        <w:rPr>
          <w:rFonts w:hint="eastAsia" w:ascii="宋体" w:hAnsi="Courier New" w:cs="Times New Roman"/>
          <w:b w:val="0"/>
          <w:bCs w:val="0"/>
          <w:kern w:val="2"/>
          <w:szCs w:val="21"/>
        </w:rPr>
      </w:sdtEndPr>
      <w:sdtContent>
        <w:p>
          <w:pPr>
            <w:pStyle w:val="114"/>
            <w:numPr>
              <w:ilvl w:val="0"/>
              <w:numId w:val="53"/>
            </w:numPr>
          </w:pPr>
          <w:r>
            <w:t>递延所得税资产/递延所得税负债</w:t>
          </w:r>
        </w:p>
        <w:sdt>
          <w:sdtPr>
            <w:rPr>
              <w:rFonts w:hint="eastAsia"/>
              <w:szCs w:val="21"/>
            </w:rPr>
            <w:alias w:val="是否适用：所得税的会计处理方法[双击切换]"/>
            <w:tag w:val="_GBC_7e8295f4559b44568e5d37a6a605588c"/>
            <w:id w:val="83064549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所得税的会计处理方法"/>
            <w:tag w:val="_GBC_545dd84ed2b9458fa5e2b87aa1e1cc1c"/>
            <w:id w:val="-1469514321"/>
            <w:lock w:val="sdtLocked"/>
            <w:placeholder>
              <w:docPart w:val="GBC22222222222222222222222222222"/>
            </w:placeholder>
          </w:sdtPr>
          <w:sdtEndPr>
            <w:rPr>
              <w:rFonts w:hint="eastAsia"/>
              <w:szCs w:val="21"/>
            </w:rPr>
          </w:sdtEndPr>
          <w:sdtContent>
            <w:p>
              <w:pPr>
                <w:pStyle w:val="129"/>
                <w:adjustRightInd w:val="0"/>
                <w:snapToGrid w:val="0"/>
                <w:spacing w:line="360" w:lineRule="auto"/>
                <w:ind w:firstLine="420" w:firstLineChars="200"/>
                <w:rPr>
                  <w:rFonts w:hAnsi="宋体"/>
                </w:rPr>
              </w:pPr>
              <w:r>
                <w:rPr>
                  <w:rFonts w:hint="eastAsia" w:hAnsi="宋体"/>
                </w:rPr>
                <w:t>除与直接计入股东权益的交易或事项有关的所得税影响计入股东权益外，当期所得税费用和递延所得税费用（或收益）计入当期损益。</w:t>
              </w:r>
            </w:p>
            <w:p>
              <w:pPr>
                <w:pStyle w:val="129"/>
                <w:adjustRightInd w:val="0"/>
                <w:snapToGrid w:val="0"/>
                <w:spacing w:line="360" w:lineRule="auto"/>
                <w:ind w:firstLine="420" w:firstLineChars="200"/>
                <w:rPr>
                  <w:rFonts w:hAnsi="宋体"/>
                </w:rPr>
              </w:pPr>
              <w:r>
                <w:rPr>
                  <w:rFonts w:hint="eastAsia" w:hAnsi="宋体"/>
                </w:rPr>
                <w:t>当期所得税费用是按本年度应纳税所得额和税法规定的税率计算的预期应交所得税，加上对以前年度应交所得税的调整。</w:t>
              </w:r>
            </w:p>
            <w:p>
              <w:pPr>
                <w:pStyle w:val="129"/>
                <w:adjustRightInd w:val="0"/>
                <w:snapToGrid w:val="0"/>
                <w:spacing w:line="360" w:lineRule="auto"/>
                <w:ind w:firstLine="420" w:firstLineChars="200"/>
                <w:rPr>
                  <w:rFonts w:hAnsi="宋体"/>
                </w:rPr>
              </w:pPr>
              <w:r>
                <w:rPr>
                  <w:rFonts w:hint="eastAsia" w:hAnsi="宋体"/>
                </w:rPr>
                <w:t>资产负债表日，如果纳税主体拥有以净额结算的法定权利并且意图以净额结算或取得资产、清偿负债同时进行时，那么当期所得税资产及当期所得税负债以抵销后的净额列示。</w:t>
              </w:r>
            </w:p>
            <w:p>
              <w:pPr>
                <w:pStyle w:val="129"/>
                <w:adjustRightInd w:val="0"/>
                <w:snapToGrid w:val="0"/>
                <w:spacing w:line="360" w:lineRule="auto"/>
                <w:ind w:firstLine="420" w:firstLineChars="200"/>
                <w:rPr>
                  <w:rFonts w:hAnsi="宋体"/>
                </w:rPr>
              </w:pPr>
              <w:r>
                <w:rPr>
                  <w:rFonts w:hint="eastAsia" w:hAnsi="宋体"/>
                </w:rPr>
                <w:t>递延所得税资产以很可能取得用来抵扣暂时性差异的应纳税所得额为限，根据可抵扣暂时性差异和能够结转以后年度的可抵扣亏损和税款抵减确定，按照预期收回资产或清偿债务期间的适用税率计量。递延所得税负债根据应纳税暂时性差异确定，按照预期收回资产或清偿债务期间的适用税率计量。</w:t>
              </w:r>
            </w:p>
            <w:p>
              <w:pPr>
                <w:pStyle w:val="129"/>
                <w:adjustRightInd w:val="0"/>
                <w:snapToGrid w:val="0"/>
                <w:spacing w:line="360" w:lineRule="auto"/>
                <w:ind w:firstLine="420" w:firstLineChars="200"/>
                <w:rPr>
                  <w:rFonts w:hAnsi="宋体"/>
                </w:rPr>
              </w:pPr>
              <w:r>
                <w:rPr>
                  <w:rFonts w:hint="eastAsia" w:hAnsi="宋体"/>
                </w:rPr>
                <w:t>对于既不影响会计利润也不影响应纳税所得额（或可抵扣亏损）的非企业合并交易中产生的资产或负债初始确认形成的暂时性差异，不确认递延所得税。商誉的初始确认导致的暂时性差异也不产生递延所得税。</w:t>
              </w:r>
            </w:p>
            <w:p>
              <w:pPr>
                <w:pStyle w:val="129"/>
                <w:adjustRightInd w:val="0"/>
                <w:snapToGrid w:val="0"/>
                <w:spacing w:line="360" w:lineRule="auto"/>
                <w:ind w:firstLine="420" w:firstLineChars="200"/>
                <w:rPr>
                  <w:rFonts w:hAnsi="宋体"/>
                </w:rPr>
              </w:pPr>
              <w:r>
                <w:rPr>
                  <w:rFonts w:hint="eastAsia" w:hAnsi="宋体"/>
                </w:rPr>
                <w:t>资产负债表日，根据递延所得税资产和负债的预期收回或结算方式，依据已颁布的税法规定，按照预期收回该资产或清偿该负债期间的适用税率计量该递延所得税资产和负债的账面金额。</w:t>
              </w:r>
            </w:p>
            <w:p>
              <w:pPr>
                <w:pStyle w:val="129"/>
                <w:adjustRightInd w:val="0"/>
                <w:snapToGrid w:val="0"/>
                <w:spacing w:line="360" w:lineRule="auto"/>
                <w:ind w:firstLine="420" w:firstLineChars="200"/>
                <w:rPr>
                  <w:rFonts w:hAnsi="宋体"/>
                </w:rPr>
              </w:pPr>
              <w:r>
                <w:rPr>
                  <w:rFonts w:hint="eastAsia" w:hAnsi="宋体"/>
                </w:rPr>
                <w:t>资产负债表日，递延所得税资产及递延所得税负债在同时满足以下条件时以抵销后的净额列示：</w:t>
              </w:r>
            </w:p>
            <w:p>
              <w:pPr>
                <w:pStyle w:val="129"/>
                <w:adjustRightInd w:val="0"/>
                <w:snapToGrid w:val="0"/>
                <w:spacing w:line="360" w:lineRule="auto"/>
                <w:ind w:firstLine="420" w:firstLineChars="200"/>
                <w:rPr>
                  <w:rFonts w:hAnsi="宋体"/>
                </w:rPr>
              </w:pPr>
              <w:r>
                <w:rPr>
                  <w:rFonts w:hint="eastAsia" w:hAnsi="宋体"/>
                </w:rPr>
                <w:t>（1）纳税主体拥有以净额结算当期所得税资产及当期所得税负债的法定权利；</w:t>
              </w:r>
            </w:p>
            <w:p>
              <w:pPr>
                <w:pStyle w:val="129"/>
                <w:adjustRightInd w:val="0"/>
                <w:snapToGrid w:val="0"/>
                <w:spacing w:line="360" w:lineRule="auto"/>
                <w:ind w:firstLine="420" w:firstLineChars="200"/>
                <w:rPr>
                  <w:rFonts w:hAnsi="宋体"/>
                </w:rPr>
              </w:pPr>
              <w:r>
                <w:rPr>
                  <w:rFonts w:hint="eastAsia" w:hAnsi="宋体"/>
                </w:rPr>
                <w:t>（2）递延所得税资产及递延所得税负债是与同一税收征管部门对同一纳税主体征收的所得税相关或者是对不同的纳税主体相关，但在未来每一具有重要性的递延所得税资产及负债转回的期间内，涉及的纳税主体意图以净额结算当期所得税资产和负债或是同时取得资产、清偿负债。</w:t>
              </w:r>
            </w:p>
          </w:sdtContent>
        </w:sdt>
      </w:sdtContent>
    </w:sdt>
    <w:p>
      <w:pPr>
        <w:rPr>
          <w:szCs w:val="21"/>
        </w:rPr>
      </w:pPr>
    </w:p>
    <w:p>
      <w:pPr>
        <w:pStyle w:val="114"/>
        <w:numPr>
          <w:ilvl w:val="0"/>
          <w:numId w:val="53"/>
        </w:numPr>
      </w:pPr>
      <w:r>
        <w:t>租赁</w:t>
      </w:r>
    </w:p>
    <w:sdt>
      <w:sdtPr>
        <w:rPr>
          <w:rFonts w:hint="eastAsia" w:cs="宋体"/>
          <w:kern w:val="0"/>
          <w:szCs w:val="24"/>
        </w:rPr>
        <w:alias w:val="模块:经营租赁的会计处理方法  "/>
        <w:tag w:val="_SEC_665d95d9f6c04c32831b2a4fc303e11c"/>
        <w:id w:val="-717818920"/>
        <w:lock w:val="sdtLocked"/>
        <w:placeholder>
          <w:docPart w:val="GBC22222222222222222222222222222"/>
        </w:placeholder>
      </w:sdtPr>
      <w:sdtEndPr>
        <w:rPr>
          <w:rFonts w:hint="default" w:cs="宋体"/>
          <w:kern w:val="0"/>
          <w:szCs w:val="21"/>
        </w:rPr>
      </w:sdtEndPr>
      <w:sdtContent>
        <w:p>
          <w:pPr>
            <w:pStyle w:val="197"/>
            <w:numPr>
              <w:ilvl w:val="3"/>
              <w:numId w:val="73"/>
            </w:numPr>
            <w:spacing w:before="0" w:beforeAutospacing="0" w:after="0" w:afterAutospacing="0" w:line="360" w:lineRule="auto"/>
            <w:ind w:left="0" w:leftChars="0" w:firstLine="9"/>
          </w:pPr>
          <w:r>
            <w:rPr>
              <w:rFonts w:hint="eastAsia"/>
            </w:rPr>
            <w:t>经营租赁的会计处理方法</w:t>
          </w:r>
        </w:p>
        <w:sdt>
          <w:sdtPr>
            <w:rPr>
              <w:rFonts w:hint="eastAsia"/>
              <w:szCs w:val="21"/>
            </w:rPr>
            <w:alias w:val="是否适用：经营租赁的会计处理方法[双击切换]"/>
            <w:tag w:val="_GBC_95cb2bae8f5047ec8fbc3c0ebf30481e"/>
            <w:id w:val="1467092605"/>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cs="宋体"/>
          <w:kern w:val="0"/>
          <w:szCs w:val="24"/>
        </w:rPr>
        <w:alias w:val="模块:融资租赁的会计处理方法  "/>
        <w:tag w:val="_SEC_4631e38dda7d4704843f77e4a8e70808"/>
        <w:id w:val="-1400053230"/>
        <w:lock w:val="sdtLocked"/>
        <w:placeholder>
          <w:docPart w:val="GBC22222222222222222222222222222"/>
        </w:placeholder>
      </w:sdtPr>
      <w:sdtEndPr>
        <w:rPr>
          <w:rFonts w:hint="default" w:cs="宋体"/>
          <w:kern w:val="0"/>
          <w:szCs w:val="21"/>
        </w:rPr>
      </w:sdtEndPr>
      <w:sdtContent>
        <w:p>
          <w:pPr>
            <w:pStyle w:val="197"/>
            <w:numPr>
              <w:ilvl w:val="3"/>
              <w:numId w:val="73"/>
            </w:numPr>
            <w:spacing w:before="0" w:beforeAutospacing="0" w:after="0" w:afterAutospacing="0" w:line="360" w:lineRule="auto"/>
            <w:ind w:left="0" w:leftChars="0" w:firstLine="9"/>
          </w:pPr>
          <w:r>
            <w:rPr>
              <w:rFonts w:hint="eastAsia"/>
            </w:rPr>
            <w:t>融资租赁的会计处理方法</w:t>
          </w:r>
        </w:p>
        <w:sdt>
          <w:sdtPr>
            <w:rPr>
              <w:rFonts w:hint="eastAsia"/>
              <w:szCs w:val="21"/>
            </w:rPr>
            <w:alias w:val="是否适用：融资租赁的会计处理方法[双击切换]"/>
            <w:tag w:val="_GBC_8645a1f3c69c48ed8ae3aadf85145de8"/>
            <w:id w:val="557059215"/>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cs="宋体"/>
          <w:kern w:val="0"/>
          <w:szCs w:val="24"/>
        </w:rPr>
        <w:alias w:val="模块:新租赁准则下租赁的确定方法及会计处理方法  ____"/>
        <w:tag w:val="_SEC_3c4d5ea1c121414c9a99ab28798ae32c"/>
        <w:id w:val="-931669669"/>
        <w:lock w:val="sdtLocked"/>
        <w:placeholder>
          <w:docPart w:val="GBC22222222222222222222222222222"/>
        </w:placeholder>
      </w:sdtPr>
      <w:sdtEndPr>
        <w:rPr>
          <w:rFonts w:hint="eastAsia" w:cs="宋体"/>
          <w:color w:val="333399"/>
          <w:kern w:val="0"/>
          <w:szCs w:val="24"/>
        </w:rPr>
      </w:sdtEndPr>
      <w:sdtContent>
        <w:p>
          <w:pPr>
            <w:pStyle w:val="197"/>
            <w:numPr>
              <w:ilvl w:val="3"/>
              <w:numId w:val="73"/>
            </w:numPr>
            <w:ind w:left="0" w:leftChars="0" w:firstLine="9"/>
          </w:pPr>
          <w:bookmarkStart w:id="139" w:name="_Hlk23952334"/>
          <w:r>
            <w:rPr>
              <w:rFonts w:hint="eastAsia"/>
            </w:rPr>
            <w:t>新租赁准则下租赁的确定方法及会计处理方法</w:t>
          </w:r>
        </w:p>
        <w:sdt>
          <w:sdtPr>
            <w:rPr>
              <w:szCs w:val="21"/>
            </w:rPr>
            <w:alias w:val="是否适用：新租赁准则下租赁的确定方法及会计处理方法[双击切换]"/>
            <w:tag w:val="_GBC_629d4f8551af489f8cef75276ff5cdd4"/>
            <w:id w:val="124144855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cs="宋体"/>
              <w:kern w:val="0"/>
              <w:szCs w:val="24"/>
            </w:rPr>
            <w:alias w:val="新租赁准则下租赁的确定方法及会计处理方法的说明 "/>
            <w:tag w:val="_GBC_e51bc3b9831d4ea98846993b475a211c"/>
            <w:id w:val="-625779005"/>
            <w:lock w:val="sdtLocked"/>
            <w:placeholder>
              <w:docPart w:val="GBC22222222222222222222222222222"/>
            </w:placeholder>
          </w:sdtPr>
          <w:sdtEndPr>
            <w:rPr>
              <w:rFonts w:cs="宋体"/>
              <w:kern w:val="0"/>
              <w:szCs w:val="24"/>
            </w:rPr>
          </w:sdtEndPr>
          <w:sdtContent>
            <w:p>
              <w:pPr>
                <w:pStyle w:val="197"/>
                <w:widowControl w:val="0"/>
                <w:numPr>
                  <w:ilvl w:val="0"/>
                  <w:numId w:val="74"/>
                </w:numPr>
                <w:spacing w:before="0" w:beforeAutospacing="0" w:after="0" w:afterAutospacing="0" w:line="360" w:lineRule="auto"/>
                <w:ind w:leftChars="0"/>
                <w:jc w:val="both"/>
                <w:outlineLvl w:val="3"/>
                <w:rPr>
                  <w:rFonts w:ascii="Arial Narrow" w:hAnsi="Arial Narrow"/>
                  <w:b/>
                </w:rPr>
              </w:pPr>
              <w:r>
                <w:rPr>
                  <w:rFonts w:hint="eastAsia"/>
                  <w:b/>
                </w:rPr>
                <w:t>租赁的识别</w:t>
              </w:r>
            </w:p>
            <w:p>
              <w:pPr>
                <w:snapToGrid w:val="0"/>
                <w:spacing w:line="360" w:lineRule="auto"/>
                <w:ind w:firstLine="420" w:firstLineChars="200"/>
                <w:rPr>
                  <w:rFonts w:ascii="Times New Roman" w:hAnsi="Times New Roman"/>
                </w:rPr>
              </w:pPr>
              <w:r>
                <w:rPr>
                  <w:rFonts w:hint="eastAsia"/>
                </w:rPr>
                <w:t xml:space="preserve">在合同开始日，本公司评估合同是否为租赁或者包含租赁，如果合同中一方让渡了在一定期间内控制一项或多项已识别资产使用的权利以换取对价，则该合同为租赁或者包含租赁。为确定合同是否让渡了在一定期间内控制已识别资产使用的权利，本公司评估合同中的客户是否有权获得在使用期间内因使用已识别资产所产生的几乎全部经济利益，并有权在该使用期间主导已识别资产的使用。 </w:t>
              </w:r>
            </w:p>
            <w:p>
              <w:pPr>
                <w:pStyle w:val="197"/>
                <w:widowControl w:val="0"/>
                <w:numPr>
                  <w:ilvl w:val="0"/>
                  <w:numId w:val="74"/>
                </w:numPr>
                <w:spacing w:before="0" w:beforeAutospacing="0" w:after="0" w:afterAutospacing="0" w:line="360" w:lineRule="auto"/>
                <w:ind w:leftChars="0"/>
                <w:jc w:val="both"/>
                <w:outlineLvl w:val="3"/>
                <w:rPr>
                  <w:rFonts w:ascii="Arial Narrow" w:hAnsi="Arial Narrow"/>
                  <w:b/>
                </w:rPr>
              </w:pPr>
              <w:r>
                <w:rPr>
                  <w:rFonts w:hint="eastAsia"/>
                  <w:b/>
                </w:rPr>
                <w:t>租赁期</w:t>
              </w:r>
            </w:p>
            <w:p>
              <w:pPr>
                <w:snapToGrid w:val="0"/>
                <w:spacing w:line="360" w:lineRule="auto"/>
                <w:ind w:firstLine="420" w:firstLineChars="200"/>
                <w:rPr>
                  <w:rFonts w:ascii="Times New Roman" w:hAnsi="Times New Roman"/>
                </w:rPr>
              </w:pPr>
              <w:r>
                <w:rPr>
                  <w:rFonts w:hint="eastAsia"/>
                </w:rPr>
                <w:t>租赁期是本公司有权使用租赁资产且不可撤销的期间。有续租选择权，即有权选择续租该资产，且合理确定将行使该选择权的，租赁期还包含续租选择权涵盖的期间。本公司有终止租赁选择权，即有权选择终止租赁该资产，但合理确定将不会行使该选择权的，租赁期包含终止租赁选择权涵盖的期间。发生本公司可控范围内的重大事件或变化，且影响是否合理确定将行使相应选择权的，本公司对其是否合理确定将行使续租选择权、购买选择权或不行使终止租赁选择权进行重新评估。</w:t>
              </w:r>
            </w:p>
            <w:p>
              <w:pPr>
                <w:pStyle w:val="197"/>
                <w:widowControl w:val="0"/>
                <w:numPr>
                  <w:ilvl w:val="0"/>
                  <w:numId w:val="74"/>
                </w:numPr>
                <w:spacing w:before="0" w:beforeAutospacing="0" w:after="0" w:afterAutospacing="0" w:line="360" w:lineRule="auto"/>
                <w:ind w:leftChars="0"/>
                <w:jc w:val="both"/>
                <w:outlineLvl w:val="3"/>
                <w:rPr>
                  <w:rFonts w:ascii="Arial Narrow" w:hAnsi="Arial Narrow"/>
                  <w:b/>
                </w:rPr>
              </w:pPr>
              <w:r>
                <w:rPr>
                  <w:rFonts w:hint="eastAsia"/>
                  <w:b/>
                </w:rPr>
                <w:t>租赁变更</w:t>
              </w:r>
            </w:p>
            <w:p>
              <w:pPr>
                <w:snapToGrid w:val="0"/>
                <w:spacing w:line="360" w:lineRule="auto"/>
                <w:ind w:firstLine="420" w:firstLineChars="200"/>
                <w:rPr>
                  <w:rFonts w:ascii="Times New Roman" w:hAnsi="Times New Roman"/>
                </w:rPr>
              </w:pPr>
              <w:r>
                <w:rPr>
                  <w:rFonts w:hint="eastAsia"/>
                </w:rPr>
                <w:t>租赁变更是原合同条款之外的租赁范围、租赁对价、租赁期限的变更，包括增加或终止一项或多项租赁资产的使用权，延长或缩短合同规定的租赁期等。</w:t>
              </w:r>
            </w:p>
            <w:p>
              <w:pPr>
                <w:snapToGrid w:val="0"/>
                <w:spacing w:line="360" w:lineRule="auto"/>
                <w:ind w:firstLine="420" w:firstLineChars="200"/>
              </w:pPr>
              <w:r>
                <w:rPr>
                  <w:rFonts w:hint="eastAsia"/>
                </w:rPr>
                <w:t>租赁发生变更且同时符合下列条件的，将该租赁变更作为一项单独租赁进行会计处理：</w:t>
              </w:r>
            </w:p>
            <w:p>
              <w:pPr>
                <w:snapToGrid w:val="0"/>
                <w:spacing w:line="360" w:lineRule="auto"/>
                <w:ind w:firstLine="420" w:firstLineChars="200"/>
              </w:pPr>
              <w:r>
                <w:rPr>
                  <w:rFonts w:hint="eastAsia"/>
                </w:rPr>
                <w:t>（1）该租赁变更通过增加一项或多项租赁资产的使用权而扩大了租赁范围；</w:t>
              </w:r>
            </w:p>
            <w:p>
              <w:pPr>
                <w:snapToGrid w:val="0"/>
                <w:spacing w:line="360" w:lineRule="auto"/>
                <w:ind w:firstLine="420" w:firstLineChars="200"/>
              </w:pPr>
              <w:r>
                <w:rPr>
                  <w:rFonts w:hint="eastAsia"/>
                </w:rPr>
                <w:t>（2）增加的对价与租赁范围扩大部分的单独价格按该合同情况调整后的金额相当。</w:t>
              </w:r>
            </w:p>
            <w:p>
              <w:pPr>
                <w:snapToGrid w:val="0"/>
                <w:spacing w:line="360" w:lineRule="auto"/>
                <w:ind w:firstLine="420" w:firstLineChars="200"/>
              </w:pPr>
              <w:r>
                <w:rPr>
                  <w:rFonts w:hint="eastAsia"/>
                </w:rPr>
                <w:t xml:space="preserve">租赁变更未作为一项单独租赁进行会计处理的，在租赁变更生效日，重新确定租赁期，并采用修订后的折现率对变更后的租赁付款额进行折现，以重新计量租赁负债。 </w:t>
              </w:r>
            </w:p>
            <w:p>
              <w:pPr>
                <w:snapToGrid w:val="0"/>
                <w:spacing w:line="360" w:lineRule="auto"/>
                <w:ind w:firstLine="420" w:firstLineChars="200"/>
              </w:pPr>
              <w:r>
                <w:rPr>
                  <w:rFonts w:hint="eastAsia"/>
                </w:rPr>
                <w:t>租赁变更导致租赁范围缩小或租赁期缩短的，应当相应调减使用权资产的账面价值，并将部分终止或完全终止租赁的相关利得或损失计入当期损益。其他租赁变更导致租赁负债重新计量的，承租人应当相应调整使用权资产的账面价值。</w:t>
              </w:r>
            </w:p>
            <w:p>
              <w:pPr>
                <w:pStyle w:val="197"/>
                <w:widowControl w:val="0"/>
                <w:numPr>
                  <w:ilvl w:val="0"/>
                  <w:numId w:val="74"/>
                </w:numPr>
                <w:spacing w:before="0" w:beforeAutospacing="0" w:after="0" w:afterAutospacing="0" w:line="360" w:lineRule="auto"/>
                <w:ind w:leftChars="0"/>
                <w:jc w:val="both"/>
                <w:outlineLvl w:val="3"/>
                <w:rPr>
                  <w:rFonts w:ascii="Arial Narrow" w:hAnsi="Arial Narrow"/>
                  <w:b/>
                </w:rPr>
              </w:pPr>
              <w:r>
                <w:rPr>
                  <w:rFonts w:hint="eastAsia"/>
                  <w:b/>
                </w:rPr>
                <w:t>承租人会计处理</w:t>
              </w:r>
            </w:p>
            <w:p>
              <w:pPr>
                <w:snapToGrid w:val="0"/>
                <w:spacing w:line="360" w:lineRule="auto"/>
                <w:ind w:firstLine="420" w:firstLineChars="200"/>
                <w:rPr>
                  <w:rFonts w:ascii="Times New Roman" w:hAnsi="Times New Roman"/>
                </w:rPr>
              </w:pPr>
              <w:r>
                <w:rPr>
                  <w:rFonts w:hint="eastAsia"/>
                </w:rPr>
                <w:t>本公司将在租赁期开始日，租赁期不超过12个月，且不包含购买选择权的租赁认定为短期租赁；将单项租赁资产为全新资产时价值较低（不超过人民币40,000元）的租赁认定为低价值资产租赁。转租或预期转租租赁资产的，原租赁不认定为低价值资产租赁。本公司对短期租赁和低价值资产租赁选择不确认使用权资产和租赁负债。在租赁期内各个期间按照直线法计入相关的资产成本或当期损益。</w:t>
              </w:r>
            </w:p>
            <w:p>
              <w:pPr>
                <w:snapToGrid w:val="0"/>
                <w:spacing w:line="360" w:lineRule="auto"/>
                <w:ind w:firstLine="420" w:firstLineChars="200"/>
              </w:pPr>
              <w:r>
                <w:rPr>
                  <w:rFonts w:hint="eastAsia"/>
                </w:rPr>
                <w:t>除上述简化处理的短期租赁和低价值资产租赁外，本公司对已识别租赁确认使用权资产和租赁负债。使用权资产和租赁负债的初始及后续计量见第十节财务报告五、28及第十节财务报告五、34。</w:t>
              </w:r>
            </w:p>
            <w:p>
              <w:pPr>
                <w:pStyle w:val="197"/>
                <w:widowControl w:val="0"/>
                <w:numPr>
                  <w:ilvl w:val="0"/>
                  <w:numId w:val="74"/>
                </w:numPr>
                <w:spacing w:before="0" w:beforeAutospacing="0" w:after="0" w:afterAutospacing="0" w:line="360" w:lineRule="auto"/>
                <w:ind w:leftChars="0"/>
                <w:jc w:val="both"/>
                <w:outlineLvl w:val="3"/>
                <w:rPr>
                  <w:rFonts w:ascii="Arial Narrow" w:hAnsi="Arial Narrow"/>
                  <w:b/>
                </w:rPr>
              </w:pPr>
              <w:r>
                <w:rPr>
                  <w:rFonts w:hint="eastAsia"/>
                  <w:b/>
                </w:rPr>
                <w:t>出租人会计处理</w:t>
              </w:r>
            </w:p>
            <w:p>
              <w:pPr>
                <w:snapToGrid w:val="0"/>
                <w:spacing w:line="360" w:lineRule="auto"/>
                <w:ind w:firstLine="420" w:firstLineChars="200"/>
                <w:rPr>
                  <w:rFonts w:ascii="Times New Roman" w:hAnsi="Times New Roman"/>
                </w:rPr>
              </w:pPr>
              <w:r>
                <w:rPr>
                  <w:rFonts w:hint="eastAsia"/>
                </w:rPr>
                <w:t>本公司在租赁开始日将租赁分为融资租赁和经营租赁。</w:t>
              </w:r>
            </w:p>
            <w:p>
              <w:pPr>
                <w:snapToGrid w:val="0"/>
                <w:spacing w:line="360" w:lineRule="auto"/>
                <w:ind w:firstLine="420" w:firstLineChars="200"/>
              </w:pPr>
              <w:r>
                <w:rPr>
                  <w:rFonts w:hint="eastAsia"/>
                </w:rPr>
                <w:t>融资租赁，是指实质上转移了与租赁资产所有权有关的几乎全部风险和报酬的租赁。其所有权最终可能转移，也可能不转移。经营租赁，是指除融资租赁以外的其他租赁。本公司作为转租出租人时，基于原租赁产生的使用权资产对转租赁进行分类。但原租赁为短期租赁，且转租出租人对原租赁进行简化处理的，本公司将该转租赁分类为经营租赁。</w:t>
              </w:r>
            </w:p>
            <w:p>
              <w:pPr>
                <w:snapToGrid w:val="0"/>
                <w:spacing w:line="360" w:lineRule="auto"/>
                <w:ind w:firstLine="420" w:firstLineChars="200"/>
              </w:pPr>
              <w:r>
                <w:rPr>
                  <w:rFonts w:hint="eastAsia"/>
                </w:rPr>
                <w:t xml:space="preserve">在租赁期开始日，本公司对融资租赁确认应收融资租赁款，并终止确认融资租赁资产。对应收融资租赁款进行初始计量时，以租赁投资净额作为应收融资租赁款的入账价值。租赁投资净额为未担保余值和租赁期开始日尚未收到的租赁收款额按照租赁内含利率折现的现值之和。未实现融资收益在租赁期内采用固定的周期性利率计算确认当期利息收入。取得的未纳入租赁投资净额计量的可变租赁付款额，在实际发生时计入当期损益。 </w:t>
              </w:r>
            </w:p>
            <w:p>
              <w:pPr>
                <w:spacing w:line="360" w:lineRule="auto"/>
              </w:pPr>
              <w:r>
                <w:rPr>
                  <w:rFonts w:hint="eastAsia"/>
                </w:rPr>
                <w:t>在租赁期内各个期间，本公司采用直线法将经营租赁的租赁收款额确认为租金收入。取得的未计入租赁收款额的可变租赁付款额，在实际发生时计入当期损益。</w:t>
              </w:r>
            </w:p>
            <w:p>
              <w:pPr>
                <w:rPr>
                  <w:szCs w:val="21"/>
                </w:rPr>
              </w:pPr>
            </w:p>
          </w:sdtContent>
        </w:sdt>
      </w:sdtContent>
    </w:sdt>
    <w:bookmarkEnd w:id="139"/>
    <w:p>
      <w:pPr>
        <w:rPr>
          <w:szCs w:val="21"/>
        </w:rPr>
      </w:pPr>
    </w:p>
    <w:sdt>
      <w:sdtPr>
        <w:rPr>
          <w:rFonts w:hint="eastAsia" w:asciiTheme="minorHAnsi" w:hAnsiTheme="minorHAnsi" w:cstheme="minorBidi"/>
          <w:b w:val="0"/>
          <w:bCs w:val="0"/>
          <w:kern w:val="0"/>
          <w:szCs w:val="22"/>
        </w:rPr>
        <w:alias w:val="模块:其他重要的会计政策和会计估计"/>
        <w:tag w:val="_GBC_208440ea3a0f4676970b3672c3cdf96f"/>
        <w:id w:val="-1261062942"/>
        <w:lock w:val="sdtLocked"/>
        <w:placeholder>
          <w:docPart w:val="GBC22222222222222222222222222222"/>
        </w:placeholder>
      </w:sdtPr>
      <w:sdtEndPr>
        <w:rPr>
          <w:rFonts w:hint="eastAsia" w:ascii="宋体" w:hAnsi="宋体" w:cs="Times New Roman"/>
          <w:b w:val="0"/>
          <w:bCs w:val="0"/>
          <w:kern w:val="0"/>
          <w:szCs w:val="21"/>
        </w:rPr>
      </w:sdtEndPr>
      <w:sdtContent>
        <w:p>
          <w:pPr>
            <w:pStyle w:val="114"/>
            <w:numPr>
              <w:ilvl w:val="0"/>
              <w:numId w:val="53"/>
            </w:numPr>
          </w:pPr>
          <w:r>
            <w:rPr>
              <w:rFonts w:hint="eastAsia"/>
            </w:rPr>
            <w:t>其他重要的会计政策和会计估计</w:t>
          </w:r>
        </w:p>
        <w:sdt>
          <w:sdtPr>
            <w:rPr>
              <w:rFonts w:hint="eastAsia"/>
              <w:szCs w:val="21"/>
            </w:rPr>
            <w:alias w:val="是否适用：其他重要的会计政策和会计估计[双击切换]"/>
            <w:tag w:val="_GBC_b463c26b00e64f799c5b85b2c1c805fb"/>
            <w:id w:val="-64150296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114"/>
        <w:numPr>
          <w:ilvl w:val="0"/>
          <w:numId w:val="53"/>
        </w:numPr>
      </w:pPr>
      <w:r>
        <w:rPr>
          <w:rFonts w:hint="eastAsia"/>
        </w:rPr>
        <w:t>重要</w:t>
      </w:r>
      <w:r>
        <w:t>会计政策</w:t>
      </w:r>
      <w:r>
        <w:rPr>
          <w:rFonts w:hint="eastAsia"/>
        </w:rPr>
        <w:t>和</w:t>
      </w:r>
      <w:r>
        <w:t>会计估计的变更</w:t>
      </w:r>
    </w:p>
    <w:p>
      <w:pPr>
        <w:pStyle w:val="115"/>
        <w:numPr>
          <w:ilvl w:val="3"/>
          <w:numId w:val="75"/>
        </w:numPr>
        <w:ind w:left="426" w:hanging="426"/>
      </w:pPr>
      <w:r>
        <w:rPr>
          <w:rFonts w:hint="eastAsia"/>
        </w:rPr>
        <w:t>重要</w:t>
      </w:r>
      <w:r>
        <w:t>会计政策变更</w:t>
      </w:r>
    </w:p>
    <w:sdt>
      <w:sdtPr>
        <w:rPr>
          <w:szCs w:val="21"/>
        </w:rPr>
        <w:alias w:val="是否适用：重要会计政策变更[双击切换]"/>
        <w:tag w:val="_GBC_f1ebc580f60c4d30a80747190ffbec4f"/>
        <w:id w:val="-1692447011"/>
        <w:lock w:val="sdtConten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
      <w:sdtPr>
        <w:rPr>
          <w:rFonts w:hint="eastAsia"/>
          <w:szCs w:val="21"/>
        </w:rPr>
        <w:alias w:val="模块:会计政策变更"/>
        <w:tag w:val="_GBC_0e06dc657bb8435eb065c6bd60685496"/>
        <w:id w:val="-1671092124"/>
        <w:lock w:val="sdtLocked"/>
        <w:placeholder>
          <w:docPart w:val="GBC22222222222222222222222222222"/>
        </w:placeholder>
      </w:sdtPr>
      <w:sdtEndPr>
        <w:rPr>
          <w:rFonts w:hint="eastAsia" w:ascii="Times New Roman" w:hAnsi="Times New Roman" w:cs="Times New Roman"/>
          <w:kern w:val="2"/>
          <w:szCs w:val="21"/>
        </w:rPr>
      </w:sdtEndPr>
      <w:sdtContent>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5"/>
            <w:gridCol w:w="2877"/>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e1dec237a8bd4e95920b80a564ae1cb9"/>
                <w:id w:val="-1171632279"/>
                <w:lock w:val="sdtLocked"/>
              </w:sdtPr>
              <w:sdtEndPr>
                <w:rPr>
                  <w:rFonts w:hint="default"/>
                  <w:szCs w:val="24"/>
                </w:rPr>
              </w:sdtEndPr>
              <w:sdtContent>
                <w:tc>
                  <w:tcPr>
                    <w:tcW w:w="1633" w:type="pct"/>
                    <w:vAlign w:val="center"/>
                  </w:tcPr>
                  <w:p>
                    <w:pPr>
                      <w:jc w:val="center"/>
                      <w:rPr>
                        <w:szCs w:val="21"/>
                      </w:rPr>
                    </w:pPr>
                    <w:r>
                      <w:rPr>
                        <w:rFonts w:hint="eastAsia"/>
                        <w:szCs w:val="21"/>
                      </w:rPr>
                      <w:t>会计政策变更的内容和原因</w:t>
                    </w:r>
                  </w:p>
                </w:tc>
              </w:sdtContent>
            </w:sdt>
            <w:sdt>
              <w:sdtPr>
                <w:tag w:val="_PLD_7b0ee43258f64816be205413e4f0bfe2"/>
                <w:id w:val="-731840043"/>
                <w:lock w:val="sdtLocked"/>
              </w:sdtPr>
              <w:sdtContent>
                <w:tc>
                  <w:tcPr>
                    <w:tcW w:w="1687" w:type="pct"/>
                    <w:vAlign w:val="center"/>
                  </w:tcPr>
                  <w:p>
                    <w:pPr>
                      <w:jc w:val="center"/>
                      <w:rPr>
                        <w:szCs w:val="21"/>
                      </w:rPr>
                    </w:pPr>
                    <w:r>
                      <w:rPr>
                        <w:szCs w:val="21"/>
                      </w:rPr>
                      <w:t>审批程序</w:t>
                    </w:r>
                  </w:p>
                </w:tc>
              </w:sdtContent>
            </w:sdt>
            <w:sdt>
              <w:sdtPr>
                <w:tag w:val="_PLD_f4b6323c0cf54fc0b4bff40f66002d51"/>
                <w:id w:val="-2137787514"/>
                <w:lock w:val="sdtLocked"/>
              </w:sdtPr>
              <w:sdtContent>
                <w:tc>
                  <w:tcPr>
                    <w:tcW w:w="1680" w:type="pct"/>
                    <w:vAlign w:val="center"/>
                  </w:tcPr>
                  <w:p>
                    <w:pPr>
                      <w:jc w:val="center"/>
                      <w:rPr>
                        <w:szCs w:val="21"/>
                      </w:rPr>
                    </w:pPr>
                    <w:r>
                      <w:rPr>
                        <w:rFonts w:hint="eastAsia"/>
                        <w:szCs w:val="21"/>
                      </w:rPr>
                      <w:t>备注</w:t>
                    </w:r>
                    <w:r>
                      <w:rPr>
                        <w:szCs w:val="21"/>
                      </w:rPr>
                      <w:t>(受重要影响的报表项目名称和金额)</w:t>
                    </w:r>
                  </w:p>
                </w:tc>
              </w:sdtContent>
            </w:sdt>
          </w:tr>
          <w:sdt>
            <w:sdtPr>
              <w:rPr>
                <w:rFonts w:hint="eastAsia" w:eastAsiaTheme="minorEastAsia" w:cstheme="minorBidi"/>
                <w:kern w:val="2"/>
                <w:szCs w:val="21"/>
              </w:rPr>
              <w:alias w:val="会计政策的变更"/>
              <w:tag w:val="_GBC_3ee3045c350e4d52ab819ea497aaf2f3"/>
              <w:id w:val="-779724130"/>
              <w:lock w:val="sdtLocked"/>
            </w:sdtPr>
            <w:sdtEndPr>
              <w:rPr>
                <w:rFonts w:hint="eastAsia"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33" w:type="pct"/>
                    <w:vAlign w:val="center"/>
                  </w:tcPr>
                  <w:p>
                    <w:pPr>
                      <w:jc w:val="both"/>
                      <w:rPr>
                        <w:szCs w:val="21"/>
                      </w:rPr>
                    </w:pPr>
                    <w:r>
                      <w:rPr>
                        <w:rFonts w:hint="eastAsia" w:eastAsiaTheme="minorEastAsia" w:cstheme="minorBidi"/>
                        <w:kern w:val="2"/>
                        <w:szCs w:val="21"/>
                      </w:rPr>
                      <w:t>公司自</w:t>
                    </w:r>
                    <w:r>
                      <w:rPr>
                        <w:rFonts w:eastAsiaTheme="minorEastAsia" w:cstheme="minorBidi"/>
                        <w:kern w:val="2"/>
                        <w:szCs w:val="21"/>
                      </w:rPr>
                      <w:t xml:space="preserve"> 2021 年 1 月 1日起执行财政部修订后的《企业会计准则第21号—租赁》</w:t>
                    </w:r>
                  </w:p>
                </w:tc>
                <w:tc>
                  <w:tcPr>
                    <w:tcW w:w="1687" w:type="pct"/>
                    <w:vAlign w:val="center"/>
                  </w:tcPr>
                  <w:p>
                    <w:pPr>
                      <w:jc w:val="both"/>
                      <w:rPr>
                        <w:szCs w:val="21"/>
                      </w:rPr>
                    </w:pPr>
                    <w:r>
                      <w:rPr>
                        <w:rFonts w:hint="eastAsia"/>
                        <w:szCs w:val="21"/>
                      </w:rPr>
                      <w:t>公司于2</w:t>
                    </w:r>
                    <w:r>
                      <w:rPr>
                        <w:szCs w:val="21"/>
                      </w:rPr>
                      <w:t>022</w:t>
                    </w:r>
                    <w:r>
                      <w:rPr>
                        <w:rFonts w:hint="eastAsia"/>
                        <w:szCs w:val="21"/>
                      </w:rPr>
                      <w:t>年4月2</w:t>
                    </w:r>
                    <w:r>
                      <w:rPr>
                        <w:szCs w:val="21"/>
                      </w:rPr>
                      <w:t>2</w:t>
                    </w:r>
                    <w:r>
                      <w:rPr>
                        <w:rFonts w:hint="eastAsia"/>
                        <w:szCs w:val="21"/>
                      </w:rPr>
                      <w:t>日召开第五届董事会第八次会议、第五届监事会第七次会议审议通过《关于会计政策和会计估计变更的议案》。</w:t>
                    </w:r>
                  </w:p>
                </w:tc>
                <w:tc>
                  <w:tcPr>
                    <w:tcW w:w="1680" w:type="pct"/>
                    <w:vAlign w:val="center"/>
                  </w:tcPr>
                  <w:p>
                    <w:pPr>
                      <w:adjustRightInd w:val="0"/>
                      <w:snapToGrid w:val="0"/>
                      <w:spacing w:line="360" w:lineRule="auto"/>
                      <w:jc w:val="both"/>
                      <w:rPr>
                        <w:bCs/>
                      </w:rPr>
                    </w:pPr>
                    <w:r>
                      <w:rPr>
                        <w:rFonts w:hint="eastAsia"/>
                        <w:szCs w:val="21"/>
                      </w:rPr>
                      <w:t>执行新租赁准则对本年年初资产负债表相关项目的影响：</w:t>
                    </w:r>
                    <w:r>
                      <w:rPr>
                        <w:rFonts w:hint="eastAsia"/>
                        <w:bCs/>
                      </w:rPr>
                      <w:t>合并财务报表，</w:t>
                    </w:r>
                    <w:r>
                      <w:rPr>
                        <w:rFonts w:hint="eastAsia"/>
                        <w:szCs w:val="21"/>
                      </w:rPr>
                      <w:t>“使用权资产”增加</w:t>
                    </w:r>
                    <w:r>
                      <w:rPr>
                        <w:szCs w:val="21"/>
                      </w:rPr>
                      <w:t>5,552,948.76</w:t>
                    </w:r>
                    <w:r>
                      <w:rPr>
                        <w:rFonts w:hint="eastAsia"/>
                        <w:szCs w:val="21"/>
                      </w:rPr>
                      <w:t>元，“租赁负债”增加</w:t>
                    </w:r>
                    <w:r>
                      <w:rPr>
                        <w:szCs w:val="21"/>
                      </w:rPr>
                      <w:t>4,054,226.72</w:t>
                    </w:r>
                    <w:r>
                      <w:rPr>
                        <w:rFonts w:hint="eastAsia"/>
                        <w:szCs w:val="21"/>
                      </w:rPr>
                      <w:t>元，“一年内到期的非流动负债”增加</w:t>
                    </w:r>
                    <w:r>
                      <w:rPr>
                        <w:szCs w:val="21"/>
                      </w:rPr>
                      <w:t>1,498,722.04元</w:t>
                    </w:r>
                    <w:r>
                      <w:rPr>
                        <w:rFonts w:hint="eastAsia"/>
                        <w:szCs w:val="21"/>
                      </w:rPr>
                      <w:t>；对母公司财务报表无影响。</w:t>
                    </w:r>
                  </w:p>
                </w:tc>
              </w:tr>
            </w:sdtContent>
          </w:sdt>
        </w:tbl>
        <w:p>
          <w:pPr>
            <w:spacing w:line="360" w:lineRule="auto"/>
            <w:rPr>
              <w:rFonts w:asciiTheme="minorEastAsia" w:hAnsiTheme="minorEastAsia" w:eastAsiaTheme="minorEastAsia"/>
              <w:szCs w:val="21"/>
            </w:rPr>
          </w:pPr>
          <w:r>
            <w:rPr>
              <w:rFonts w:hint="eastAsia"/>
              <w:szCs w:val="21"/>
            </w:rPr>
            <w:t>其他说</w:t>
          </w:r>
          <w:r>
            <w:rPr>
              <w:rFonts w:hint="eastAsia" w:asciiTheme="minorEastAsia" w:hAnsiTheme="minorEastAsia" w:eastAsiaTheme="minorEastAsia"/>
              <w:szCs w:val="21"/>
            </w:rPr>
            <w:t>明</w:t>
          </w:r>
        </w:p>
        <w:sdt>
          <w:sdtPr>
            <w:rPr>
              <w:rFonts w:cs="宋体" w:asciiTheme="minorEastAsia" w:hAnsiTheme="minorEastAsia" w:eastAsiaTheme="minorEastAsia"/>
              <w:kern w:val="0"/>
              <w:szCs w:val="21"/>
            </w:rPr>
            <w:alias w:val="会计政策的变更的其他说明"/>
            <w:tag w:val="_GBC_93e2fc5a38cb45958eae783eee8d98c3"/>
            <w:id w:val="-1499345205"/>
            <w:lock w:val="sdtLocked"/>
          </w:sdtPr>
          <w:sdtEndPr>
            <w:rPr>
              <w:rFonts w:ascii="宋体" w:hAnsi="宋体" w:eastAsia="宋体" w:cs="宋体"/>
              <w:kern w:val="0"/>
              <w:szCs w:val="21"/>
            </w:rPr>
          </w:sdtEndPr>
          <w:sdtContent>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公司自2021年1月1日起执行财政部于2018年修订的“企业会计准则第21号--租赁”(简称“新租赁准则”)，对首次执行日前已存在的合同，公司选择不重新评估其是否为租赁或者包含租赁，对首次执行本准则的累积影响，调整2021年年初留存收益及财务报表其他相关项目金额，不调整可比期间信息。</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对于首次执行日前的经营租赁，本公司在首次执行日根据剩余租赁付款额按首次执行日承租人增量借款利率折现的现值计量租赁负债，并按照下列方法计量使用权资产：与租赁负债相等的金额，并根据预付租金进行必要调整。</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对首次执行日之前的经营租赁,本公司采用以下简化处理：</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1）将于首次执行日后12个月内完成的租赁，作为短期租赁处理；</w:t>
              </w:r>
            </w:p>
            <w:p>
              <w:pPr>
                <w:pStyle w:val="129"/>
                <w:adjustRightInd w:val="0"/>
                <w:snapToGrid w:val="0"/>
                <w:spacing w:line="360" w:lineRule="auto"/>
                <w:ind w:firstLine="420" w:firstLineChars="200"/>
                <w:rPr>
                  <w:rFonts w:cs="宋体" w:asciiTheme="minorEastAsia" w:hAnsiTheme="minorEastAsia" w:eastAsiaTheme="minorEastAsia"/>
                </w:rPr>
              </w:pPr>
              <w:r>
                <w:rPr>
                  <w:rFonts w:hint="eastAsia" w:asciiTheme="minorEastAsia" w:hAnsiTheme="minorEastAsia" w:eastAsiaTheme="minorEastAsia"/>
                </w:rPr>
                <w:t>2）计量租赁负债时，具有相似特征的租赁采用同一折现率;使用权资产的计量不包含初始直接费用；</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3）存在续租选择权或终止租赁选择权的，根据首次执行日前选择权的实际行使及其他最新情况确定租赁期；</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4）作为使用权资产减值测试的替代，根据《企业会计准则第13号</w:t>
              </w:r>
              <w:r>
                <w:rPr>
                  <w:rFonts w:asciiTheme="minorEastAsia" w:hAnsiTheme="minorEastAsia" w:eastAsiaTheme="minorEastAsia"/>
                </w:rPr>
                <w:t>——或有事项</w:t>
              </w:r>
              <w:r>
                <w:rPr>
                  <w:rFonts w:hint="eastAsia" w:asciiTheme="minorEastAsia" w:hAnsiTheme="minorEastAsia" w:eastAsiaTheme="minorEastAsia"/>
                </w:rPr>
                <w:t>》评估包含租赁的合同在首次执行日前是否为亏损合同，并根据首次执行日前计入资产负债表的亏损准备金额调整使用权资产；</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5）首次执行日前的租赁变更，根据租赁变更的最终安排进行会计处理。</w:t>
              </w:r>
            </w:p>
            <w:p>
              <w:pPr>
                <w:pStyle w:val="129"/>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对首次执行日前经营租赁的上述简化处理未对2021年1月1日的留存收益产生重大影响。</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 xml:space="preserve">对于首次执行日前划分为经营租赁且在首次执行日后仍存续的转租赁，本公司在首次执行日基于原租赁和转租赁的剩余合同期限和条款进行重新评估，并按照新租赁准则的规定进行分类。按照新租赁准则重分类为融资租赁的，将其作为一项新的融资租赁进行会计处理。 </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对于首次执行日前已存在的售后租回交易，本公司在首次执行日不重新评估资产转让是否符合《企业会计准则第14 号——收入》作为销售进行会计处理的规定。对于首次执行日前应当作为销售和融资租赁进行会计处理的售后租回交易，本公司按照与首次执行日存在的其他融资租赁相同的方法对租回进行会计处理，并继续在租赁期内摊销相关递延收益或损失。对于首次执行日前应当作为销售和经营租赁进行会计处理的售后租回交易，本公司按照与首次执行日存在的其他经营租赁相同的方法对租回进行会计处理，并根据首次执行日前计入资产负债表的相关递延收益或损失调整使用权资产。</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2020年末尚未支付的重大经营租赁承诺与2021年1月1日确认租赁负债的调节信息如下：</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124"/>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2020年12月31日尚未支付的重大经营租赁最低租赁付款额</w:t>
                    </w:r>
                  </w:p>
                </w:tc>
                <w:tc>
                  <w:tcPr>
                    <w:tcW w:w="1341" w:type="pct"/>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6,108,579.51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减：短期租赁（或剩余租赁期少于12个月的租赁）、低价值资产租赁、合同已签订但2021年1月1日租赁期尚未开始的</w:t>
                    </w:r>
                  </w:p>
                </w:tc>
                <w:tc>
                  <w:tcPr>
                    <w:tcW w:w="1341" w:type="pct"/>
                    <w:vAlign w:val="center"/>
                  </w:tcPr>
                  <w:p>
                    <w:pPr>
                      <w:snapToGrid w:val="0"/>
                      <w:jc w:val="right"/>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加：未在2020年12月31日确认但合理确定将行使续租选择权导致的租赁付款额的增加</w:t>
                    </w:r>
                  </w:p>
                </w:tc>
                <w:tc>
                  <w:tcPr>
                    <w:tcW w:w="1341" w:type="pct"/>
                    <w:vAlign w:val="center"/>
                  </w:tcPr>
                  <w:p>
                    <w:pPr>
                      <w:snapToGrid w:val="0"/>
                      <w:jc w:val="right"/>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合计</w:t>
                    </w:r>
                  </w:p>
                </w:tc>
                <w:tc>
                  <w:tcPr>
                    <w:tcW w:w="1341" w:type="pct"/>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6,108,579.51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首次执行日加权平均增量借款利率</w:t>
                    </w:r>
                  </w:p>
                </w:tc>
                <w:tc>
                  <w:tcPr>
                    <w:tcW w:w="1341" w:type="pct"/>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执行新租赁准则确认的与原经营租赁相关的租赁负债</w:t>
                    </w:r>
                  </w:p>
                </w:tc>
                <w:tc>
                  <w:tcPr>
                    <w:tcW w:w="1341" w:type="pct"/>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5,552,948.76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加：2020年12月31日应付融资租赁款（含一年内到期部分）</w:t>
                    </w:r>
                  </w:p>
                </w:tc>
                <w:tc>
                  <w:tcPr>
                    <w:tcW w:w="1341" w:type="pct"/>
                    <w:vAlign w:val="center"/>
                  </w:tcPr>
                  <w:p>
                    <w:pPr>
                      <w:snapToGrid w:val="0"/>
                      <w:jc w:val="right"/>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659" w:type="pct"/>
                    <w:vAlign w:val="center"/>
                  </w:tcPr>
                  <w:p>
                    <w:pPr>
                      <w:snapToGrid w:val="0"/>
                      <w:jc w:val="both"/>
                      <w:rPr>
                        <w:rFonts w:asciiTheme="minorEastAsia" w:hAnsiTheme="minorEastAsia" w:eastAsiaTheme="minorEastAsia"/>
                        <w:kern w:val="2"/>
                        <w:szCs w:val="21"/>
                      </w:rPr>
                    </w:pPr>
                    <w:r>
                      <w:rPr>
                        <w:rFonts w:asciiTheme="minorEastAsia" w:hAnsiTheme="minorEastAsia" w:eastAsiaTheme="minorEastAsia"/>
                      </w:rPr>
                      <w:t>2021年1月1日租赁负债(含一年内到期的租赁负债)</w:t>
                    </w:r>
                  </w:p>
                </w:tc>
                <w:tc>
                  <w:tcPr>
                    <w:tcW w:w="1341" w:type="pct"/>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5,552,948.76</w:t>
                    </w:r>
                  </w:p>
                </w:tc>
              </w:tr>
            </w:tbl>
            <w:p>
              <w:pPr>
                <w:pStyle w:val="129"/>
                <w:adjustRightInd w:val="0"/>
                <w:snapToGrid w:val="0"/>
                <w:spacing w:line="360" w:lineRule="auto"/>
                <w:ind w:firstLine="420" w:firstLineChars="200"/>
                <w:rPr>
                  <w:rFonts w:ascii="Times New Roman" w:hAnsi="Times New Roman"/>
                </w:rPr>
              </w:pPr>
            </w:p>
            <w:p>
              <w:pPr>
                <w:adjustRightInd w:val="0"/>
                <w:snapToGrid w:val="0"/>
                <w:spacing w:before="156" w:beforeLines="50" w:line="360" w:lineRule="auto"/>
                <w:ind w:firstLine="420" w:firstLineChars="200"/>
                <w:rPr>
                  <w:bCs/>
                </w:rPr>
              </w:pPr>
            </w:p>
            <w:p>
              <w:pPr>
                <w:adjustRightInd w:val="0"/>
                <w:snapToGrid w:val="0"/>
                <w:spacing w:before="156" w:beforeLines="50" w:line="360" w:lineRule="auto"/>
                <w:ind w:firstLine="420" w:firstLineChars="200"/>
                <w:rPr>
                  <w:bCs/>
                </w:rPr>
              </w:pPr>
              <w:r>
                <w:rPr>
                  <w:rFonts w:hint="eastAsia"/>
                  <w:bCs/>
                </w:rPr>
                <w:t>执行新租赁准则对本年年初资产负债表相关项目的影响列示如下：</w:t>
              </w:r>
            </w:p>
            <w:p>
              <w:pPr>
                <w:adjustRightInd w:val="0"/>
                <w:snapToGrid w:val="0"/>
                <w:spacing w:line="360" w:lineRule="auto"/>
                <w:ind w:firstLine="420" w:firstLineChars="200"/>
                <w:jc w:val="center"/>
                <w:rPr>
                  <w:bCs/>
                </w:rPr>
              </w:pPr>
              <w:r>
                <w:rPr>
                  <w:rFonts w:hint="eastAsia"/>
                  <w:bCs/>
                </w:rPr>
                <w:t>合并财务报表</w:t>
              </w:r>
            </w:p>
            <w:p>
              <w:pPr>
                <w:adjustRightInd w:val="0"/>
                <w:snapToGrid w:val="0"/>
                <w:spacing w:line="360" w:lineRule="auto"/>
                <w:ind w:firstLine="420" w:firstLineChars="200"/>
                <w:jc w:val="right"/>
              </w:pPr>
              <w:r>
                <w:rPr>
                  <w:rFonts w:hint="eastAsia"/>
                </w:rPr>
                <w:t>单位：人民币元</w:t>
              </w:r>
            </w:p>
            <w:tbl>
              <w:tblPr>
                <w:tblStyle w:val="1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394"/>
                <w:gridCol w:w="1992"/>
                <w:gridCol w:w="1992"/>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tcBorders>
                      <w:top w:val="single" w:color="auto" w:sz="12" w:space="0"/>
                      <w:left w:val="nil"/>
                      <w:bottom w:val="single" w:color="auto" w:sz="4" w:space="0"/>
                      <w:right w:val="single" w:color="auto" w:sz="4" w:space="0"/>
                    </w:tcBorders>
                    <w:vAlign w:val="center"/>
                  </w:tcPr>
                  <w:p>
                    <w:pPr>
                      <w:snapToGrid w:val="0"/>
                      <w:jc w:val="center"/>
                      <w:rPr>
                        <w:rFonts w:asciiTheme="minorEastAsia" w:hAnsiTheme="minorEastAsia" w:eastAsiaTheme="minorEastAsia"/>
                        <w:kern w:val="2"/>
                        <w:szCs w:val="21"/>
                      </w:rPr>
                    </w:pPr>
                    <w:r>
                      <w:rPr>
                        <w:rFonts w:hint="eastAsia" w:asciiTheme="minorEastAsia" w:hAnsiTheme="minorEastAsia" w:eastAsiaTheme="minorEastAsia"/>
                      </w:rPr>
                      <w:t>项目</w:t>
                    </w:r>
                  </w:p>
                </w:tc>
                <w:tc>
                  <w:tcPr>
                    <w:tcW w:w="1190"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kern w:val="2"/>
                        <w:szCs w:val="21"/>
                      </w:rPr>
                    </w:pPr>
                    <w:r>
                      <w:rPr>
                        <w:rFonts w:hint="eastAsia" w:asciiTheme="minorEastAsia" w:hAnsiTheme="minorEastAsia" w:eastAsiaTheme="minorEastAsia"/>
                      </w:rPr>
                      <w:t>2020年12月31日</w:t>
                    </w:r>
                  </w:p>
                </w:tc>
                <w:tc>
                  <w:tcPr>
                    <w:tcW w:w="1190" w:type="pct"/>
                    <w:tcBorders>
                      <w:top w:val="single" w:color="auto" w:sz="12"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kern w:val="2"/>
                        <w:szCs w:val="21"/>
                      </w:rPr>
                    </w:pPr>
                    <w:r>
                      <w:rPr>
                        <w:rFonts w:hint="eastAsia" w:asciiTheme="minorEastAsia" w:hAnsiTheme="minorEastAsia" w:eastAsiaTheme="minorEastAsia"/>
                      </w:rPr>
                      <w:t>2021年1月1日</w:t>
                    </w:r>
                  </w:p>
                </w:tc>
                <w:tc>
                  <w:tcPr>
                    <w:tcW w:w="1189" w:type="pct"/>
                    <w:tcBorders>
                      <w:top w:val="single" w:color="auto" w:sz="12" w:space="0"/>
                      <w:left w:val="single" w:color="auto" w:sz="4" w:space="0"/>
                      <w:bottom w:val="single" w:color="auto" w:sz="4" w:space="0"/>
                      <w:right w:val="nil"/>
                    </w:tcBorders>
                    <w:vAlign w:val="center"/>
                  </w:tcPr>
                  <w:p>
                    <w:pPr>
                      <w:snapToGrid w:val="0"/>
                      <w:jc w:val="center"/>
                      <w:rPr>
                        <w:rFonts w:asciiTheme="minorEastAsia" w:hAnsiTheme="minorEastAsia" w:eastAsiaTheme="minorEastAsia"/>
                        <w:kern w:val="2"/>
                        <w:szCs w:val="21"/>
                      </w:rPr>
                    </w:pPr>
                    <w:r>
                      <w:rPr>
                        <w:rFonts w:hint="eastAsia" w:asciiTheme="minorEastAsia" w:hAnsiTheme="minorEastAsia" w:eastAsiaTheme="minorEastAsia"/>
                      </w:rPr>
                      <w:t>影响数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tcBorders>
                      <w:top w:val="single" w:color="auto" w:sz="4" w:space="0"/>
                      <w:left w:val="nil"/>
                      <w:bottom w:val="single" w:color="auto" w:sz="4" w:space="0"/>
                      <w:right w:val="single" w:color="auto" w:sz="4" w:space="0"/>
                    </w:tcBorders>
                    <w:vAlign w:val="center"/>
                  </w:tcPr>
                  <w:p>
                    <w:pPr>
                      <w:snapToGrid w:val="0"/>
                      <w:rPr>
                        <w:rFonts w:asciiTheme="minorEastAsia" w:hAnsiTheme="minorEastAsia" w:eastAsiaTheme="minorEastAsia"/>
                        <w:kern w:val="2"/>
                        <w:szCs w:val="21"/>
                      </w:rPr>
                    </w:pPr>
                    <w:r>
                      <w:rPr>
                        <w:rFonts w:hint="eastAsia" w:asciiTheme="minorEastAsia" w:hAnsiTheme="minorEastAsia" w:eastAsiaTheme="minorEastAsia"/>
                      </w:rPr>
                      <w:t>使用权资产</w:t>
                    </w:r>
                  </w:p>
                </w:tc>
                <w:tc>
                  <w:tcPr>
                    <w:tcW w:w="1190" w:type="pct"/>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190" w:type="pct"/>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5,552,948.76</w:t>
                    </w:r>
                  </w:p>
                </w:tc>
                <w:tc>
                  <w:tcPr>
                    <w:tcW w:w="1189" w:type="pct"/>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5,552,948.76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tcBorders>
                      <w:top w:val="single" w:color="auto" w:sz="4" w:space="0"/>
                      <w:left w:val="nil"/>
                      <w:bottom w:val="single" w:color="auto" w:sz="4" w:space="0"/>
                      <w:right w:val="single" w:color="auto" w:sz="4" w:space="0"/>
                    </w:tcBorders>
                    <w:vAlign w:val="center"/>
                  </w:tcPr>
                  <w:p>
                    <w:pPr>
                      <w:snapToGrid w:val="0"/>
                      <w:rPr>
                        <w:rFonts w:asciiTheme="minorEastAsia" w:hAnsiTheme="minorEastAsia" w:eastAsiaTheme="minorEastAsia"/>
                        <w:kern w:val="2"/>
                        <w:szCs w:val="21"/>
                      </w:rPr>
                    </w:pPr>
                    <w:r>
                      <w:rPr>
                        <w:rFonts w:hint="eastAsia" w:asciiTheme="minorEastAsia" w:hAnsiTheme="minorEastAsia" w:eastAsiaTheme="minorEastAsia"/>
                      </w:rPr>
                      <w:t>租赁负债</w:t>
                    </w:r>
                  </w:p>
                </w:tc>
                <w:tc>
                  <w:tcPr>
                    <w:tcW w:w="1190" w:type="pct"/>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 </w:t>
                    </w:r>
                  </w:p>
                </w:tc>
                <w:tc>
                  <w:tcPr>
                    <w:tcW w:w="1190" w:type="pct"/>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4,054,226.72</w:t>
                    </w:r>
                  </w:p>
                </w:tc>
                <w:tc>
                  <w:tcPr>
                    <w:tcW w:w="1189" w:type="pct"/>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4,054,226.72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430" w:type="pct"/>
                    <w:tcBorders>
                      <w:top w:val="single" w:color="auto" w:sz="4" w:space="0"/>
                      <w:left w:val="nil"/>
                      <w:bottom w:val="single" w:color="auto" w:sz="12" w:space="0"/>
                      <w:right w:val="single" w:color="auto" w:sz="4" w:space="0"/>
                    </w:tcBorders>
                    <w:vAlign w:val="center"/>
                  </w:tcPr>
                  <w:p>
                    <w:pPr>
                      <w:snapToGrid w:val="0"/>
                      <w:rPr>
                        <w:rFonts w:asciiTheme="minorEastAsia" w:hAnsiTheme="minorEastAsia" w:eastAsiaTheme="minorEastAsia"/>
                        <w:kern w:val="2"/>
                        <w:szCs w:val="21"/>
                      </w:rPr>
                    </w:pPr>
                    <w:r>
                      <w:rPr>
                        <w:rFonts w:hint="eastAsia" w:asciiTheme="minorEastAsia" w:hAnsiTheme="minorEastAsia" w:eastAsiaTheme="minorEastAsia"/>
                      </w:rPr>
                      <w:t>一年内到期的非流动负债</w:t>
                    </w:r>
                  </w:p>
                </w:tc>
                <w:tc>
                  <w:tcPr>
                    <w:tcW w:w="1190" w:type="pct"/>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181,069,100.00</w:t>
                    </w:r>
                  </w:p>
                </w:tc>
                <w:tc>
                  <w:tcPr>
                    <w:tcW w:w="1190" w:type="pct"/>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182,567,822.04</w:t>
                    </w:r>
                  </w:p>
                </w:tc>
                <w:tc>
                  <w:tcPr>
                    <w:tcW w:w="1189" w:type="pct"/>
                    <w:tcBorders>
                      <w:top w:val="single" w:color="auto" w:sz="4" w:space="0"/>
                      <w:left w:val="single" w:color="auto" w:sz="4" w:space="0"/>
                      <w:bottom w:val="single" w:color="auto" w:sz="12"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1,498,722.04</w:t>
                    </w:r>
                  </w:p>
                </w:tc>
              </w:tr>
            </w:tbl>
            <w:p>
              <w:pPr>
                <w:adjustRightInd w:val="0"/>
                <w:snapToGrid w:val="0"/>
                <w:spacing w:before="156" w:beforeLines="50" w:line="360" w:lineRule="auto"/>
                <w:ind w:firstLine="420" w:firstLineChars="200"/>
                <w:rPr>
                  <w:rFonts w:cs="Times New Roman"/>
                  <w:bCs/>
                  <w:kern w:val="2"/>
                  <w:szCs w:val="21"/>
                </w:rPr>
              </w:pPr>
              <w:r>
                <w:rPr>
                  <w:rFonts w:hint="eastAsia"/>
                  <w:bCs/>
                </w:rPr>
                <w:t>母公司财务报表无影响。</w:t>
              </w:r>
            </w:p>
          </w:sdtContent>
        </w:sdt>
        <w:p>
          <w:pPr>
            <w:rPr>
              <w:szCs w:val="21"/>
            </w:rPr>
          </w:pPr>
        </w:p>
      </w:sdtContent>
    </w:sdt>
    <w:p>
      <w:pPr>
        <w:pStyle w:val="115"/>
        <w:numPr>
          <w:ilvl w:val="3"/>
          <w:numId w:val="75"/>
        </w:numPr>
        <w:ind w:left="426" w:hanging="426"/>
      </w:pPr>
      <w:r>
        <w:rPr>
          <w:rFonts w:hint="eastAsia"/>
        </w:rPr>
        <w:t>重要</w:t>
      </w:r>
      <w:r>
        <w:t>会计估计变更</w:t>
      </w:r>
    </w:p>
    <w:sdt>
      <w:sdtPr>
        <w:alias w:val="是否适用：重要会计估计变更[双击切换]"/>
        <w:tag w:val="_GBC_902f08bd36774074945386d2d1f9b67d"/>
        <w:id w:val="-869914700"/>
        <w:lock w:val="sdtContentLocked"/>
        <w:placeholder>
          <w:docPart w:val="GBC22222222222222222222222222222"/>
        </w:placeholder>
      </w:sdtPr>
      <w:sdtContent>
        <w:p>
          <w:pPr>
            <w:rPr>
              <w:rFonts w:ascii="Arial Narrow" w:hAnsi="Arial Narrow"/>
              <w: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Theme="minorHAnsi" w:hAnsiTheme="minorHAnsi" w:eastAsiaTheme="minorEastAsia" w:cstheme="minorBidi"/>
          <w:b/>
          <w:bCs/>
          <w:kern w:val="2"/>
          <w:szCs w:val="21"/>
        </w:rPr>
        <w:alias w:val="模块:会计估计变更"/>
        <w:tag w:val="_GBC_a657a03221464003b54e3c1dc1675cb2"/>
        <w:id w:val="109717292"/>
        <w:lock w:val="sdtLocked"/>
      </w:sdtPr>
      <w:sdtEndPr>
        <w:rPr>
          <w:rFonts w:hint="default" w:ascii="宋体" w:hAnsi="宋体" w:eastAsia="宋体" w:cs="宋体"/>
          <w:b w:val="0"/>
          <w:bCs w:val="0"/>
          <w:kern w:val="0"/>
          <w:szCs w:val="24"/>
        </w:rPr>
      </w:sdtEndPr>
      <w:sdtContent>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4"/>
            <w:gridCol w:w="1276"/>
            <w:gridCol w:w="1840"/>
            <w:gridCol w:w="3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asciiTheme="minorHAnsi" w:hAnsiTheme="minorHAnsi" w:eastAsiaTheme="minorEastAsia" w:cstheme="minorBidi"/>
                  <w:b/>
                  <w:bCs/>
                  <w:kern w:val="2"/>
                  <w:szCs w:val="21"/>
                </w:rPr>
                <w:tag w:val="_PLD_222d51c58cbf4b3caf946a1b0b8a0d4c"/>
                <w:id w:val="1679386320"/>
                <w:lock w:val="sdtLocked"/>
              </w:sdtPr>
              <w:sdtEndPr>
                <w:rPr>
                  <w:rFonts w:hint="default" w:ascii="宋体" w:hAnsi="宋体" w:eastAsia="宋体" w:cs="Times New Roman"/>
                  <w:b w:val="0"/>
                  <w:bCs w:val="0"/>
                  <w:kern w:val="0"/>
                  <w:szCs w:val="20"/>
                </w:rPr>
              </w:sdtEndPr>
              <w:sdtContent>
                <w:tc>
                  <w:tcPr>
                    <w:tcW w:w="1228" w:type="pct"/>
                    <w:vAlign w:val="center"/>
                  </w:tcPr>
                  <w:p>
                    <w:pPr>
                      <w:jc w:val="center"/>
                      <w:rPr>
                        <w:szCs w:val="21"/>
                      </w:rPr>
                    </w:pPr>
                    <w:r>
                      <w:rPr>
                        <w:szCs w:val="21"/>
                      </w:rPr>
                      <w:t>会计估计变更的内容和原因</w:t>
                    </w:r>
                  </w:p>
                </w:tc>
              </w:sdtContent>
            </w:sdt>
            <w:sdt>
              <w:sdtPr>
                <w:tag w:val="_PLD_0e6e713a144348f291a6a8cebfdc1175"/>
                <w:id w:val="-1829425348"/>
                <w:lock w:val="sdtLocked"/>
              </w:sdtPr>
              <w:sdtContent>
                <w:tc>
                  <w:tcPr>
                    <w:tcW w:w="748" w:type="pct"/>
                    <w:vAlign w:val="center"/>
                  </w:tcPr>
                  <w:p>
                    <w:pPr>
                      <w:jc w:val="center"/>
                      <w:rPr>
                        <w:szCs w:val="21"/>
                      </w:rPr>
                    </w:pPr>
                    <w:r>
                      <w:rPr>
                        <w:szCs w:val="21"/>
                      </w:rPr>
                      <w:t>审批程序</w:t>
                    </w:r>
                  </w:p>
                </w:tc>
              </w:sdtContent>
            </w:sdt>
            <w:sdt>
              <w:sdtPr>
                <w:tag w:val="_PLD_64298bbc39aa49889d9eac93cdf93ecb"/>
                <w:id w:val="1886287465"/>
                <w:lock w:val="sdtLocked"/>
              </w:sdtPr>
              <w:sdtContent>
                <w:tc>
                  <w:tcPr>
                    <w:tcW w:w="1079" w:type="pct"/>
                    <w:vAlign w:val="center"/>
                  </w:tcPr>
                  <w:p>
                    <w:pPr>
                      <w:jc w:val="center"/>
                      <w:rPr>
                        <w:szCs w:val="21"/>
                      </w:rPr>
                    </w:pPr>
                    <w:r>
                      <w:rPr>
                        <w:rFonts w:hint="eastAsia"/>
                        <w:szCs w:val="21"/>
                      </w:rPr>
                      <w:t>开始适用的时点</w:t>
                    </w:r>
                  </w:p>
                </w:tc>
              </w:sdtContent>
            </w:sdt>
            <w:sdt>
              <w:sdtPr>
                <w:tag w:val="_PLD_31b3984cdbbb420a89bfa9501c1cfa46"/>
                <w:id w:val="-300533687"/>
                <w:lock w:val="sdtLocked"/>
              </w:sdtPr>
              <w:sdtContent>
                <w:tc>
                  <w:tcPr>
                    <w:tcW w:w="1945" w:type="pct"/>
                    <w:vAlign w:val="center"/>
                  </w:tcPr>
                  <w:p>
                    <w:pPr>
                      <w:jc w:val="center"/>
                      <w:rPr>
                        <w:szCs w:val="21"/>
                      </w:rPr>
                    </w:pPr>
                    <w:r>
                      <w:rPr>
                        <w:rFonts w:hint="eastAsia"/>
                        <w:szCs w:val="21"/>
                      </w:rPr>
                      <w:t>备注</w:t>
                    </w:r>
                    <w:r>
                      <w:rPr>
                        <w:szCs w:val="21"/>
                      </w:rPr>
                      <w:t>(受重要影响的报表项目名称和金额)</w:t>
                    </w:r>
                  </w:p>
                </w:tc>
              </w:sdtContent>
            </w:sdt>
          </w:tr>
          <w:sdt>
            <w:sdtPr>
              <w:rPr>
                <w:rFonts w:hint="eastAsia" w:asciiTheme="minorHAnsi" w:hAnsiTheme="minorHAnsi" w:eastAsiaTheme="minorEastAsia" w:cstheme="minorBidi"/>
                <w:kern w:val="2"/>
                <w:szCs w:val="21"/>
              </w:rPr>
              <w:alias w:val="会计估计的变更"/>
              <w:tag w:val="_GBC_8e0c16d0b81e4bf081d014194942ee86"/>
              <w:id w:val="-139227056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8" w:type="pct"/>
                    <w:vAlign w:val="center"/>
                  </w:tcPr>
                  <w:p>
                    <w:pPr>
                      <w:rPr>
                        <w:rFonts w:cstheme="minorBidi"/>
                        <w:kern w:val="2"/>
                        <w:szCs w:val="21"/>
                      </w:rPr>
                    </w:pPr>
                    <w:r>
                      <w:rPr>
                        <w:rFonts w:hint="eastAsia" w:cstheme="minorBidi"/>
                        <w:kern w:val="2"/>
                        <w:szCs w:val="21"/>
                      </w:rPr>
                      <w:t>为了更加客观公正反映公司的财务状况和经营成果，结合公司实际管理情况及资产状况，公司自</w:t>
                    </w:r>
                    <w:r>
                      <w:rPr>
                        <w:rFonts w:cstheme="minorBidi"/>
                        <w:kern w:val="2"/>
                        <w:szCs w:val="21"/>
                      </w:rPr>
                      <w:t>2021年1月1日针对合并范围内的关联方</w:t>
                    </w:r>
                    <w:r>
                      <w:rPr>
                        <w:rFonts w:hint="eastAsia"/>
                        <w:bCs/>
                      </w:rPr>
                      <w:t>往来纳入低风险计提信用减值损失，</w:t>
                    </w:r>
                    <w:r>
                      <w:rPr>
                        <w:rFonts w:cstheme="minorBidi"/>
                        <w:kern w:val="2"/>
                        <w:szCs w:val="21"/>
                      </w:rPr>
                      <w:t>不再</w:t>
                    </w:r>
                    <w:r>
                      <w:rPr>
                        <w:rFonts w:hint="eastAsia" w:cstheme="minorBidi"/>
                        <w:kern w:val="2"/>
                        <w:szCs w:val="21"/>
                      </w:rPr>
                      <w:t>按1%</w:t>
                    </w:r>
                    <w:r>
                      <w:rPr>
                        <w:rFonts w:cstheme="minorBidi"/>
                        <w:kern w:val="2"/>
                        <w:szCs w:val="21"/>
                      </w:rPr>
                      <w:t>计提信用减值损失</w:t>
                    </w:r>
                    <w:r>
                      <w:rPr>
                        <w:rFonts w:hint="eastAsia" w:cstheme="minorBidi"/>
                        <w:kern w:val="2"/>
                        <w:szCs w:val="21"/>
                      </w:rPr>
                      <w:t>。</w:t>
                    </w:r>
                  </w:p>
                </w:tc>
                <w:tc>
                  <w:tcPr>
                    <w:tcW w:w="748" w:type="pct"/>
                    <w:vAlign w:val="center"/>
                  </w:tcPr>
                  <w:p>
                    <w:pPr>
                      <w:jc w:val="both"/>
                      <w:rPr>
                        <w:szCs w:val="21"/>
                      </w:rPr>
                    </w:pPr>
                    <w:r>
                      <w:rPr>
                        <w:rFonts w:hint="eastAsia"/>
                        <w:szCs w:val="21"/>
                      </w:rPr>
                      <w:t>公司于2</w:t>
                    </w:r>
                    <w:r>
                      <w:rPr>
                        <w:szCs w:val="21"/>
                      </w:rPr>
                      <w:t>022</w:t>
                    </w:r>
                    <w:r>
                      <w:rPr>
                        <w:rFonts w:hint="eastAsia"/>
                        <w:szCs w:val="21"/>
                      </w:rPr>
                      <w:t>年4月2</w:t>
                    </w:r>
                    <w:r>
                      <w:rPr>
                        <w:szCs w:val="21"/>
                      </w:rPr>
                      <w:t>2</w:t>
                    </w:r>
                    <w:r>
                      <w:rPr>
                        <w:rFonts w:hint="eastAsia"/>
                        <w:szCs w:val="21"/>
                      </w:rPr>
                      <w:t>日召开第五届董事会第八次会议、第五届监事会第七次会议审议通过《关于会计政策和会计估计变更的议案》。</w:t>
                    </w:r>
                  </w:p>
                </w:tc>
                <w:tc>
                  <w:tcPr>
                    <w:tcW w:w="1079" w:type="pct"/>
                    <w:vAlign w:val="center"/>
                  </w:tcPr>
                  <w:p>
                    <w:pPr>
                      <w:jc w:val="both"/>
                      <w:rPr>
                        <w:szCs w:val="21"/>
                      </w:rPr>
                    </w:pPr>
                  </w:p>
                  <w:p>
                    <w:pPr>
                      <w:jc w:val="both"/>
                      <w:rPr>
                        <w:szCs w:val="21"/>
                      </w:rPr>
                    </w:pPr>
                    <w:r>
                      <w:rPr>
                        <w:szCs w:val="21"/>
                      </w:rPr>
                      <w:t>2021年1月1日</w:t>
                    </w:r>
                  </w:p>
                </w:tc>
                <w:tc>
                  <w:tcPr>
                    <w:tcW w:w="1945" w:type="pct"/>
                    <w:vAlign w:val="center"/>
                  </w:tcPr>
                  <w:p>
                    <w:pPr>
                      <w:pStyle w:val="281"/>
                      <w:widowControl w:val="0"/>
                      <w:spacing w:line="360" w:lineRule="auto"/>
                      <w:ind w:left="0" w:leftChars="0" w:firstLine="420" w:firstLineChars="200"/>
                      <w:jc w:val="both"/>
                      <w:rPr>
                        <w:rFonts w:ascii="Arial Narrow" w:hAnsi="Arial Narrow"/>
                        <w:b w:val="0"/>
                        <w:bCs w:val="0"/>
                      </w:rPr>
                    </w:pPr>
                    <w:r>
                      <w:rPr>
                        <w:rFonts w:hint="eastAsia"/>
                        <w:b w:val="0"/>
                        <w:bCs w:val="0"/>
                      </w:rPr>
                      <w:t>本公司自</w:t>
                    </w:r>
                    <w:r>
                      <w:rPr>
                        <w:rFonts w:hint="eastAsia" w:ascii="Arial Narrow" w:hAnsi="Arial Narrow"/>
                        <w:b w:val="0"/>
                        <w:bCs w:val="0"/>
                      </w:rPr>
                      <w:t>2021</w:t>
                    </w:r>
                    <w:r>
                      <w:rPr>
                        <w:rFonts w:hint="eastAsia"/>
                        <w:b w:val="0"/>
                        <w:bCs w:val="0"/>
                      </w:rPr>
                      <w:t>年</w:t>
                    </w:r>
                    <w:r>
                      <w:rPr>
                        <w:rFonts w:hint="eastAsia" w:ascii="Arial Narrow" w:hAnsi="Arial Narrow"/>
                        <w:b w:val="0"/>
                        <w:bCs w:val="0"/>
                      </w:rPr>
                      <w:t>1</w:t>
                    </w:r>
                    <w:r>
                      <w:rPr>
                        <w:rFonts w:hint="eastAsia"/>
                        <w:b w:val="0"/>
                        <w:bCs w:val="0"/>
                      </w:rPr>
                      <w:t>月</w:t>
                    </w:r>
                    <w:r>
                      <w:rPr>
                        <w:rFonts w:hint="eastAsia" w:ascii="Arial Narrow" w:hAnsi="Arial Narrow"/>
                        <w:b w:val="0"/>
                        <w:bCs w:val="0"/>
                      </w:rPr>
                      <w:t>1</w:t>
                    </w:r>
                    <w:r>
                      <w:rPr>
                        <w:rFonts w:hint="eastAsia"/>
                        <w:b w:val="0"/>
                        <w:bCs w:val="0"/>
                      </w:rPr>
                      <w:t>日针对合并范围内的关联方往来纳入低风险计提信用减值损失，该会计估计变更对合并财务报表无影响。</w:t>
                    </w:r>
                  </w:p>
                  <w:p>
                    <w:pPr>
                      <w:jc w:val="both"/>
                      <w:rPr>
                        <w:szCs w:val="21"/>
                      </w:rPr>
                    </w:pPr>
                  </w:p>
                </w:tc>
              </w:tr>
            </w:sdtContent>
          </w:sdt>
        </w:tbl>
        <w:p>
          <w:pPr>
            <w:rPr>
              <w:szCs w:val="21"/>
            </w:rPr>
          </w:pPr>
          <w:r>
            <w:rPr>
              <w:rFonts w:hint="eastAsia"/>
              <w:szCs w:val="21"/>
            </w:rPr>
            <w:t>其他说明</w:t>
          </w:r>
        </w:p>
        <w:sdt>
          <w:sdtPr>
            <w:rPr>
              <w:rFonts w:cs="宋体"/>
              <w:b w:val="0"/>
              <w:bCs w:val="0"/>
              <w:kern w:val="0"/>
              <w:szCs w:val="24"/>
            </w:rPr>
            <w:alias w:val="会计估计的变更的其他说明"/>
            <w:tag w:val="_GBC_a41b27e651e046789ab16161a8619783"/>
            <w:id w:val="-76371237"/>
            <w:lock w:val="sdtLocked"/>
          </w:sdtPr>
          <w:sdtEndPr>
            <w:rPr>
              <w:rFonts w:cs="宋体"/>
              <w:b w:val="0"/>
              <w:bCs w:val="0"/>
              <w:kern w:val="0"/>
              <w:szCs w:val="24"/>
            </w:rPr>
          </w:sdtEndPr>
          <w:sdtContent>
            <w:p>
              <w:pPr>
                <w:pStyle w:val="281"/>
                <w:widowControl w:val="0"/>
                <w:spacing w:line="360" w:lineRule="auto"/>
                <w:ind w:left="0" w:leftChars="0" w:firstLine="420" w:firstLineChars="200"/>
                <w:jc w:val="both"/>
                <w:rPr>
                  <w:rFonts w:ascii="Arial Narrow" w:hAnsi="Arial Narrow"/>
                  <w:b w:val="0"/>
                  <w:bCs w:val="0"/>
                </w:rPr>
              </w:pPr>
              <w:r>
                <w:rPr>
                  <w:rFonts w:hint="eastAsia"/>
                  <w:b w:val="0"/>
                  <w:bCs w:val="0"/>
                </w:rPr>
                <w:t>无</w:t>
              </w:r>
            </w:p>
            <w:p/>
          </w:sdtContent>
        </w:sdt>
      </w:sdtContent>
    </w:sdt>
    <w:sdt>
      <w:sdtPr>
        <w:rPr>
          <w:rFonts w:ascii="宋体" w:hAnsi="宋体" w:eastAsia="宋体" w:cs="宋体"/>
          <w:b w:val="0"/>
          <w:bCs w:val="0"/>
          <w:kern w:val="0"/>
          <w:szCs w:val="24"/>
        </w:rPr>
        <w:alias w:val="选项模块:首次执行新金融工具准则、新收入准则、新租赁准则调整首次执行当年年初财务报表相关项目情况"/>
        <w:tag w:val="_SEC_26cb0ff2f40c4cec8cc5f95eaa49a269"/>
        <w:id w:val="251395991"/>
        <w:lock w:val="sdtLocked"/>
        <w:placeholder>
          <w:docPart w:val="GBC22222222222222222222222222222"/>
        </w:placeholder>
      </w:sdtPr>
      <w:sdtEndPr>
        <w:rPr>
          <w:rFonts w:ascii="宋体" w:hAnsi="宋体" w:eastAsia="宋体" w:cs="宋体"/>
          <w:b w:val="0"/>
          <w:bCs w:val="0"/>
          <w:kern w:val="0"/>
          <w:szCs w:val="21"/>
        </w:rPr>
      </w:sdtEndPr>
      <w:sdtContent>
        <w:p>
          <w:pPr>
            <w:pStyle w:val="115"/>
            <w:numPr>
              <w:ilvl w:val="3"/>
              <w:numId w:val="75"/>
            </w:numPr>
            <w:ind w:left="426" w:hanging="426"/>
          </w:pPr>
          <w:bookmarkStart w:id="140" w:name="_Hlk10465969"/>
          <w:bookmarkEnd w:id="140"/>
          <w:bookmarkStart w:id="141" w:name="_Hlk24100246"/>
          <w:r>
            <w:rPr>
              <w:rFonts w:ascii="Times New Roman" w:hAnsi="Times New Roman"/>
            </w:rPr>
            <w:t>2021</w:t>
          </w:r>
          <w:r>
            <w:t>年</w:t>
          </w:r>
          <w:r>
            <w:rPr>
              <w:rFonts w:hint="eastAsia"/>
            </w:rPr>
            <w:t>起首次执行新租赁准则调整首次执行当年年初财务报表相关情</w:t>
          </w:r>
          <w:r>
            <w:t>况</w:t>
          </w:r>
        </w:p>
        <w:sdt>
          <w:sdtPr>
            <w:rPr>
              <w:rFonts w:hint="eastAsia"/>
            </w:rPr>
            <w:alias w:val="是否适用：首次执行新金融工具准则或新收入准则调整首次执行当年年初财务报表相关项目情况[双击切换]"/>
            <w:tag w:val="_GBC_e1701479a1654e0d9f4b2ffb99c13db0"/>
            <w:id w:val="300201277"/>
            <w:lock w:val="sdtLocked"/>
          </w:sdtPr>
          <w:sdtEndPr>
            <w:rPr>
              <w:rFonts w:hint="eastAsia"/>
            </w:rPr>
          </w:sdtEndPr>
          <w:sdtContent>
            <w:p>
              <w:r>
                <w:fldChar w:fldCharType="begin"/>
              </w:r>
              <w:r>
                <w:instrText xml:space="preserve">MACROBUTTON  SnrToggleCheckbox √适用</w:instrText>
              </w:r>
              <w:r>
                <w:fldChar w:fldCharType="end"/>
              </w:r>
              <w:r>
                <w:fldChar w:fldCharType="begin"/>
              </w:r>
              <w:r>
                <w:instrText xml:space="preserve"> MACROBUTTON  SnrToggleCheckbox □不适用 </w:instrText>
              </w:r>
              <w:r>
                <w:fldChar w:fldCharType="end"/>
              </w:r>
            </w:p>
          </w:sdtContent>
        </w:sdt>
        <w:sdt>
          <w:sdtPr>
            <w:rPr>
              <w:rFonts w:hint="eastAsia" w:cs="Times New Roman"/>
              <w:b/>
              <w:bCs/>
              <w:kern w:val="2"/>
              <w:szCs w:val="21"/>
            </w:rPr>
            <w:tag w:val="_SEC_f8b5e3b0e4464bf18cb7f8002da4c278"/>
            <w:id w:val="619270278"/>
            <w:lock w:val="sdtLocked"/>
          </w:sdtPr>
          <w:sdtEndPr>
            <w:rPr>
              <w:rFonts w:hint="default" w:cs="Times New Roman"/>
              <w:b/>
              <w:bCs/>
              <w:color w:val="008000"/>
              <w:kern w:val="2"/>
              <w:szCs w:val="21"/>
              <w:u w:val="single"/>
            </w:rPr>
          </w:sdtEndPr>
          <w:sdtContent>
            <w:p>
              <w:pPr>
                <w:jc w:val="center"/>
              </w:pPr>
              <w:r>
                <w:rPr>
                  <w:rFonts w:hint="eastAsia"/>
                </w:rPr>
                <w:t>合并资产负债表</w:t>
              </w:r>
            </w:p>
            <w:p>
              <w:pPr>
                <w:jc w:val="right"/>
                <w:rPr>
                  <w:szCs w:val="21"/>
                </w:rPr>
              </w:pPr>
              <w:r>
                <w:rPr>
                  <w:szCs w:val="21"/>
                </w:rPr>
                <w:t>单位:</w:t>
              </w:r>
              <w:sdt>
                <w:sdtPr>
                  <w:rPr>
                    <w:szCs w:val="21"/>
                  </w:rPr>
                  <w:alias w:val="单位：合并资产负债表"/>
                  <w:tag w:val="_GBC_c76689d8a1414d6cba73369b4afdbc5c"/>
                  <w:id w:val="1143849746"/>
                  <w:lock w:val="sdtLocked"/>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合并资产负债表"/>
                  <w:tag w:val="_GBC_4a07a2cb6d48405a8956fb7391944924"/>
                  <w:id w:val="-30555644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10"/>
                <w:tblW w:w="499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857"/>
                <w:gridCol w:w="2001"/>
                <w:gridCol w:w="2001"/>
                <w:gridCol w:w="16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b/>
                      <w:szCs w:val="21"/>
                    </w:rPr>
                    <w:tag w:val="_PLD_6fc1597bc396435a82bab916a78feb66"/>
                    <w:id w:val="-70970454"/>
                    <w:lock w:val="sdtLocked"/>
                  </w:sdtPr>
                  <w:sdtEndPr>
                    <w:rPr>
                      <w:rFonts w:asciiTheme="minorEastAsia" w:hAnsiTheme="minorEastAsia" w:eastAsiaTheme="minorEastAsia"/>
                      <w:b/>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asciiTheme="minorEastAsia" w:hAnsiTheme="minorEastAsia" w:eastAsiaTheme="minorEastAsia"/>
                            <w:b/>
                            <w:szCs w:val="21"/>
                          </w:rPr>
                          <w:t>项目</w:t>
                        </w:r>
                      </w:p>
                    </w:tc>
                  </w:sdtContent>
                </w:sdt>
                <w:sdt>
                  <w:sdtPr>
                    <w:rPr>
                      <w:rFonts w:asciiTheme="minorEastAsia" w:hAnsiTheme="minorEastAsia" w:eastAsiaTheme="minorEastAsia"/>
                      <w:b/>
                      <w:szCs w:val="21"/>
                    </w:rPr>
                    <w:tag w:val="_PLD_a68ffaa96e6f4c0e80a0435d3b194b6c"/>
                    <w:id w:val="-1502038156"/>
                    <w:lock w:val="sdtLocked"/>
                  </w:sdtPr>
                  <w:sdtEndPr>
                    <w:rPr>
                      <w:rFonts w:asciiTheme="minorEastAsia" w:hAnsiTheme="minorEastAsia" w:eastAsiaTheme="minorEastAsia"/>
                      <w:b/>
                      <w:szCs w:val="21"/>
                    </w:rPr>
                  </w:sdtEndPr>
                  <w:sdtContent>
                    <w:tc>
                      <w:tcPr>
                        <w:tcW w:w="1108"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2020年12月31日</w:t>
                        </w:r>
                      </w:p>
                    </w:tc>
                  </w:sdtContent>
                </w:sdt>
                <w:sdt>
                  <w:sdtPr>
                    <w:rPr>
                      <w:rFonts w:asciiTheme="minorEastAsia" w:hAnsiTheme="minorEastAsia" w:eastAsiaTheme="minorEastAsia"/>
                      <w:b/>
                      <w:szCs w:val="21"/>
                    </w:rPr>
                    <w:tag w:val="_PLD_305c6e697d374e8cbf3fbd7344b16cca"/>
                    <w:id w:val="1378124654"/>
                    <w:lock w:val="sdtLocked"/>
                  </w:sdtPr>
                  <w:sdtEndPr>
                    <w:rPr>
                      <w:rFonts w:asciiTheme="minorEastAsia" w:hAnsiTheme="minorEastAsia" w:eastAsiaTheme="minorEastAsia"/>
                      <w:b/>
                      <w:szCs w:val="21"/>
                    </w:rPr>
                  </w:sdtEndPr>
                  <w:sdtContent>
                    <w:tc>
                      <w:tcPr>
                        <w:tcW w:w="1107"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2021年1月1日</w:t>
                        </w:r>
                      </w:p>
                    </w:tc>
                  </w:sdtContent>
                </w:sdt>
                <w:sdt>
                  <w:sdtPr>
                    <w:rPr>
                      <w:rFonts w:asciiTheme="minorEastAsia" w:hAnsiTheme="minorEastAsia" w:eastAsiaTheme="minorEastAsia"/>
                      <w:szCs w:val="21"/>
                    </w:rPr>
                    <w:tag w:val="_PLD_84c7518f45af423388e6182271db2ab1"/>
                    <w:id w:val="2119099627"/>
                    <w:lock w:val="sdtLocked"/>
                  </w:sdtPr>
                  <w:sdtEndPr>
                    <w:rPr>
                      <w:rFonts w:asciiTheme="minorEastAsia" w:hAnsiTheme="minorEastAsia" w:eastAsiaTheme="minorEastAsia"/>
                      <w:szCs w:val="21"/>
                    </w:rPr>
                  </w:sdtEndPr>
                  <w:sdtContent>
                    <w:tc>
                      <w:tcPr>
                        <w:tcW w:w="1041"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调整数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1be53ba0749452f957561f0851e3434"/>
                    <w:id w:val="1979103444"/>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b/>
                            <w:szCs w:val="21"/>
                          </w:rPr>
                        </w:pPr>
                        <w:r>
                          <w:rPr>
                            <w:rFonts w:hint="eastAsia" w:asciiTheme="minorEastAsia" w:hAnsiTheme="minorEastAsia" w:eastAsiaTheme="minorEastAsia"/>
                            <w:b/>
                            <w:szCs w:val="21"/>
                          </w:rPr>
                          <w:t>流动</w:t>
                        </w:r>
                        <w:r>
                          <w:rPr>
                            <w:rFonts w:asciiTheme="minorEastAsia" w:hAnsiTheme="minorEastAsia" w:eastAsiaTheme="minorEastAsia"/>
                            <w:b/>
                            <w:szCs w:val="21"/>
                          </w:rPr>
                          <w:t>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b5e10d1e9fd4cf59ab531d086e90e5c"/>
                    <w:id w:val="-17942791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货币资金</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2,461,656,800.20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2,461,656,800.20</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1d0c89ed7ad408f9f60157b30a3b744"/>
                    <w:id w:val="-2076421292"/>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结算备付金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2f07a0e078143afbf120b26b52bb77a"/>
                    <w:id w:val="51420360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拆出资金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c2de4bbf21ea41b6a2c687b47078014d"/>
                      <w:id w:val="-957016986"/>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854d11808314a33b1018815a1ec5f5a"/>
                    <w:id w:val="-82381175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ff0df6bddcf4e9697e59746e236ed69"/>
                    <w:id w:val="83265260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应收票据</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113,288,373.10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113,288,373.10</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5df00f8bdae4d439d66e1fa7c0a2713"/>
                    <w:id w:val="1065421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应收账款</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529,884,850.93</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529,884,850.93</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96908eb6b8754c0f867298e003270696"/>
                      <w:id w:val="1460763266"/>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应收款项融资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3bb4c817d034f7a823e34b18acd0389"/>
                    <w:id w:val="742839883"/>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预付款项</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53,380,257.46</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53,380,257.46</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5f3020a870e4ef5a30d0cc8b7af9bb3"/>
                    <w:id w:val="153507959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应收保费</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1de79f2f7cb4ff6b91fec2cc386a8a7"/>
                    <w:id w:val="-120845788"/>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应收分保账款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84b811cccaa4997b225d080db845159"/>
                    <w:id w:val="139809493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应收分保合同准备金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d83dbef8a2c4a47b27c9eb39018d849"/>
                    <w:id w:val="152235633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其他应收款</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1,062,246,467.49</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1,062,246,467.49</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7da6417b865434a99ef8d8471b19d80"/>
                    <w:id w:val="147934527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其中：应收利息</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29,294.46</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29,294.46</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4b443d51e5b4cdca1896324717e83df"/>
                    <w:id w:val="173172113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应收股利</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51,530,323.48</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51,530,323.48</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43542756f57402db9b814317cb3b9cc"/>
                    <w:id w:val="-2025546053"/>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买入返售金融资产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0704a665fe4442d95da412d0a8f7f7e"/>
                    <w:id w:val="-113409076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存货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2,694,606,918.34</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2,694,606,918.34</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e121c97ee53f43688040575cd2ccca6f"/>
                      <w:id w:val="-101206030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6995041bd554ce8a5c1dc3bbe7c1b8c"/>
                    <w:id w:val="-126861860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1842a11dc0c4131996709e610aad498"/>
                    <w:id w:val="139037722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222a03a7bb044de9316964080a087b3"/>
                    <w:id w:val="469942528"/>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462,839,597.15</w:t>
                    </w: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462,839,597.15</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0af9ed368a34f068411f77cb6f8aba0"/>
                    <w:id w:val="208602574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流动资产合计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7,377,903,264.67</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7,377,903,264.67</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4"/>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b/>
                        <w:szCs w:val="21"/>
                      </w:rPr>
                      <w:tag w:val="_PLD_65e9fcff9b044dec8f59b4f84a06a436"/>
                      <w:id w:val="191118978"/>
                      <w:lock w:val="sdtLocked"/>
                    </w:sdtPr>
                    <w:sdtEndPr>
                      <w:rPr>
                        <w:rFonts w:hint="eastAsia" w:asciiTheme="minorEastAsia" w:hAnsiTheme="minorEastAsia" w:eastAsiaTheme="minorEastAsia"/>
                        <w:b/>
                        <w:szCs w:val="21"/>
                      </w:rPr>
                    </w:sdtEndPr>
                    <w:sdtContent>
                      <w:p>
                        <w:pPr>
                          <w:rPr>
                            <w:rFonts w:asciiTheme="minorEastAsia" w:hAnsiTheme="minorEastAsia" w:eastAsiaTheme="minorEastAsia"/>
                            <w:szCs w:val="21"/>
                          </w:rPr>
                        </w:pPr>
                        <w:r>
                          <w:rPr>
                            <w:rFonts w:hint="eastAsia" w:asciiTheme="minorEastAsia" w:hAnsiTheme="minorEastAsia" w:eastAsiaTheme="minorEastAsia"/>
                            <w:b/>
                            <w:szCs w:val="21"/>
                          </w:rPr>
                          <w:t>非流动资产：</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078a18156424bf8b1644adb2f01c54a"/>
                    <w:id w:val="1455595682"/>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发放贷款和垫款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c12a088c4d6741508003cfc95ec57c30"/>
                      <w:id w:val="-731767495"/>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债权投资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9d7576a6f67b4cda8ddc9efaff1f00b5"/>
                      <w:id w:val="1421224386"/>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其他债权投资</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cd075ba92d6493987f7f2593a2dc5cc"/>
                    <w:id w:val="131421717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长期应收款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6081e42ce1d48368cf06f5af62f3cb2"/>
                    <w:id w:val="72472941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长期股权投资</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3,970,036,292.72</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3,970,036,292.72</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c96845a4dceb4172af68c7fddfe190a5"/>
                      <w:id w:val="159219262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其他权益工具投资</w:t>
                        </w:r>
                      </w:p>
                    </w:sdtContent>
                  </w:sdt>
                </w:tc>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6,106,735.86</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6,106,735.86</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0d36495dec1c4a5d8b71b74118589ba4"/>
                      <w:id w:val="20762504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其他非流动金融资产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f50f96789344e5a9abd1a4641fbccb8"/>
                    <w:id w:val="74792529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投资性房地产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2,655,143,686.50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2,655,143,686.50</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d348d80f95240a1a0fc9021fc99f0ad"/>
                    <w:id w:val="-567409498"/>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固定资产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2,092,062,609.50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2,092,062,609.50</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e5f98463fd041f0a3cc101d6a4b81fa"/>
                    <w:id w:val="-1366370122"/>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在建工程</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35,996,361.91</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35,996,361.91</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09ad31386d74a58a564ef6738683a54"/>
                    <w:id w:val="57417367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生产性生物资产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8e3155234fd47d28c1edffc5f858f59"/>
                    <w:id w:val="-1020855168"/>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油气资产</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9d338c3c81374957895f63484d56f666"/>
                      <w:id w:val="82508543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使用权资产</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5,552,948.76</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5,552,948.76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5b00a72d9ac4607850e5931fc87d9e9"/>
                    <w:id w:val="-66139425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无形资产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550,178,763.98</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550,178,763.98</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30af222669f4ddfa6b6d5ab2d6fa6f9"/>
                    <w:id w:val="165070614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开发支出</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53,571,352.45</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53,571,352.45</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fd25b9bea114c8fb102f231f4f6a19a"/>
                    <w:id w:val="108834193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商誉</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319,273,772.27</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319,273,772.27</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e2d61fff6504f7a908b77966e255b00"/>
                    <w:id w:val="64269822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长期待摊费用</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3,133,097.35</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3,133,097.35</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0d75398c7ed4ee5a4b82577a574695e"/>
                    <w:id w:val="1644615305"/>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877,097,515.89</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877,097,515.89</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37ff2058f5e418695dabe1287fdd5c1"/>
                    <w:id w:val="-155662385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其他非流动资产</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076839728b74a7c964bfeaa7bc5ac0a"/>
                    <w:id w:val="-1678138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非流动资产合计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10,562,600,188.43</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10,568,153,137.19</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5,552,948.76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a41544b9c4e4edd8d76ea8847ffee3c"/>
                    <w:id w:val="151279689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资产总计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17,940,503,453.10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17,946,056,401.86</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5,552,948.76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000" w:type="pct"/>
                    <w:gridSpan w:val="4"/>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b/>
                        <w:szCs w:val="21"/>
                      </w:rPr>
                      <w:tag w:val="_PLD_8067f9f0d05c4a78b15dfd4da086633f"/>
                      <w:id w:val="1779290553"/>
                      <w:lock w:val="sdtLocked"/>
                    </w:sdtPr>
                    <w:sdtEndPr>
                      <w:rPr>
                        <w:rFonts w:hint="eastAsia" w:asciiTheme="minorEastAsia" w:hAnsiTheme="minorEastAsia" w:eastAsiaTheme="minorEastAsia"/>
                        <w:b/>
                        <w:szCs w:val="21"/>
                      </w:rPr>
                    </w:sdtEndPr>
                    <w:sdtContent>
                      <w:p>
                        <w:pPr>
                          <w:rPr>
                            <w:rFonts w:asciiTheme="minorEastAsia" w:hAnsiTheme="minorEastAsia" w:eastAsiaTheme="minorEastAsia"/>
                            <w:szCs w:val="21"/>
                          </w:rPr>
                        </w:pPr>
                        <w:r>
                          <w:rPr>
                            <w:rFonts w:hint="eastAsia" w:asciiTheme="minorEastAsia" w:hAnsiTheme="minorEastAsia" w:eastAsiaTheme="minorEastAsia"/>
                            <w:b/>
                            <w:szCs w:val="21"/>
                          </w:rPr>
                          <w:t>流动负债：</w:t>
                        </w:r>
                      </w:p>
                    </w:sdtContent>
                  </w:sdt>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57fa44245464dcc9ec1499ec3621261"/>
                    <w:id w:val="34367698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短期借款</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37,900,000.00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37,900,000.00</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1fa5fa07ec847239593bcea5028ff3a"/>
                    <w:id w:val="646251175"/>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向中央银行借款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73945690a1743e0a455b80b5a7c80e4"/>
                    <w:id w:val="-452466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拆入资金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3c72ec4060b248229a7c2d949261085a"/>
                      <w:id w:val="4177995"/>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交易性金融负债</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e91a504dd3d4cd382e556966c030be5"/>
                    <w:id w:val="192923196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3f7289a61e224d95ad5f9aadc9fdd286"/>
                      <w:id w:val="940412864"/>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应付票据</w:t>
                        </w:r>
                      </w:p>
                    </w:sdtContent>
                  </w:sdt>
                </w:tc>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79,134,886.07</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79,134,886.07</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600cea1a5a2d446e99ec1cc0873d71ad"/>
                      <w:id w:val="71285331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应付账款</w:t>
                        </w:r>
                      </w:p>
                    </w:sdtContent>
                  </w:sdt>
                </w:tc>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753,843,063.96</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753,843,063.96</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055ca6ff6a443639ef4de2b950b34fa"/>
                    <w:id w:val="-185656852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预收款项</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25,196,265.73</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25,196,265.73</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5a828dd0e96141a897b89facd59278c0"/>
                      <w:id w:val="-123778595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合同负债</w:t>
                        </w:r>
                      </w:p>
                    </w:sdtContent>
                  </w:sdt>
                </w:tc>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428,310,151.38</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428,310,151.38</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709a7f6d3a24de98edc9727e5788877"/>
                    <w:id w:val="-85418147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卖出回购金融资产款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8e5c0eb1ac964169a39f907a38b7a237"/>
                      <w:id w:val="882900479"/>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吸收存款及同业存放</w:t>
                        </w:r>
                      </w:p>
                    </w:sdtContent>
                  </w:sdt>
                </w:tc>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edf93a2c92d42f28df75d8e538bbb65"/>
                    <w:id w:val="-195878146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代理买卖证券款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78d658fba8e48eda0255a8e15f59ce6"/>
                    <w:id w:val="-148207485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代理承销证券款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9be440ae2104fdeae48bcadd844f15c"/>
                    <w:id w:val="19797125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应付职工薪酬</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34,568,178.93</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34,568,178.93</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cda584a3a5d4b3dad73c9c2a28125b2"/>
                    <w:id w:val="123983475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应交税费</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22,865,676.45</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22,865,676.45</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336952ace0c4fcabff7da1b53b95418"/>
                    <w:id w:val="53216621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其他应付款</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793,036,009.63</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793,036,009.63</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2c096c517d7457d95deeafc5571d989"/>
                    <w:id w:val="-106850171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其中：应付利息</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66ca31a7b1d4f22bdd8ac0b8d88488e"/>
                    <w:id w:val="146076752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应付股利</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5190f27aff540d6a22d0eabe8f518a0"/>
                    <w:id w:val="3108385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应付手续费及佣金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70e8ac4d3494e58b93990b5d68413d7"/>
                    <w:id w:val="200863449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应付分保账款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8577cfca8d74839bc30915cd9093d64"/>
                    <w:id w:val="201418121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持有待售负债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1bca57515d143b9aaee462043e4016d"/>
                    <w:id w:val="-129676129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一年内到期的非流动负债</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181,069,100.00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182,567,822.04</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1,498,722.04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f933492b7934a9d9ee8ffe67cb4d723"/>
                    <w:id w:val="719943985"/>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其他流动负债</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30,136,924.15</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30,136,924.15</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82edf385d34481bb12d5fd0bdecf266"/>
                    <w:id w:val="-168219287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流动负债合计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2,386,060,256.30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2,387,558,978.34</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1,498,722.04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9e41edbb8994a5fbb87357de68aa38e"/>
                    <w:id w:val="-1518141349"/>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a3f0f7597d646139581890d90a93c21"/>
                    <w:id w:val="-33924402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保险合同准备金</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8a5f48805f04fa195236724972a7c5b"/>
                    <w:id w:val="-300619198"/>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长期借款</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3,651,766,697.66</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3,651,766,697.66</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a3463b73669457e8424929b04125de0"/>
                    <w:id w:val="124075074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应付债券</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ad8c988179948a9a7681edbbc7c8b90"/>
                    <w:id w:val="-105168959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6a705064416480ea776d486ce2178f8"/>
                    <w:id w:val="12081115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44"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75f21e93658544fd94108615828e4020"/>
                      <w:id w:val="-1856489184"/>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租赁负债</w:t>
                        </w:r>
                      </w:p>
                    </w:sdtContent>
                  </w:sdt>
                </w:tc>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4,054,226.72</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4,054,226.72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1510f1f212d4d59b069d7e098eb11f1"/>
                    <w:id w:val="-581216868"/>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长期应付款</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f1a82d1724d42139a5e3b3b7b475b26"/>
                    <w:id w:val="-145324256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长期应付职工薪酬</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ed6e353c522429081045d798081a39a"/>
                    <w:id w:val="-94060628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预计负债</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65,880,833.46</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65,880,833.46</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b0a13729a3746ff9bb4e01c71bd2f52"/>
                    <w:id w:val="-128495897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递延收益</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3,515,990.78</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3,515,990.78</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28a2a30b6c74f9c80969320f8125260"/>
                    <w:id w:val="-102347055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递延所得税负债</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621,330,844.82</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621,330,844.82</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6d54e21e4374ad7b6b67596186ec2d9"/>
                    <w:id w:val="-94900988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其他非流动负债</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47a292c8eb849d89939f0b5a6b35191"/>
                    <w:id w:val="132478283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非流动负债合计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4,342,494,366.72</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4,346,548,593.44</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4,054,226.72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3ff2591ad04463f94764d02965b8bef"/>
                    <w:id w:val="-115568518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6,728,554,623.02</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6,734,107,571.78</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5,552,948.76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6fe23a5bec04ba0a358c4895d9e25ef"/>
                    <w:id w:val="2069766616"/>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c6bc89c77864157aa7e89fe01481ebe"/>
                    <w:id w:val="-113918353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实收资本（或股本）</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4,521,013,100.00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4,521,013,100.00</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27028833d464b289a2a47eb6f784852"/>
                    <w:id w:val="-35874096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f46261e33fa4e74b035dc7316f9afb2"/>
                    <w:id w:val="143663574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e91cfdc036a497fbdba9106efa67470"/>
                    <w:id w:val="-1985085856"/>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ec39d2abc014fe091a4c1072362f26e"/>
                    <w:id w:val="270443692"/>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资本公积</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8,647,221,763.25</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8,647,221,763.25</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7b7c6fd2aad48a0890b0dc8bc4a47ad"/>
                    <w:id w:val="-136712817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减：库存股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250,597,854.00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250,597,854.00</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c1e2e10addb4ee8ac9c7549ebb4fd96"/>
                    <w:id w:val="2087026725"/>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其他综合收益</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-224,803,019.42</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-224,803,019.42</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72e71d877a94608b60f24447c5002ef"/>
                    <w:id w:val="168917717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专项储备</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112302ac12b45ec8fecf3b478653195"/>
                    <w:id w:val="-371378592"/>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盈余公积</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ff91beebc864bcb8632598c78a2cf5d"/>
                    <w:id w:val="1333730731"/>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一般风险准备</w:t>
                        </w:r>
                      </w:p>
                    </w:tc>
                  </w:sdtContent>
                </w:sdt>
                <w:tc>
                  <w:tcPr>
                    <w:tcW w:w="1108"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07"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2d9397a4dd64ef0968bbe13e62881a4"/>
                    <w:id w:val="1696809513"/>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未分配利润</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-3,044,426,693.79</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-3,044,426,693.79</w:t>
                    </w:r>
                  </w:p>
                </w:tc>
                <w:tc>
                  <w:tcPr>
                    <w:tcW w:w="104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2579ed30c7c4775bccf662b5f94a435"/>
                    <w:id w:val="1614942949"/>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归属于母公司所有者权益（或股东权益）合计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10,075,401,049.68</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10,075,401,049.68</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15cb30c3b434cd9ac81472ea2f29370"/>
                    <w:id w:val="975335274"/>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少数股东权益</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1,136,547,780.40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1,136,547,780.40</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cc32dc7c4f34f7f99d6595872ce6513"/>
                    <w:id w:val="-1993019520"/>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所有者权益（或股东权益）合计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11,211,948,830.08</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11,211,948,830.08</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94235a339c64faf8a830314ceedea65"/>
                    <w:id w:val="1716469547"/>
                    <w:lock w:val="sdtLocked"/>
                  </w:sdtPr>
                  <w:sdtEndPr>
                    <w:rPr>
                      <w:rFonts w:asciiTheme="minorEastAsia" w:hAnsiTheme="minorEastAsia" w:eastAsiaTheme="minorEastAsia"/>
                      <w:szCs w:val="21"/>
                    </w:rPr>
                  </w:sdtEndPr>
                  <w:sdtContent>
                    <w:tc>
                      <w:tcPr>
                        <w:tcW w:w="1744"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负债和所有者权益（或股东权益）总计</w:t>
                        </w:r>
                      </w:p>
                    </w:tc>
                  </w:sdtContent>
                </w:sdt>
                <w:tc>
                  <w:tcPr>
                    <w:tcW w:w="1108"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17,940,503,453.10</w:t>
                    </w:r>
                  </w:p>
                </w:tc>
                <w:tc>
                  <w:tcPr>
                    <w:tcW w:w="1107"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17,946,056,401.86</w:t>
                    </w:r>
                  </w:p>
                </w:tc>
                <w:tc>
                  <w:tcPr>
                    <w:tcW w:w="104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5,552,948.76</w:t>
                    </w:r>
                  </w:p>
                </w:tc>
              </w:tr>
            </w:tbl>
            <w:p/>
            <w:p>
              <w:pPr>
                <w:rPr>
                  <w:szCs w:val="21"/>
                </w:rPr>
              </w:pPr>
              <w:r>
                <w:rPr>
                  <w:rFonts w:hint="eastAsia"/>
                  <w:szCs w:val="21"/>
                </w:rPr>
                <w:t>各项目调整情况的说明：</w:t>
              </w:r>
            </w:p>
            <w:sdt>
              <w:sdtPr>
                <w:alias w:val="是否适用：资产负债表各项目调整情况的说明[双击切换]"/>
                <w:tag w:val="_GBC_c01a2728a3c94853a39637039ffbf4e0"/>
                <w:id w:val="-1733232768"/>
                <w:lock w:val="sdtLocked"/>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各项目调整情况的说明"/>
                <w:tag w:val="_GBC_497e8965ae9d489f816a032452b29f9b"/>
                <w:id w:val="1609464637"/>
                <w:lock w:val="sdtLocked"/>
              </w:sdtPr>
              <w:sdtContent>
                <w:p>
                  <w:pPr>
                    <w:pStyle w:val="201"/>
                    <w:widowControl w:val="0"/>
                    <w:spacing w:before="0" w:beforeAutospacing="0" w:after="0" w:afterAutospacing="0" w:line="360" w:lineRule="auto"/>
                    <w:ind w:left="0" w:leftChars="0" w:firstLine="420" w:firstLineChars="200"/>
                    <w:jc w:val="both"/>
                    <w:rPr>
                      <w:rFonts w:ascii="Arial Narrow" w:hAnsi="Arial Narrow"/>
                      <w:b w:val="0"/>
                    </w:rPr>
                  </w:pPr>
                  <w:r>
                    <w:rPr>
                      <w:rFonts w:hint="eastAsia"/>
                      <w:b w:val="0"/>
                    </w:rPr>
                    <w:t>公司自</w:t>
                  </w:r>
                  <w:r>
                    <w:rPr>
                      <w:rFonts w:hint="eastAsia" w:ascii="Arial Narrow" w:hAnsi="Arial Narrow"/>
                      <w:b w:val="0"/>
                    </w:rPr>
                    <w:t>2021</w:t>
                  </w:r>
                  <w:r>
                    <w:rPr>
                      <w:rFonts w:hint="eastAsia"/>
                      <w:b w:val="0"/>
                    </w:rPr>
                    <w:t>年</w:t>
                  </w:r>
                  <w:r>
                    <w:rPr>
                      <w:rFonts w:hint="eastAsia" w:ascii="Arial Narrow" w:hAnsi="Arial Narrow"/>
                      <w:b w:val="0"/>
                    </w:rPr>
                    <w:t>1</w:t>
                  </w:r>
                  <w:r>
                    <w:rPr>
                      <w:rFonts w:hint="eastAsia"/>
                      <w:b w:val="0"/>
                    </w:rPr>
                    <w:t>月</w:t>
                  </w:r>
                  <w:r>
                    <w:rPr>
                      <w:rFonts w:hint="eastAsia" w:ascii="Arial Narrow" w:hAnsi="Arial Narrow"/>
                      <w:b w:val="0"/>
                    </w:rPr>
                    <w:t>1</w:t>
                  </w:r>
                  <w:r>
                    <w:rPr>
                      <w:rFonts w:hint="eastAsia"/>
                      <w:b w:val="0"/>
                    </w:rPr>
                    <w:t>日起执行新租赁准则，对于首次执行日前的经营租赁，公司在首次执行日根据剩余租赁付款额按首次执行日公司增量借款利率折现的现值计量租赁负债、按与租赁负债相等的金额并根据预付租金进行必要调整计量使用权资产。</w:t>
                  </w:r>
                </w:p>
                <w:p>
                  <w:pPr>
                    <w:pStyle w:val="201"/>
                    <w:widowControl w:val="0"/>
                    <w:spacing w:before="0" w:beforeAutospacing="0" w:after="0" w:afterAutospacing="0" w:line="360" w:lineRule="auto"/>
                    <w:ind w:left="0" w:leftChars="0" w:firstLine="420" w:firstLineChars="200"/>
                    <w:jc w:val="both"/>
                    <w:rPr>
                      <w:rFonts w:ascii="Arial Narrow" w:hAnsi="Arial Narrow"/>
                      <w:b w:val="0"/>
                    </w:rPr>
                  </w:pPr>
                  <w:r>
                    <w:rPr>
                      <w:rFonts w:hint="eastAsia"/>
                      <w:b w:val="0"/>
                    </w:rPr>
                    <w:t>母公司财务报表无影响。</w:t>
                  </w:r>
                </w:p>
              </w:sdtContent>
            </w:sdt>
          </w:sdtContent>
        </w:sdt>
        <w:sdt>
          <w:sdtPr>
            <w:rPr>
              <w:rFonts w:hint="eastAsia"/>
            </w:rPr>
            <w:tag w:val="_SEC_4c083c0f0fd54f4d99a6a7013210b585"/>
            <w:id w:val="780140421"/>
            <w:lock w:val="sdtLocked"/>
          </w:sdtPr>
          <w:sdtEndPr>
            <w:rPr>
              <w:rFonts w:hint="eastAsia"/>
              <w:szCs w:val="21"/>
            </w:rPr>
          </w:sdtEndPr>
          <w:sdtContent>
            <w:p>
              <w:pPr>
                <w:jc w:val="center"/>
              </w:pPr>
              <w:r>
                <w:rPr>
                  <w:rFonts w:hint="eastAsia"/>
                </w:rPr>
                <w:t>母公司</w:t>
              </w:r>
              <w:r>
                <w:t>资产负债表</w:t>
              </w:r>
            </w:p>
            <w:p>
              <w:pPr>
                <w:jc w:val="right"/>
                <w:rPr>
                  <w:szCs w:val="21"/>
                </w:rPr>
              </w:pPr>
              <w:r>
                <w:rPr>
                  <w:szCs w:val="21"/>
                </w:rPr>
                <w:t xml:space="preserve">      单位:</w:t>
              </w:r>
              <w:sdt>
                <w:sdtPr>
                  <w:rPr>
                    <w:szCs w:val="21"/>
                  </w:rPr>
                  <w:alias w:val="单位：母公司资产负债表"/>
                  <w:tag w:val="_GBC_229861f0a5c3450a9f157e50a94ce6b2"/>
                  <w:id w:val="1929229206"/>
                  <w:lock w:val="sdtLocked"/>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母公司资产负债表"/>
                  <w:tag w:val="_GBC_d8f83856af044766b2b6c25eb72bb824"/>
                  <w:id w:val="-49903802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834"/>
                <w:gridCol w:w="2083"/>
                <w:gridCol w:w="2001"/>
                <w:gridCol w:w="16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sdt>
                  <w:sdtPr>
                    <w:rPr>
                      <w:rFonts w:asciiTheme="minorEastAsia" w:hAnsiTheme="minorEastAsia" w:eastAsiaTheme="minorEastAsia"/>
                      <w:szCs w:val="21"/>
                    </w:rPr>
                    <w:tag w:val="_PLD_7a95292674d64d03aedd2a72f82a55d7"/>
                    <w:id w:val="-10697625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asciiTheme="minorEastAsia" w:hAnsiTheme="minorEastAsia" w:eastAsiaTheme="minorEastAsia"/>
                            <w:b/>
                            <w:szCs w:val="21"/>
                          </w:rPr>
                          <w:t>项目</w:t>
                        </w:r>
                      </w:p>
                    </w:tc>
                  </w:sdtContent>
                </w:sdt>
                <w:sdt>
                  <w:sdtPr>
                    <w:rPr>
                      <w:rFonts w:asciiTheme="minorEastAsia" w:hAnsiTheme="minorEastAsia" w:eastAsiaTheme="minorEastAsia"/>
                      <w:szCs w:val="21"/>
                    </w:rPr>
                    <w:tag w:val="_PLD_7c17c8f2825545f5ad39a98a6522c892"/>
                    <w:id w:val="-1140027945"/>
                    <w:lock w:val="sdtLocked"/>
                  </w:sdtPr>
                  <w:sdtEndPr>
                    <w:rPr>
                      <w:rFonts w:asciiTheme="minorEastAsia" w:hAnsiTheme="minorEastAsia" w:eastAsiaTheme="minorEastAsia"/>
                      <w:szCs w:val="21"/>
                    </w:rPr>
                  </w:sdtEndPr>
                  <w:sdtContent>
                    <w:tc>
                      <w:tcPr>
                        <w:tcW w:w="1221"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2020年12月31日</w:t>
                        </w:r>
                      </w:p>
                    </w:tc>
                  </w:sdtContent>
                </w:sdt>
                <w:sdt>
                  <w:sdtPr>
                    <w:rPr>
                      <w:rFonts w:asciiTheme="minorEastAsia" w:hAnsiTheme="minorEastAsia" w:eastAsiaTheme="minorEastAsia"/>
                      <w:szCs w:val="21"/>
                    </w:rPr>
                    <w:tag w:val="_PLD_34c606f3c58a4b409eb59fef64e920da"/>
                    <w:id w:val="-852495502"/>
                    <w:lock w:val="sdtLocked"/>
                  </w:sdtPr>
                  <w:sdtEndPr>
                    <w:rPr>
                      <w:rFonts w:asciiTheme="minorEastAsia" w:hAnsiTheme="minorEastAsia" w:eastAsiaTheme="minorEastAsia"/>
                      <w:szCs w:val="21"/>
                    </w:rPr>
                  </w:sdtEndPr>
                  <w:sdtContent>
                    <w:tc>
                      <w:tcPr>
                        <w:tcW w:w="1173"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2021年1月1日</w:t>
                        </w:r>
                      </w:p>
                    </w:tc>
                  </w:sdtContent>
                </w:sdt>
                <w:sdt>
                  <w:sdtPr>
                    <w:rPr>
                      <w:rFonts w:asciiTheme="minorEastAsia" w:hAnsiTheme="minorEastAsia" w:eastAsiaTheme="minorEastAsia"/>
                      <w:szCs w:val="21"/>
                    </w:rPr>
                    <w:tag w:val="_PLD_bf738959e4fc4fa09024c7ba9beab7fa"/>
                    <w:id w:val="-1178733768"/>
                    <w:lock w:val="sdtLocked"/>
                  </w:sdtPr>
                  <w:sdtEndPr>
                    <w:rPr>
                      <w:rFonts w:asciiTheme="minorEastAsia" w:hAnsiTheme="minorEastAsia" w:eastAsiaTheme="minorEastAsia"/>
                      <w:szCs w:val="21"/>
                    </w:rPr>
                  </w:sdtEndPr>
                  <w:sdtContent>
                    <w:tc>
                      <w:tcPr>
                        <w:tcW w:w="944" w:type="pct"/>
                        <w:tcBorders>
                          <w:top w:val="outset" w:color="auto" w:sz="4" w:space="0"/>
                          <w:left w:val="outset" w:color="auto" w:sz="4" w:space="0"/>
                          <w:bottom w:val="outset" w:color="auto" w:sz="4" w:space="0"/>
                          <w:right w:val="outset" w:color="auto" w:sz="4" w:space="0"/>
                        </w:tcBorders>
                        <w:vAlign w:val="center"/>
                      </w:tcPr>
                      <w:p>
                        <w:pPr>
                          <w:jc w:val="center"/>
                          <w:rPr>
                            <w:rFonts w:asciiTheme="minorEastAsia" w:hAnsiTheme="minorEastAsia" w:eastAsiaTheme="minorEastAsia"/>
                            <w:b/>
                            <w:szCs w:val="21"/>
                          </w:rPr>
                        </w:pPr>
                        <w:r>
                          <w:rPr>
                            <w:rFonts w:hint="eastAsia" w:asciiTheme="minorEastAsia" w:hAnsiTheme="minorEastAsia" w:eastAsiaTheme="minorEastAsia"/>
                            <w:b/>
                            <w:szCs w:val="21"/>
                          </w:rPr>
                          <w:t>调整数</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2ddd5b3ca11648ae84ea83adf88612a9"/>
                    <w:id w:val="196745126"/>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szCs w:val="21"/>
                          </w:rPr>
                        </w:pPr>
                        <w:r>
                          <w:rPr>
                            <w:rFonts w:hint="eastAsia" w:asciiTheme="minorEastAsia" w:hAnsiTheme="minorEastAsia" w:eastAsiaTheme="minorEastAsia"/>
                            <w:b/>
                            <w:bCs/>
                            <w:szCs w:val="21"/>
                          </w:rPr>
                          <w:t>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e563d0e1a334304949ac9c74b1783a6"/>
                    <w:id w:val="2011864550"/>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货币资金</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2,036,470,706.19</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2,036,470,706.19</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c3aab59b0bef49b8af4ebb9e9bf2cdbf"/>
                      <w:id w:val="-768995643"/>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交易性金融资产</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39e1e0c7cb54a188d873f4ec050c349"/>
                    <w:id w:val="-465969846"/>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05a334fe7214ccdbbd8603e7951e67b"/>
                    <w:id w:val="-660852545"/>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应收票据</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29a1362bae64d86a80c78ac72d5d023"/>
                    <w:id w:val="156598172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应收账款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1e8c2cd843204c04a2e6d2c4e2ffe50a"/>
                      <w:id w:val="-1682662317"/>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应收款项融资</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6939d7f8d114f978885cd554bf5854e"/>
                    <w:id w:val="-209578304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预付款项</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1,034,002.49</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1,034,002.49</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1bf6be8d48f45c9bea6d955e129f95f"/>
                    <w:id w:val="-1756432074"/>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其他应收款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7,371,687,976.62</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7,371,687,976.62</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e2ce37e843d47d2b01c6c54f862eca7"/>
                    <w:id w:val="11001741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其中：应收利息</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16c6b43c2074045b833cd744780385b"/>
                    <w:id w:val="-234096962"/>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应收股利</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50,530,323.48</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50,530,323.48</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688cc6ebbc14eab8e79342852e428bb"/>
                    <w:id w:val="1102385452"/>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存货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733372b5781a48e2828e64e62f316ad2"/>
                      <w:id w:val="7163471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合同资产</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7b85a6813f244eba14793009887bd9b"/>
                    <w:id w:val="482819276"/>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9a3b9b6ff0c44f29dee12babb3c055e"/>
                    <w:id w:val="-155684448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4be8139129340d08107f65e37fafac3"/>
                    <w:id w:val="190973177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16,516,615.67</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16,516,615.67</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3e804662bfa494cb0110cb258e73e5e"/>
                    <w:id w:val="659812678"/>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流动资产合计</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9,425,709,300.97</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9,425,709,300.97</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becba0388cf46a6a27719b960d93f7e"/>
                    <w:id w:val="-2139254099"/>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非流动资产：</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3f5fefe18d0649df8368b04395857f4e"/>
                      <w:id w:val="1244690419"/>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债权投资</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f640a94e87304608b6d79153c75dc5f5"/>
                      <w:id w:val="230365169"/>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其他债权投资</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fdb5579ee1d49598c8ac56b465f7bb8"/>
                    <w:id w:val="-115522174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长期应收款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398efdb52034fa2b1c96ceb8bffdb9c"/>
                    <w:id w:val="-190043287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长期股权投资</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5,105,949,640.48</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5,105,949,640.48</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e7284e391035402fbe42e7ab23da7b40"/>
                      <w:id w:val="-1970812610"/>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其他权益工具投资</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7a8bf797990643f1bcf961518d1a9235"/>
                      <w:id w:val="-145200842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其他非流动金融资产</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03c0600a2014269a59d2ee9849cec4a"/>
                    <w:id w:val="-1963105846"/>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投资性房地产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23,351,842.40</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23,351,842.40</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637cbb21d4ed4ad9808fce0ab0e33d02"/>
                    <w:id w:val="-725675432"/>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固定资产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615,691,607.72</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615,691,607.72</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f37a27098b14c0180f0902dd4c348bd"/>
                    <w:id w:val="274376130"/>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在建工程</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1,966,527.68</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1,966,527.68</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1ecd3e7e87744709f796aa8e2894f55"/>
                    <w:id w:val="178808600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生产性生物资产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37fc9dae8f546ec9976b2759dad7cf9"/>
                    <w:id w:val="-878933340"/>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油气资产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79e758fc3799482abfb638d0284c0d1f"/>
                      <w:id w:val="301892097"/>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使用权资产</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136eeeb39864878a8833b1396a2f4e3"/>
                    <w:id w:val="-128441825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无形资产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60,932,952.39</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60,932,952.39</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7f9f55119644617a5bfb38661e50f11"/>
                    <w:id w:val="5635943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开发支出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19,357,916.50</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19,357,916.50</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113c7c2846c4ce18f880f7dac6f9d57"/>
                    <w:id w:val="-160950536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商誉</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013d42dad43453abe648cc19f487560"/>
                    <w:id w:val="-77687165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长期待摊费用</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dd099df52b24bbeb3c07504233aa37e"/>
                    <w:id w:val="-1944905646"/>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240,419,983.66</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240,419,983.66</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8f3a33feafb49cab9eb2b1d28cb865e"/>
                    <w:id w:val="120753376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其他非流动资产</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5b62f14c71240e1bea15b864c3e20bd"/>
                    <w:id w:val="-65351785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非流动资产合计</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6,067,670,470.83</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6,067,670,470.83</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ff4e1422b4d4dadb9c0e7e9b6e916ee"/>
                    <w:id w:val="1302883396"/>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资产总计</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15,493,379,771.80</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15,493,379,771.80</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376050f79ea49ad97199e77af8c5f9e"/>
                    <w:id w:val="-1238859171"/>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bf6510773ba48cbb5fbe2ca2b6f072c"/>
                    <w:id w:val="-204435402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短期借款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3b9c0d69d81e4319ba29323df1b08e04"/>
                      <w:id w:val="1901394654"/>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交易性金融负债</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2ce686d2553488cb1fa38889c1c0dfe"/>
                    <w:id w:val="-190096853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衍生金融负债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e249e231d054cf8a0924c27c8a25273"/>
                    <w:id w:val="-145354891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应付票据</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cdc3af30fe047c79a85c9801adcba4d"/>
                    <w:id w:val="-37153726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应付账款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69,255,759.25</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69,255,759.25</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4b3ab74f9dd45aa9e1fec44856b51ff"/>
                    <w:id w:val="200378149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预收款项</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ab3a324eb8294341b14ce034b7c9365b"/>
                      <w:id w:val="1324463791"/>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合同负债</w:t>
                        </w:r>
                      </w:p>
                    </w:sdtContent>
                  </w:sdt>
                </w:tc>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64089f166254f15931ad7d022c4d753"/>
                    <w:id w:val="-107628222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应付职工薪酬</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f1424355de245b38b6fab086a4fa8ba"/>
                    <w:id w:val="5497657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应交税费</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59,272.78</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59,272.78</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500ff70fea64788ab614159d4a845c2"/>
                    <w:id w:val="-189943466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其他应付款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958,803,847.39</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958,803,847.39</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d74b0eaf39a4efea72bd637e6020998"/>
                    <w:id w:val="-41571690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其中：应付利息</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89a15f34a10f4eb5a54dfd59671f68a9"/>
                    <w:id w:val="-1490784058"/>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840" w:firstLineChars="400"/>
                          <w:rPr>
                            <w:rFonts w:asciiTheme="minorEastAsia" w:hAnsiTheme="minorEastAsia" w:eastAsiaTheme="minorEastAsia"/>
                            <w:szCs w:val="21"/>
                          </w:rPr>
                        </w:pPr>
                        <w:r>
                          <w:rPr>
                            <w:rFonts w:hint="eastAsia" w:asciiTheme="minorEastAsia" w:hAnsiTheme="minorEastAsia" w:eastAsiaTheme="minorEastAsia"/>
                            <w:szCs w:val="21"/>
                          </w:rPr>
                          <w:t>应付股利</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c8941c3cf8146c6a560df8a92d0d032"/>
                    <w:id w:val="-103249493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持有待售负债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3d5d6d1839d4bd5ac1faec11dc83725"/>
                    <w:id w:val="-12269782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一年内到期的非流动负债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2855fc8c1864e58aaa29da3e68de45c"/>
                    <w:id w:val="390007092"/>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其他流动负债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84fa7c8817c4f3c86c31b6557446019"/>
                    <w:id w:val="176773123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流动负债合计</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1,028,118,879.42</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1,028,118,879.42</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b9f4f80edc14b0885af569fb7b8afb7"/>
                    <w:id w:val="78639189"/>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非流动负债：</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7c3f871270e4842b0cb161d03605864"/>
                    <w:id w:val="1676846068"/>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长期借款</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2,385,058,661.52</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2,385,058,661.52</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0df4f3e1fd84155a0243c5697fca5f7"/>
                    <w:id w:val="98257714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应付债券</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b910e0b7f034281a9a074b58270ed06"/>
                    <w:id w:val="971330128"/>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e4e77e8b21a849f883e585e32b7f9285"/>
                    <w:id w:val="64362533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662" w:type="pct"/>
                    <w:tcBorders>
                      <w:top w:val="outset" w:color="auto" w:sz="4" w:space="0"/>
                      <w:left w:val="outset" w:color="auto" w:sz="4" w:space="0"/>
                      <w:bottom w:val="outset" w:color="auto" w:sz="4" w:space="0"/>
                      <w:right w:val="outset" w:color="auto" w:sz="4" w:space="0"/>
                    </w:tcBorders>
                    <w:vAlign w:val="center"/>
                  </w:tcPr>
                  <w:sdt>
                    <w:sdtPr>
                      <w:rPr>
                        <w:rFonts w:hint="eastAsia" w:asciiTheme="minorEastAsia" w:hAnsiTheme="minorEastAsia" w:eastAsiaTheme="minorEastAsia"/>
                        <w:szCs w:val="21"/>
                      </w:rPr>
                      <w:tag w:val="_PLD_d1ae2daea6104c489da8e8f5ee2894ab"/>
                      <w:id w:val="954685338"/>
                      <w:lock w:val="sdtLocked"/>
                    </w:sdtPr>
                    <w:sdtEndPr>
                      <w:rPr>
                        <w:rFonts w:hint="eastAsia" w:asciiTheme="minorEastAsia" w:hAnsiTheme="minorEastAsia" w:eastAsiaTheme="minorEastAsia"/>
                        <w:szCs w:val="21"/>
                      </w:rPr>
                    </w:sdtEndPr>
                    <w:sdtContent>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租赁负债</w:t>
                        </w:r>
                      </w:p>
                    </w:sdtContent>
                  </w:sdt>
                </w:tc>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895bb9e4d9844a9bfefd2506cae3426"/>
                    <w:id w:val="24315453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长期应付款</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fce8a846c5f4adc92efb39ecce935e0"/>
                    <w:id w:val="-39758966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长期应付职工薪酬</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822e3241e7a4e2f938e71af2e0dda25"/>
                    <w:id w:val="636068755"/>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预计负债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2cc5fb51ce04346981db7e885b6a340"/>
                    <w:id w:val="-1306695421"/>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递延收益</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380,390.80</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380,390.80</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dc433ba9c2743a4b050cacc3f87e783"/>
                    <w:id w:val="-94869370"/>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递延所得税负债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2,559,181.35</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2,559,181.35</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cb17033aecd40b7b46e8ca3b9433d51"/>
                    <w:id w:val="1036382222"/>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其他非流动负债</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c2feb664dc14817ba0af7a576e3cf58"/>
                    <w:id w:val="-1430734198"/>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非流动负债合计</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2,387,998,233.67</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2,387,998,233.67</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c250870a1a734badbe1cf6971b537d4a"/>
                    <w:id w:val="-1607806030"/>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负债合计</w:t>
                        </w:r>
                      </w:p>
                    </w:tc>
                  </w:sdtContent>
                </w:sdt>
                <w:tc>
                  <w:tcPr>
                    <w:tcW w:w="1221"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3,416,117,113.09</w:t>
                    </w:r>
                  </w:p>
                </w:tc>
                <w:tc>
                  <w:tcPr>
                    <w:tcW w:w="1173"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r>
                      <w:rPr>
                        <w:rFonts w:asciiTheme="minorEastAsia" w:hAnsiTheme="minorEastAsia" w:eastAsiaTheme="minorEastAsia"/>
                        <w:szCs w:val="21"/>
                      </w:rPr>
                      <w:t>3,416,117,113.09</w:t>
                    </w:r>
                  </w:p>
                </w:tc>
                <w:tc>
                  <w:tcPr>
                    <w:tcW w:w="944" w:type="pct"/>
                    <w:tcBorders>
                      <w:top w:val="outset" w:color="auto" w:sz="4" w:space="0"/>
                      <w:left w:val="outset" w:color="auto" w:sz="4" w:space="0"/>
                      <w:bottom w:val="outset" w:color="auto" w:sz="4" w:space="0"/>
                      <w:right w:val="outset"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76003e83807e4a7194c7ec48454f7f5f"/>
                    <w:id w:val="-1419087224"/>
                    <w:lock w:val="sdtLocked"/>
                  </w:sdtPr>
                  <w:sdtEndPr>
                    <w:rPr>
                      <w:rFonts w:asciiTheme="minorEastAsia" w:hAnsiTheme="minorEastAsia" w:eastAsiaTheme="minorEastAsia"/>
                      <w:szCs w:val="21"/>
                    </w:rPr>
                  </w:sdtEndPr>
                  <w:sdtContent>
                    <w:tc>
                      <w:tcPr>
                        <w:tcW w:w="5000" w:type="pct"/>
                        <w:gridSpan w:val="4"/>
                        <w:tcBorders>
                          <w:top w:val="outset" w:color="auto" w:sz="4" w:space="0"/>
                          <w:left w:val="outset" w:color="auto" w:sz="4" w:space="0"/>
                          <w:bottom w:val="outset" w:color="auto" w:sz="4" w:space="0"/>
                          <w:right w:val="outset" w:color="auto" w:sz="4" w:space="0"/>
                        </w:tcBorders>
                        <w:vAlign w:val="center"/>
                      </w:tcPr>
                      <w:p>
                        <w:pPr>
                          <w:rPr>
                            <w:rFonts w:asciiTheme="minorEastAsia" w:hAnsiTheme="minorEastAsia" w:eastAsiaTheme="minorEastAsia"/>
                            <w:color w:val="008000"/>
                            <w:szCs w:val="21"/>
                          </w:rPr>
                        </w:pPr>
                        <w:r>
                          <w:rPr>
                            <w:rFonts w:hint="eastAsia" w:asciiTheme="minorEastAsia" w:hAnsiTheme="minorEastAsia" w:eastAsiaTheme="minorEastAsia"/>
                            <w:b/>
                            <w:bCs/>
                            <w:szCs w:val="21"/>
                          </w:rPr>
                          <w:t>所有者权益（或股东权益）：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a15cfc633606441e91bccac34c3d87d6"/>
                    <w:id w:val="733901085"/>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实收资本（或股本）</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4,521,013,100.00</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4,521,013,100.00</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9382450eb1e4d5b8885af7f01f5d427"/>
                    <w:id w:val="-107875193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其他权益工具</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dfaa369bf78a4bcd9ae767872d85743c"/>
                    <w:id w:val="-1439908729"/>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其中：优先股</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474567c399164690b246bc76911a0eb6"/>
                    <w:id w:val="-469354908"/>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left="630" w:leftChars="300" w:firstLine="210" w:firstLineChars="100"/>
                          <w:rPr>
                            <w:rFonts w:asciiTheme="minorEastAsia" w:hAnsiTheme="minorEastAsia" w:eastAsiaTheme="minorEastAsia"/>
                            <w:szCs w:val="21"/>
                          </w:rPr>
                        </w:pPr>
                        <w:r>
                          <w:rPr>
                            <w:rFonts w:hint="eastAsia" w:asciiTheme="minorEastAsia" w:hAnsiTheme="minorEastAsia" w:eastAsiaTheme="minorEastAsia"/>
                            <w:szCs w:val="21"/>
                          </w:rPr>
                          <w:t>永续债</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964031bd1af24b9fb9c4a2362e00cbc6"/>
                    <w:id w:val="-482772567"/>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资本公积</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8,582,846,981.09</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8,582,846,981.09</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f23f002c87314a18b2f16809bab22b1e"/>
                    <w:id w:val="-1529484284"/>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减：库存股</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250,597,854.00</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250,597,854.00</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341fbca8ae2c4e44a1972dba560dfee2"/>
                    <w:id w:val="-760520774"/>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其他综合收益</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14,303,021.38</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14,303,021.38</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1ad188404e74f44b29096e8c6988eeb"/>
                    <w:id w:val="-1009912154"/>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专项储备</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56d8f5dc2de0466182de39e1636ff3c3"/>
                    <w:id w:val="-1664004104"/>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盈余公积</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426,993,753.64</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0d9c0aa2210f438488b4a34e76346d3b"/>
                    <w:id w:val="835734910"/>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210" w:firstLineChars="100"/>
                          <w:rPr>
                            <w:rFonts w:asciiTheme="minorEastAsia" w:hAnsiTheme="minorEastAsia" w:eastAsiaTheme="minorEastAsia"/>
                            <w:szCs w:val="21"/>
                          </w:rPr>
                        </w:pPr>
                        <w:r>
                          <w:rPr>
                            <w:rFonts w:hint="eastAsia" w:asciiTheme="minorEastAsia" w:hAnsiTheme="minorEastAsia" w:eastAsiaTheme="minorEastAsia"/>
                            <w:szCs w:val="21"/>
                          </w:rPr>
                          <w:t>未分配利润</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-1,217,296,343.40</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-1,217,296,343.40</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18bccf2c48ea42919a9a2757c99f81da"/>
                    <w:id w:val="75771659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所有者权益（或股东权益）合计</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12,077,262,658.71</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12,077,262,658.71</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EastAsia" w:hAnsiTheme="minorEastAsia" w:eastAsiaTheme="minorEastAsia"/>
                      <w:szCs w:val="21"/>
                    </w:rPr>
                    <w:tag w:val="_PLD_b5d16d38e35345af9a52292948213670"/>
                    <w:id w:val="477422523"/>
                    <w:lock w:val="sdtLocked"/>
                  </w:sdtPr>
                  <w:sdtEndPr>
                    <w:rPr>
                      <w:rFonts w:asciiTheme="minorEastAsia" w:hAnsiTheme="minorEastAsia" w:eastAsiaTheme="minorEastAsia"/>
                      <w:szCs w:val="21"/>
                    </w:rPr>
                  </w:sdtEndPr>
                  <w:sdtContent>
                    <w:tc>
                      <w:tcPr>
                        <w:tcW w:w="1662" w:type="pct"/>
                        <w:tcBorders>
                          <w:top w:val="outset" w:color="auto" w:sz="4" w:space="0"/>
                          <w:left w:val="outset" w:color="auto" w:sz="4" w:space="0"/>
                          <w:bottom w:val="outset" w:color="auto" w:sz="4" w:space="0"/>
                          <w:right w:val="outset" w:color="auto" w:sz="4" w:space="0"/>
                        </w:tcBorders>
                        <w:vAlign w:val="center"/>
                      </w:tcPr>
                      <w:p>
                        <w:pPr>
                          <w:ind w:firstLine="630" w:firstLineChars="300"/>
                          <w:rPr>
                            <w:rFonts w:asciiTheme="minorEastAsia" w:hAnsiTheme="minorEastAsia" w:eastAsiaTheme="minorEastAsia"/>
                            <w:szCs w:val="21"/>
                          </w:rPr>
                        </w:pPr>
                        <w:r>
                          <w:rPr>
                            <w:rFonts w:hint="eastAsia" w:asciiTheme="minorEastAsia" w:hAnsiTheme="minorEastAsia" w:eastAsiaTheme="minorEastAsia"/>
                            <w:szCs w:val="21"/>
                          </w:rPr>
                          <w:t>负债和所有者权益（或股东权益）总计</w:t>
                        </w:r>
                      </w:p>
                    </w:tc>
                  </w:sdtContent>
                </w:sdt>
                <w:tc>
                  <w:tcPr>
                    <w:tcW w:w="1221"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15,493,379,771.80</w:t>
                    </w:r>
                  </w:p>
                </w:tc>
                <w:tc>
                  <w:tcPr>
                    <w:tcW w:w="1173"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15,493,379,771.80</w:t>
                    </w:r>
                  </w:p>
                </w:tc>
                <w:tc>
                  <w:tcPr>
                    <w:tcW w:w="944" w:type="pct"/>
                    <w:tcBorders>
                      <w:top w:val="outset" w:color="auto" w:sz="4" w:space="0"/>
                      <w:left w:val="outset" w:color="auto" w:sz="4" w:space="0"/>
                      <w:bottom w:val="outset" w:color="auto" w:sz="4" w:space="0"/>
                      <w:right w:val="outset" w:color="auto" w:sz="4" w:space="0"/>
                    </w:tcBorders>
                    <w:vAlign w:val="center"/>
                  </w:tcPr>
                  <w:p>
                    <w:pPr>
                      <w:jc w:val="right"/>
                      <w:rPr>
                        <w:rFonts w:asciiTheme="minorEastAsia" w:hAnsiTheme="minorEastAsia" w:eastAsiaTheme="minorEastAsia"/>
                        <w:szCs w:val="21"/>
                      </w:rPr>
                    </w:pPr>
                  </w:p>
                </w:tc>
              </w:tr>
            </w:tbl>
            <w:p/>
            <w:p/>
            <w:p>
              <w:pPr>
                <w:rPr>
                  <w:szCs w:val="21"/>
                </w:rPr>
              </w:pPr>
              <w:r>
                <w:rPr>
                  <w:rFonts w:hint="eastAsia"/>
                  <w:szCs w:val="21"/>
                </w:rPr>
                <w:t>各项目调整情况的说明：</w:t>
              </w:r>
            </w:p>
            <w:sdt>
              <w:sdtPr>
                <w:alias w:val="是否适用：母公司资产负债表各项目调整情况的说明[双击切换]"/>
                <w:tag w:val="_GBC_b093f3e06b7c41b5b2e03baa0f3d2cda"/>
                <w:id w:val="-367909829"/>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Content>
    </w:sdt>
    <w:bookmarkEnd w:id="141"/>
    <w:sdt>
      <w:sdtPr>
        <w:rPr>
          <w:rFonts w:hint="eastAsia" w:ascii="宋体" w:hAnsi="宋体" w:eastAsia="宋体" w:cs="宋体"/>
          <w:b w:val="0"/>
          <w:bCs w:val="0"/>
          <w:kern w:val="0"/>
          <w:szCs w:val="21"/>
        </w:rPr>
        <w:alias w:val="模块:首次执行新会计准则追溯调整前期比较数据的说明"/>
        <w:tag w:val="_SEC_f61c4970a1ac4db989642e895ccb27eb"/>
        <w:id w:val="-2124143422"/>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3"/>
              <w:numId w:val="75"/>
            </w:numPr>
            <w:ind w:left="426" w:hanging="426"/>
            <w:rPr>
              <w:rFonts w:cs="宋体"/>
              <w:bCs w:val="0"/>
              <w:kern w:val="0"/>
              <w:szCs w:val="21"/>
            </w:rPr>
          </w:pPr>
          <w:bookmarkStart w:id="142" w:name="_Hlk533668565"/>
          <w:r>
            <w:rPr>
              <w:rFonts w:ascii="Times New Roman" w:hAnsi="Times New Roman"/>
            </w:rPr>
            <w:t>2021</w:t>
          </w:r>
          <w:r>
            <w:t>年</w:t>
          </w:r>
          <w:r>
            <w:rPr>
              <w:rFonts w:hint="eastAsia"/>
            </w:rPr>
            <w:t>起首次执行新租赁准则追溯调整前期比较数据的说</w:t>
          </w:r>
          <w:r>
            <w:t>明</w:t>
          </w:r>
        </w:p>
        <w:sdt>
          <w:sdtPr>
            <w:rPr>
              <w:szCs w:val="21"/>
            </w:rPr>
            <w:alias w:val="是否适用：首次执行新会计准则调整前期比较数据的说明[双击切换]"/>
            <w:tag w:val="_GBC_1b2d18d8f09b4f03b8f1ed6811c0dee0"/>
            <w:id w:val="-129089895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42"/>
    <w:sdt>
      <w:sdtPr>
        <w:rPr>
          <w:rFonts w:hint="eastAsia" w:asciiTheme="minorHAnsi" w:hAnsiTheme="minorHAnsi" w:cstheme="minorBidi"/>
          <w:b w:val="0"/>
          <w:bCs w:val="0"/>
          <w:kern w:val="0"/>
          <w:szCs w:val="22"/>
        </w:rPr>
        <w:alias w:val="模块:其他"/>
        <w:tag w:val="_GBC_f9189f2c315949f484bded540173f7a8"/>
        <w:id w:val="1038945266"/>
        <w:lock w:val="sdtLocked"/>
        <w:placeholder>
          <w:docPart w:val="GBC22222222222222222222222222222"/>
        </w:placeholder>
      </w:sdtPr>
      <w:sdtEndPr>
        <w:rPr>
          <w:rFonts w:hint="eastAsia" w:ascii="宋体" w:hAnsi="宋体" w:cs="Times New Roman"/>
          <w:b w:val="0"/>
          <w:bCs w:val="0"/>
          <w:kern w:val="0"/>
          <w:szCs w:val="21"/>
        </w:rPr>
      </w:sdtEndPr>
      <w:sdtContent>
        <w:p>
          <w:pPr>
            <w:pStyle w:val="114"/>
            <w:numPr>
              <w:ilvl w:val="0"/>
              <w:numId w:val="53"/>
            </w:numPr>
          </w:pPr>
          <w:r>
            <w:rPr>
              <w:rFonts w:hint="eastAsia"/>
            </w:rPr>
            <w:t>其他</w:t>
          </w:r>
        </w:p>
        <w:sdt>
          <w:sdtPr>
            <w:rPr>
              <w:rFonts w:hint="eastAsia"/>
              <w:szCs w:val="21"/>
            </w:rPr>
            <w:alias w:val="是否适用：公司主要会计政策、会计估计和前期差错的其他说明[双击切换]"/>
            <w:tag w:val="_GBC_bcb348c2b015461e9de30ce69ad888ae"/>
            <w:id w:val="-213077539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公司主要会计政策、会计估计和前期差错的其他说明"/>
            <w:tag w:val="_GBC_c92422e9f0294891888f1127365f4bbf"/>
            <w:id w:val="-1419943773"/>
            <w:lock w:val="sdtLocked"/>
          </w:sdtPr>
          <w:sdtEndPr>
            <w:rPr>
              <w:szCs w:val="21"/>
            </w:rPr>
          </w:sdtEndPr>
          <w:sdtContent>
            <w:p>
              <w:pPr>
                <w:adjustRightInd w:val="0"/>
                <w:snapToGrid w:val="0"/>
                <w:spacing w:line="360" w:lineRule="auto"/>
                <w:ind w:firstLine="420" w:firstLineChars="200"/>
                <w:rPr>
                  <w:szCs w:val="21"/>
                </w:rPr>
              </w:pPr>
              <w:r>
                <w:rPr>
                  <w:rFonts w:hint="eastAsia"/>
                  <w:b/>
                </w:rPr>
                <w:t>1、终止经营</w:t>
              </w:r>
            </w:p>
            <w:p>
              <w:pPr>
                <w:adjustRightInd w:val="0"/>
                <w:snapToGrid w:val="0"/>
                <w:spacing w:line="360" w:lineRule="auto"/>
                <w:ind w:firstLine="420" w:firstLineChars="200"/>
              </w:pPr>
              <w:r>
                <w:rPr>
                  <w:rFonts w:hint="eastAsia"/>
                </w:rPr>
                <w:t>终止经营，是指满足下列条件之一的已被本公司处置或划归为持有待售的、在经营和编制财务报表时能够单独区分的组成部分：（1）该组成部分代表一项独立的主要业务或一个主要经营地区；（2）该组成部分是拟对一项独立的主要业务或一个主要经营地区进行处置计划的一部分；（3）该组成部分是仅仅为了再出售而取得的子公司。</w:t>
              </w:r>
            </w:p>
            <w:p>
              <w:pPr>
                <w:adjustRightInd w:val="0"/>
                <w:snapToGrid w:val="0"/>
                <w:spacing w:line="360" w:lineRule="auto"/>
                <w:ind w:firstLine="420" w:firstLineChars="200"/>
              </w:pPr>
              <w:r>
                <w:rPr>
                  <w:rFonts w:hint="eastAsia"/>
                </w:rPr>
                <w:t>终止经营的会计处理方法详见第十节财务报告五、17“持有待售资产”相关描述。</w:t>
              </w:r>
            </w:p>
            <w:p>
              <w:pPr>
                <w:adjustRightInd w:val="0"/>
                <w:snapToGrid w:val="0"/>
                <w:spacing w:line="360" w:lineRule="auto"/>
                <w:ind w:firstLine="420" w:firstLineChars="200"/>
                <w:rPr>
                  <w:b/>
                </w:rPr>
              </w:pPr>
              <w:r>
                <w:rPr>
                  <w:rFonts w:hint="eastAsia"/>
                  <w:b/>
                </w:rPr>
                <w:t>2、</w:t>
              </w:r>
              <w:r>
                <w:rPr>
                  <w:b/>
                </w:rPr>
                <w:t>回购本公司股份</w:t>
              </w:r>
            </w:p>
            <w:p>
              <w:pPr>
                <w:adjustRightInd w:val="0"/>
                <w:snapToGrid w:val="0"/>
                <w:spacing w:line="360" w:lineRule="auto"/>
                <w:ind w:firstLine="420" w:firstLineChars="200"/>
                <w:rPr>
                  <w:b/>
                </w:rPr>
              </w:pPr>
              <w:r>
                <w:t>因减少注册资本或奖励职工等原因收购本公司股份，按实际支付的金额作为库存股处理，同时进行备查登记。将回购的股份注销，则将按注销股票面值和注销股数计算的股票面值总额与实际回购所支付的金额之间的差额冲减资本公积，资本公积不足冲减的，冲减留存收益；如果将回购的股份奖励给本公司职工属于以权益结算的股份支付，于职工行权购买本公司股份收到价款时，转销交付职工的库存股成本和等待期内资本公积（其他资本公积）累计金额，同时，按照其差额调整资本公积（股本溢价）</w:t>
              </w:r>
              <w:r>
                <w:rPr>
                  <w:rFonts w:hint="eastAsia"/>
                </w:rPr>
                <w:t>。</w:t>
              </w:r>
            </w:p>
            <w:p>
              <w:pPr>
                <w:rPr>
                  <w:szCs w:val="21"/>
                </w:rPr>
              </w:pPr>
            </w:p>
          </w:sdtContent>
        </w:sdt>
      </w:sdtContent>
    </w:sdt>
    <w:p>
      <w:pPr>
        <w:pStyle w:val="113"/>
        <w:numPr>
          <w:ilvl w:val="0"/>
          <w:numId w:val="49"/>
        </w:numPr>
        <w:rPr>
          <w:rFonts w:ascii="宋体" w:hAnsi="宋体"/>
        </w:rPr>
      </w:pPr>
      <w:r>
        <w:rPr>
          <w:rFonts w:hint="eastAsia" w:ascii="宋体" w:hAnsi="宋体"/>
        </w:rPr>
        <w:t>税项</w:t>
      </w:r>
    </w:p>
    <w:sdt>
      <w:sdtPr>
        <w:rPr>
          <w:rFonts w:cs="宋体" w:asciiTheme="minorHAnsi" w:hAnsiTheme="minorHAnsi"/>
          <w:b w:val="0"/>
          <w:bCs w:val="0"/>
          <w:kern w:val="0"/>
          <w:szCs w:val="22"/>
        </w:rPr>
        <w:alias w:val="模块:主要税种及税率"/>
        <w:tag w:val="_GBC_21c965fa52af49a9865023fb4e05671a"/>
        <w:id w:val="-424338391"/>
        <w:lock w:val="sdtLocked"/>
        <w:placeholder>
          <w:docPart w:val="GBC22222222222222222222222222222"/>
        </w:placeholder>
      </w:sdtPr>
      <w:sdtEndPr>
        <w:rPr>
          <w:rFonts w:ascii="宋体" w:hAnsi="宋体" w:cs="宋体"/>
          <w:b w:val="0"/>
          <w:bCs w:val="0"/>
          <w:kern w:val="0"/>
          <w:szCs w:val="24"/>
        </w:rPr>
      </w:sdtEndPr>
      <w:sdtContent>
        <w:p>
          <w:pPr>
            <w:pStyle w:val="114"/>
            <w:numPr>
              <w:ilvl w:val="0"/>
              <w:numId w:val="76"/>
            </w:numPr>
            <w:tabs>
              <w:tab w:val="left" w:pos="546"/>
            </w:tabs>
          </w:pPr>
          <w:r>
            <w:t>主要税种及税率</w:t>
          </w:r>
        </w:p>
        <w:p>
          <w:r>
            <w:t>主要税种及税率</w:t>
          </w:r>
          <w:r>
            <w:rPr>
              <w:rFonts w:hint="eastAsia"/>
            </w:rPr>
            <w:t>情况</w:t>
          </w:r>
        </w:p>
        <w:sdt>
          <w:sdtPr>
            <w:alias w:val="是否适用：主要税种及税率情况 [双击切换]"/>
            <w:tag w:val="_GBC_f900f926144b41b9ba020b5a24aff3c0"/>
            <w:id w:val="-187760508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3118"/>
            <w:gridCol w:w="2552"/>
            <w:gridCol w:w="1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758c089ae1414f99b1cc36321c29a1"/>
                <w:id w:val="818002974"/>
                <w:lock w:val="sdtLocked"/>
              </w:sdtPr>
              <w:sdtContent>
                <w:tc>
                  <w:tcPr>
                    <w:tcW w:w="1061" w:type="pct"/>
                    <w:vAlign w:val="center"/>
                  </w:tcPr>
                  <w:p>
                    <w:pPr>
                      <w:jc w:val="center"/>
                      <w:rPr>
                        <w:szCs w:val="21"/>
                      </w:rPr>
                    </w:pPr>
                    <w:r>
                      <w:rPr>
                        <w:szCs w:val="21"/>
                      </w:rPr>
                      <w:t>税种</w:t>
                    </w:r>
                  </w:p>
                </w:tc>
              </w:sdtContent>
            </w:sdt>
            <w:sdt>
              <w:sdtPr>
                <w:tag w:val="_PLD_0e1599c84a4d47cc8f6f9b3d3069a1bd"/>
                <w:id w:val="1083264825"/>
                <w:lock w:val="sdtLocked"/>
              </w:sdtPr>
              <w:sdtContent>
                <w:tc>
                  <w:tcPr>
                    <w:tcW w:w="1828" w:type="pct"/>
                    <w:vAlign w:val="center"/>
                  </w:tcPr>
                  <w:p>
                    <w:pPr>
                      <w:jc w:val="center"/>
                      <w:rPr>
                        <w:szCs w:val="21"/>
                      </w:rPr>
                    </w:pPr>
                    <w:r>
                      <w:rPr>
                        <w:szCs w:val="21"/>
                      </w:rPr>
                      <w:t>计税依据</w:t>
                    </w:r>
                  </w:p>
                </w:tc>
              </w:sdtContent>
            </w:sdt>
            <w:sdt>
              <w:sdtPr>
                <w:tag w:val="_PLD_74e07bcec6714b078c64caa53447462a"/>
                <w:id w:val="-1557844040"/>
                <w:lock w:val="sdtLocked"/>
              </w:sdtPr>
              <w:sdtContent>
                <w:tc>
                  <w:tcPr>
                    <w:tcW w:w="1496" w:type="pct"/>
                    <w:vAlign w:val="center"/>
                  </w:tcPr>
                  <w:p>
                    <w:pPr>
                      <w:jc w:val="center"/>
                      <w:rPr>
                        <w:szCs w:val="21"/>
                      </w:rPr>
                    </w:pPr>
                    <w:r>
                      <w:rPr>
                        <w:szCs w:val="21"/>
                      </w:rPr>
                      <w:t>税率</w:t>
                    </w:r>
                  </w:p>
                </w:tc>
              </w:sdtContent>
            </w:sdt>
            <w:tc>
              <w:tcPr>
                <w:tcW w:w="615" w:type="pct"/>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rPr>
                    <w:szCs w:val="21"/>
                  </w:rPr>
                  <w:t>增值税</w:t>
                </w:r>
              </w:p>
            </w:tc>
            <w:tc>
              <w:tcPr>
                <w:tcW w:w="1828" w:type="pct"/>
                <w:vAlign w:val="center"/>
              </w:tcPr>
              <w:p>
                <w:pPr>
                  <w:jc w:val="center"/>
                  <w:rPr>
                    <w:sz w:val="24"/>
                  </w:rPr>
                </w:pPr>
                <w:r>
                  <w:t>销售货物或提供应税劳务</w:t>
                </w:r>
              </w:p>
            </w:tc>
            <w:tc>
              <w:tcPr>
                <w:tcW w:w="1496" w:type="pct"/>
                <w:vAlign w:val="center"/>
              </w:tcPr>
              <w:p>
                <w:pPr>
                  <w:jc w:val="center"/>
                  <w:rPr>
                    <w:sz w:val="24"/>
                  </w:rPr>
                </w:pPr>
                <w:r>
                  <w:t>3%、5%、6%、9%、13%</w:t>
                </w:r>
              </w:p>
            </w:tc>
            <w:tc>
              <w:tcPr>
                <w:tcW w:w="615" w:type="pct"/>
                <w:vAlign w:val="center"/>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rPr>
                    <w:szCs w:val="21"/>
                  </w:rPr>
                  <w:t>消费税</w:t>
                </w:r>
              </w:p>
            </w:tc>
            <w:tc>
              <w:tcPr>
                <w:tcW w:w="1828" w:type="pct"/>
                <w:vAlign w:val="center"/>
              </w:tcPr>
              <w:p>
                <w:pPr>
                  <w:jc w:val="center"/>
                  <w:rPr>
                    <w:sz w:val="24"/>
                  </w:rPr>
                </w:pPr>
                <w:r>
                  <w:t>应纳税销售额（量）</w:t>
                </w:r>
              </w:p>
            </w:tc>
            <w:tc>
              <w:tcPr>
                <w:tcW w:w="1496" w:type="pct"/>
                <w:vAlign w:val="center"/>
              </w:tcPr>
              <w:p>
                <w:pPr>
                  <w:jc w:val="center"/>
                  <w:rPr>
                    <w:sz w:val="24"/>
                  </w:rPr>
                </w:pPr>
                <w:r>
                  <w:t>3%、5%</w:t>
                </w:r>
                <w:r>
                  <w:rPr>
                    <w:rFonts w:hint="eastAsia"/>
                  </w:rPr>
                  <w:t>、10%</w:t>
                </w:r>
              </w:p>
            </w:tc>
            <w:tc>
              <w:tcPr>
                <w:tcW w:w="615" w:type="pct"/>
                <w:vAlign w:val="center"/>
              </w:tcPr>
              <w:p>
                <w:pPr>
                  <w:rPr>
                    <w:sz w:val="24"/>
                  </w:rPr>
                </w:pPr>
                <w:r>
                  <w:t>注1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rPr>
                    <w:szCs w:val="21"/>
                  </w:rPr>
                  <w:t>城市维护建设税</w:t>
                </w:r>
              </w:p>
            </w:tc>
            <w:tc>
              <w:tcPr>
                <w:tcW w:w="1828" w:type="pct"/>
                <w:vAlign w:val="center"/>
              </w:tcPr>
              <w:p>
                <w:pPr>
                  <w:jc w:val="center"/>
                  <w:rPr>
                    <w:sz w:val="24"/>
                  </w:rPr>
                </w:pPr>
                <w:r>
                  <w:t>实缴流转税税额</w:t>
                </w:r>
              </w:p>
            </w:tc>
            <w:tc>
              <w:tcPr>
                <w:tcW w:w="1496" w:type="pct"/>
                <w:vAlign w:val="center"/>
              </w:tcPr>
              <w:p>
                <w:pPr>
                  <w:jc w:val="center"/>
                  <w:rPr>
                    <w:sz w:val="24"/>
                  </w:rPr>
                </w:pPr>
                <w:r>
                  <w:t>5%、7%</w:t>
                </w:r>
              </w:p>
            </w:tc>
            <w:tc>
              <w:tcPr>
                <w:tcW w:w="615"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rPr>
                    <w:szCs w:val="21"/>
                  </w:rPr>
                  <w:t>企业所得税</w:t>
                </w:r>
              </w:p>
            </w:tc>
            <w:tc>
              <w:tcPr>
                <w:tcW w:w="1828" w:type="pct"/>
                <w:vAlign w:val="center"/>
              </w:tcPr>
              <w:p>
                <w:pPr>
                  <w:jc w:val="center"/>
                  <w:rPr>
                    <w:sz w:val="24"/>
                  </w:rPr>
                </w:pPr>
                <w:r>
                  <w:t>应纳税所得额</w:t>
                </w:r>
              </w:p>
            </w:tc>
            <w:tc>
              <w:tcPr>
                <w:tcW w:w="1496" w:type="pct"/>
                <w:vAlign w:val="center"/>
              </w:tcPr>
              <w:p>
                <w:pPr>
                  <w:jc w:val="center"/>
                  <w:rPr>
                    <w:sz w:val="24"/>
                  </w:rPr>
                </w:pPr>
                <w:r>
                  <w:t>15%、20%、25%、30%</w:t>
                </w:r>
              </w:p>
            </w:tc>
            <w:tc>
              <w:tcPr>
                <w:tcW w:w="615" w:type="pct"/>
                <w:vAlign w:val="center"/>
              </w:tcPr>
              <w:p>
                <w:pPr>
                  <w:rPr>
                    <w:szCs w:val="21"/>
                  </w:rPr>
                </w:pPr>
                <w:r>
                  <w:rPr>
                    <w:rFonts w:hint="eastAsia"/>
                    <w:szCs w:val="21"/>
                  </w:rPr>
                  <w:t>注</w:t>
                </w: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t>教育费附加</w:t>
                </w:r>
              </w:p>
            </w:tc>
            <w:tc>
              <w:tcPr>
                <w:tcW w:w="1828" w:type="pct"/>
              </w:tcPr>
              <w:p>
                <w:pPr>
                  <w:jc w:val="center"/>
                  <w:rPr>
                    <w:szCs w:val="21"/>
                  </w:rPr>
                </w:pPr>
                <w:r>
                  <w:t>实缴流转税税额</w:t>
                </w:r>
              </w:p>
            </w:tc>
            <w:tc>
              <w:tcPr>
                <w:tcW w:w="1496" w:type="pct"/>
              </w:tcPr>
              <w:p>
                <w:pPr>
                  <w:jc w:val="center"/>
                  <w:rPr>
                    <w:szCs w:val="21"/>
                  </w:rPr>
                </w:pPr>
                <w:r>
                  <w:t>3%</w:t>
                </w:r>
              </w:p>
            </w:tc>
            <w:tc>
              <w:tcPr>
                <w:tcW w:w="615"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t>地方教育费附加</w:t>
                </w:r>
              </w:p>
            </w:tc>
            <w:tc>
              <w:tcPr>
                <w:tcW w:w="1828" w:type="pct"/>
              </w:tcPr>
              <w:p>
                <w:pPr>
                  <w:jc w:val="center"/>
                  <w:rPr>
                    <w:szCs w:val="21"/>
                  </w:rPr>
                </w:pPr>
                <w:r>
                  <w:t>实缴流转税税额</w:t>
                </w:r>
              </w:p>
            </w:tc>
            <w:tc>
              <w:tcPr>
                <w:tcW w:w="1496" w:type="pct"/>
              </w:tcPr>
              <w:p>
                <w:pPr>
                  <w:jc w:val="center"/>
                  <w:rPr>
                    <w:szCs w:val="21"/>
                  </w:rPr>
                </w:pPr>
                <w:r>
                  <w:t>2%</w:t>
                </w:r>
              </w:p>
            </w:tc>
            <w:tc>
              <w:tcPr>
                <w:tcW w:w="615" w:type="pct"/>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1" w:type="pct"/>
              </w:tcPr>
              <w:p>
                <w:pPr>
                  <w:jc w:val="center"/>
                  <w:rPr>
                    <w:szCs w:val="21"/>
                  </w:rPr>
                </w:pPr>
                <w:r>
                  <w:t>房产税</w:t>
                </w:r>
              </w:p>
            </w:tc>
            <w:tc>
              <w:tcPr>
                <w:tcW w:w="1828" w:type="pct"/>
              </w:tcPr>
              <w:p>
                <w:pPr>
                  <w:jc w:val="center"/>
                  <w:rPr>
                    <w:szCs w:val="21"/>
                  </w:rPr>
                </w:pPr>
                <w:r>
                  <w:t>房产原值的70%（或租金收入）</w:t>
                </w:r>
              </w:p>
            </w:tc>
            <w:tc>
              <w:tcPr>
                <w:tcW w:w="1496" w:type="pct"/>
              </w:tcPr>
              <w:p>
                <w:pPr>
                  <w:jc w:val="center"/>
                  <w:rPr>
                    <w:szCs w:val="21"/>
                  </w:rPr>
                </w:pPr>
                <w:r>
                  <w:t>1.2%、12%</w:t>
                </w:r>
              </w:p>
            </w:tc>
            <w:tc>
              <w:tcPr>
                <w:tcW w:w="615" w:type="pct"/>
              </w:tcPr>
              <w:p>
                <w:pPr>
                  <w:rPr>
                    <w:szCs w:val="21"/>
                  </w:rPr>
                </w:pPr>
              </w:p>
            </w:tc>
          </w:tr>
        </w:tbl>
        <w:p>
          <w:pPr>
            <w:spacing w:line="360" w:lineRule="auto"/>
            <w:rPr>
              <w:rFonts w:asciiTheme="minorEastAsia" w:hAnsiTheme="minorEastAsia" w:eastAsiaTheme="minorEastAsia"/>
            </w:rPr>
          </w:pPr>
          <w:r>
            <w:rPr>
              <w:rFonts w:hint="eastAsia" w:asciiTheme="minorEastAsia" w:hAnsiTheme="minorEastAsia" w:eastAsiaTheme="minorEastAsia"/>
            </w:rPr>
            <w:t>注1：</w:t>
          </w:r>
          <w:r>
            <w:rPr>
              <w:rFonts w:asciiTheme="minorEastAsia" w:hAnsiTheme="minorEastAsia" w:eastAsiaTheme="minorEastAsia"/>
            </w:rPr>
            <w:t>摩托车</w:t>
          </w:r>
          <w:r>
            <w:rPr>
              <w:rFonts w:hint="eastAsia" w:asciiTheme="minorEastAsia" w:hAnsiTheme="minorEastAsia" w:eastAsiaTheme="minorEastAsia"/>
            </w:rPr>
            <w:t>气缸容量</w:t>
          </w:r>
          <w:r>
            <w:rPr>
              <w:rFonts w:asciiTheme="minorEastAsia" w:hAnsiTheme="minorEastAsia" w:eastAsiaTheme="minorEastAsia"/>
            </w:rPr>
            <w:t>250毫升</w:t>
          </w:r>
          <w:r>
            <w:rPr>
              <w:rFonts w:hint="eastAsia" w:asciiTheme="minorEastAsia" w:hAnsiTheme="minorEastAsia" w:eastAsiaTheme="minorEastAsia"/>
            </w:rPr>
            <w:t>和</w:t>
          </w:r>
          <w:r>
            <w:rPr>
              <w:rFonts w:asciiTheme="minorEastAsia" w:hAnsiTheme="minorEastAsia" w:eastAsiaTheme="minorEastAsia"/>
            </w:rPr>
            <w:t>250毫升（不含）以上的</w:t>
          </w:r>
          <w:r>
            <w:rPr>
              <w:rFonts w:hint="eastAsia" w:asciiTheme="minorEastAsia" w:hAnsiTheme="minorEastAsia" w:eastAsiaTheme="minorEastAsia"/>
            </w:rPr>
            <w:t>摩托车分别</w:t>
          </w:r>
          <w:r>
            <w:rPr>
              <w:rFonts w:asciiTheme="minorEastAsia" w:hAnsiTheme="minorEastAsia" w:eastAsiaTheme="minorEastAsia"/>
            </w:rPr>
            <w:t>按3%</w:t>
          </w:r>
          <w:r>
            <w:rPr>
              <w:rFonts w:hint="eastAsia" w:asciiTheme="minorEastAsia" w:hAnsiTheme="minorEastAsia" w:eastAsiaTheme="minorEastAsia"/>
            </w:rPr>
            <w:t>和10%的税率征收</w:t>
          </w:r>
          <w:r>
            <w:rPr>
              <w:rFonts w:asciiTheme="minorEastAsia" w:hAnsiTheme="minorEastAsia" w:eastAsiaTheme="minorEastAsia"/>
            </w:rPr>
            <w:t>消费税；轻型商用客车统一按5%计征消费税；乘用车气缸容量在1000-1500（&gt;1000&lt;=1500）毫升之间的按3%计征消费税、气缸容量在1500-2000（&gt;1500&lt;=2000）毫升之间的按5%计征消费税。本公司出口货物实行消费税“免、退”税收管理办法，按原生产环节征税额全额退税。</w:t>
          </w:r>
        </w:p>
        <w:p>
          <w:pPr>
            <w:spacing w:line="360" w:lineRule="auto"/>
            <w:rPr>
              <w:rFonts w:asciiTheme="minorEastAsia" w:hAnsiTheme="minorEastAsia" w:eastAsiaTheme="minorEastAsia"/>
            </w:rPr>
          </w:pPr>
          <w:r>
            <w:rPr>
              <w:rFonts w:hint="eastAsia" w:asciiTheme="minorEastAsia" w:hAnsiTheme="minorEastAsia" w:eastAsiaTheme="minorEastAsia"/>
              <w:szCs w:val="21"/>
            </w:rPr>
            <w:t xml:space="preserve">    注</w:t>
          </w:r>
          <w:r>
            <w:rPr>
              <w:rFonts w:asciiTheme="minorEastAsia" w:hAnsiTheme="minorEastAsia" w:eastAsiaTheme="minorEastAsia"/>
              <w:szCs w:val="21"/>
            </w:rPr>
            <w:t>2</w:t>
          </w:r>
          <w:r>
            <w:rPr>
              <w:rFonts w:hint="eastAsia" w:asciiTheme="minorEastAsia" w:hAnsiTheme="minorEastAsia" w:eastAsiaTheme="minorEastAsia"/>
              <w:szCs w:val="21"/>
            </w:rPr>
            <w:t>：</w:t>
          </w:r>
          <w:r>
            <w:rPr>
              <w:rFonts w:asciiTheme="minorEastAsia" w:hAnsiTheme="minorEastAsia" w:eastAsiaTheme="minorEastAsia"/>
            </w:rPr>
            <w:t>本公司及各独立纳税的主体所得税税率如下：</w:t>
          </w:r>
        </w:p>
        <w:sdt>
          <w:sdtPr>
            <w:rPr>
              <w:rFonts w:asciiTheme="minorEastAsia" w:hAnsiTheme="minorEastAsia" w:eastAsiaTheme="minorEastAsia"/>
              <w:szCs w:val="21"/>
            </w:rPr>
            <w:alias w:val="是否适用：存在不同企业所得税税率纳税主体的，披露情况说明[双击切换]"/>
            <w:tag w:val="_GBC_f117cb1e9d6f4e82900861637cf6a799"/>
            <w:id w:val="123664231"/>
            <w:lock w:val="sdtLocked"/>
            <w:placeholder>
              <w:docPart w:val="GBC22222222222222222222222222222"/>
            </w:placeholder>
          </w:sdtPr>
          <w:sdtEndPr>
            <w:rPr>
              <w:rFonts w:asciiTheme="minorEastAsia" w:hAnsiTheme="minorEastAsia" w:eastAsiaTheme="minorEastAsia"/>
              <w:szCs w:val="21"/>
            </w:rPr>
          </w:sdtEndPr>
          <w:sdtContent>
            <w:p>
              <w:pPr>
                <w:spacing w:line="360" w:lineRule="auto"/>
                <w:rPr>
                  <w:rFonts w:asciiTheme="minorEastAsia" w:hAnsiTheme="minorEastAsia" w:eastAsiaTheme="minorEastAsia"/>
                  <w:szCs w:val="21"/>
                </w:rPr>
              </w:pP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MACROBUTTON  SnrToggleCheckbox √适用 </w:instrText>
              </w:r>
              <w:r>
                <w:rPr>
                  <w:rFonts w:asciiTheme="minorEastAsia" w:hAnsiTheme="minorEastAsia" w:eastAsiaTheme="minorEastAsia"/>
                  <w:szCs w:val="21"/>
                </w:rPr>
                <w:fldChar w:fldCharType="end"/>
              </w:r>
              <w:r>
                <w:rPr>
                  <w:rFonts w:asciiTheme="minorEastAsia" w:hAnsiTheme="minorEastAsia" w:eastAsiaTheme="minorEastAsia"/>
                  <w:szCs w:val="21"/>
                </w:rPr>
                <w:fldChar w:fldCharType="begin"/>
              </w:r>
              <w:r>
                <w:rPr>
                  <w:rFonts w:asciiTheme="minorEastAsia" w:hAnsiTheme="minorEastAsia" w:eastAsiaTheme="minorEastAsia"/>
                  <w:szCs w:val="21"/>
                </w:rPr>
                <w:instrText xml:space="preserve"> MACROBUTTON  SnrToggleCheckbox □不适用 </w:instrText>
              </w:r>
              <w:r>
                <w:rPr>
                  <w:rFonts w:asciiTheme="minorEastAsia" w:hAnsiTheme="minorEastAsia" w:eastAsiaTheme="minorEastAsia"/>
                  <w:szCs w:val="21"/>
                </w:rPr>
                <w:fldChar w:fldCharType="end"/>
              </w:r>
            </w:p>
          </w:sdtContent>
        </w:sdt>
        <w:tbl>
          <w:tblPr>
            <w:tblStyle w:val="110"/>
            <w:tblW w:w="5103" w:type="pct"/>
            <w:tblInd w:w="-17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4398"/>
            <w:gridCol w:w="2549"/>
            <w:gridCol w:w="175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5211f01b9764dbc9a13b86554731418"/>
                <w:id w:val="-1958008978"/>
                <w:lock w:val="sdtLocked"/>
              </w:sdtPr>
              <w:sdtContent>
                <w:tc>
                  <w:tcPr>
                    <w:tcW w:w="2526" w:type="pct"/>
                    <w:shd w:val="clear" w:color="auto" w:fill="auto"/>
                    <w:vAlign w:val="center"/>
                  </w:tcPr>
                  <w:p>
                    <w:pPr>
                      <w:jc w:val="center"/>
                      <w:rPr>
                        <w:szCs w:val="21"/>
                      </w:rPr>
                    </w:pPr>
                    <w:r>
                      <w:rPr>
                        <w:rFonts w:hint="eastAsia"/>
                        <w:szCs w:val="21"/>
                      </w:rPr>
                      <w:t>纳税主体名称</w:t>
                    </w:r>
                  </w:p>
                </w:tc>
              </w:sdtContent>
            </w:sdt>
            <w:sdt>
              <w:sdtPr>
                <w:tag w:val="_PLD_f364076e1daa46149b120da21925a155"/>
                <w:id w:val="-464278021"/>
                <w:lock w:val="sdtLocked"/>
              </w:sdtPr>
              <w:sdtContent>
                <w:tc>
                  <w:tcPr>
                    <w:tcW w:w="1464" w:type="pct"/>
                    <w:shd w:val="clear" w:color="auto" w:fill="auto"/>
                    <w:vAlign w:val="center"/>
                  </w:tcPr>
                  <w:p>
                    <w:pPr>
                      <w:jc w:val="center"/>
                      <w:rPr>
                        <w:szCs w:val="21"/>
                      </w:rPr>
                    </w:pPr>
                    <w:r>
                      <w:rPr>
                        <w:rFonts w:hint="eastAsia"/>
                        <w:szCs w:val="21"/>
                      </w:rPr>
                      <w:t>所得税税率（%）</w:t>
                    </w:r>
                  </w:p>
                </w:tc>
              </w:sdtContent>
            </w:sdt>
            <w:tc>
              <w:tcPr>
                <w:tcW w:w="1009" w:type="pct"/>
                <w:shd w:val="clear" w:color="auto" w:fill="auto"/>
                <w:vAlign w:val="center"/>
              </w:tcPr>
              <w:p>
                <w:pPr>
                  <w:jc w:val="center"/>
                  <w:rPr>
                    <w:szCs w:val="21"/>
                  </w:rPr>
                </w:pPr>
                <w:r>
                  <w:rPr>
                    <w:rFonts w:hint="eastAsia"/>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力帆科技（集团）股份有限公司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重庆力帆摩托车发动机有限公司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河南力帆树民车业有限公司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重庆力帆三轮摩托车有限公司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rPr>
                    <w:rFonts w:hint="eastAsia"/>
                  </w:rPr>
                  <w:t>本节六、</w:t>
                </w:r>
                <w:r>
                  <w:t>2、（</w:t>
                </w:r>
                <w:r>
                  <w:rPr>
                    <w:rFonts w:hint="eastAsia"/>
                  </w:rPr>
                  <w:t>2</w:t>
                </w:r>
                <w: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重庆力帆内燃机有限公司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重庆力帆乘用车有限公司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重庆力帆汽车销售有限公司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力帆集团重庆万光新能源科技有限公司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海博瑞德（重庆）汽车动力控制系统有限公司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北京海博瑞德科技有限公司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上海中科力帆电动汽车有限公司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重庆力帆实业（集团）进出口有限公司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张家港保税区力帆汽车进出口有限公司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重庆力聚进出口贸易有限公司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力帆-越南摩托车制造联营公司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力帆摩托车制造贸易有限公司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新力帆墨西哥有限责任公司</w:t>
                </w:r>
              </w:p>
            </w:tc>
            <w:tc>
              <w:tcPr>
                <w:tcW w:w="1464" w:type="pct"/>
                <w:shd w:val="clear" w:color="auto" w:fill="auto"/>
              </w:tcPr>
              <w:p>
                <w:pPr>
                  <w:jc w:val="right"/>
                  <w:rPr>
                    <w:szCs w:val="21"/>
                  </w:rPr>
                </w:pPr>
                <w:r>
                  <w:t>28.00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扬帆汽车私人有限公司</w:t>
                </w:r>
              </w:p>
            </w:tc>
            <w:tc>
              <w:tcPr>
                <w:tcW w:w="1464" w:type="pct"/>
                <w:shd w:val="clear" w:color="auto" w:fill="auto"/>
              </w:tcPr>
              <w:p>
                <w:pPr>
                  <w:jc w:val="right"/>
                  <w:rPr>
                    <w:szCs w:val="21"/>
                  </w:rPr>
                </w:pPr>
                <w:r>
                  <w:t>30.00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力帆泰国制造有限公司</w:t>
                </w:r>
              </w:p>
            </w:tc>
            <w:tc>
              <w:tcPr>
                <w:tcW w:w="1464" w:type="pct"/>
                <w:shd w:val="clear" w:color="auto" w:fill="auto"/>
                <w:vAlign w:val="center"/>
              </w:tcPr>
              <w:p>
                <w:pPr>
                  <w:jc w:val="right"/>
                </w:pPr>
                <w:r>
                  <w:t>净利润&lt;15万铢</w:t>
                </w:r>
                <w:r>
                  <w:rPr>
                    <w:rFonts w:hint="eastAsia"/>
                  </w:rPr>
                  <w:t>，</w:t>
                </w:r>
                <w:r>
                  <w:t>0</w:t>
                </w:r>
              </w:p>
              <w:p>
                <w:pPr>
                  <w:jc w:val="right"/>
                </w:pPr>
                <w:r>
                  <w:rPr>
                    <w:rFonts w:hint="eastAsia"/>
                  </w:rPr>
                  <w:t>净利润</w:t>
                </w:r>
                <w:r>
                  <w:t>15-100万铢</w:t>
                </w:r>
                <w:r>
                  <w:rPr>
                    <w:rFonts w:hint="eastAsia"/>
                  </w:rPr>
                  <w:t>，</w:t>
                </w:r>
                <w:r>
                  <w:t>15</w:t>
                </w:r>
              </w:p>
              <w:p>
                <w:pPr>
                  <w:jc w:val="right"/>
                </w:pPr>
                <w:r>
                  <w:rPr>
                    <w:rFonts w:hint="eastAsia"/>
                  </w:rPr>
                  <w:t>净利润</w:t>
                </w:r>
                <w:r>
                  <w:t>100-300万铢</w:t>
                </w:r>
                <w:r>
                  <w:rPr>
                    <w:rFonts w:hint="eastAsia"/>
                  </w:rPr>
                  <w:t>，</w:t>
                </w:r>
                <w:r>
                  <w:t>25</w:t>
                </w:r>
              </w:p>
              <w:p>
                <w:pPr>
                  <w:jc w:val="right"/>
                </w:pPr>
                <w:r>
                  <w:rPr>
                    <w:rFonts w:hint="eastAsia"/>
                  </w:rPr>
                  <w:t>净利润</w:t>
                </w:r>
                <w:r>
                  <w:t>&gt;300万铢</w:t>
                </w:r>
                <w:r>
                  <w:rPr>
                    <w:rFonts w:hint="eastAsia"/>
                  </w:rPr>
                  <w:t>，</w:t>
                </w:r>
                <w:r>
                  <w:t>30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力帆国际（控股）有限公司</w:t>
                </w:r>
              </w:p>
            </w:tc>
            <w:tc>
              <w:tcPr>
                <w:tcW w:w="1464" w:type="pct"/>
                <w:shd w:val="clear" w:color="auto" w:fill="auto"/>
              </w:tcPr>
              <w:p>
                <w:pPr>
                  <w:jc w:val="right"/>
                  <w:rPr>
                    <w:szCs w:val="21"/>
                  </w:rPr>
                </w:pPr>
                <w:r>
                  <w:t>16.50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力帆国际（贸易）有限公司</w:t>
                </w:r>
              </w:p>
            </w:tc>
            <w:tc>
              <w:tcPr>
                <w:tcW w:w="1464" w:type="pct"/>
                <w:shd w:val="clear" w:color="auto" w:fill="auto"/>
              </w:tcPr>
              <w:p>
                <w:pPr>
                  <w:jc w:val="right"/>
                  <w:rPr>
                    <w:szCs w:val="21"/>
                  </w:rPr>
                </w:pPr>
                <w:r>
                  <w:t>17.00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乌拉圭控股公司LAFERTIN S.A</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乌拉圭发动机公司ANIKTO S.A</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力帆巴西汽车有限公司LIFAN DO BRASIL</w:t>
                </w:r>
              </w:p>
            </w:tc>
            <w:tc>
              <w:tcPr>
                <w:tcW w:w="1464" w:type="pct"/>
                <w:shd w:val="clear" w:color="auto" w:fill="auto"/>
              </w:tcPr>
              <w:p>
                <w:pPr>
                  <w:jc w:val="right"/>
                </w:pPr>
                <w:r>
                  <w:t>收益&lt;=24万雷亚尔</w:t>
                </w:r>
                <w:r>
                  <w:rPr>
                    <w:rFonts w:hint="eastAsia"/>
                  </w:rPr>
                  <w:t>，</w:t>
                </w:r>
                <w:r>
                  <w:t>24</w:t>
                </w:r>
              </w:p>
              <w:p>
                <w:pPr>
                  <w:jc w:val="right"/>
                  <w:rPr>
                    <w:szCs w:val="21"/>
                  </w:rPr>
                </w:pPr>
                <w:r>
                  <w:t>收益&gt;24万雷亚尔</w:t>
                </w:r>
                <w:r>
                  <w:rPr>
                    <w:rFonts w:hint="eastAsia"/>
                  </w:rPr>
                  <w:t>，</w:t>
                </w:r>
                <w:r>
                  <w:t>34　</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乌拉圭汽车公司BESINEY S.A</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力帆俄罗斯车辆有限责任公司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力帆汽车俄罗斯有限责任公司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ThreesailsLLC（三帆有限责任公司）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美国力帆股份有限公司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力帆意大利有限责任公司</w:t>
                </w:r>
              </w:p>
            </w:tc>
            <w:tc>
              <w:tcPr>
                <w:tcW w:w="1464" w:type="pct"/>
                <w:shd w:val="clear" w:color="auto" w:fill="auto"/>
              </w:tcPr>
              <w:p>
                <w:pPr>
                  <w:jc w:val="right"/>
                  <w:rPr>
                    <w:szCs w:val="21"/>
                  </w:rPr>
                </w:pPr>
                <w:r>
                  <w:t>国税27.5</w:t>
                </w:r>
                <w:r>
                  <w:rPr>
                    <w:rFonts w:hint="eastAsia"/>
                  </w:rPr>
                  <w:t>，</w:t>
                </w:r>
                <w:r>
                  <w:t xml:space="preserve"> 地税3-4</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重庆力帆实业集团销售有限公司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重庆轰轰烈摩托车销售有限公司</w:t>
                </w:r>
              </w:p>
            </w:tc>
            <w:tc>
              <w:tcPr>
                <w:tcW w:w="1464" w:type="pct"/>
                <w:shd w:val="clear" w:color="auto" w:fill="auto"/>
              </w:tcPr>
              <w:p>
                <w:pPr>
                  <w:jc w:val="right"/>
                  <w:rPr>
                    <w:szCs w:val="21"/>
                  </w:rPr>
                </w:pPr>
                <w:r>
                  <w:t>20.00</w:t>
                </w:r>
              </w:p>
            </w:tc>
            <w:tc>
              <w:tcPr>
                <w:tcW w:w="1009" w:type="pct"/>
                <w:shd w:val="clear" w:color="auto" w:fill="auto"/>
              </w:tcPr>
              <w:p>
                <w:pPr>
                  <w:jc w:val="right"/>
                  <w:rPr>
                    <w:szCs w:val="21"/>
                  </w:rPr>
                </w:pPr>
                <w:r>
                  <w:rPr>
                    <w:rFonts w:hint="eastAsia"/>
                  </w:rPr>
                  <w:t>本节六、</w:t>
                </w:r>
                <w:r>
                  <w:t>2、（2）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重庆力帆新能源汽车有限公司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重庆力帆汽车发动机有限公司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河南力帆新能源电动车有限公司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重庆力帆丰顺汽车销售有限公司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重庆新力帆电子商务有限公司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重庆力帆资产管理有限公司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重庆力帆摩托车产销有限公司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江门气派摩托车有限公司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江门气派进出口有限公司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重庆力帆速骓进出口贸易有限公司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重庆力帆喜生活摩托车销售有限公司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重庆力帆速越机械制造有限公司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重庆力帆瑞弛机械制造有限公司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重庆力帆电喷软件有限公司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重庆移峰能源有限公司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成都移峰能源有限公司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济源移峰能源有限公司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绵阳移峰能源有限公司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郑州移峰能源有限公司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广州市力帆新能源汽车销售有限公司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重庆力帆车辆研究院有限公司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重庆力帆智能新能源汽车研究院有限公司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重庆无线绿洲通信技术有限公司</w:t>
                </w:r>
              </w:p>
            </w:tc>
            <w:tc>
              <w:tcPr>
                <w:tcW w:w="1464" w:type="pct"/>
                <w:shd w:val="clear" w:color="auto" w:fill="auto"/>
              </w:tcPr>
              <w:p>
                <w:pPr>
                  <w:jc w:val="right"/>
                  <w:rPr>
                    <w:szCs w:val="21"/>
                  </w:rPr>
                </w:pPr>
                <w:r>
                  <w:t>15.00</w:t>
                </w:r>
              </w:p>
            </w:tc>
            <w:tc>
              <w:tcPr>
                <w:tcW w:w="1009" w:type="pct"/>
                <w:shd w:val="clear" w:color="auto" w:fill="auto"/>
              </w:tcPr>
              <w:p>
                <w:pPr>
                  <w:jc w:val="right"/>
                  <w:rPr>
                    <w:szCs w:val="21"/>
                  </w:rPr>
                </w:pPr>
                <w:r>
                  <w:rPr>
                    <w:rFonts w:hint="eastAsia"/>
                  </w:rPr>
                  <w:t>本节六、</w:t>
                </w:r>
                <w:r>
                  <w:t>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北京无线绿洲通信技术有限公司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重庆力帆速博机械制造有限公司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重庆力帆速盈机械制造有限公司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重庆润田房地产开发有限公司</w:t>
                </w:r>
              </w:p>
            </w:tc>
            <w:tc>
              <w:tcPr>
                <w:tcW w:w="1464" w:type="pct"/>
                <w:shd w:val="clear" w:color="auto" w:fill="auto"/>
              </w:tcPr>
              <w:p>
                <w:pPr>
                  <w:jc w:val="right"/>
                  <w:rPr>
                    <w:szCs w:val="21"/>
                  </w:rPr>
                </w:pPr>
                <w:r>
                  <w:t>25.00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r>
                  <w:rPr>
                    <w:rFonts w:hint="eastAsia"/>
                  </w:rPr>
                  <w:t>河南力帆树民进出口有限公司</w:t>
                </w:r>
              </w:p>
            </w:tc>
            <w:tc>
              <w:tcPr>
                <w:tcW w:w="1464" w:type="pct"/>
                <w:shd w:val="clear" w:color="auto" w:fill="auto"/>
              </w:tcPr>
              <w:p>
                <w:pPr>
                  <w:jc w:val="right"/>
                </w:pPr>
                <w:r>
                  <w:t>25.00</w:t>
                </w:r>
              </w:p>
            </w:tc>
            <w:tc>
              <w:tcPr>
                <w:tcW w:w="1009" w:type="pct"/>
                <w:shd w:val="clear" w:color="auto" w:fill="auto"/>
              </w:tcPr>
              <w:p>
                <w:pPr>
                  <w:jc w:val="right"/>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pPr>
                  <w:rPr>
                    <w:szCs w:val="21"/>
                  </w:rPr>
                </w:pPr>
                <w:r>
                  <w:t>重庆新润壹物业管理有限公司</w:t>
                </w:r>
              </w:p>
            </w:tc>
            <w:tc>
              <w:tcPr>
                <w:tcW w:w="1464" w:type="pct"/>
                <w:shd w:val="clear" w:color="auto" w:fill="auto"/>
              </w:tcPr>
              <w:p>
                <w:pPr>
                  <w:jc w:val="right"/>
                  <w:rPr>
                    <w:szCs w:val="21"/>
                  </w:rPr>
                </w:pPr>
                <w:r>
                  <w:t>2</w:t>
                </w:r>
                <w:r>
                  <w:rPr>
                    <w:rFonts w:hint="eastAsia"/>
                  </w:rPr>
                  <w:t>0</w:t>
                </w:r>
                <w:r>
                  <w:t>.00</w:t>
                </w:r>
              </w:p>
            </w:tc>
            <w:tc>
              <w:tcPr>
                <w:tcW w:w="1009" w:type="pct"/>
                <w:shd w:val="clear" w:color="auto" w:fill="auto"/>
              </w:tcPr>
              <w:p>
                <w:pPr>
                  <w:jc w:val="right"/>
                  <w:rPr>
                    <w:szCs w:val="21"/>
                  </w:rPr>
                </w:pPr>
                <w: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526" w:type="pct"/>
                <w:shd w:val="clear" w:color="auto" w:fill="auto"/>
                <w:vAlign w:val="center"/>
              </w:tcPr>
              <w:p>
                <w:r>
                  <w:rPr>
                    <w:rFonts w:hint="eastAsia"/>
                  </w:rPr>
                  <w:t>重庆新力帆汽车销售有限公司</w:t>
                </w:r>
              </w:p>
            </w:tc>
            <w:tc>
              <w:tcPr>
                <w:tcW w:w="1464" w:type="pct"/>
                <w:shd w:val="clear" w:color="auto" w:fill="auto"/>
              </w:tcPr>
              <w:p>
                <w:pPr>
                  <w:jc w:val="right"/>
                </w:pPr>
                <w:r>
                  <w:t>25.00</w:t>
                </w:r>
              </w:p>
            </w:tc>
            <w:tc>
              <w:tcPr>
                <w:tcW w:w="1009" w:type="pct"/>
                <w:shd w:val="clear" w:color="auto" w:fill="auto"/>
              </w:tcPr>
              <w:p>
                <w:pPr>
                  <w:jc w:val="right"/>
                </w:pPr>
              </w:p>
            </w:tc>
          </w:tr>
        </w:tbl>
        <w:p/>
        <w:p/>
      </w:sdtContent>
    </w:sdt>
    <w:sdt>
      <w:sdtPr>
        <w:rPr>
          <w:rFonts w:ascii="宋体" w:hAnsi="宋体" w:cs="宋体"/>
          <w:b w:val="0"/>
          <w:bCs w:val="0"/>
          <w:kern w:val="0"/>
          <w:sz w:val="24"/>
          <w:szCs w:val="22"/>
        </w:rPr>
        <w:alias w:val="模块:税收优惠及批文"/>
        <w:tag w:val="_GBC_8efa381cc976417f9135f0c744d05452"/>
        <w:id w:val="-1497951358"/>
        <w:lock w:val="sdtLocked"/>
        <w:placeholder>
          <w:docPart w:val="GBC22222222222222222222222222222"/>
        </w:placeholder>
      </w:sdtPr>
      <w:sdtEndPr>
        <w:rPr>
          <w:rFonts w:hint="eastAsia" w:cs="Times New Roman" w:asciiTheme="minorEastAsia" w:hAnsiTheme="minorEastAsia" w:eastAsiaTheme="minorEastAsia"/>
          <w:b w:val="0"/>
          <w:bCs w:val="0"/>
          <w:kern w:val="2"/>
          <w:sz w:val="21"/>
          <w:szCs w:val="21"/>
        </w:rPr>
      </w:sdtEndPr>
      <w:sdtContent>
        <w:p>
          <w:pPr>
            <w:pStyle w:val="114"/>
            <w:numPr>
              <w:ilvl w:val="0"/>
              <w:numId w:val="76"/>
            </w:numPr>
            <w:tabs>
              <w:tab w:val="left" w:pos="546"/>
            </w:tabs>
          </w:pPr>
          <w:r>
            <w:t>税收优惠</w:t>
          </w:r>
        </w:p>
        <w:sdt>
          <w:sdtPr>
            <w:rPr>
              <w:rFonts w:hint="eastAsia"/>
              <w:szCs w:val="21"/>
            </w:rPr>
            <w:alias w:val="是否适用：税收优惠[双击切换]"/>
            <w:tag w:val="_GBC_7b649dcf8ab54475bffc51edb3c33588"/>
            <w:id w:val="-189718975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优惠税赋及批文"/>
            <w:tag w:val="_GBC_3bbdacdaa3ba421fb8a81b9bda047bb4"/>
            <w:id w:val="-1083438667"/>
            <w:lock w:val="sdtLocked"/>
            <w:placeholder>
              <w:docPart w:val="GBC22222222222222222222222222222"/>
            </w:placeholder>
          </w:sdtPr>
          <w:sdtEndPr>
            <w:rPr>
              <w:rFonts w:hint="eastAsia" w:asciiTheme="minorEastAsia" w:hAnsiTheme="minorEastAsia" w:eastAsiaTheme="minorEastAsia"/>
              <w:szCs w:val="21"/>
            </w:rPr>
          </w:sdtEndPr>
          <w:sdtContent>
            <w:p>
              <w:pPr>
                <w:widowControl w:val="0"/>
                <w:adjustRightInd w:val="0"/>
                <w:snapToGrid w:val="0"/>
                <w:spacing w:line="360" w:lineRule="auto"/>
                <w:ind w:firstLine="420" w:firstLineChars="200"/>
                <w:jc w:val="both"/>
                <w:rPr>
                  <w:rFonts w:asciiTheme="minorEastAsia" w:hAnsiTheme="minorEastAsia" w:eastAsiaTheme="minorEastAsia"/>
                </w:rPr>
              </w:pPr>
              <w:r>
                <w:rPr>
                  <w:rFonts w:hint="eastAsia" w:asciiTheme="minorEastAsia" w:hAnsiTheme="minorEastAsia" w:eastAsiaTheme="minorEastAsia"/>
                </w:rPr>
                <w:t>（1）依据财政部、税务总局、国家发展改革委《关于延续西部大开发企业所得税政策的公告》（财政部、税务总局、国家发展改革委公告2020年第23号），2</w:t>
              </w:r>
              <w:r>
                <w:rPr>
                  <w:rFonts w:asciiTheme="minorEastAsia" w:hAnsiTheme="minorEastAsia" w:eastAsiaTheme="minorEastAsia"/>
                </w:rPr>
                <w:t>021年度本公司</w:t>
              </w:r>
              <w:r>
                <w:rPr>
                  <w:rFonts w:hint="eastAsia" w:asciiTheme="minorEastAsia" w:hAnsiTheme="minorEastAsia" w:eastAsiaTheme="minorEastAsia"/>
                </w:rPr>
                <w:t>及子公司重庆力帆摩托车发动机有限公司、重庆力帆内燃机有限公司、重庆力帆乘用车有限公司、重庆力帆汽车销售有限公司、海博瑞德（重庆）汽车动力控制系统有限公司、重庆力帆实业（集团）进出口有限公司、重庆力帆实业集团销售有限公司、重庆力帆汽车发动机有限公司、重庆力帆丰顺汽车销售有限公司、重庆力帆摩托车产销有限公司、重庆力帆速骓进出口贸易有限公司、重庆力帆喜生活摩托车销售有限公司、重庆力帆速越机械制造有限公司、重庆力帆瑞弛机械制造有限公司、重庆力帆电喷软件有限公司、重庆无线绿洲通信技术有限公司</w:t>
              </w:r>
              <w:r>
                <w:rPr>
                  <w:rFonts w:asciiTheme="minorEastAsia" w:hAnsiTheme="minorEastAsia" w:eastAsiaTheme="minorEastAsia"/>
                </w:rPr>
                <w:t>按15%税率申报缴纳企业所得税。</w:t>
              </w:r>
            </w:p>
            <w:p>
              <w:pPr>
                <w:spacing w:line="360" w:lineRule="auto"/>
                <w:rPr>
                  <w:rFonts w:asciiTheme="minorEastAsia" w:hAnsiTheme="minorEastAsia" w:eastAsiaTheme="minorEastAsia"/>
                </w:rPr>
              </w:pPr>
              <w:r>
                <w:rPr>
                  <w:rFonts w:hint="eastAsia" w:asciiTheme="minorEastAsia" w:hAnsiTheme="minorEastAsia" w:eastAsiaTheme="minorEastAsia"/>
                </w:rPr>
                <w:t>（2）依据财政部、税务总局《关于落实支持小型微利企业和个体工商户发展所得税优惠政策有关事项的公告》（国家税务总局公告2021年第8号），</w:t>
              </w:r>
              <w:r>
                <w:rPr>
                  <w:rFonts w:asciiTheme="minorEastAsia" w:hAnsiTheme="minorEastAsia" w:eastAsiaTheme="minorEastAsia"/>
                </w:rPr>
                <w:t>重庆轰轰烈摩托车销售有限公司、重庆力帆三轮摩托车有限公司</w:t>
              </w:r>
              <w:r>
                <w:rPr>
                  <w:rFonts w:hint="eastAsia" w:asciiTheme="minorEastAsia" w:hAnsiTheme="minorEastAsia" w:eastAsiaTheme="minorEastAsia"/>
                </w:rPr>
                <w:t>、重庆新润壹物业管理有限公司</w:t>
              </w:r>
              <w:r>
                <w:rPr>
                  <w:rFonts w:asciiTheme="minorEastAsia" w:hAnsiTheme="minorEastAsia" w:eastAsiaTheme="minorEastAsia"/>
                </w:rPr>
                <w:t>属于小型微利企业，应纳税所得额低于100万元，其所得减按12.5%计入应纳税所得额，按20%的税率缴纳企业所得税。</w:t>
              </w:r>
            </w:p>
          </w:sdtContent>
        </w:sdt>
        <w:p>
          <w:pPr>
            <w:rPr>
              <w:rFonts w:asciiTheme="minorEastAsia" w:hAnsiTheme="minorEastAsia" w:eastAsiaTheme="minorEastAsia"/>
              <w:szCs w:val="21"/>
            </w:rPr>
          </w:pPr>
        </w:p>
      </w:sdtContent>
    </w:sdt>
    <w:sdt>
      <w:sdtPr>
        <w:rPr>
          <w:rFonts w:ascii="宋体" w:hAnsi="宋体" w:cs="宋体"/>
          <w:b w:val="0"/>
          <w:bCs w:val="0"/>
          <w:kern w:val="0"/>
          <w:sz w:val="24"/>
          <w:szCs w:val="22"/>
        </w:rPr>
        <w:alias w:val="模块:其他说明"/>
        <w:tag w:val="_GBC_9fdef48633e142f68e18dc5da08c2deb"/>
        <w:id w:val="161677460"/>
        <w:lock w:val="sdtLocked"/>
        <w:placeholder>
          <w:docPart w:val="GBC22222222222222222222222222222"/>
        </w:placeholder>
      </w:sdtPr>
      <w:sdtEndPr>
        <w:rPr>
          <w:rFonts w:hint="eastAsia" w:ascii="Times New Roman" w:hAnsi="Times New Roman" w:cs="Times New Roman"/>
          <w:b w:val="0"/>
          <w:bCs w:val="0"/>
          <w:kern w:val="2"/>
          <w:sz w:val="21"/>
          <w:szCs w:val="21"/>
        </w:rPr>
      </w:sdtEndPr>
      <w:sdtContent>
        <w:p>
          <w:pPr>
            <w:pStyle w:val="114"/>
            <w:numPr>
              <w:ilvl w:val="0"/>
              <w:numId w:val="76"/>
            </w:numPr>
            <w:tabs>
              <w:tab w:val="left" w:pos="546"/>
            </w:tabs>
            <w:rPr>
              <w:rFonts w:asciiTheme="minorEastAsia" w:hAnsiTheme="minorEastAsia" w:eastAsiaTheme="minorEastAsia"/>
            </w:rPr>
          </w:pPr>
          <w:r>
            <w:t>其他</w:t>
          </w:r>
        </w:p>
        <w:sdt>
          <w:sdtPr>
            <w:rPr>
              <w:rFonts w:hint="eastAsia"/>
              <w:szCs w:val="21"/>
            </w:rPr>
            <w:alias w:val="是否适用：税项说明[双击切换]"/>
            <w:tag w:val="_GBC_cb15d487e8d84ad7877bd8820156d381"/>
            <w:id w:val="-139658312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
      <w:pPr>
        <w:pStyle w:val="113"/>
        <w:numPr>
          <w:ilvl w:val="0"/>
          <w:numId w:val="49"/>
        </w:numPr>
      </w:pPr>
      <w:r>
        <w:rPr>
          <w:rFonts w:hint="eastAsia"/>
        </w:rPr>
        <w:t>合并财务报表项目注释</w:t>
      </w:r>
    </w:p>
    <w:sdt>
      <w:sdtPr>
        <w:rPr>
          <w:rFonts w:hint="eastAsia" w:ascii="宋体" w:hAnsi="宋体" w:cs="宋体"/>
          <w:b w:val="0"/>
          <w:bCs w:val="0"/>
          <w:kern w:val="0"/>
          <w:szCs w:val="21"/>
        </w:rPr>
        <w:alias w:val="模块:货币资金"/>
        <w:tag w:val="_GBC_e001074b3db146e59ba240ad8dd14b68"/>
        <w:id w:val="-504446623"/>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rPr>
              <w:szCs w:val="21"/>
            </w:rPr>
          </w:pPr>
          <w:r>
            <w:rPr>
              <w:szCs w:val="21"/>
            </w:rPr>
            <w:t>货币资金</w:t>
          </w:r>
        </w:p>
        <w:sdt>
          <w:sdtPr>
            <w:rPr>
              <w:rFonts w:hint="eastAsia"/>
              <w:szCs w:val="21"/>
            </w:rPr>
            <w:alias w:val="是否适用：货币资金[双击切换]"/>
            <w:tag w:val="_GBC_7583a9a918ef405ba2d26448cc628ff5"/>
            <w:id w:val="1837188587"/>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42164092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867989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144"/>
            <w:gridCol w:w="3185"/>
            <w:gridCol w:w="3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40e7daf451b4f14ba49162bfbbd1e72"/>
                <w:id w:val="846682571"/>
                <w:lock w:val="sdtLocked"/>
              </w:sdtPr>
              <w:sdtContent>
                <w:tc>
                  <w:tcPr>
                    <w:tcW w:w="1256"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79d1e78073b542bda1ea85bf8925b2cd"/>
                <w:id w:val="199055062"/>
                <w:lock w:val="sdtLocked"/>
              </w:sdtPr>
              <w:sdtContent>
                <w:tc>
                  <w:tcPr>
                    <w:tcW w:w="1865"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725adef951424bb094850d632de69fd0"/>
                <w:id w:val="-1588842227"/>
                <w:lock w:val="sdtLocked"/>
              </w:sdtPr>
              <w:sdtContent>
                <w:tc>
                  <w:tcPr>
                    <w:tcW w:w="1879"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5b07f50e1e44a558dc393086d2f0e7f"/>
                <w:id w:val="309071392"/>
                <w:lock w:val="sdtLocked"/>
              </w:sdtPr>
              <w:sdtContent>
                <w:tc>
                  <w:tcPr>
                    <w:tcW w:w="1256" w:type="pct"/>
                    <w:shd w:val="clear" w:color="auto" w:fill="auto"/>
                  </w:tcPr>
                  <w:p>
                    <w:pPr>
                      <w:autoSpaceDE w:val="0"/>
                      <w:autoSpaceDN w:val="0"/>
                      <w:adjustRightInd w:val="0"/>
                      <w:snapToGrid w:val="0"/>
                      <w:spacing w:line="240" w:lineRule="atLeast"/>
                      <w:jc w:val="center"/>
                      <w:rPr>
                        <w:szCs w:val="21"/>
                      </w:rPr>
                    </w:pPr>
                    <w:r>
                      <w:rPr>
                        <w:rFonts w:hint="eastAsia"/>
                        <w:szCs w:val="21"/>
                      </w:rPr>
                      <w:t>库存现金</w:t>
                    </w:r>
                  </w:p>
                </w:tc>
              </w:sdtContent>
            </w:sdt>
            <w:tc>
              <w:tcPr>
                <w:tcW w:w="1865" w:type="pct"/>
                <w:shd w:val="clear" w:color="auto" w:fill="auto"/>
                <w:vAlign w:val="center"/>
              </w:tcPr>
              <w:p>
                <w:pPr>
                  <w:jc w:val="right"/>
                  <w:rPr>
                    <w:sz w:val="24"/>
                  </w:rPr>
                </w:pPr>
                <w:r>
                  <w:t>1,725,981.02</w:t>
                </w:r>
              </w:p>
            </w:tc>
            <w:tc>
              <w:tcPr>
                <w:tcW w:w="1879" w:type="pct"/>
                <w:shd w:val="clear" w:color="auto" w:fill="auto"/>
                <w:vAlign w:val="center"/>
              </w:tcPr>
              <w:p>
                <w:pPr>
                  <w:jc w:val="right"/>
                  <w:rPr>
                    <w:sz w:val="24"/>
                  </w:rPr>
                </w:pPr>
                <w:r>
                  <w:t>2,896,961.51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9d0fc45c2044da8ab0120f52fea8366"/>
                <w:id w:val="609638412"/>
                <w:lock w:val="sdtLocked"/>
              </w:sdtPr>
              <w:sdtContent>
                <w:tc>
                  <w:tcPr>
                    <w:tcW w:w="1256" w:type="pct"/>
                    <w:shd w:val="clear" w:color="auto" w:fill="auto"/>
                  </w:tcPr>
                  <w:p>
                    <w:pPr>
                      <w:autoSpaceDE w:val="0"/>
                      <w:autoSpaceDN w:val="0"/>
                      <w:adjustRightInd w:val="0"/>
                      <w:snapToGrid w:val="0"/>
                      <w:spacing w:line="240" w:lineRule="atLeast"/>
                      <w:jc w:val="center"/>
                      <w:rPr>
                        <w:szCs w:val="21"/>
                      </w:rPr>
                    </w:pPr>
                    <w:r>
                      <w:rPr>
                        <w:rFonts w:hint="eastAsia"/>
                        <w:szCs w:val="21"/>
                      </w:rPr>
                      <w:t>银行存款</w:t>
                    </w:r>
                  </w:p>
                </w:tc>
              </w:sdtContent>
            </w:sdt>
            <w:tc>
              <w:tcPr>
                <w:tcW w:w="1865" w:type="pct"/>
                <w:shd w:val="clear" w:color="auto" w:fill="auto"/>
                <w:vAlign w:val="center"/>
              </w:tcPr>
              <w:p>
                <w:pPr>
                  <w:jc w:val="right"/>
                  <w:rPr>
                    <w:sz w:val="24"/>
                  </w:rPr>
                </w:pPr>
                <w:r>
                  <w:t>2,581,463,815.40</w:t>
                </w:r>
              </w:p>
            </w:tc>
            <w:tc>
              <w:tcPr>
                <w:tcW w:w="1879" w:type="pct"/>
                <w:shd w:val="clear" w:color="auto" w:fill="auto"/>
                <w:vAlign w:val="center"/>
              </w:tcPr>
              <w:p>
                <w:pPr>
                  <w:jc w:val="right"/>
                  <w:rPr>
                    <w:sz w:val="24"/>
                  </w:rPr>
                </w:pPr>
                <w:r>
                  <w:t>2,361,337,284.14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1e18aed267f4e76a33b93512faddc98"/>
                <w:id w:val="416522506"/>
                <w:lock w:val="sdtLocked"/>
              </w:sdtPr>
              <w:sdtContent>
                <w:tc>
                  <w:tcPr>
                    <w:tcW w:w="1256" w:type="pct"/>
                    <w:shd w:val="clear" w:color="auto" w:fill="auto"/>
                  </w:tcPr>
                  <w:p>
                    <w:pPr>
                      <w:autoSpaceDE w:val="0"/>
                      <w:autoSpaceDN w:val="0"/>
                      <w:adjustRightInd w:val="0"/>
                      <w:snapToGrid w:val="0"/>
                      <w:spacing w:line="240" w:lineRule="atLeast"/>
                      <w:jc w:val="center"/>
                      <w:rPr>
                        <w:szCs w:val="21"/>
                      </w:rPr>
                    </w:pPr>
                    <w:r>
                      <w:rPr>
                        <w:rFonts w:hint="eastAsia"/>
                        <w:szCs w:val="21"/>
                      </w:rPr>
                      <w:t>其他货币资金</w:t>
                    </w:r>
                  </w:p>
                </w:tc>
              </w:sdtContent>
            </w:sdt>
            <w:tc>
              <w:tcPr>
                <w:tcW w:w="1865" w:type="pct"/>
                <w:shd w:val="clear" w:color="auto" w:fill="auto"/>
                <w:vAlign w:val="center"/>
              </w:tcPr>
              <w:p>
                <w:pPr>
                  <w:jc w:val="right"/>
                  <w:rPr>
                    <w:sz w:val="24"/>
                  </w:rPr>
                </w:pPr>
                <w:r>
                  <w:t>152,811,638.35</w:t>
                </w:r>
              </w:p>
            </w:tc>
            <w:tc>
              <w:tcPr>
                <w:tcW w:w="1879" w:type="pct"/>
                <w:shd w:val="clear" w:color="auto" w:fill="auto"/>
                <w:vAlign w:val="center"/>
              </w:tcPr>
              <w:p>
                <w:pPr>
                  <w:jc w:val="right"/>
                  <w:rPr>
                    <w:sz w:val="24"/>
                  </w:rPr>
                </w:pPr>
                <w:r>
                  <w:t>97,422,554.55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256" w:type="pct"/>
                <w:shd w:val="clear" w:color="auto" w:fill="auto"/>
              </w:tcPr>
              <w:p>
                <w:pPr>
                  <w:jc w:val="center"/>
                </w:pPr>
                <w:r>
                  <w:rPr>
                    <w:rFonts w:hint="eastAsia"/>
                  </w:rPr>
                  <w:t>未到期应收利息</w:t>
                </w:r>
              </w:p>
            </w:tc>
            <w:tc>
              <w:tcPr>
                <w:tcW w:w="1865" w:type="pct"/>
                <w:shd w:val="clear" w:color="auto" w:fill="auto"/>
                <w:vAlign w:val="center"/>
              </w:tcPr>
              <w:p>
                <w:pPr>
                  <w:jc w:val="right"/>
                  <w:rPr>
                    <w:sz w:val="24"/>
                  </w:rPr>
                </w:pPr>
                <w:r>
                  <w:t>19,852,051.51</w:t>
                </w:r>
              </w:p>
            </w:tc>
            <w:tc>
              <w:tcPr>
                <w:tcW w:w="1879" w:type="pct"/>
                <w:shd w:val="clear" w:color="auto" w:fill="auto"/>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aea35e6574448b9a1396c2c1b22290f"/>
                <w:id w:val="1270434656"/>
                <w:lock w:val="sdtLocked"/>
              </w:sdtPr>
              <w:sdtContent>
                <w:tc>
                  <w:tcPr>
                    <w:tcW w:w="1256"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1865" w:type="pct"/>
                <w:shd w:val="clear" w:color="auto" w:fill="auto"/>
                <w:vAlign w:val="center"/>
              </w:tcPr>
              <w:p>
                <w:pPr>
                  <w:jc w:val="right"/>
                  <w:rPr>
                    <w:sz w:val="24"/>
                  </w:rPr>
                </w:pPr>
                <w:r>
                  <w:t>2,755,853,486.28</w:t>
                </w:r>
              </w:p>
            </w:tc>
            <w:tc>
              <w:tcPr>
                <w:tcW w:w="1879" w:type="pct"/>
                <w:shd w:val="clear" w:color="auto" w:fill="auto"/>
                <w:vAlign w:val="center"/>
              </w:tcPr>
              <w:p>
                <w:pPr>
                  <w:jc w:val="right"/>
                  <w:rPr>
                    <w:sz w:val="24"/>
                  </w:rPr>
                </w:pPr>
                <w:r>
                  <w:t>2,461,656,800.20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e21157aed743d5a01686780a359fcc"/>
                <w:id w:val="-204333243"/>
                <w:lock w:val="sdtLocked"/>
              </w:sdtPr>
              <w:sdtContent>
                <w:tc>
                  <w:tcPr>
                    <w:tcW w:w="1256" w:type="pct"/>
                    <w:shd w:val="clear" w:color="auto" w:fill="auto"/>
                  </w:tcPr>
                  <w:p>
                    <w:pPr>
                      <w:autoSpaceDE w:val="0"/>
                      <w:autoSpaceDN w:val="0"/>
                      <w:adjustRightInd w:val="0"/>
                      <w:snapToGrid w:val="0"/>
                      <w:spacing w:line="240" w:lineRule="atLeast"/>
                      <w:ind w:firstLine="210" w:firstLineChars="100"/>
                      <w:jc w:val="center"/>
                      <w:rPr>
                        <w:szCs w:val="21"/>
                      </w:rPr>
                    </w:pPr>
                    <w:r>
                      <w:rPr>
                        <w:rFonts w:hint="eastAsia"/>
                        <w:szCs w:val="21"/>
                      </w:rPr>
                      <w:t>其中：存放在境外的款项总额</w:t>
                    </w:r>
                  </w:p>
                </w:tc>
              </w:sdtContent>
            </w:sdt>
            <w:tc>
              <w:tcPr>
                <w:tcW w:w="1865" w:type="pct"/>
                <w:shd w:val="clear" w:color="auto" w:fill="auto"/>
                <w:vAlign w:val="center"/>
              </w:tcPr>
              <w:p>
                <w:pPr>
                  <w:jc w:val="right"/>
                  <w:rPr>
                    <w:sz w:val="24"/>
                  </w:rPr>
                </w:pPr>
                <w:r>
                  <w:t>101,233,884.64</w:t>
                </w:r>
              </w:p>
            </w:tc>
            <w:tc>
              <w:tcPr>
                <w:tcW w:w="1879" w:type="pct"/>
                <w:shd w:val="clear" w:color="auto" w:fill="auto"/>
                <w:vAlign w:val="center"/>
              </w:tcPr>
              <w:p>
                <w:pPr>
                  <w:jc w:val="right"/>
                  <w:rPr>
                    <w:sz w:val="24"/>
                  </w:rPr>
                </w:pPr>
                <w:r>
                  <w:t>114,499,505.52</w:t>
                </w:r>
              </w:p>
            </w:tc>
          </w:tr>
        </w:tbl>
        <w:p>
          <w:pPr>
            <w:rPr>
              <w:szCs w:val="21"/>
            </w:rPr>
          </w:pPr>
          <w:r>
            <w:rPr>
              <w:rFonts w:hint="eastAsia"/>
              <w:szCs w:val="21"/>
            </w:rPr>
            <w:t>其他说明</w:t>
          </w:r>
        </w:p>
        <w:sdt>
          <w:sdtPr>
            <w:rPr>
              <w:rFonts w:cs="宋体"/>
              <w:kern w:val="0"/>
              <w:szCs w:val="24"/>
            </w:rPr>
            <w:alias w:val="货币资金的说明"/>
            <w:tag w:val="_GBC_672a863055084dfabbc1ba40f04a68b4"/>
            <w:id w:val="-193152566"/>
            <w:lock w:val="sdtLocked"/>
            <w:placeholder>
              <w:docPart w:val="GBC22222222222222222222222222222"/>
            </w:placeholder>
          </w:sdtPr>
          <w:sdtEndPr>
            <w:rPr>
              <w:rFonts w:cs="宋体"/>
              <w:kern w:val="0"/>
              <w:szCs w:val="24"/>
            </w:rPr>
          </w:sdtEndPr>
          <w:sdtContent>
            <w:p>
              <w:pPr>
                <w:pStyle w:val="276"/>
                <w:widowControl w:val="0"/>
                <w:tabs>
                  <w:tab w:val="left" w:pos="196"/>
                  <w:tab w:val="left" w:pos="426"/>
                </w:tabs>
                <w:spacing w:before="156" w:beforeLines="50" w:line="360" w:lineRule="auto"/>
                <w:ind w:left="0" w:leftChars="0" w:firstLine="420" w:firstLineChars="200"/>
                <w:rPr>
                  <w:rFonts w:ascii="Arial Narrow" w:hAnsi="Arial Narrow"/>
                </w:rPr>
              </w:pPr>
              <w:r>
                <w:rPr>
                  <w:rFonts w:ascii="Arial Narrow" w:hAnsi="Arial Narrow"/>
                </w:rPr>
                <w:t>其中受限制的货币资金明细如下：</w:t>
              </w:r>
            </w:p>
            <w:tbl>
              <w:tblPr>
                <w:tblStyle w:val="110"/>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2"/>
                <w:gridCol w:w="2438"/>
                <w:gridCol w:w="24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项目</w:t>
                    </w:r>
                  </w:p>
                </w:tc>
                <w:tc>
                  <w:tcPr>
                    <w:tcW w:w="2438"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期末余额</w:t>
                    </w:r>
                  </w:p>
                </w:tc>
                <w:tc>
                  <w:tcPr>
                    <w:tcW w:w="2438"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期初余额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rPr>
                      <w:t>定期存款</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500,000,000.00</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Arial" w:asciiTheme="minorEastAsia" w:hAnsiTheme="minorEastAsia" w:eastAsiaTheme="minorEastAsia"/>
                        <w:kern w:val="2"/>
                        <w:szCs w:val="21"/>
                      </w:rPr>
                      <w:t>1,600,000.00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rPr>
                      <w:t>票据保证金</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137,588,830.97</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Arial" w:asciiTheme="minorEastAsia" w:hAnsiTheme="minorEastAsia" w:eastAsiaTheme="minorEastAsia"/>
                        <w:kern w:val="2"/>
                        <w:szCs w:val="21"/>
                      </w:rPr>
                      <w:t>80,253,950.00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rPr>
                      <w:t>冻结的活期存款</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17,052,552.70</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Arial" w:asciiTheme="minorEastAsia" w:hAnsiTheme="minorEastAsia" w:eastAsiaTheme="minorEastAsia"/>
                        <w:kern w:val="2"/>
                        <w:szCs w:val="21"/>
                      </w:rPr>
                      <w:t>38,832,233.83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rPr>
                      <w:t>借款保证金</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Arial" w:asciiTheme="minorEastAsia" w:hAnsiTheme="minorEastAsia" w:eastAsiaTheme="minorEastAsia"/>
                        <w:kern w:val="2"/>
                        <w:szCs w:val="21"/>
                      </w:rPr>
                      <w:t>28.97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rPr>
                      <w:t>保函保证金</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15,149,655.65</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Arial" w:asciiTheme="minorEastAsia" w:hAnsiTheme="minorEastAsia" w:eastAsiaTheme="minorEastAsia"/>
                        <w:kern w:val="2"/>
                        <w:szCs w:val="21"/>
                      </w:rPr>
                      <w:t>15,497,114.02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rPr>
                      <w:t>其他保证金</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73,151.73</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Arial" w:asciiTheme="minorEastAsia" w:hAnsiTheme="minorEastAsia" w:eastAsiaTheme="minorEastAsia"/>
                        <w:kern w:val="2"/>
                        <w:szCs w:val="21"/>
                      </w:rPr>
                      <w:t>1,671,461.56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52" w:type="dxa"/>
                    <w:vAlign w:val="center"/>
                  </w:tcPr>
                  <w:p>
                    <w:pPr>
                      <w:widowControl w:val="0"/>
                      <w:tabs>
                        <w:tab w:val="left" w:pos="196"/>
                        <w:tab w:val="left" w:pos="426"/>
                      </w:tabs>
                      <w:snapToGrid w:val="0"/>
                      <w:jc w:val="center"/>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合计</w:t>
                    </w:r>
                  </w:p>
                </w:tc>
                <w:tc>
                  <w:tcPr>
                    <w:tcW w:w="2438" w:type="dxa"/>
                    <w:vAlign w:val="center"/>
                  </w:tcPr>
                  <w:p>
                    <w:pPr>
                      <w:widowControl w:val="0"/>
                      <w:tabs>
                        <w:tab w:val="left" w:pos="196"/>
                        <w:tab w:val="left" w:pos="426"/>
                        <w:tab w:val="left" w:pos="1134"/>
                      </w:tabs>
                      <w:snapToGrid w:val="0"/>
                      <w:jc w:val="right"/>
                      <w:rPr>
                        <w:rFonts w:cs="Times New Roman" w:asciiTheme="minorEastAsia" w:hAnsiTheme="minorEastAsia" w:eastAsiaTheme="minorEastAsia"/>
                        <w:kern w:val="2"/>
                        <w:szCs w:val="21"/>
                      </w:rPr>
                    </w:pPr>
                    <w:r>
                      <w:rPr>
                        <w:rFonts w:cs="Times New Roman" w:asciiTheme="minorEastAsia" w:hAnsiTheme="minorEastAsia" w:eastAsiaTheme="minorEastAsia"/>
                        <w:kern w:val="2"/>
                        <w:szCs w:val="21"/>
                      </w:rPr>
                      <w:t>669,864,191.05</w:t>
                    </w:r>
                  </w:p>
                </w:tc>
                <w:tc>
                  <w:tcPr>
                    <w:tcW w:w="2438" w:type="dxa"/>
                    <w:vAlign w:val="center"/>
                  </w:tcPr>
                  <w:p>
                    <w:pPr>
                      <w:widowControl w:val="0"/>
                      <w:tabs>
                        <w:tab w:val="left" w:pos="196"/>
                        <w:tab w:val="left" w:pos="426"/>
                        <w:tab w:val="left" w:pos="1134"/>
                      </w:tabs>
                      <w:snapToGrid w:val="0"/>
                      <w:jc w:val="right"/>
                      <w:rPr>
                        <w:rFonts w:cs="Arial" w:asciiTheme="minorEastAsia" w:hAnsiTheme="minorEastAsia" w:eastAsiaTheme="minorEastAsia"/>
                        <w:kern w:val="2"/>
                        <w:szCs w:val="21"/>
                      </w:rPr>
                    </w:pPr>
                    <w:r>
                      <w:rPr>
                        <w:rFonts w:cs="Times New Roman" w:asciiTheme="minorEastAsia" w:hAnsiTheme="minorEastAsia" w:eastAsiaTheme="minorEastAsia"/>
                        <w:kern w:val="2"/>
                        <w:szCs w:val="21"/>
                      </w:rPr>
                      <w:t>137,854,788.38</w:t>
                    </w:r>
                  </w:p>
                </w:tc>
              </w:tr>
            </w:tbl>
            <w:p>
              <w:pPr>
                <w:rPr>
                  <w:szCs w:val="21"/>
                </w:rPr>
              </w:pPr>
            </w:p>
          </w:sdtContent>
        </w:sdt>
      </w:sdtContent>
    </w:sdt>
    <w:sdt>
      <w:sdtPr>
        <w:rPr>
          <w:rFonts w:hint="eastAsia" w:ascii="宋体" w:hAnsi="宋体" w:cs="宋体"/>
          <w:b w:val="0"/>
          <w:bCs w:val="0"/>
          <w:kern w:val="0"/>
          <w:szCs w:val="21"/>
        </w:rPr>
        <w:alias w:val="模块:交易性金融资产"/>
        <w:tag w:val="_SEC_5d6c5a8a108d4b628932fa3be459b540"/>
        <w:id w:val="453367424"/>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rPr>
              <w:szCs w:val="21"/>
            </w:rPr>
          </w:pPr>
          <w:r>
            <w:rPr>
              <w:rFonts w:hint="eastAsia"/>
              <w:szCs w:val="21"/>
            </w:rPr>
            <w:t>交易性金融资产</w:t>
          </w:r>
        </w:p>
        <w:sdt>
          <w:sdtPr>
            <w:alias w:val="是否适用：交易性金融资产[双击切换]"/>
            <w:tag w:val="_GBC_c852c730c6fa4a3e8930f5cbbab9909f"/>
            <w:id w:val="2314302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衍生金融资产"/>
        <w:tag w:val="_SEC_2f4f1660c2f84fe39c4b376a5cc1b1a7"/>
        <w:id w:val="-279100795"/>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rPr>
              <w:szCs w:val="21"/>
            </w:rPr>
          </w:pPr>
          <w:r>
            <w:rPr>
              <w:rFonts w:hint="eastAsia"/>
              <w:szCs w:val="21"/>
            </w:rPr>
            <w:t>衍生金融资产</w:t>
          </w:r>
        </w:p>
        <w:sdt>
          <w:sdtPr>
            <w:alias w:val="是否适用：衍生金融资产[双击切换]"/>
            <w:tag w:val="_GBC_d17bfaab262c4a499d0afca62045c5e0"/>
            <w:id w:val="145536833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ind w:left="1470" w:right="25" w:rightChars="12" w:hanging="1470" w:hangingChars="700"/>
            <w:rPr>
              <w:szCs w:val="21"/>
            </w:rPr>
          </w:pPr>
        </w:p>
      </w:sdtContent>
    </w:sdt>
    <w:p>
      <w:pPr>
        <w:pStyle w:val="213"/>
        <w:numPr>
          <w:ilvl w:val="0"/>
          <w:numId w:val="77"/>
        </w:numPr>
        <w:rPr>
          <w:rFonts w:ascii="宋体" w:hAnsi="宋体" w:cs="宋体"/>
          <w:kern w:val="0"/>
          <w:szCs w:val="21"/>
        </w:rPr>
      </w:pPr>
      <w:r>
        <w:rPr>
          <w:rFonts w:hint="eastAsia" w:ascii="宋体" w:hAnsi="宋体" w:cs="宋体"/>
          <w:kern w:val="0"/>
          <w:szCs w:val="21"/>
        </w:rPr>
        <w:t>应收票据</w:t>
      </w:r>
    </w:p>
    <w:sdt>
      <w:sdtPr>
        <w:rPr>
          <w:rFonts w:hint="eastAsia" w:ascii="宋体" w:hAnsi="宋体" w:eastAsia="宋体" w:cs="宋体"/>
          <w:b w:val="0"/>
          <w:bCs w:val="0"/>
          <w:kern w:val="0"/>
          <w:szCs w:val="24"/>
        </w:rPr>
        <w:alias w:val="模块:应收票据分类列示"/>
        <w:tag w:val="_SEC_4f1c8160429242738fa8e81ef0aab280"/>
        <w:id w:val="1770667150"/>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3"/>
              <w:numId w:val="78"/>
            </w:numPr>
            <w:ind w:left="426" w:hanging="426"/>
          </w:pPr>
          <w:r>
            <w:rPr>
              <w:rFonts w:hint="eastAsia"/>
            </w:rPr>
            <w:t>应收票据分类列示</w:t>
          </w:r>
        </w:p>
        <w:sdt>
          <w:sdtPr>
            <w:alias w:val="是否适用：应收票据分类列示[双击切换]"/>
            <w:tag w:val="_GBC_bdf010020d484a01ae60c52d7465a06a"/>
            <w:id w:val="108765713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3465673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7777507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819"/>
            <w:gridCol w:w="2951"/>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d44f6beac5e4b8688c30e166c6780c8"/>
                <w:id w:val="1994216080"/>
                <w:lock w:val="sdtLocked"/>
              </w:sdtPr>
              <w:sdtContent>
                <w:tc>
                  <w:tcPr>
                    <w:tcW w:w="1651" w:type="pct"/>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dea2f5c6a1cb487287096a3435e5e8de"/>
                <w:id w:val="-1476830544"/>
                <w:lock w:val="sdtLocked"/>
              </w:sdtPr>
              <w:sdtContent>
                <w:tc>
                  <w:tcPr>
                    <w:tcW w:w="1728" w:type="pct"/>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5d16922842b04d10836d1bc80b3b3b4e"/>
                <w:id w:val="2055965332"/>
                <w:lock w:val="sdtLocked"/>
              </w:sdtPr>
              <w:sdtContent>
                <w:tc>
                  <w:tcPr>
                    <w:tcW w:w="1621" w:type="pct"/>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a83fc5bb974487788e5e58a59a3eb5f"/>
                <w:id w:val="-1235928233"/>
                <w:lock w:val="sdtLocked"/>
              </w:sdtPr>
              <w:sdtContent>
                <w:tc>
                  <w:tcPr>
                    <w:tcW w:w="1651" w:type="pct"/>
                  </w:tcPr>
                  <w:p>
                    <w:pPr>
                      <w:autoSpaceDE w:val="0"/>
                      <w:autoSpaceDN w:val="0"/>
                      <w:adjustRightInd w:val="0"/>
                      <w:snapToGrid w:val="0"/>
                      <w:spacing w:line="240" w:lineRule="atLeast"/>
                      <w:rPr>
                        <w:szCs w:val="21"/>
                      </w:rPr>
                    </w:pPr>
                    <w:r>
                      <w:rPr>
                        <w:rFonts w:hint="eastAsia"/>
                        <w:szCs w:val="21"/>
                      </w:rPr>
                      <w:t>银行承兑票据</w:t>
                    </w:r>
                  </w:p>
                </w:tc>
              </w:sdtContent>
            </w:sdt>
            <w:tc>
              <w:tcPr>
                <w:tcW w:w="1728" w:type="pct"/>
              </w:tcPr>
              <w:p>
                <w:pPr>
                  <w:ind w:right="13"/>
                  <w:jc w:val="right"/>
                  <w:rPr>
                    <w:szCs w:val="21"/>
                  </w:rPr>
                </w:pPr>
                <w:r>
                  <w:t>80,193,425.88</w:t>
                </w:r>
              </w:p>
            </w:tc>
            <w:tc>
              <w:tcPr>
                <w:tcW w:w="1621" w:type="pct"/>
              </w:tcPr>
              <w:p>
                <w:pPr>
                  <w:ind w:right="13"/>
                  <w:jc w:val="right"/>
                  <w:rPr>
                    <w:szCs w:val="21"/>
                  </w:rPr>
                </w:pPr>
                <w:r>
                  <w:t>111,633,700.77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ad9336fa56348e9b260b413a50411a8"/>
                <w:id w:val="-787272851"/>
                <w:lock w:val="sdtLocked"/>
              </w:sdtPr>
              <w:sdtContent>
                <w:tc>
                  <w:tcPr>
                    <w:tcW w:w="1651" w:type="pct"/>
                  </w:tcPr>
                  <w:p>
                    <w:pPr>
                      <w:autoSpaceDE w:val="0"/>
                      <w:autoSpaceDN w:val="0"/>
                      <w:adjustRightInd w:val="0"/>
                      <w:snapToGrid w:val="0"/>
                      <w:spacing w:line="240" w:lineRule="atLeast"/>
                      <w:rPr>
                        <w:szCs w:val="21"/>
                      </w:rPr>
                    </w:pPr>
                    <w:r>
                      <w:rPr>
                        <w:rFonts w:hint="eastAsia"/>
                        <w:szCs w:val="21"/>
                      </w:rPr>
                      <w:t>商业承兑票据</w:t>
                    </w:r>
                  </w:p>
                </w:tc>
              </w:sdtContent>
            </w:sdt>
            <w:tc>
              <w:tcPr>
                <w:tcW w:w="1728" w:type="pct"/>
              </w:tcPr>
              <w:p>
                <w:pPr>
                  <w:ind w:right="13"/>
                  <w:jc w:val="right"/>
                  <w:rPr>
                    <w:szCs w:val="21"/>
                  </w:rPr>
                </w:pPr>
              </w:p>
            </w:tc>
            <w:tc>
              <w:tcPr>
                <w:tcW w:w="1621" w:type="pct"/>
              </w:tcPr>
              <w:p>
                <w:pPr>
                  <w:ind w:right="13"/>
                  <w:jc w:val="right"/>
                  <w:rPr>
                    <w:szCs w:val="21"/>
                  </w:rPr>
                </w:pPr>
              </w:p>
            </w:tc>
          </w:tr>
          <w:sdt>
            <w:sdtPr>
              <w:rPr>
                <w:rFonts w:hint="eastAsia"/>
                <w:szCs w:val="21"/>
              </w:rPr>
              <w:alias w:val="应收票据明细"/>
              <w:tag w:val="_TUP_95bc3e2ae8fa48eb8d897a4e992c7af2"/>
              <w:id w:val="900027282"/>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651" w:type="pct"/>
                  </w:tcPr>
                  <w:p>
                    <w:pPr>
                      <w:autoSpaceDE w:val="0"/>
                      <w:autoSpaceDN w:val="0"/>
                      <w:adjustRightInd w:val="0"/>
                      <w:snapToGrid w:val="0"/>
                      <w:spacing w:line="240" w:lineRule="atLeast"/>
                      <w:rPr>
                        <w:szCs w:val="21"/>
                      </w:rPr>
                    </w:pPr>
                    <w:r>
                      <w:rPr>
                        <w:rFonts w:hint="eastAsia"/>
                        <w:szCs w:val="21"/>
                      </w:rPr>
                      <w:t>其他</w:t>
                    </w:r>
                  </w:p>
                </w:tc>
                <w:tc>
                  <w:tcPr>
                    <w:tcW w:w="1728" w:type="pct"/>
                  </w:tcPr>
                  <w:p>
                    <w:pPr>
                      <w:ind w:right="13"/>
                      <w:jc w:val="right"/>
                      <w:rPr>
                        <w:szCs w:val="21"/>
                      </w:rPr>
                    </w:pPr>
                    <w:r>
                      <w:t>15,722.29</w:t>
                    </w:r>
                  </w:p>
                </w:tc>
                <w:tc>
                  <w:tcPr>
                    <w:tcW w:w="1621" w:type="pct"/>
                  </w:tcPr>
                  <w:p>
                    <w:pPr>
                      <w:ind w:right="13"/>
                      <w:jc w:val="right"/>
                      <w:rPr>
                        <w:szCs w:val="21"/>
                      </w:rPr>
                    </w:pPr>
                    <w:r>
                      <w:t>1,654,672.33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fdd4d3895f64e489d74e6caea548a3b"/>
                <w:id w:val="1321469039"/>
                <w:lock w:val="sdtLocked"/>
              </w:sdtPr>
              <w:sdtContent>
                <w:tc>
                  <w:tcPr>
                    <w:tcW w:w="1651" w:type="pct"/>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1728" w:type="pct"/>
                <w:vAlign w:val="center"/>
              </w:tcPr>
              <w:p>
                <w:pPr>
                  <w:jc w:val="right"/>
                  <w:rPr>
                    <w:sz w:val="24"/>
                  </w:rPr>
                </w:pPr>
                <w:r>
                  <w:t>80,209,148.17</w:t>
                </w:r>
              </w:p>
            </w:tc>
            <w:tc>
              <w:tcPr>
                <w:tcW w:w="1621" w:type="pct"/>
                <w:vAlign w:val="center"/>
              </w:tcPr>
              <w:p>
                <w:pPr>
                  <w:jc w:val="right"/>
                  <w:rPr>
                    <w:sz w:val="24"/>
                  </w:rPr>
                </w:pPr>
                <w:r>
                  <w:t>113,288,373.10</w:t>
                </w:r>
              </w:p>
            </w:tc>
          </w:tr>
        </w:tbl>
        <w:p/>
        <w:p>
          <w:r>
            <w:rPr>
              <w:rFonts w:hint="eastAsia" w:ascii="Times New Roman" w:hAnsi="Times New Roman"/>
            </w:rPr>
            <w:t>其他票据为子公司力帆摩托车制造贸易有限公司收到的远期支票。</w:t>
          </w:r>
        </w:p>
        <w:p>
          <w:pPr>
            <w:snapToGrid w:val="0"/>
            <w:spacing w:line="240" w:lineRule="atLeast"/>
            <w:rPr>
              <w:szCs w:val="21"/>
            </w:rPr>
          </w:pPr>
        </w:p>
      </w:sdtContent>
    </w:sdt>
    <w:sdt>
      <w:sdtPr>
        <w:rPr>
          <w:rFonts w:ascii="宋体" w:hAnsi="宋体" w:eastAsia="宋体" w:cs="宋体"/>
          <w:b w:val="0"/>
          <w:bCs w:val="0"/>
          <w:kern w:val="0"/>
          <w:szCs w:val="24"/>
        </w:rPr>
        <w:alias w:val="模块:期末公司已质押的应收票据"/>
        <w:tag w:val="_SEC_aafb834414ab47688643694210fed9bf"/>
        <w:id w:val="-1945829017"/>
        <w:lock w:val="sdtLocked"/>
        <w:placeholder>
          <w:docPart w:val="GBC22222222222222222222222222222"/>
        </w:placeholder>
      </w:sdtPr>
      <w:sdtEndPr>
        <w:rPr>
          <w:rFonts w:ascii="宋体" w:hAnsi="宋体" w:eastAsia="宋体" w:cs="宋体"/>
          <w:b w:val="0"/>
          <w:bCs w:val="0"/>
          <w:kern w:val="0"/>
          <w:szCs w:val="21"/>
        </w:rPr>
      </w:sdtEndPr>
      <w:sdtContent>
        <w:p>
          <w:pPr>
            <w:pStyle w:val="214"/>
            <w:numPr>
              <w:ilvl w:val="3"/>
              <w:numId w:val="78"/>
            </w:numPr>
            <w:ind w:left="426" w:hanging="426"/>
          </w:pPr>
          <w:r>
            <w:t>期末公司已</w:t>
          </w:r>
          <w:r>
            <w:rPr>
              <w:rFonts w:hint="eastAsia"/>
            </w:rPr>
            <w:t>质押</w:t>
          </w:r>
          <w:r>
            <w:t>的应收票据</w:t>
          </w:r>
        </w:p>
        <w:sdt>
          <w:sdtPr>
            <w:alias w:val="是否适用：期末公司已质押的应收票据[双击切换]"/>
            <w:tag w:val="_GBC_5281ffb2b9304a49a6db0c913bbaac53"/>
            <w:id w:val="1927226636"/>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公司已背书或贴现且在资产负债表日尚未到期的应收票据"/>
        <w:tag w:val="_SEC_45d50989d4a042519489cf69f1b044ed"/>
        <w:id w:val="352004740"/>
        <w:lock w:val="sdtLocked"/>
        <w:placeholder>
          <w:docPart w:val="GBC22222222222222222222222222222"/>
        </w:placeholder>
      </w:sdtPr>
      <w:sdtEndPr>
        <w:rPr>
          <w:rFonts w:hint="default" w:ascii="Times New Roman" w:hAnsi="Times New Roman" w:eastAsia="宋体" w:cs="宋体"/>
          <w:b w:val="0"/>
          <w:bCs w:val="0"/>
          <w:kern w:val="0"/>
          <w:szCs w:val="24"/>
        </w:rPr>
      </w:sdtEndPr>
      <w:sdtContent>
        <w:p>
          <w:pPr>
            <w:pStyle w:val="214"/>
            <w:numPr>
              <w:ilvl w:val="3"/>
              <w:numId w:val="78"/>
            </w:numPr>
            <w:ind w:left="426" w:hanging="426"/>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4672627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13156069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16653626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2"/>
            <w:gridCol w:w="2874"/>
            <w:gridCol w:w="2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a87ff67e5b45fd8796a3a35ba8193e"/>
                <w:id w:val="668527329"/>
                <w:lock w:val="sdtLocked"/>
              </w:sdtPr>
              <w:sdtContent>
                <w:tc>
                  <w:tcPr>
                    <w:tcW w:w="1590" w:type="pct"/>
                    <w:shd w:val="clear" w:color="auto" w:fill="auto"/>
                    <w:vAlign w:val="center"/>
                  </w:tcPr>
                  <w:p>
                    <w:pPr>
                      <w:jc w:val="center"/>
                      <w:rPr>
                        <w:szCs w:val="21"/>
                      </w:rPr>
                    </w:pPr>
                    <w:r>
                      <w:rPr>
                        <w:rFonts w:hint="eastAsia"/>
                        <w:szCs w:val="21"/>
                      </w:rPr>
                      <w:t>项目</w:t>
                    </w:r>
                  </w:p>
                </w:tc>
              </w:sdtContent>
            </w:sdt>
            <w:sdt>
              <w:sdtPr>
                <w:tag w:val="_PLD_f9150e3257574b5dab33b7c7a9c74bd0"/>
                <w:id w:val="477349990"/>
                <w:lock w:val="sdtLocked"/>
              </w:sdtPr>
              <w:sdtContent>
                <w:tc>
                  <w:tcPr>
                    <w:tcW w:w="1685" w:type="pct"/>
                    <w:shd w:val="clear" w:color="auto" w:fill="auto"/>
                    <w:vAlign w:val="center"/>
                  </w:tcPr>
                  <w:p>
                    <w:pPr>
                      <w:jc w:val="center"/>
                      <w:rPr>
                        <w:szCs w:val="21"/>
                      </w:rPr>
                    </w:pPr>
                    <w:r>
                      <w:rPr>
                        <w:rFonts w:hint="eastAsia"/>
                        <w:szCs w:val="21"/>
                      </w:rPr>
                      <w:t>期末终止确认金额</w:t>
                    </w:r>
                  </w:p>
                </w:tc>
              </w:sdtContent>
            </w:sdt>
            <w:sdt>
              <w:sdtPr>
                <w:tag w:val="_PLD_4f99e6fe1d4c4c57bab686890f8d0f57"/>
                <w:id w:val="1749231761"/>
                <w:lock w:val="sdtLocked"/>
              </w:sdtPr>
              <w:sdtContent>
                <w:tc>
                  <w:tcPr>
                    <w:tcW w:w="1725" w:type="pct"/>
                    <w:shd w:val="clear" w:color="auto" w:fill="auto"/>
                    <w:vAlign w:val="center"/>
                  </w:tcPr>
                  <w:p>
                    <w:pPr>
                      <w:jc w:val="center"/>
                      <w:rPr>
                        <w:szCs w:val="21"/>
                      </w:rPr>
                    </w:pPr>
                    <w:r>
                      <w:rPr>
                        <w:rFonts w:hint="eastAsia"/>
                        <w:szCs w:val="21"/>
                      </w:rPr>
                      <w:t>期末未终止确认金额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f1796a9bc548c8812eeaf457d14613"/>
                <w:id w:val="-1711033362"/>
                <w:lock w:val="sdtLocked"/>
              </w:sdtPr>
              <w:sdtContent>
                <w:tc>
                  <w:tcPr>
                    <w:tcW w:w="1590" w:type="pct"/>
                    <w:shd w:val="clear" w:color="auto" w:fill="auto"/>
                  </w:tcPr>
                  <w:p>
                    <w:pPr>
                      <w:jc w:val="center"/>
                      <w:rPr>
                        <w:szCs w:val="21"/>
                      </w:rPr>
                    </w:pPr>
                    <w:r>
                      <w:rPr>
                        <w:rFonts w:hint="eastAsia"/>
                      </w:rPr>
                      <w:t>银行承兑票据</w:t>
                    </w:r>
                  </w:p>
                </w:tc>
              </w:sdtContent>
            </w:sdt>
            <w:tc>
              <w:tcPr>
                <w:tcW w:w="1685" w:type="pct"/>
                <w:shd w:val="clear" w:color="auto" w:fill="auto"/>
              </w:tcPr>
              <w:p>
                <w:pPr>
                  <w:jc w:val="right"/>
                  <w:rPr>
                    <w:szCs w:val="21"/>
                  </w:rPr>
                </w:pPr>
                <w:r>
                  <w:rPr>
                    <w:szCs w:val="21"/>
                  </w:rPr>
                  <w:t>379,142,206.42</w:t>
                </w:r>
              </w:p>
            </w:tc>
            <w:tc>
              <w:tcPr>
                <w:tcW w:w="1725"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d0c8908e4be41e1bbbc59180ba41ae7"/>
                <w:id w:val="294417740"/>
                <w:lock w:val="sdtLocked"/>
              </w:sdtPr>
              <w:sdtContent>
                <w:tc>
                  <w:tcPr>
                    <w:tcW w:w="1590" w:type="pct"/>
                    <w:shd w:val="clear" w:color="auto" w:fill="auto"/>
                  </w:tcPr>
                  <w:p>
                    <w:pPr>
                      <w:jc w:val="center"/>
                    </w:pPr>
                    <w:r>
                      <w:rPr>
                        <w:rFonts w:hint="eastAsia"/>
                      </w:rPr>
                      <w:t>商业承兑票据</w:t>
                    </w:r>
                  </w:p>
                </w:tc>
              </w:sdtContent>
            </w:sdt>
            <w:tc>
              <w:tcPr>
                <w:tcW w:w="1685" w:type="pct"/>
                <w:shd w:val="clear" w:color="auto" w:fill="auto"/>
              </w:tcPr>
              <w:p>
                <w:pPr>
                  <w:jc w:val="right"/>
                  <w:rPr>
                    <w:szCs w:val="21"/>
                  </w:rPr>
                </w:pPr>
              </w:p>
            </w:tc>
            <w:tc>
              <w:tcPr>
                <w:tcW w:w="1725"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ab887bce6974265a559b05b2538e601"/>
                <w:id w:val="791322314"/>
                <w:lock w:val="sdtLocked"/>
              </w:sdtPr>
              <w:sdtContent>
                <w:tc>
                  <w:tcPr>
                    <w:tcW w:w="1590" w:type="pct"/>
                    <w:shd w:val="clear" w:color="auto" w:fill="auto"/>
                    <w:vAlign w:val="center"/>
                  </w:tcPr>
                  <w:p>
                    <w:pPr>
                      <w:jc w:val="center"/>
                    </w:pPr>
                    <w:r>
                      <w:rPr>
                        <w:rFonts w:hint="eastAsia"/>
                      </w:rPr>
                      <w:t>合计</w:t>
                    </w:r>
                  </w:p>
                </w:tc>
              </w:sdtContent>
            </w:sdt>
            <w:tc>
              <w:tcPr>
                <w:tcW w:w="1685" w:type="pct"/>
                <w:shd w:val="clear" w:color="auto" w:fill="auto"/>
              </w:tcPr>
              <w:p>
                <w:pPr>
                  <w:jc w:val="right"/>
                  <w:rPr>
                    <w:szCs w:val="21"/>
                  </w:rPr>
                </w:pPr>
                <w:r>
                  <w:rPr>
                    <w:szCs w:val="21"/>
                  </w:rPr>
                  <w:t>379,142,206.42</w:t>
                </w:r>
              </w:p>
            </w:tc>
            <w:tc>
              <w:tcPr>
                <w:tcW w:w="1725" w:type="pct"/>
                <w:shd w:val="clear" w:color="auto" w:fill="auto"/>
              </w:tcPr>
              <w:p>
                <w:pPr>
                  <w:jc w:val="right"/>
                  <w:rPr>
                    <w:szCs w:val="21"/>
                  </w:rPr>
                </w:pPr>
              </w:p>
            </w:tc>
          </w:tr>
        </w:tbl>
        <w:p>
          <w:pPr>
            <w:rPr>
              <w:rFonts w:ascii="Times New Roman" w:hAnsi="Times New Roman" w:cs="Times New Roman"/>
              <w:kern w:val="2"/>
            </w:rPr>
          </w:pPr>
        </w:p>
      </w:sdtContent>
    </w:sdt>
    <w:sdt>
      <w:sdtPr>
        <w:rPr>
          <w:rFonts w:hint="eastAsia" w:ascii="宋体" w:hAnsi="宋体" w:eastAsia="宋体" w:cs="宋体"/>
          <w:b w:val="0"/>
          <w:bCs w:val="0"/>
          <w:kern w:val="0"/>
          <w:szCs w:val="24"/>
        </w:rPr>
        <w:alias w:val="模块:期末公司因出票人未履约而将其转应收账款的票据"/>
        <w:tag w:val="_SEC_c28e226da8c4479fa309249d7ef50c92"/>
        <w:id w:val="-1921864998"/>
        <w:lock w:val="sdtLocked"/>
        <w:placeholder>
          <w:docPart w:val="GBC22222222222222222222222222222"/>
        </w:placeholder>
      </w:sdtPr>
      <w:sdtEndPr>
        <w:rPr>
          <w:rFonts w:hint="default" w:eastAsia="宋体" w:asciiTheme="minorHAnsi" w:hAnsiTheme="minorHAnsi" w:cstheme="minorBidi"/>
          <w:b w:val="0"/>
          <w:bCs w:val="0"/>
          <w:kern w:val="0"/>
          <w:szCs w:val="22"/>
        </w:rPr>
      </w:sdtEndPr>
      <w:sdtContent>
        <w:p>
          <w:pPr>
            <w:pStyle w:val="214"/>
            <w:numPr>
              <w:ilvl w:val="3"/>
              <w:numId w:val="78"/>
            </w:numPr>
            <w:ind w:left="426" w:hanging="426"/>
          </w:pPr>
          <w:r>
            <w:rPr>
              <w:rFonts w:hint="eastAsia"/>
            </w:rPr>
            <w:t>期末公司因出票人未履约而将其转应收账款的票据</w:t>
          </w:r>
        </w:p>
        <w:sdt>
          <w:sdtPr>
            <w:alias w:val="是否适用：期末公司因出票人未履约而将其转应收账款的票据[双击切换]"/>
            <w:tag w:val="_GBC_9ce8db6863a54a2bbc116604b226d86c"/>
            <w:id w:val="1598675302"/>
            <w:lock w:val="sdtLocked"/>
            <w:placeholder>
              <w:docPart w:val="GBC22222222222222222222222222222"/>
            </w:placeholder>
          </w:sdtPr>
          <w:sdtContent>
            <w:p>
              <w:pPr>
                <w:rPr>
                  <w:rFonts w:asciiTheme="minorHAnsi" w:hAnsiTheme="minorHAnsi" w:cstheme="minorBidi"/>
                  <w:b/>
                  <w:bCs/>
                  <w:szCs w:val="22"/>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ascii="宋体" w:hAnsi="宋体" w:eastAsia="宋体" w:cs="宋体"/>
          <w:b w:val="0"/>
          <w:bCs w:val="0"/>
          <w:kern w:val="0"/>
          <w:szCs w:val="24"/>
        </w:rPr>
        <w:alias w:val="模块:按坏账计提方法分类披露"/>
        <w:tag w:val="_SEC_63927a21dd56431cb79b634520f50ece"/>
        <w:id w:val="-966349979"/>
        <w:lock w:val="sdtLocked"/>
        <w:placeholder>
          <w:docPart w:val="GBC22222222222222222222222222222"/>
        </w:placeholder>
      </w:sdtPr>
      <w:sdtEndPr>
        <w:rPr>
          <w:rFonts w:ascii="宋体" w:hAnsi="宋体" w:eastAsia="宋体" w:cs="宋体"/>
          <w:b w:val="0"/>
          <w:bCs w:val="0"/>
          <w:kern w:val="0"/>
          <w:szCs w:val="24"/>
        </w:rPr>
      </w:sdtEndPr>
      <w:sdtContent>
        <w:p>
          <w:pPr>
            <w:pStyle w:val="214"/>
            <w:numPr>
              <w:ilvl w:val="3"/>
              <w:numId w:val="78"/>
            </w:numPr>
            <w:ind w:left="426" w:hanging="426"/>
          </w:pPr>
          <w:bookmarkStart w:id="143" w:name="_Hlk533596246"/>
          <w:r>
            <w:t>按坏账计提方法分类披露</w:t>
          </w:r>
        </w:p>
        <w:sdt>
          <w:sdtPr>
            <w:alias w:val="是否适用：应收票据按坏账计提方法分类披露[双击切换]"/>
            <w:tag w:val="_GBC_806abc31b942462ba4b46f92c99312a5"/>
            <w:id w:val="-71559178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24"/>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10500396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应收票据按坏账计提方法分类披露"/>
              <w:tag w:val="_GBC_601e6cb0999d4fd599cfcacf79d2aa28"/>
              <w:id w:val="9554442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918"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193"/>
            <w:gridCol w:w="846"/>
            <w:gridCol w:w="432"/>
            <w:gridCol w:w="652"/>
            <w:gridCol w:w="1193"/>
            <w:gridCol w:w="1266"/>
            <w:gridCol w:w="846"/>
            <w:gridCol w:w="432"/>
            <w:gridCol w:w="658"/>
            <w:gridCol w:w="12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trPr>
            <w:sdt>
              <w:sdtPr>
                <w:tag w:val="_PLD_694877484ae448bcbdceead91da15b38"/>
                <w:id w:val="60920054"/>
                <w:lock w:val="sdtLocked"/>
              </w:sdtPr>
              <w:sdtContent>
                <w:tc>
                  <w:tcPr>
                    <w:tcW w:w="633"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类别</w:t>
                    </w:r>
                  </w:p>
                </w:tc>
              </w:sdtContent>
            </w:sdt>
            <w:sdt>
              <w:sdtPr>
                <w:tag w:val="_PLD_fafb5208264e4d4bb8e6b267fb648c20"/>
                <w:id w:val="2134671530"/>
                <w:lock w:val="sdtLocked"/>
              </w:sdtPr>
              <w:sdtContent>
                <w:tc>
                  <w:tcPr>
                    <w:tcW w:w="2136"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8205b68975c546be850548a72e9a6054"/>
                <w:id w:val="1704978807"/>
                <w:lock w:val="sdtLocked"/>
              </w:sdtPr>
              <w:sdtContent>
                <w:tc>
                  <w:tcPr>
                    <w:tcW w:w="2231"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633" w:type="pct"/>
                <w:vMerge w:val="continue"/>
                <w:tcBorders>
                  <w:left w:val="single" w:color="auto" w:sz="4" w:space="0"/>
                  <w:right w:val="single" w:color="auto" w:sz="4" w:space="0"/>
                </w:tcBorders>
                <w:vAlign w:val="center"/>
              </w:tcPr>
              <w:p>
                <w:pPr>
                  <w:rPr>
                    <w:szCs w:val="21"/>
                  </w:rPr>
                </w:pPr>
              </w:p>
            </w:tc>
            <w:sdt>
              <w:sdtPr>
                <w:tag w:val="_PLD_7056cf81ea5945de8de7b1a9d0e25fd7"/>
                <w:id w:val="-74911680"/>
                <w:lock w:val="sdtLocked"/>
              </w:sdtPr>
              <w:sdtContent>
                <w:tc>
                  <w:tcPr>
                    <w:tcW w:w="1009"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34f16de3fbfe4d57907bcde799e70cf5"/>
                <w:id w:val="1056504540"/>
                <w:lock w:val="sdtLocked"/>
              </w:sdtPr>
              <w:sdtContent>
                <w:tc>
                  <w:tcPr>
                    <w:tcW w:w="537"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cd77106f5f004386a9ab2d4ac038ed51"/>
                <w:id w:val="661510826"/>
                <w:lock w:val="sdtLocked"/>
              </w:sdtPr>
              <w:sdtContent>
                <w:tc>
                  <w:tcPr>
                    <w:tcW w:w="591"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sdt>
              <w:sdtPr>
                <w:tag w:val="_PLD_f426e0de2bf0466d9f5f3a3cac025942"/>
                <w:id w:val="616651698"/>
                <w:lock w:val="sdtLocked"/>
              </w:sdtPr>
              <w:sdtContent>
                <w:tc>
                  <w:tcPr>
                    <w:tcW w:w="1046"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42ed37b6856f4ff3b7f03ee8855d758a"/>
                <w:id w:val="482509474"/>
                <w:lock w:val="sdtLocked"/>
              </w:sdtPr>
              <w:sdtContent>
                <w:tc>
                  <w:tcPr>
                    <w:tcW w:w="539" w:type="pct"/>
                    <w:gridSpan w:val="2"/>
                    <w:tcBorders>
                      <w:top w:val="single" w:color="auto" w:sz="4" w:space="0"/>
                      <w:left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f82bf84717ad44b1847dfdc19cbcf7f8"/>
                <w:id w:val="-878769993"/>
                <w:lock w:val="sdtLocked"/>
              </w:sdtPr>
              <w:sdtContent>
                <w:tc>
                  <w:tcPr>
                    <w:tcW w:w="646"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账面</w:t>
                    </w:r>
                  </w:p>
                  <w:p>
                    <w:pPr>
                      <w:jc w:val="center"/>
                      <w:rPr>
                        <w:szCs w:val="21"/>
                      </w:rPr>
                    </w:pPr>
                    <w:r>
                      <w:rPr>
                        <w:rFonts w:hint="eastAsia"/>
                        <w:szCs w:val="21"/>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633" w:type="pct"/>
                <w:vMerge w:val="continue"/>
                <w:tcBorders>
                  <w:left w:val="single" w:color="auto" w:sz="4" w:space="0"/>
                  <w:bottom w:val="single" w:color="auto" w:sz="4" w:space="0"/>
                  <w:right w:val="single" w:color="auto" w:sz="4" w:space="0"/>
                </w:tcBorders>
                <w:vAlign w:val="center"/>
              </w:tcPr>
              <w:p>
                <w:pPr>
                  <w:rPr>
                    <w:szCs w:val="21"/>
                  </w:rPr>
                </w:pPr>
              </w:p>
            </w:tc>
            <w:sdt>
              <w:sdtPr>
                <w:tag w:val="_PLD_aa10a65b20404088a51399b13bc1f8a5"/>
                <w:id w:val="-1415390704"/>
                <w:lock w:val="sdtLocked"/>
              </w:sdtPr>
              <w:sdtContent>
                <w:tc>
                  <w:tcPr>
                    <w:tcW w:w="591"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5ca29603eb73434e9c2b6a938262bcf4"/>
                <w:id w:val="-174271056"/>
                <w:lock w:val="sdtLocked"/>
              </w:sdtPr>
              <w:sdtContent>
                <w:tc>
                  <w:tcPr>
                    <w:tcW w:w="419"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6964d79d10954e17b7bb61b577242def"/>
                <w:id w:val="895930189"/>
                <w:lock w:val="sdtLocked"/>
              </w:sdtPr>
              <w:sdtContent>
                <w:tc>
                  <w:tcPr>
                    <w:tcW w:w="214"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3b8eaa1922a244bea17eec1b5b1e71f7"/>
                <w:id w:val="913043612"/>
                <w:lock w:val="sdtLocked"/>
              </w:sdtPr>
              <w:sdtContent>
                <w:tc>
                  <w:tcPr>
                    <w:tcW w:w="323"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591"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2643b99ff0364343807a178f0f8dd5da"/>
                <w:id w:val="-37975136"/>
                <w:lock w:val="sdtLocked"/>
              </w:sdtPr>
              <w:sdtContent>
                <w:tc>
                  <w:tcPr>
                    <w:tcW w:w="627"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889230571c2941e88f231f43b4b8a99e"/>
                <w:id w:val="-497967563"/>
                <w:lock w:val="sdtLocked"/>
              </w:sdtPr>
              <w:sdtContent>
                <w:tc>
                  <w:tcPr>
                    <w:tcW w:w="419"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比例</w:t>
                    </w:r>
                    <w:r>
                      <w:rPr>
                        <w:szCs w:val="21"/>
                      </w:rPr>
                      <w:t>(%)</w:t>
                    </w:r>
                  </w:p>
                </w:tc>
              </w:sdtContent>
            </w:sdt>
            <w:sdt>
              <w:sdtPr>
                <w:tag w:val="_PLD_e1c946a6d26548c493697d23050b8325"/>
                <w:id w:val="-1271695275"/>
                <w:lock w:val="sdtLocked"/>
              </w:sdtPr>
              <w:sdtContent>
                <w:tc>
                  <w:tcPr>
                    <w:tcW w:w="214"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金额</w:t>
                    </w:r>
                  </w:p>
                </w:tc>
              </w:sdtContent>
            </w:sdt>
            <w:sdt>
              <w:sdtPr>
                <w:tag w:val="_PLD_8bfda0f6261147ccb519211fb86f82f6"/>
                <w:id w:val="-1105962738"/>
                <w:lock w:val="sdtLocked"/>
              </w:sdtPr>
              <w:sdtContent>
                <w:tc>
                  <w:tcPr>
                    <w:tcW w:w="326" w:type="pct"/>
                    <w:tcBorders>
                      <w:left w:val="single" w:color="auto" w:sz="4" w:space="0"/>
                      <w:bottom w:val="single" w:color="auto" w:sz="4" w:space="0"/>
                      <w:right w:val="single" w:color="auto" w:sz="4" w:space="0"/>
                    </w:tcBorders>
                    <w:vAlign w:val="center"/>
                  </w:tcPr>
                  <w:p>
                    <w:pPr>
                      <w:jc w:val="center"/>
                      <w:rPr>
                        <w:szCs w:val="21"/>
                      </w:rPr>
                    </w:pPr>
                    <w:r>
                      <w:rPr>
                        <w:rFonts w:hint="eastAsia"/>
                        <w:szCs w:val="21"/>
                      </w:rPr>
                      <w:t>计提比例</w:t>
                    </w:r>
                    <w:r>
                      <w:rPr>
                        <w:szCs w:val="21"/>
                      </w:rPr>
                      <w:t>(%)</w:t>
                    </w:r>
                  </w:p>
                </w:tc>
              </w:sdtContent>
            </w:sdt>
            <w:tc>
              <w:tcPr>
                <w:tcW w:w="646" w:type="pct"/>
                <w:vMerge w:val="continue"/>
                <w:tcBorders>
                  <w:left w:val="single" w:color="auto" w:sz="4" w:space="0"/>
                  <w:bottom w:val="single" w:color="auto" w:sz="4" w:space="0"/>
                  <w:right w:val="single" w:color="auto" w:sz="4" w:space="0"/>
                </w:tcBorders>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f5bc7376d61c41ae953f5bbba9862828"/>
                <w:id w:val="-1125078255"/>
                <w:lock w:val="sdtLocked"/>
              </w:sdtPr>
              <w:sdtEndPr>
                <w:rPr>
                  <w:rFonts w:asciiTheme="minorEastAsia" w:hAnsiTheme="minorEastAsia" w:eastAsiaTheme="minorEastAsia"/>
                  <w:sz w:val="15"/>
                  <w:szCs w:val="15"/>
                </w:rPr>
              </w:sdtEndPr>
              <w:sdtContent>
                <w:tc>
                  <w:tcPr>
                    <w:tcW w:w="633"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按单项计提坏账准备</w:t>
                    </w:r>
                  </w:p>
                </w:tc>
              </w:sdtContent>
            </w:sdt>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214"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2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4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13ffa512f1e549f7a3da978eb4046a04"/>
                <w:id w:val="179549405"/>
                <w:lock w:val="sdtLocked"/>
              </w:sdtPr>
              <w:sdtEndPr>
                <w:rPr>
                  <w:rFonts w:asciiTheme="minorEastAsia" w:hAnsiTheme="minorEastAsia" w:eastAsiaTheme="minorEastAsia"/>
                  <w:sz w:val="15"/>
                  <w:szCs w:val="15"/>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其中：</w:t>
                    </w:r>
                  </w:p>
                </w:tc>
              </w:sdtContent>
            </w:sdt>
          </w:tr>
          <w:sdt>
            <w:sdtPr>
              <w:rPr>
                <w:rFonts w:asciiTheme="minorEastAsia" w:hAnsiTheme="minorEastAsia" w:eastAsiaTheme="minorEastAsia"/>
                <w:sz w:val="15"/>
                <w:szCs w:val="15"/>
              </w:rPr>
              <w:alias w:val="按单项计提坏账准备的应收票据明细"/>
              <w:tag w:val="_TUP_a7a6b6f8c869485ea0705c4770edc1fe"/>
              <w:id w:val="1450670912"/>
              <w:lock w:val="sdtLocked"/>
            </w:sdtPr>
            <w:sdtEndPr>
              <w:rPr>
                <w:rFonts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alias w:val="按单项计提坏账准备的应收票据明细-类别"/>
                    <w:tag w:val="_GBC_c5229eb68d0d4143be028a8152e10cbe"/>
                    <w:id w:val="-665166117"/>
                    <w:lock w:val="sdtLocked"/>
                    <w:showingPlcHdr/>
                  </w:sdtPr>
                  <w:sdtEndPr>
                    <w:rPr>
                      <w:rFonts w:asciiTheme="minorEastAsia" w:hAnsiTheme="minorEastAsia" w:eastAsiaTheme="minorEastAsia"/>
                      <w:sz w:val="15"/>
                      <w:szCs w:val="15"/>
                    </w:rPr>
                  </w:sdtEndPr>
                  <w:sdtContent>
                    <w:tc>
                      <w:tcPr>
                        <w:tcW w:w="633"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　</w:t>
                        </w:r>
                      </w:p>
                    </w:tc>
                  </w:sdtContent>
                </w:sdt>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2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4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74f5e96c8c064b15ab63806be212914a"/>
                <w:id w:val="-1043974907"/>
                <w:lock w:val="sdtLocked"/>
              </w:sdtPr>
              <w:sdtEndPr>
                <w:rPr>
                  <w:rFonts w:asciiTheme="minorEastAsia" w:hAnsiTheme="minorEastAsia" w:eastAsiaTheme="minorEastAsia"/>
                  <w:sz w:val="15"/>
                  <w:szCs w:val="15"/>
                </w:rPr>
              </w:sdtEndPr>
              <w:sdtContent>
                <w:tc>
                  <w:tcPr>
                    <w:tcW w:w="633"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按组合计提坏账准备</w:t>
                    </w:r>
                  </w:p>
                </w:tc>
              </w:sdtContent>
            </w:sdt>
            <w:tc>
              <w:tcPr>
                <w:tcW w:w="59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80,209,148.17</w:t>
                </w: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100.00</w:t>
                </w:r>
              </w:p>
            </w:tc>
            <w:tc>
              <w:tcPr>
                <w:tcW w:w="21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32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59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80,209,148.17</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113,288,373.10</w:t>
                </w: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100.00</w:t>
                </w:r>
              </w:p>
            </w:tc>
            <w:tc>
              <w:tcPr>
                <w:tcW w:w="21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32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64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113,288,373.10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1b5e68cf63514e05be52ed5144827551"/>
                <w:id w:val="1459691462"/>
                <w:lock w:val="sdtLocked"/>
              </w:sdtPr>
              <w:sdtEndPr>
                <w:rPr>
                  <w:rFonts w:asciiTheme="minorEastAsia" w:hAnsiTheme="minorEastAsia" w:eastAsiaTheme="minorEastAsia"/>
                  <w:sz w:val="15"/>
                  <w:szCs w:val="15"/>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其中：</w:t>
                    </w:r>
                  </w:p>
                </w:tc>
              </w:sdtContent>
            </w:sdt>
          </w:tr>
          <w:sdt>
            <w:sdtPr>
              <w:rPr>
                <w:rFonts w:asciiTheme="minorEastAsia" w:hAnsiTheme="minorEastAsia" w:eastAsiaTheme="minorEastAsia"/>
                <w:sz w:val="15"/>
                <w:szCs w:val="15"/>
              </w:rPr>
              <w:alias w:val="按组合计提坏账准备的应收票据明细"/>
              <w:tag w:val="_TUP_7a481b04f491437ba4a0ac8c0c06d2d9"/>
              <w:id w:val="783391794"/>
              <w:lock w:val="sdtLocked"/>
            </w:sdtPr>
            <w:sdtEndPr>
              <w:rPr>
                <w:rFonts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alias w:val="按组合计提坏账准备的应收票据明细-类别"/>
                    <w:tag w:val="_GBC_ed7e56cbe7ea453aaa8bd5fc800408c8"/>
                    <w:id w:val="998849763"/>
                    <w:lock w:val="sdtLocked"/>
                  </w:sdtPr>
                  <w:sdtEndPr>
                    <w:rPr>
                      <w:rFonts w:asciiTheme="minorEastAsia" w:hAnsiTheme="minorEastAsia" w:eastAsiaTheme="minorEastAsia"/>
                      <w:sz w:val="15"/>
                      <w:szCs w:val="15"/>
                    </w:rPr>
                  </w:sdtEndPr>
                  <w:sdtContent>
                    <w:tc>
                      <w:tcPr>
                        <w:tcW w:w="633"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银行承兑汇票</w:t>
                        </w:r>
                      </w:p>
                    </w:tc>
                  </w:sdtContent>
                </w:sdt>
                <w:tc>
                  <w:tcPr>
                    <w:tcW w:w="59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80,193,425.88</w:t>
                    </w: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99.98</w:t>
                    </w: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80,193,425.88</w:t>
                    </w:r>
                  </w:p>
                </w:tc>
                <w:tc>
                  <w:tcPr>
                    <w:tcW w:w="62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111,633,700.77</w:t>
                    </w: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98.54</w:t>
                    </w: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4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111,633,700.77</w:t>
                    </w:r>
                  </w:p>
                </w:tc>
              </w:tr>
            </w:sdtContent>
          </w:sdt>
          <w:sdt>
            <w:sdtPr>
              <w:rPr>
                <w:rFonts w:asciiTheme="minorEastAsia" w:hAnsiTheme="minorEastAsia" w:eastAsiaTheme="minorEastAsia"/>
                <w:sz w:val="15"/>
                <w:szCs w:val="15"/>
              </w:rPr>
              <w:alias w:val="按组合计提坏账准备的应收票据明细"/>
              <w:tag w:val="_TUP_7a481b04f491437ba4a0ac8c0c06d2d9"/>
              <w:id w:val="798807833"/>
              <w:lock w:val="sdtLocked"/>
            </w:sdtPr>
            <w:sdtEndPr>
              <w:rPr>
                <w:rFonts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alias w:val="按组合计提坏账准备的应收票据明细-类别"/>
                    <w:tag w:val="_GBC_ed7e56cbe7ea453aaa8bd5fc800408c8"/>
                    <w:id w:val="-1765137503"/>
                    <w:lock w:val="sdtLocked"/>
                  </w:sdtPr>
                  <w:sdtEndPr>
                    <w:rPr>
                      <w:rFonts w:asciiTheme="minorEastAsia" w:hAnsiTheme="minorEastAsia" w:eastAsiaTheme="minorEastAsia"/>
                      <w:sz w:val="15"/>
                      <w:szCs w:val="15"/>
                    </w:rPr>
                  </w:sdtEndPr>
                  <w:sdtContent>
                    <w:tc>
                      <w:tcPr>
                        <w:tcW w:w="633"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其它票据</w:t>
                        </w:r>
                      </w:p>
                    </w:tc>
                  </w:sdtContent>
                </w:sdt>
                <w:tc>
                  <w:tcPr>
                    <w:tcW w:w="59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15,722.29</w:t>
                    </w: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0.02</w:t>
                    </w: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15,722.29</w:t>
                    </w:r>
                  </w:p>
                </w:tc>
                <w:tc>
                  <w:tcPr>
                    <w:tcW w:w="627"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1,654,672.33</w:t>
                    </w: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1.46</w:t>
                    </w: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4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1,654,672.33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43db1dc3d14146c28d26c553a73492e8"/>
                <w:id w:val="910809408"/>
                <w:lock w:val="sdtLocked"/>
              </w:sdtPr>
              <w:sdtEndPr>
                <w:rPr>
                  <w:rFonts w:asciiTheme="minorEastAsia" w:hAnsiTheme="minorEastAsia" w:eastAsiaTheme="minorEastAsia"/>
                  <w:sz w:val="15"/>
                  <w:szCs w:val="15"/>
                </w:rPr>
              </w:sdtEndPr>
              <w:sdtContent>
                <w:tc>
                  <w:tcPr>
                    <w:tcW w:w="63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合计</w:t>
                    </w:r>
                  </w:p>
                </w:tc>
              </w:sdtContent>
            </w:sdt>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80,209,148.17</w:t>
                </w:r>
              </w:p>
            </w:tc>
            <w:tc>
              <w:tcPr>
                <w:tcW w:w="41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hint="eastAsia" w:asciiTheme="minorEastAsia" w:hAnsiTheme="minorEastAsia" w:eastAsiaTheme="minorEastAsia"/>
                    <w:sz w:val="15"/>
                    <w:szCs w:val="15"/>
                  </w:rPr>
                  <w:t>100.00</w:t>
                </w:r>
              </w:p>
            </w:tc>
            <w:tc>
              <w:tcPr>
                <w:tcW w:w="21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9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80,209,148.17</w:t>
                </w:r>
              </w:p>
            </w:tc>
            <w:tc>
              <w:tcPr>
                <w:tcW w:w="62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113,288,373.10</w:t>
                </w:r>
              </w:p>
            </w:tc>
            <w:tc>
              <w:tcPr>
                <w:tcW w:w="41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100.00</w:t>
                </w:r>
              </w:p>
            </w:tc>
            <w:tc>
              <w:tcPr>
                <w:tcW w:w="21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32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p>
            </w:tc>
            <w:tc>
              <w:tcPr>
                <w:tcW w:w="64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113,288,373.10</w:t>
                </w:r>
              </w:p>
            </w:tc>
          </w:tr>
        </w:tbl>
        <w:p/>
        <w:p/>
      </w:sdtContent>
    </w:sdt>
    <w:bookmarkEnd w:id="143"/>
    <w:sdt>
      <w:sdtPr>
        <w:rPr>
          <w:rFonts w:hint="eastAsia"/>
        </w:rPr>
        <w:alias w:val="模块:按单项计提坏账准备"/>
        <w:tag w:val="_SEC_2e0b02c8d30f4e60bebed0d7a5a961af"/>
        <w:id w:val="1631364484"/>
        <w:lock w:val="sdtLocked"/>
        <w:placeholder>
          <w:docPart w:val="GBC22222222222222222222222222222"/>
        </w:placeholder>
      </w:sdtPr>
      <w:sdtEndPr>
        <w:rPr>
          <w:rFonts w:hint="default"/>
          <w:szCs w:val="21"/>
        </w:rPr>
      </w:sdtEndPr>
      <w:sdtContent>
        <w:p>
          <w:bookmarkStart w:id="144" w:name="_Hlk533597423"/>
          <w:r>
            <w:rPr>
              <w:rFonts w:hint="eastAsia"/>
            </w:rPr>
            <w:t>按单项计提坏账准备：</w:t>
          </w:r>
        </w:p>
        <w:sdt>
          <w:sdtPr>
            <w:rPr>
              <w:rFonts w:hint="eastAsia"/>
            </w:rPr>
            <w:alias w:val="是否适用：按单项计提坏账准备的应收票据详细情况[双击切换]"/>
            <w:tag w:val="_GBC_9f41f638de8f4c42b9d00ca6755931fb"/>
            <w:id w:val="-1518081370"/>
            <w:lock w:val="sdtLocked"/>
            <w:placeholder>
              <w:docPart w:val="GBC22222222222222222222222222222"/>
            </w:placeholder>
          </w:sdtPr>
          <w:sdtEndPr>
            <w:rPr>
              <w:rFonts w:hint="eastAsia"/>
            </w:rPr>
          </w:sdtEnd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144"/>
    <w:sdt>
      <w:sdtPr>
        <w:rPr>
          <w:rFonts w:hint="eastAsia" w:asciiTheme="minorHAnsi" w:hAnsiTheme="minorHAnsi" w:cstheme="minorBidi"/>
          <w:bCs/>
          <w:szCs w:val="22"/>
        </w:rPr>
        <w:tag w:val="_PLD_c5822df72e094b5083c45a32639c6995"/>
        <w:id w:val="456852995"/>
        <w:lock w:val="sdtLocked"/>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Cs/>
              <w:szCs w:val="22"/>
            </w:rPr>
          </w:pPr>
          <w:r>
            <w:rPr>
              <w:rFonts w:hint="eastAsia" w:asciiTheme="minorHAnsi" w:hAnsiTheme="minorHAnsi" w:cstheme="minorBidi"/>
              <w:bCs/>
              <w:szCs w:val="22"/>
            </w:rPr>
            <w:t>按组合计提坏账准备：</w:t>
          </w:r>
        </w:p>
      </w:sdtContent>
    </w:sdt>
    <w:sdt>
      <w:sdtPr>
        <w:rPr>
          <w:rFonts w:hint="eastAsia" w:asciiTheme="minorHAnsi" w:hAnsiTheme="minorHAnsi" w:cstheme="minorBidi"/>
          <w:bCs/>
          <w:szCs w:val="22"/>
        </w:rPr>
        <w:alias w:val="是否适用：按组合计提坏账准备的应收票据详细情况[双击切换]"/>
        <w:tag w:val="_GBC_6007da8f43a241c5b804069722b7b005"/>
        <w:id w:val="-473213969"/>
        <w:lock w:val="sdtContentLocked"/>
        <w:placeholder>
          <w:docPart w:val="GBC22222222222222222222222222222"/>
        </w:placeholder>
      </w:sdtPr>
      <w:sdtEndPr>
        <w:rPr>
          <w:rFonts w:hint="eastAsia" w:asciiTheme="minorHAnsi" w:hAnsiTheme="minorHAnsi" w:cstheme="minorBidi"/>
          <w:bCs/>
          <w:szCs w:val="22"/>
        </w:rPr>
      </w:sdtEndPr>
      <w:sdtContent>
        <w:p>
          <w:pPr>
            <w:rPr>
              <w:rFonts w:asciiTheme="minorHAnsi" w:hAnsiTheme="minorHAnsi"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sdt>
      <w:sdtPr>
        <w:rPr>
          <w:rFonts w:hint="eastAsia" w:asciiTheme="minorHAnsi" w:hAnsiTheme="minorHAnsi" w:cstheme="minorBidi"/>
          <w:bCs/>
          <w:szCs w:val="22"/>
        </w:rPr>
        <w:alias w:val="模块:按组合计提坏账准备"/>
        <w:tag w:val="_SEC_d03b77239d74458c9d9042e93508a1b3"/>
        <w:id w:val="933563610"/>
        <w:lock w:val="sdtLocked"/>
        <w:placeholder>
          <w:docPart w:val="GBC22222222222222222222222222222"/>
        </w:placeholder>
      </w:sdtPr>
      <w:sdtEndPr>
        <w:rPr>
          <w:rFonts w:hint="default" w:asciiTheme="minorHAnsi" w:hAnsiTheme="minorHAnsi" w:cstheme="minorBidi"/>
          <w:b/>
          <w:bCs/>
          <w:szCs w:val="22"/>
        </w:rPr>
      </w:sdtEndPr>
      <w:sdtContent>
        <w:p>
          <w:pPr>
            <w:rPr>
              <w:rFonts w:asciiTheme="minorHAnsi" w:hAnsiTheme="minorHAnsi" w:cstheme="minorBidi"/>
              <w:bCs/>
              <w:szCs w:val="22"/>
            </w:rPr>
          </w:pPr>
          <w:bookmarkStart w:id="145" w:name="_Hlk533601037"/>
          <w:r>
            <w:rPr>
              <w:rFonts w:hint="eastAsia"/>
            </w:rPr>
            <w:t>组合计提项目</w:t>
          </w:r>
          <w:r>
            <w:rPr>
              <w:rFonts w:hint="eastAsia" w:asciiTheme="minorHAnsi" w:hAnsiTheme="minorHAnsi" w:cstheme="minorBidi"/>
              <w:bCs/>
              <w:szCs w:val="22"/>
            </w:rPr>
            <w:t>：</w:t>
          </w:r>
          <w:sdt>
            <w:sdtPr>
              <w:rPr>
                <w:rFonts w:hint="eastAsia" w:asciiTheme="minorHAnsi" w:hAnsiTheme="minorHAnsi" w:cstheme="minorBidi"/>
                <w:bCs/>
                <w:szCs w:val="22"/>
              </w:rPr>
              <w:alias w:val="按组合计提坏账准备的应收票据明细-类别"/>
              <w:tag w:val="_GBC_d433aaa229cd452c9e29c0f4c5efd15b"/>
              <w:id w:val="1579098438"/>
              <w:lock w:val="sdtLocked"/>
              <w:placeholder>
                <w:docPart w:val="GBC22222222222222222222222222222"/>
              </w:placeholder>
              <w:comboBox>
                <w:listItem w:displayText="其它票据" w:value="其它票据"/>
                <w:listItem w:displayText="银行承兑汇票" w:value="银行承兑汇票"/>
              </w:comboBox>
            </w:sdtPr>
            <w:sdtEndPr>
              <w:rPr>
                <w:rFonts w:hint="eastAsia" w:asciiTheme="minorHAnsi" w:hAnsiTheme="minorHAnsi" w:cstheme="minorBidi"/>
                <w:bCs/>
                <w:szCs w:val="22"/>
              </w:rPr>
            </w:sdtEndPr>
            <w:sdtContent>
              <w:r>
                <w:rPr>
                  <w:rFonts w:hint="eastAsia" w:asciiTheme="minorHAnsi" w:hAnsiTheme="minorHAnsi" w:cstheme="minorBidi"/>
                  <w:bCs/>
                  <w:szCs w:val="22"/>
                </w:rPr>
                <w:t>银行承兑汇票</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7156513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212418540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176"/>
            <w:gridCol w:w="2216"/>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ad584541ec46019bc0ec583b56e6dc"/>
                <w:id w:val="-1946605968"/>
                <w:lock w:val="sdtLocked"/>
              </w:sdtPr>
              <w:sdtContent>
                <w:tc>
                  <w:tcPr>
                    <w:tcW w:w="1158" w:type="pct"/>
                    <w:vMerge w:val="restart"/>
                    <w:vAlign w:val="center"/>
                  </w:tcPr>
                  <w:p>
                    <w:pPr>
                      <w:jc w:val="center"/>
                      <w:rPr>
                        <w:szCs w:val="21"/>
                      </w:rPr>
                    </w:pPr>
                    <w:r>
                      <w:rPr>
                        <w:rFonts w:hint="eastAsia"/>
                        <w:szCs w:val="21"/>
                      </w:rPr>
                      <w:t>名称</w:t>
                    </w:r>
                  </w:p>
                </w:tc>
              </w:sdtContent>
            </w:sdt>
            <w:sdt>
              <w:sdtPr>
                <w:tag w:val="_PLD_4cf87ed9c9624586a738a40c94ad8178"/>
                <w:id w:val="-442146684"/>
                <w:lock w:val="sdtLocked"/>
              </w:sdtPr>
              <w:sdtContent>
                <w:tc>
                  <w:tcPr>
                    <w:tcW w:w="3842" w:type="pct"/>
                    <w:gridSpan w:val="3"/>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szCs w:val="21"/>
                  </w:rPr>
                </w:pPr>
              </w:p>
            </w:tc>
            <w:sdt>
              <w:sdtPr>
                <w:tag w:val="_PLD_c7947e62ac1341a0ab9934cdaf575521"/>
                <w:id w:val="306903697"/>
                <w:lock w:val="sdtLocked"/>
              </w:sdtPr>
              <w:sdtContent>
                <w:tc>
                  <w:tcPr>
                    <w:tcW w:w="1276" w:type="pct"/>
                    <w:vAlign w:val="center"/>
                  </w:tcPr>
                  <w:p>
                    <w:pPr>
                      <w:jc w:val="center"/>
                      <w:rPr>
                        <w:szCs w:val="21"/>
                      </w:rPr>
                    </w:pPr>
                    <w:r>
                      <w:rPr>
                        <w:rFonts w:hint="eastAsia"/>
                        <w:szCs w:val="21"/>
                      </w:rPr>
                      <w:t>应收票据</w:t>
                    </w:r>
                  </w:p>
                </w:tc>
              </w:sdtContent>
            </w:sdt>
            <w:sdt>
              <w:sdtPr>
                <w:tag w:val="_PLD_b0f88303dbd14344a84ee332cb6d53f9"/>
                <w:id w:val="12502529"/>
                <w:lock w:val="sdtLocked"/>
              </w:sdtPr>
              <w:sdtContent>
                <w:tc>
                  <w:tcPr>
                    <w:tcW w:w="1299" w:type="pct"/>
                    <w:vAlign w:val="center"/>
                  </w:tcPr>
                  <w:p>
                    <w:pPr>
                      <w:jc w:val="center"/>
                      <w:rPr>
                        <w:szCs w:val="21"/>
                      </w:rPr>
                    </w:pPr>
                    <w:r>
                      <w:rPr>
                        <w:rFonts w:hint="eastAsia"/>
                        <w:szCs w:val="21"/>
                      </w:rPr>
                      <w:t>坏账准备</w:t>
                    </w:r>
                  </w:p>
                </w:tc>
              </w:sdtContent>
            </w:sdt>
            <w:sdt>
              <w:sdtPr>
                <w:tag w:val="_PLD_2ac8d6b7fbbb4250ab600dfdbe0fcb56"/>
                <w:id w:val="2042937767"/>
                <w:lock w:val="sdtLocked"/>
              </w:sdtPr>
              <w:sdtContent>
                <w:tc>
                  <w:tcPr>
                    <w:tcW w:w="1267" w:type="pct"/>
                    <w:vAlign w:val="center"/>
                  </w:tcPr>
                  <w:p>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181024395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银行承兑汇票</w:t>
                    </w:r>
                  </w:p>
                </w:tc>
                <w:tc>
                  <w:tcPr>
                    <w:tcW w:w="1276" w:type="pct"/>
                  </w:tcPr>
                  <w:p>
                    <w:pPr>
                      <w:jc w:val="right"/>
                      <w:rPr>
                        <w:szCs w:val="21"/>
                      </w:rPr>
                    </w:pPr>
                    <w:r>
                      <w:t>80,193,425.88</w:t>
                    </w:r>
                  </w:p>
                </w:tc>
                <w:tc>
                  <w:tcPr>
                    <w:tcW w:w="1299" w:type="pct"/>
                  </w:tcPr>
                  <w:p>
                    <w:pPr>
                      <w:jc w:val="right"/>
                      <w:rPr>
                        <w:szCs w:val="21"/>
                      </w:rPr>
                    </w:pPr>
                  </w:p>
                </w:tc>
                <w:tc>
                  <w:tcPr>
                    <w:tcW w:w="1267" w:type="pct"/>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sdt>
              <w:sdtPr>
                <w:tag w:val="_PLD_d544e6d977d14107b9437e0ca87cb1b1"/>
                <w:id w:val="2128965741"/>
                <w:lock w:val="sdtLocked"/>
              </w:sdtPr>
              <w:sdtContent>
                <w:tc>
                  <w:tcPr>
                    <w:tcW w:w="1158" w:type="pct"/>
                    <w:vAlign w:val="center"/>
                  </w:tcPr>
                  <w:p>
                    <w:pPr>
                      <w:jc w:val="center"/>
                      <w:rPr>
                        <w:szCs w:val="21"/>
                      </w:rPr>
                    </w:pPr>
                    <w:r>
                      <w:rPr>
                        <w:rFonts w:hint="eastAsia"/>
                        <w:szCs w:val="21"/>
                      </w:rPr>
                      <w:t>合计</w:t>
                    </w:r>
                  </w:p>
                </w:tc>
              </w:sdtContent>
            </w:sdt>
            <w:tc>
              <w:tcPr>
                <w:tcW w:w="1276" w:type="pct"/>
              </w:tcPr>
              <w:p>
                <w:pPr>
                  <w:jc w:val="right"/>
                  <w:rPr>
                    <w:szCs w:val="21"/>
                  </w:rPr>
                </w:pPr>
                <w:r>
                  <w:rPr>
                    <w:szCs w:val="21"/>
                  </w:rPr>
                  <w:t>80,193,425.88</w:t>
                </w:r>
              </w:p>
            </w:tc>
            <w:tc>
              <w:tcPr>
                <w:tcW w:w="1299" w:type="pct"/>
              </w:tcPr>
              <w:p>
                <w:pPr>
                  <w:jc w:val="right"/>
                  <w:rPr>
                    <w:szCs w:val="21"/>
                  </w:rPr>
                </w:pPr>
              </w:p>
            </w:tc>
            <w:tc>
              <w:tcPr>
                <w:tcW w:w="1267" w:type="pct"/>
              </w:tcPr>
              <w:p>
                <w:pPr>
                  <w:jc w:val="right"/>
                  <w:rPr>
                    <w:szCs w:val="21"/>
                  </w:rPr>
                </w:pPr>
              </w:p>
            </w:tc>
          </w:tr>
        </w:tbl>
        <w:p/>
        <w:p>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45097840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sdtContent>
    </w:sdt>
    <w:sdt>
      <w:sdtPr>
        <w:rPr>
          <w:rFonts w:asciiTheme="minorHAnsi" w:hAnsiTheme="minorHAnsi" w:cstheme="minorBidi"/>
          <w:b/>
          <w:bCs/>
          <w:szCs w:val="22"/>
        </w:rPr>
        <w:alias w:val="模块:按组合计提坏账准备"/>
        <w:tag w:val="_SEC_d03b77239d74458c9d9042e93508a1b3"/>
        <w:id w:val="2025820762"/>
        <w:lock w:val="sdtLocked"/>
      </w:sdtPr>
      <w:sdtEndPr>
        <w:rPr>
          <w:rFonts w:asciiTheme="minorHAnsi" w:hAnsiTheme="minorHAnsi" w:cstheme="minorBidi"/>
          <w:b/>
          <w:bCs/>
          <w:szCs w:val="22"/>
        </w:rPr>
      </w:sdtEndPr>
      <w:sdtContent>
        <w:p>
          <w:pPr>
            <w:rPr>
              <w:rFonts w:asciiTheme="minorHAnsi" w:hAnsiTheme="minorHAnsi" w:cstheme="minorBidi"/>
              <w:bCs/>
              <w:szCs w:val="22"/>
            </w:rPr>
          </w:pPr>
          <w:r>
            <w:rPr>
              <w:rFonts w:hint="eastAsia"/>
            </w:rPr>
            <w:t>组合计提项目</w:t>
          </w:r>
          <w:r>
            <w:rPr>
              <w:rFonts w:hint="eastAsia" w:asciiTheme="minorHAnsi" w:hAnsiTheme="minorHAnsi" w:cstheme="minorBidi"/>
              <w:bCs/>
              <w:szCs w:val="22"/>
            </w:rPr>
            <w:t>：</w:t>
          </w:r>
          <w:sdt>
            <w:sdtPr>
              <w:rPr>
                <w:rFonts w:hint="eastAsia" w:asciiTheme="minorHAnsi" w:hAnsiTheme="minorHAnsi" w:cstheme="minorBidi"/>
                <w:bCs/>
                <w:szCs w:val="22"/>
              </w:rPr>
              <w:alias w:val="按组合计提坏账准备的应收票据明细-类别"/>
              <w:tag w:val="_GBC_d433aaa229cd452c9e29c0f4c5efd15b"/>
              <w:id w:val="1082729683"/>
              <w:lock w:val="sdtLocked"/>
              <w:comboBox>
                <w:listItem w:displayText="其它票据" w:value="其它票据"/>
                <w:listItem w:displayText="银行承兑汇票" w:value="银行承兑汇票"/>
              </w:comboBox>
            </w:sdtPr>
            <w:sdtEndPr>
              <w:rPr>
                <w:rFonts w:hint="eastAsia" w:asciiTheme="minorHAnsi" w:hAnsiTheme="minorHAnsi" w:cstheme="minorBidi"/>
                <w:bCs/>
                <w:szCs w:val="22"/>
              </w:rPr>
            </w:sdtEndPr>
            <w:sdtContent>
              <w:r>
                <w:rPr>
                  <w:rFonts w:hint="eastAsia" w:asciiTheme="minorHAnsi" w:hAnsiTheme="minorHAnsi" w:cstheme="minorBidi"/>
                  <w:bCs/>
                  <w:szCs w:val="22"/>
                </w:rPr>
                <w:t>其它票据</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票据详细情况"/>
              <w:tag w:val="_GBC_dd22ce6fdcd5426dbe2948860a8cd0a2"/>
              <w:id w:val="-194684483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票据详细情况"/>
              <w:tag w:val="_GBC_6593230bd891417499c638314f150d60"/>
              <w:id w:val="-75342964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176"/>
            <w:gridCol w:w="2216"/>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ad584541ec46019bc0ec583b56e6dc"/>
                <w:id w:val="1316602934"/>
                <w:lock w:val="sdtLocked"/>
              </w:sdtPr>
              <w:sdtContent>
                <w:tc>
                  <w:tcPr>
                    <w:tcW w:w="1158" w:type="pct"/>
                    <w:vMerge w:val="restart"/>
                    <w:vAlign w:val="center"/>
                  </w:tcPr>
                  <w:p>
                    <w:pPr>
                      <w:jc w:val="center"/>
                      <w:rPr>
                        <w:szCs w:val="21"/>
                      </w:rPr>
                    </w:pPr>
                    <w:r>
                      <w:rPr>
                        <w:rFonts w:hint="eastAsia"/>
                        <w:szCs w:val="21"/>
                      </w:rPr>
                      <w:t>名称</w:t>
                    </w:r>
                  </w:p>
                </w:tc>
              </w:sdtContent>
            </w:sdt>
            <w:sdt>
              <w:sdtPr>
                <w:tag w:val="_PLD_4cf87ed9c9624586a738a40c94ad8178"/>
                <w:id w:val="-1309244323"/>
                <w:lock w:val="sdtLocked"/>
              </w:sdtPr>
              <w:sdtContent>
                <w:tc>
                  <w:tcPr>
                    <w:tcW w:w="3842" w:type="pct"/>
                    <w:gridSpan w:val="3"/>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szCs w:val="21"/>
                  </w:rPr>
                </w:pPr>
              </w:p>
            </w:tc>
            <w:sdt>
              <w:sdtPr>
                <w:tag w:val="_PLD_c7947e62ac1341a0ab9934cdaf575521"/>
                <w:id w:val="961087342"/>
                <w:lock w:val="sdtLocked"/>
              </w:sdtPr>
              <w:sdtContent>
                <w:tc>
                  <w:tcPr>
                    <w:tcW w:w="1276" w:type="pct"/>
                    <w:vAlign w:val="center"/>
                  </w:tcPr>
                  <w:p>
                    <w:pPr>
                      <w:jc w:val="center"/>
                      <w:rPr>
                        <w:szCs w:val="21"/>
                      </w:rPr>
                    </w:pPr>
                    <w:r>
                      <w:rPr>
                        <w:rFonts w:hint="eastAsia"/>
                        <w:szCs w:val="21"/>
                      </w:rPr>
                      <w:t>应收票据</w:t>
                    </w:r>
                  </w:p>
                </w:tc>
              </w:sdtContent>
            </w:sdt>
            <w:sdt>
              <w:sdtPr>
                <w:tag w:val="_PLD_b0f88303dbd14344a84ee332cb6d53f9"/>
                <w:id w:val="1316912479"/>
                <w:lock w:val="sdtLocked"/>
              </w:sdtPr>
              <w:sdtContent>
                <w:tc>
                  <w:tcPr>
                    <w:tcW w:w="1299" w:type="pct"/>
                    <w:vAlign w:val="center"/>
                  </w:tcPr>
                  <w:p>
                    <w:pPr>
                      <w:jc w:val="center"/>
                      <w:rPr>
                        <w:szCs w:val="21"/>
                      </w:rPr>
                    </w:pPr>
                    <w:r>
                      <w:rPr>
                        <w:rFonts w:hint="eastAsia"/>
                        <w:szCs w:val="21"/>
                      </w:rPr>
                      <w:t>坏账准备</w:t>
                    </w:r>
                  </w:p>
                </w:tc>
              </w:sdtContent>
            </w:sdt>
            <w:sdt>
              <w:sdtPr>
                <w:tag w:val="_PLD_2ac8d6b7fbbb4250ab600dfdbe0fcb56"/>
                <w:id w:val="282459466"/>
                <w:lock w:val="sdtLocked"/>
              </w:sdtPr>
              <w:sdtContent>
                <w:tc>
                  <w:tcPr>
                    <w:tcW w:w="1267" w:type="pct"/>
                    <w:vAlign w:val="center"/>
                  </w:tcPr>
                  <w:p>
                    <w:pPr>
                      <w:jc w:val="center"/>
                      <w:rPr>
                        <w:szCs w:val="21"/>
                      </w:rPr>
                    </w:pPr>
                    <w:r>
                      <w:rPr>
                        <w:szCs w:val="21"/>
                      </w:rPr>
                      <w:t>计提比例</w:t>
                    </w:r>
                    <w:r>
                      <w:rPr>
                        <w:rFonts w:hint="eastAsia"/>
                        <w:szCs w:val="21"/>
                      </w:rPr>
                      <w:t>（%）</w:t>
                    </w:r>
                  </w:p>
                </w:tc>
              </w:sdtContent>
            </w:sdt>
          </w:tr>
          <w:sdt>
            <w:sdtPr>
              <w:rPr>
                <w:szCs w:val="21"/>
              </w:rPr>
              <w:alias w:val="按组合计提坏账准备的应收票据详细名称明细"/>
              <w:tag w:val="_TUP_6e7bedb6c3a44f9294abef360140b185"/>
              <w:id w:val="-190907193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其他票据</w:t>
                    </w:r>
                  </w:p>
                </w:tc>
                <w:tc>
                  <w:tcPr>
                    <w:tcW w:w="1276" w:type="pct"/>
                  </w:tcPr>
                  <w:p>
                    <w:pPr>
                      <w:jc w:val="right"/>
                      <w:rPr>
                        <w:szCs w:val="21"/>
                      </w:rPr>
                    </w:pPr>
                    <w:r>
                      <w:t>15,722.29</w:t>
                    </w:r>
                  </w:p>
                </w:tc>
                <w:tc>
                  <w:tcPr>
                    <w:tcW w:w="1299" w:type="pct"/>
                  </w:tcPr>
                  <w:p>
                    <w:pPr>
                      <w:jc w:val="right"/>
                      <w:rPr>
                        <w:szCs w:val="21"/>
                      </w:rPr>
                    </w:pPr>
                  </w:p>
                </w:tc>
                <w:tc>
                  <w:tcPr>
                    <w:tcW w:w="1267" w:type="pct"/>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44e6d977d14107b9437e0ca87cb1b1"/>
                <w:id w:val="1365096292"/>
                <w:lock w:val="sdtLocked"/>
              </w:sdtPr>
              <w:sdtContent>
                <w:tc>
                  <w:tcPr>
                    <w:tcW w:w="1158" w:type="pct"/>
                    <w:vAlign w:val="center"/>
                  </w:tcPr>
                  <w:p>
                    <w:pPr>
                      <w:jc w:val="center"/>
                      <w:rPr>
                        <w:szCs w:val="21"/>
                      </w:rPr>
                    </w:pPr>
                    <w:r>
                      <w:rPr>
                        <w:rFonts w:hint="eastAsia"/>
                        <w:szCs w:val="21"/>
                      </w:rPr>
                      <w:t>合计</w:t>
                    </w:r>
                  </w:p>
                </w:tc>
              </w:sdtContent>
            </w:sdt>
            <w:tc>
              <w:tcPr>
                <w:tcW w:w="1276" w:type="pct"/>
              </w:tcPr>
              <w:p>
                <w:pPr>
                  <w:jc w:val="right"/>
                  <w:rPr>
                    <w:szCs w:val="21"/>
                  </w:rPr>
                </w:pPr>
                <w:r>
                  <w:rPr>
                    <w:szCs w:val="21"/>
                  </w:rPr>
                  <w:t>15,722.29</w:t>
                </w:r>
              </w:p>
            </w:tc>
            <w:tc>
              <w:tcPr>
                <w:tcW w:w="1299" w:type="pct"/>
              </w:tcPr>
              <w:p>
                <w:pPr>
                  <w:jc w:val="right"/>
                  <w:rPr>
                    <w:szCs w:val="21"/>
                  </w:rPr>
                </w:pPr>
              </w:p>
            </w:tc>
            <w:tc>
              <w:tcPr>
                <w:tcW w:w="1267" w:type="pct"/>
              </w:tcPr>
              <w:p>
                <w:pPr>
                  <w:jc w:val="right"/>
                  <w:rPr>
                    <w:szCs w:val="21"/>
                  </w:rPr>
                </w:pPr>
              </w:p>
            </w:tc>
          </w:tr>
        </w:tbl>
        <w:p/>
        <w:p>
          <w:pPr>
            <w:rPr>
              <w:szCs w:val="21"/>
            </w:rPr>
          </w:pPr>
          <w:r>
            <w:rPr>
              <w:rFonts w:hint="eastAsia"/>
              <w:szCs w:val="21"/>
            </w:rPr>
            <w:t>按组合计提坏账的确认标准及说明</w:t>
          </w:r>
        </w:p>
        <w:sdt>
          <w:sdtPr>
            <w:rPr>
              <w:szCs w:val="21"/>
            </w:rPr>
            <w:alias w:val="是否适用：按组合计提坏账准备的应收票据确认标准[双击切换]"/>
            <w:tag w:val="_GBC_8da9c261e1b645a580319dc9ae336a84"/>
            <w:id w:val="-181128295"/>
            <w:lock w:val="sdtLocked"/>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asciiTheme="minorHAnsi" w:hAnsiTheme="minorHAnsi" w:cstheme="minorBidi"/>
              <w:b/>
              <w:bCs/>
              <w:szCs w:val="22"/>
            </w:rPr>
          </w:pPr>
        </w:p>
      </w:sdtContent>
    </w:sdt>
    <w:bookmarkEnd w:id="145"/>
    <w:sdt>
      <w:sdtPr>
        <w:rPr>
          <w:rFonts w:hint="eastAsia" w:cstheme="minorBidi"/>
          <w:bCs/>
          <w:szCs w:val="22"/>
        </w:rPr>
        <w:alias w:val="模块:如按预期信用损失一般模型计提坏账准备，请参照其他应收款披露"/>
        <w:tag w:val="_SEC_04c40b625aee4c7d8e38c7f456e27b56"/>
        <w:id w:val="1489373750"/>
        <w:lock w:val="sdtLocked"/>
        <w:placeholder>
          <w:docPart w:val="GBC22222222222222222222222222222"/>
        </w:placeholder>
      </w:sdtPr>
      <w:sdtEndPr>
        <w:rPr>
          <w:rFonts w:hint="eastAsia" w:asciiTheme="minorHAnsi" w:hAnsiTheme="minorHAnsi" w:cstheme="minorBidi"/>
          <w:b/>
          <w:bCs/>
          <w:szCs w:val="22"/>
        </w:rPr>
      </w:sdtEndPr>
      <w:sdtContent>
        <w:p>
          <w:pPr>
            <w:rPr>
              <w:rFonts w:cstheme="minorBidi"/>
              <w:bCs/>
              <w:szCs w:val="22"/>
            </w:rPr>
          </w:pPr>
          <w:r>
            <w:rPr>
              <w:rFonts w:hint="eastAsia" w:cstheme="minorBidi"/>
              <w:bCs/>
              <w:szCs w:val="22"/>
            </w:rPr>
            <w:t>如按预期信用损失一般模型计提坏账准备，请参照其他应收款披露：</w:t>
          </w:r>
        </w:p>
        <w:sdt>
          <w:sdtPr>
            <w:rPr>
              <w:rFonts w:cstheme="minorBidi"/>
              <w:bCs/>
              <w:szCs w:val="22"/>
            </w:rPr>
            <w:alias w:val="是否适用：应收票据按预期信用损失一般模型计提坏账准备[双击切换]"/>
            <w:tag w:val="_GBC_21b4909badcd4ef7bc61b6478d0fd727"/>
            <w:id w:val="1241903457"/>
            <w:lock w:val="sdtLocked"/>
            <w:placeholder>
              <w:docPart w:val="GBC22222222222222222222222222222"/>
            </w:placeholder>
          </w:sdtPr>
          <w:sdtEndPr>
            <w:rPr>
              <w:rFonts w:cstheme="minorBidi"/>
              <w:bCs/>
              <w:szCs w:val="22"/>
            </w:rPr>
          </w:sdtEndPr>
          <w:sdtContent>
            <w:p>
              <w:pPr>
                <w:rPr>
                  <w:rFonts w:cstheme="minorBidi"/>
                  <w:bCs/>
                  <w:szCs w:val="22"/>
                </w:rPr>
              </w:pPr>
              <w:r>
                <w:rPr>
                  <w:rFonts w:cstheme="minorBidi"/>
                  <w:bCs/>
                  <w:szCs w:val="22"/>
                </w:rPr>
                <w:fldChar w:fldCharType="begin"/>
              </w:r>
              <w:r>
                <w:rPr>
                  <w:rFonts w:cstheme="minorBidi"/>
                  <w:bCs/>
                  <w:szCs w:val="22"/>
                </w:rPr>
                <w:instrText xml:space="preserve"> MACROBUTTON  SnrToggleCheckbox □适用 </w:instrText>
              </w:r>
              <w:r>
                <w:rPr>
                  <w:rFonts w:cstheme="minorBidi"/>
                  <w:bCs/>
                  <w:szCs w:val="22"/>
                </w:rPr>
                <w:fldChar w:fldCharType="end"/>
              </w:r>
              <w:r>
                <w:rPr>
                  <w:rFonts w:cstheme="minorBidi"/>
                  <w:bCs/>
                  <w:szCs w:val="22"/>
                </w:rPr>
                <w:fldChar w:fldCharType="begin"/>
              </w:r>
              <w:r>
                <w:rPr>
                  <w:rFonts w:cstheme="minorBidi"/>
                  <w:bCs/>
                  <w:szCs w:val="22"/>
                </w:rPr>
                <w:instrText xml:space="preserve"> MACROBUTTON  SnrToggleCheckbox √不适用 </w:instrText>
              </w:r>
              <w:r>
                <w:rPr>
                  <w:rFonts w:cstheme="minorBidi"/>
                  <w:bCs/>
                  <w:szCs w:val="22"/>
                </w:rPr>
                <w:fldChar w:fldCharType="end"/>
              </w:r>
            </w:p>
          </w:sdtContent>
        </w:sdt>
        <w:p>
          <w:pPr>
            <w:rPr>
              <w:rFonts w:asciiTheme="minorHAnsi" w:hAnsiTheme="minorHAnsi" w:cstheme="minorBidi"/>
              <w:b/>
              <w:bCs/>
              <w:szCs w:val="22"/>
            </w:rPr>
          </w:pPr>
        </w:p>
      </w:sdtContent>
    </w:sdt>
    <w:sdt>
      <w:sdtPr>
        <w:rPr>
          <w:rFonts w:hint="eastAsia" w:ascii="宋体" w:hAnsi="宋体" w:eastAsia="宋体" w:cs="宋体"/>
          <w:b w:val="0"/>
          <w:bCs w:val="0"/>
          <w:kern w:val="0"/>
          <w:szCs w:val="24"/>
        </w:rPr>
        <w:alias w:val="模块:应收票据坏账准备的情况"/>
        <w:tag w:val="_SEC_3dab029b25824ad8a8695b0e58b6c454"/>
        <w:id w:val="478819412"/>
        <w:lock w:val="sdtLocked"/>
        <w:placeholder>
          <w:docPart w:val="GBC22222222222222222222222222222"/>
        </w:placeholder>
      </w:sdtPr>
      <w:sdtEndPr>
        <w:rPr>
          <w:rFonts w:hint="default" w:eastAsia="宋体" w:asciiTheme="minorHAnsi" w:hAnsiTheme="minorHAnsi" w:cstheme="minorBidi"/>
          <w:b w:val="0"/>
          <w:bCs w:val="0"/>
          <w:kern w:val="0"/>
          <w:szCs w:val="22"/>
        </w:rPr>
      </w:sdtEndPr>
      <w:sdtContent>
        <w:p>
          <w:pPr>
            <w:pStyle w:val="214"/>
            <w:numPr>
              <w:ilvl w:val="3"/>
              <w:numId w:val="78"/>
            </w:numPr>
            <w:ind w:left="426" w:hanging="426"/>
          </w:pPr>
          <w:bookmarkStart w:id="146" w:name="_Hlk532980547"/>
          <w:r>
            <w:rPr>
              <w:rFonts w:hint="eastAsia"/>
            </w:rPr>
            <w:t>坏账准备的情况</w:t>
          </w:r>
        </w:p>
        <w:sdt>
          <w:sdtPr>
            <w:alias w:val="是否适用：应收票据坏账准备情况[双击切换]"/>
            <w:tag w:val="_GBC_3c7b44ae9e3b4aa6a67012163093206f"/>
            <w:id w:val="-49307717"/>
            <w:lock w:val="sdtLocked"/>
            <w:placeholder>
              <w:docPart w:val="GBC22222222222222222222222222222"/>
            </w:placeholder>
          </w:sdtPr>
          <w:sdtContent>
            <w:p>
              <w:pPr>
                <w:rPr>
                  <w:rFonts w:asciiTheme="minorHAnsi" w:hAnsiTheme="minorHAnsi" w:cstheme="minorBidi"/>
                  <w:b/>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b/>
              <w:bCs/>
              <w:szCs w:val="22"/>
            </w:rPr>
          </w:pPr>
        </w:p>
      </w:sdtContent>
    </w:sdt>
    <w:bookmarkEnd w:id="146"/>
    <w:sdt>
      <w:sdtPr>
        <w:rPr>
          <w:rFonts w:hint="eastAsia" w:ascii="宋体" w:hAnsi="宋体" w:eastAsia="宋体" w:cs="宋体"/>
          <w:b w:val="0"/>
          <w:bCs w:val="0"/>
          <w:kern w:val="0"/>
          <w:szCs w:val="24"/>
        </w:rPr>
        <w:alias w:val="模块:本期实际核销的应收票据情况"/>
        <w:tag w:val="_SEC_3428d5e0a1974f66bdc18edf0b310417"/>
        <w:id w:val="-1261140971"/>
        <w:lock w:val="sdtLocked"/>
        <w:placeholder>
          <w:docPart w:val="GBC22222222222222222222222222222"/>
        </w:placeholder>
      </w:sdtPr>
      <w:sdtEndPr>
        <w:rPr>
          <w:rFonts w:hint="default" w:eastAsia="宋体" w:asciiTheme="minorHAnsi" w:hAnsiTheme="minorHAnsi" w:cstheme="minorBidi"/>
          <w:b w:val="0"/>
          <w:bCs w:val="0"/>
          <w:kern w:val="0"/>
          <w:szCs w:val="22"/>
        </w:rPr>
      </w:sdtEndPr>
      <w:sdtContent>
        <w:p>
          <w:pPr>
            <w:pStyle w:val="214"/>
            <w:numPr>
              <w:ilvl w:val="3"/>
              <w:numId w:val="78"/>
            </w:numPr>
            <w:ind w:left="426" w:hanging="426"/>
          </w:pPr>
          <w:bookmarkStart w:id="147" w:name="_Hlk532982011"/>
          <w:r>
            <w:rPr>
              <w:rFonts w:hint="eastAsia"/>
            </w:rPr>
            <w:t>本期实际核销的应收票据情况</w:t>
          </w:r>
        </w:p>
        <w:sdt>
          <w:sdtPr>
            <w:alias w:val="是否适用：实际核销的应收票据[双击切换]"/>
            <w:tag w:val="_GBC_a0d8af67abfc4a1698fd198064d3b108"/>
            <w:id w:val="-585846935"/>
            <w:lock w:val="sdtLocked"/>
            <w:placeholder>
              <w:docPart w:val="GBC22222222222222222222222222222"/>
            </w:placeholder>
          </w:sdtPr>
          <w:sdtContent>
            <w:p>
              <w:pPr>
                <w:rPr>
                  <w:rFonts w:asciiTheme="minorHAnsi" w:hAnsiTheme="minorHAnsi" w:cstheme="minorBidi"/>
                  <w:bCs/>
                  <w:szCs w:val="22"/>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b/>
              <w:bCs/>
              <w:szCs w:val="22"/>
            </w:rPr>
          </w:pPr>
        </w:p>
      </w:sdtContent>
    </w:sdt>
    <w:bookmarkEnd w:id="147"/>
    <w:sdt>
      <w:sdtPr>
        <w:rPr>
          <w:rFonts w:hint="eastAsia" w:asciiTheme="minorHAnsi" w:hAnsiTheme="minorHAnsi" w:cstheme="minorBidi"/>
          <w:b/>
          <w:bCs/>
          <w:szCs w:val="22"/>
        </w:rPr>
        <w:alias w:val="模块:应收票据其他说明"/>
        <w:tag w:val="_SEC_9045c8983bbe475395a63669d8f42a68"/>
        <w:id w:val="-255679996"/>
        <w:lock w:val="sdtLocked"/>
        <w:placeholder>
          <w:docPart w:val="GBC22222222222222222222222222222"/>
        </w:placeholder>
      </w:sdtPr>
      <w:sdtEndPr>
        <w:rPr>
          <w:rFonts w:hint="default" w:ascii="Times New Roman" w:hAnsi="Times New Roman" w:cs="Times New Roman"/>
          <w:b w:val="0"/>
          <w:bCs w:val="0"/>
          <w:szCs w:val="24"/>
        </w:rPr>
      </w:sdtEndPr>
      <w:sdtContent>
        <w:p>
          <w:r>
            <w:rPr>
              <w:rFonts w:hint="eastAsia"/>
            </w:rPr>
            <w:t>其他说明</w:t>
          </w:r>
        </w:p>
        <w:sdt>
          <w:sdtPr>
            <w:alias w:val="是否适用：应收票据的说明[双击切换]"/>
            <w:tag w:val="_GBC_dc21e09520924a5db7020ba029631550"/>
            <w:id w:val="2118711205"/>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sdtContent>
    </w:sdt>
    <w:p>
      <w:pPr>
        <w:pStyle w:val="213"/>
        <w:numPr>
          <w:ilvl w:val="0"/>
          <w:numId w:val="77"/>
        </w:numPr>
        <w:rPr>
          <w:rFonts w:ascii="宋体" w:hAnsi="宋体" w:cs="宋体"/>
          <w:kern w:val="0"/>
          <w:szCs w:val="21"/>
        </w:rPr>
      </w:pPr>
      <w:r>
        <w:rPr>
          <w:rFonts w:hint="eastAsia" w:ascii="宋体" w:hAnsi="宋体" w:cs="宋体"/>
          <w:kern w:val="0"/>
          <w:szCs w:val="21"/>
        </w:rPr>
        <w:t>应收账款</w:t>
      </w:r>
    </w:p>
    <w:sdt>
      <w:sdtPr>
        <w:rPr>
          <w:rFonts w:hint="eastAsia" w:ascii="宋体" w:hAnsi="宋体" w:eastAsia="宋体" w:cs="宋体"/>
          <w:b w:val="0"/>
          <w:bCs w:val="0"/>
          <w:kern w:val="0"/>
          <w:szCs w:val="24"/>
        </w:rPr>
        <w:alias w:val="模块:按账龄披露"/>
        <w:tag w:val="_SEC_839f797b2ddf4a12a40452a1e747a584"/>
        <w:id w:val="1993060191"/>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3"/>
              <w:numId w:val="79"/>
            </w:numPr>
            <w:ind w:left="426" w:hanging="426"/>
          </w:pPr>
          <w:r>
            <w:rPr>
              <w:rFonts w:hint="eastAsia"/>
            </w:rPr>
            <w:t>按账龄披露</w:t>
          </w:r>
        </w:p>
        <w:sdt>
          <w:sdtPr>
            <w:rPr>
              <w:rFonts w:hint="eastAsia"/>
              <w:szCs w:val="21"/>
            </w:rPr>
            <w:alias w:val="是否适用：组合中，按账龄分析法计提坏账准备的应收账款[双击切换]"/>
            <w:tag w:val="_GBC_f6086903419d448ab27bc2735b69674a"/>
            <w:id w:val="-46983247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eeeef14b591e4a8d839681ee71744810"/>
              <w:id w:val="1256326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380b2c118777445781c47a562212f944"/>
              <w:id w:val="-17494950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8"/>
            <w:gridCol w:w="3033"/>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987827fb8f754c15801979884cb78127"/>
                <w:id w:val="-1738236999"/>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rPr>
                  <w:szCs w:val="21"/>
                </w:rPr>
                <w:tag w:val="_PLD_53a2def126e844eabd4ea223442a8a87"/>
                <w:id w:val="2078002818"/>
                <w:lock w:val="sdtLocked"/>
              </w:sdtPr>
              <w:sdtEndPr>
                <w:rPr>
                  <w:szCs w:val="21"/>
                </w:rPr>
              </w:sdtEndPr>
              <w:sdtContent>
                <w:tc>
                  <w:tcPr>
                    <w:tcW w:w="177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tc>
              <w:tcPr>
                <w:tcW w:w="111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311560db02fd4399b97a79d7c7fe4ca3"/>
                <w:id w:val="-1303387999"/>
                <w:lock w:val="sdtLocked"/>
              </w:sdtPr>
              <w:sdtEndPr>
                <w:rPr>
                  <w:szCs w:val="21"/>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color w:val="FF0000"/>
                        <w:szCs w:val="21"/>
                      </w:rPr>
                    </w:pPr>
                    <w:r>
                      <w:rPr>
                        <w:rFonts w:hint="eastAsia"/>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785750c92d5d486990596d8d5b2f4a1f"/>
                <w:id w:val="-287357309"/>
                <w:lock w:val="sdtLocked"/>
              </w:sdtPr>
              <w:sdtEndPr>
                <w:rPr>
                  <w:szCs w:val="21"/>
                </w:rPr>
              </w:sdtEndPr>
              <w:sdtContent>
                <w:tc>
                  <w:tcPr>
                    <w:tcW w:w="5000" w:type="pct"/>
                    <w:gridSpan w:val="3"/>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其中：1年以内分项</w:t>
                    </w:r>
                  </w:p>
                </w:tc>
              </w:sdtContent>
            </w:sdt>
          </w:tr>
          <w:sdt>
            <w:sdtPr>
              <w:rPr>
                <w:rFonts w:asciiTheme="minorHAnsi" w:hAnsiTheme="minorHAnsi" w:eastAsiaTheme="minorEastAsia" w:cstheme="minorBidi"/>
                <w:kern w:val="2"/>
                <w:szCs w:val="21"/>
              </w:rPr>
              <w:alias w:val="一年以内应收账款金额明细"/>
              <w:tag w:val="_TUP_5db7a5c2674d42d3bac3cb2e10590f73"/>
              <w:id w:val="-68913844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pct"/>
                    <w:tcBorders>
                      <w:top w:val="single" w:color="auto" w:sz="4" w:space="0"/>
                      <w:left w:val="single" w:color="auto" w:sz="4" w:space="0"/>
                      <w:bottom w:val="single" w:color="auto" w:sz="4" w:space="0"/>
                      <w:right w:val="single" w:color="auto" w:sz="4" w:space="0"/>
                    </w:tcBorders>
                  </w:tcPr>
                  <w:p>
                    <w:pPr>
                      <w:rPr>
                        <w:szCs w:val="21"/>
                      </w:rPr>
                    </w:pPr>
                    <w:r>
                      <w:rPr>
                        <w:szCs w:val="21"/>
                      </w:rPr>
                      <w:t>0－6个月</w:t>
                    </w:r>
                  </w:p>
                </w:tc>
                <w:tc>
                  <w:tcPr>
                    <w:tcW w:w="1779"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446,812,999.88</w:t>
                    </w:r>
                  </w:p>
                </w:tc>
                <w:sdt>
                  <w:sdtPr>
                    <w:alias w:val="期初账面余额"/>
                    <w:tag w:val="_GBC_fe2014c6fd1a46e3ae42e465ca8352c4"/>
                    <w:id w:val="1621487157"/>
                    <w:lock w:val="sdtLocked"/>
                  </w:sdtPr>
                  <w:sdtContent>
                    <w:tc>
                      <w:tcPr>
                        <w:tcW w:w="1111" w:type="pct"/>
                        <w:tcBorders>
                          <w:top w:val="single" w:color="auto" w:sz="4" w:space="0"/>
                          <w:left w:val="single" w:color="auto" w:sz="4" w:space="0"/>
                          <w:bottom w:val="single" w:color="auto" w:sz="4" w:space="0"/>
                          <w:right w:val="single" w:color="auto" w:sz="4" w:space="0"/>
                        </w:tcBorders>
                      </w:tcPr>
                      <w:p>
                        <w:pPr>
                          <w:jc w:val="right"/>
                          <w:rPr>
                            <w:szCs w:val="21"/>
                          </w:rPr>
                        </w:pPr>
                        <w:r>
                          <w:t>237,843,480.09</w:t>
                        </w:r>
                      </w:p>
                    </w:tc>
                  </w:sdtContent>
                </w:sdt>
              </w:tr>
            </w:sdtContent>
          </w:sdt>
          <w:sdt>
            <w:sdtPr>
              <w:rPr>
                <w:rFonts w:asciiTheme="minorHAnsi" w:hAnsiTheme="minorHAnsi" w:eastAsiaTheme="minorEastAsia" w:cstheme="minorBidi"/>
                <w:kern w:val="2"/>
                <w:szCs w:val="21"/>
              </w:rPr>
              <w:alias w:val="一年以内应收账款金额明细"/>
              <w:tag w:val="_TUP_5db7a5c2674d42d3bac3cb2e10590f73"/>
              <w:id w:val="-208828950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110" w:type="pct"/>
                    <w:tcBorders>
                      <w:top w:val="single" w:color="auto" w:sz="4" w:space="0"/>
                      <w:left w:val="single" w:color="auto" w:sz="4" w:space="0"/>
                      <w:bottom w:val="single" w:color="auto" w:sz="4" w:space="0"/>
                      <w:right w:val="single" w:color="auto" w:sz="4" w:space="0"/>
                    </w:tcBorders>
                  </w:tcPr>
                  <w:p>
                    <w:pPr>
                      <w:rPr>
                        <w:szCs w:val="21"/>
                      </w:rPr>
                    </w:pPr>
                    <w:r>
                      <w:rPr>
                        <w:szCs w:val="21"/>
                      </w:rPr>
                      <w:t>6个月－1年</w:t>
                    </w:r>
                  </w:p>
                </w:tc>
                <w:tc>
                  <w:tcPr>
                    <w:tcW w:w="1779"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44,884,652.85</w:t>
                    </w:r>
                  </w:p>
                </w:tc>
                <w:sdt>
                  <w:sdtPr>
                    <w:alias w:val="期初账面余额"/>
                    <w:tag w:val="_GBC_fe2014c6fd1a46e3ae42e465ca8352c4"/>
                    <w:id w:val="-864514156"/>
                    <w:lock w:val="sdtLocked"/>
                  </w:sdtPr>
                  <w:sdtContent>
                    <w:tc>
                      <w:tcPr>
                        <w:tcW w:w="1111" w:type="pct"/>
                        <w:tcBorders>
                          <w:top w:val="single" w:color="auto" w:sz="4" w:space="0"/>
                          <w:left w:val="single" w:color="auto" w:sz="4" w:space="0"/>
                          <w:bottom w:val="single" w:color="auto" w:sz="4" w:space="0"/>
                          <w:right w:val="single" w:color="auto" w:sz="4" w:space="0"/>
                        </w:tcBorders>
                      </w:tcPr>
                      <w:p>
                        <w:pPr>
                          <w:jc w:val="right"/>
                          <w:rPr>
                            <w:szCs w:val="21"/>
                          </w:rPr>
                        </w:pPr>
                        <w:r>
                          <w:t>42,217,879.82</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885917f15d1a46499cb812cd100e3cf1"/>
                <w:id w:val="-69281351"/>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1年以内小计</w:t>
                    </w:r>
                  </w:p>
                </w:tc>
              </w:sdtContent>
            </w:sdt>
            <w:tc>
              <w:tcPr>
                <w:tcW w:w="1779"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491,697,652.73</w:t>
                </w:r>
              </w:p>
            </w:tc>
            <w:tc>
              <w:tcPr>
                <w:tcW w:w="1111"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280,061,359.91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686411641a5e42038a85ce6c435c5e58"/>
                <w:id w:val="37399151"/>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1至2年</w:t>
                    </w:r>
                  </w:p>
                </w:tc>
              </w:sdtContent>
            </w:sdt>
            <w:tc>
              <w:tcPr>
                <w:tcW w:w="1779"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55,076,236.43</w:t>
                </w:r>
              </w:p>
            </w:tc>
            <w:tc>
              <w:tcPr>
                <w:tcW w:w="1111" w:type="pct"/>
                <w:tcBorders>
                  <w:top w:val="single" w:color="auto" w:sz="4" w:space="0"/>
                  <w:left w:val="single" w:color="auto" w:sz="4" w:space="0"/>
                  <w:bottom w:val="single" w:color="auto" w:sz="4" w:space="0"/>
                  <w:right w:val="single" w:color="auto" w:sz="4" w:space="0"/>
                </w:tcBorders>
                <w:vAlign w:val="center"/>
              </w:tcPr>
              <w:p>
                <w:pPr>
                  <w:jc w:val="right"/>
                  <w:rPr>
                    <w:sz w:val="24"/>
                  </w:rPr>
                </w:pPr>
                <w:r>
                  <w:t>46,470,544.43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1d32a9d5ef5b4ddca6ca917435b115ac"/>
                <w:id w:val="-1023396361"/>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2至3年</w:t>
                    </w:r>
                  </w:p>
                </w:tc>
              </w:sdtContent>
            </w:sdt>
            <w:tc>
              <w:tcPr>
                <w:tcW w:w="1779"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25,335,412.03</w:t>
                </w:r>
              </w:p>
            </w:tc>
            <w:tc>
              <w:tcPr>
                <w:tcW w:w="1111" w:type="pct"/>
                <w:tcBorders>
                  <w:top w:val="single" w:color="auto" w:sz="4" w:space="0"/>
                  <w:left w:val="single" w:color="auto" w:sz="4" w:space="0"/>
                  <w:bottom w:val="single" w:color="auto" w:sz="4" w:space="0"/>
                  <w:right w:val="single" w:color="auto" w:sz="4" w:space="0"/>
                </w:tcBorders>
                <w:vAlign w:val="center"/>
              </w:tcPr>
              <w:p>
                <w:pPr>
                  <w:jc w:val="right"/>
                  <w:rPr>
                    <w:sz w:val="24"/>
                  </w:rPr>
                </w:pPr>
                <w:r>
                  <w:t>315,927,487.49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51c1587433fc4304af214a25996abcb0"/>
                <w:id w:val="-1710714355"/>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3至4年</w:t>
                    </w:r>
                  </w:p>
                </w:tc>
              </w:sdtContent>
            </w:sdt>
            <w:tc>
              <w:tcPr>
                <w:tcW w:w="1779"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272,782,618.48</w:t>
                </w:r>
              </w:p>
            </w:tc>
            <w:tc>
              <w:tcPr>
                <w:tcW w:w="1111" w:type="pct"/>
                <w:tcBorders>
                  <w:top w:val="single" w:color="auto" w:sz="4" w:space="0"/>
                  <w:left w:val="single" w:color="auto" w:sz="4" w:space="0"/>
                  <w:bottom w:val="single" w:color="auto" w:sz="4" w:space="0"/>
                  <w:right w:val="single" w:color="auto" w:sz="4" w:space="0"/>
                </w:tcBorders>
                <w:vAlign w:val="center"/>
              </w:tcPr>
              <w:p>
                <w:pPr>
                  <w:jc w:val="right"/>
                  <w:rPr>
                    <w:sz w:val="24"/>
                  </w:rPr>
                </w:pPr>
                <w:r>
                  <w:t>569,169,958.83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783f5edc09cf4689bf1bab196aa7d963"/>
                <w:id w:val="1319074733"/>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4至5年</w:t>
                    </w:r>
                  </w:p>
                </w:tc>
              </w:sdtContent>
            </w:sdt>
            <w:tc>
              <w:tcPr>
                <w:tcW w:w="1779"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525,377,720.86</w:t>
                </w:r>
              </w:p>
            </w:tc>
            <w:tc>
              <w:tcPr>
                <w:tcW w:w="1111" w:type="pct"/>
                <w:tcBorders>
                  <w:top w:val="single" w:color="auto" w:sz="4" w:space="0"/>
                  <w:left w:val="single" w:color="auto" w:sz="4" w:space="0"/>
                  <w:bottom w:val="single" w:color="auto" w:sz="4" w:space="0"/>
                  <w:right w:val="single" w:color="auto" w:sz="4" w:space="0"/>
                </w:tcBorders>
                <w:vAlign w:val="center"/>
              </w:tcPr>
              <w:p>
                <w:pPr>
                  <w:jc w:val="right"/>
                  <w:rPr>
                    <w:sz w:val="24"/>
                  </w:rPr>
                </w:pPr>
                <w:r>
                  <w:t>56,580,749.02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35d4b8083f1340abbb03a5509bd8e56c"/>
                <w:id w:val="-263081790"/>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5年以上</w:t>
                    </w:r>
                  </w:p>
                </w:tc>
              </w:sdtContent>
            </w:sdt>
            <w:tc>
              <w:tcPr>
                <w:tcW w:w="1779"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113,418,077.30</w:t>
                </w:r>
              </w:p>
            </w:tc>
            <w:tc>
              <w:tcPr>
                <w:tcW w:w="1111" w:type="pct"/>
                <w:tcBorders>
                  <w:top w:val="single" w:color="auto" w:sz="4" w:space="0"/>
                  <w:left w:val="single" w:color="auto" w:sz="4" w:space="0"/>
                  <w:bottom w:val="single" w:color="auto" w:sz="4" w:space="0"/>
                  <w:right w:val="single" w:color="auto" w:sz="4" w:space="0"/>
                </w:tcBorders>
                <w:vAlign w:val="center"/>
              </w:tcPr>
              <w:p>
                <w:pPr>
                  <w:jc w:val="right"/>
                  <w:rPr>
                    <w:sz w:val="24"/>
                  </w:rPr>
                </w:pPr>
                <w:r>
                  <w:t>60,913,712.35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Cs w:val="21"/>
                </w:rPr>
                <w:tag w:val="_PLD_4228da7212b54dbabe98902b22a02f1a"/>
                <w:id w:val="1639836239"/>
                <w:lock w:val="sdtLocked"/>
              </w:sdtPr>
              <w:sdtEndPr>
                <w:rPr>
                  <w:szCs w:val="21"/>
                </w:rPr>
              </w:sdtEndPr>
              <w:sdtContent>
                <w:tc>
                  <w:tcPr>
                    <w:tcW w:w="21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1779"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1,483,687,717.83</w:t>
                </w:r>
              </w:p>
            </w:tc>
            <w:tc>
              <w:tcPr>
                <w:tcW w:w="1111" w:type="pct"/>
                <w:tcBorders>
                  <w:top w:val="single" w:color="auto" w:sz="4" w:space="0"/>
                  <w:left w:val="single" w:color="auto" w:sz="4" w:space="0"/>
                  <w:bottom w:val="single" w:color="auto" w:sz="4" w:space="0"/>
                  <w:right w:val="single" w:color="auto" w:sz="4" w:space="0"/>
                </w:tcBorders>
                <w:vAlign w:val="center"/>
              </w:tcPr>
              <w:p>
                <w:pPr>
                  <w:jc w:val="right"/>
                  <w:rPr>
                    <w:sz w:val="24"/>
                  </w:rPr>
                </w:pPr>
                <w:r>
                  <w:t>1,329,123,812.03</w:t>
                </w:r>
              </w:p>
            </w:tc>
          </w:tr>
        </w:tbl>
        <w:p/>
        <w:p/>
        <w:p/>
        <w:p/>
        <w:p/>
        <w:p/>
        <w:p/>
      </w:sdtContent>
    </w:sdt>
    <w:sdt>
      <w:sdtPr>
        <w:rPr>
          <w:rFonts w:hint="eastAsia" w:ascii="宋体" w:hAnsi="宋体" w:eastAsia="宋体" w:cs="宋体"/>
          <w:b w:val="0"/>
          <w:bCs w:val="0"/>
          <w:kern w:val="0"/>
          <w:szCs w:val="24"/>
        </w:rPr>
        <w:alias w:val="模块:按坏账计提方法分类披露"/>
        <w:tag w:val="_SEC_d442ddfe6a1a43ab9b3b8367ba47ed02"/>
        <w:id w:val="-44840450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79"/>
            </w:numPr>
            <w:ind w:left="426" w:hanging="426"/>
          </w:pPr>
          <w:bookmarkStart w:id="148" w:name="_Hlk533601584"/>
          <w:r>
            <w:rPr>
              <w:rFonts w:hint="eastAsia"/>
            </w:rPr>
            <w:t>按坏账计提方法分类披露</w:t>
          </w:r>
        </w:p>
        <w:sdt>
          <w:sdtPr>
            <w:alias w:val="是否适用：应收账款分类披露[双击切换]"/>
            <w:tag w:val="_GBC_5532cbb0484a40fcb185be4bb8709d46"/>
            <w:id w:val="91166079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24"/>
            <w:autoSpaceDE w:val="0"/>
            <w:autoSpaceDN w:val="0"/>
            <w:adjustRightInd w:val="0"/>
            <w:ind w:left="425" w:right="105" w:firstLine="0" w:firstLineChars="0"/>
            <w:jc w:val="right"/>
            <w:rPr>
              <w:szCs w:val="21"/>
            </w:rPr>
          </w:pPr>
          <w:r>
            <w:rPr>
              <w:rFonts w:hint="eastAsia"/>
              <w:szCs w:val="21"/>
            </w:rPr>
            <w:t>单位：</w:t>
          </w:r>
          <w:sdt>
            <w:sdtPr>
              <w:rPr>
                <w:rFonts w:hint="eastAsia"/>
                <w:szCs w:val="21"/>
              </w:rPr>
              <w:alias w:val="单位：财务附注：应收账款按种类披露"/>
              <w:tag w:val="_GBC_9672a88fa94c441f9769b560659b37f6"/>
              <w:id w:val="17700406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财务附注：应收账款按种类披露"/>
              <w:tag w:val="_GBC_45ed90b2e73740bfa8c1f5d7d12ff35e"/>
              <w:id w:val="3523845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6749" w:type="pct"/>
            <w:tblInd w:w="-1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416"/>
            <w:gridCol w:w="710"/>
            <w:gridCol w:w="1279"/>
            <w:gridCol w:w="743"/>
            <w:gridCol w:w="1270"/>
            <w:gridCol w:w="1416"/>
            <w:gridCol w:w="680"/>
            <w:gridCol w:w="1273"/>
            <w:gridCol w:w="751"/>
            <w:gridCol w:w="1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9" w:hRule="atLeast"/>
            </w:trPr>
            <w:sdt>
              <w:sdtPr>
                <w:rPr>
                  <w:rFonts w:asciiTheme="minorEastAsia" w:hAnsiTheme="minorEastAsia" w:eastAsiaTheme="minorEastAsia"/>
                  <w:sz w:val="15"/>
                  <w:szCs w:val="15"/>
                </w:rPr>
                <w:tag w:val="_PLD_f8d5a19b9b724da98e30475a6df20be9"/>
                <w:id w:val="-1953470856"/>
                <w:lock w:val="sdtLocked"/>
              </w:sdtPr>
              <w:sdtEndPr>
                <w:rPr>
                  <w:rFonts w:asciiTheme="minorEastAsia" w:hAnsiTheme="minorEastAsia" w:eastAsiaTheme="minorEastAsia"/>
                  <w:sz w:val="15"/>
                  <w:szCs w:val="15"/>
                </w:rPr>
              </w:sdtEndPr>
              <w:sdtContent>
                <w:tc>
                  <w:tcPr>
                    <w:tcW w:w="307"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类别</w:t>
                    </w:r>
                  </w:p>
                </w:tc>
              </w:sdtContent>
            </w:sdt>
            <w:sdt>
              <w:sdtPr>
                <w:rPr>
                  <w:rFonts w:asciiTheme="minorEastAsia" w:hAnsiTheme="minorEastAsia" w:eastAsiaTheme="minorEastAsia"/>
                  <w:sz w:val="15"/>
                  <w:szCs w:val="15"/>
                </w:rPr>
                <w:tag w:val="_PLD_8e6cd64a5cc84d259bab748be3f49169"/>
                <w:id w:val="1658643073"/>
                <w:lock w:val="sdtLocked"/>
              </w:sdtPr>
              <w:sdtEndPr>
                <w:rPr>
                  <w:rFonts w:asciiTheme="minorEastAsia" w:hAnsiTheme="minorEastAsia" w:eastAsiaTheme="minorEastAsia"/>
                  <w:sz w:val="15"/>
                  <w:szCs w:val="15"/>
                </w:rPr>
              </w:sdtEndPr>
              <w:sdtContent>
                <w:tc>
                  <w:tcPr>
                    <w:tcW w:w="2354"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期末余额</w:t>
                    </w:r>
                  </w:p>
                </w:tc>
              </w:sdtContent>
            </w:sdt>
            <w:sdt>
              <w:sdtPr>
                <w:rPr>
                  <w:rFonts w:asciiTheme="minorEastAsia" w:hAnsiTheme="minorEastAsia" w:eastAsiaTheme="minorEastAsia"/>
                  <w:sz w:val="15"/>
                  <w:szCs w:val="15"/>
                </w:rPr>
                <w:tag w:val="_PLD_f3718624b866493ab3b8d8edadf10560"/>
                <w:id w:val="-321047157"/>
                <w:lock w:val="sdtLocked"/>
              </w:sdtPr>
              <w:sdtEndPr>
                <w:rPr>
                  <w:rFonts w:asciiTheme="minorEastAsia" w:hAnsiTheme="minorEastAsia" w:eastAsiaTheme="minorEastAsia"/>
                  <w:sz w:val="15"/>
                  <w:szCs w:val="15"/>
                </w:rPr>
              </w:sdtEndPr>
              <w:sdtContent>
                <w:tc>
                  <w:tcPr>
                    <w:tcW w:w="2340" w:type="pct"/>
                    <w:gridSpan w:val="5"/>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tLeast"/>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7" w:hRule="atLeast"/>
            </w:trPr>
            <w:tc>
              <w:tcPr>
                <w:tcW w:w="307" w:type="pct"/>
                <w:vMerge w:val="continue"/>
                <w:tcBorders>
                  <w:left w:val="single" w:color="auto" w:sz="4" w:space="0"/>
                  <w:right w:val="single" w:color="auto" w:sz="4" w:space="0"/>
                </w:tcBorders>
                <w:vAlign w:val="center"/>
              </w:tcPr>
              <w:p>
                <w:pPr>
                  <w:rPr>
                    <w:rFonts w:asciiTheme="minorEastAsia" w:hAnsiTheme="minorEastAsia" w:eastAsiaTheme="minorEastAsia"/>
                    <w:sz w:val="15"/>
                    <w:szCs w:val="15"/>
                  </w:rPr>
                </w:pPr>
              </w:p>
            </w:tc>
            <w:sdt>
              <w:sdtPr>
                <w:rPr>
                  <w:rFonts w:asciiTheme="minorEastAsia" w:hAnsiTheme="minorEastAsia" w:eastAsiaTheme="minorEastAsia"/>
                  <w:sz w:val="15"/>
                  <w:szCs w:val="15"/>
                </w:rPr>
                <w:tag w:val="_PLD_696c52ce758e49deb616a7fb8df8ee20"/>
                <w:id w:val="1676526338"/>
                <w:lock w:val="sdtLocked"/>
              </w:sdtPr>
              <w:sdtEndPr>
                <w:rPr>
                  <w:rFonts w:asciiTheme="minorEastAsia" w:hAnsiTheme="minorEastAsia" w:eastAsiaTheme="minorEastAsia"/>
                  <w:sz w:val="15"/>
                  <w:szCs w:val="15"/>
                </w:rPr>
              </w:sdtEndPr>
              <w:sdtContent>
                <w:tc>
                  <w:tcPr>
                    <w:tcW w:w="924"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账面余额</w:t>
                    </w:r>
                  </w:p>
                </w:tc>
              </w:sdtContent>
            </w:sdt>
            <w:sdt>
              <w:sdtPr>
                <w:rPr>
                  <w:rFonts w:asciiTheme="minorEastAsia" w:hAnsiTheme="minorEastAsia" w:eastAsiaTheme="minorEastAsia"/>
                  <w:sz w:val="15"/>
                  <w:szCs w:val="15"/>
                </w:rPr>
                <w:tag w:val="_PLD_1ca261fa1763424688ba2be8550f43e1"/>
                <w:id w:val="2102756571"/>
                <w:lock w:val="sdtLocked"/>
              </w:sdtPr>
              <w:sdtEndPr>
                <w:rPr>
                  <w:rFonts w:asciiTheme="minorEastAsia" w:hAnsiTheme="minorEastAsia" w:eastAsiaTheme="minorEastAsia"/>
                  <w:sz w:val="15"/>
                  <w:szCs w:val="15"/>
                </w:rPr>
              </w:sdtEndPr>
              <w:sdtContent>
                <w:tc>
                  <w:tcPr>
                    <w:tcW w:w="879" w:type="pct"/>
                    <w:gridSpan w:val="2"/>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坏账准备</w:t>
                    </w:r>
                  </w:p>
                </w:tc>
              </w:sdtContent>
            </w:sdt>
            <w:sdt>
              <w:sdtPr>
                <w:rPr>
                  <w:rFonts w:asciiTheme="minorEastAsia" w:hAnsiTheme="minorEastAsia" w:eastAsiaTheme="minorEastAsia"/>
                  <w:sz w:val="15"/>
                  <w:szCs w:val="15"/>
                </w:rPr>
                <w:tag w:val="_PLD_caaf7fb85a4a432890635f2eb9c38cd5"/>
                <w:id w:val="773603443"/>
                <w:lock w:val="sdtLocked"/>
              </w:sdtPr>
              <w:sdtEndPr>
                <w:rPr>
                  <w:rFonts w:asciiTheme="minorEastAsia" w:hAnsiTheme="minorEastAsia" w:eastAsiaTheme="minorEastAsia"/>
                  <w:sz w:val="15"/>
                  <w:szCs w:val="15"/>
                </w:rPr>
              </w:sdtEndPr>
              <w:sdtContent>
                <w:tc>
                  <w:tcPr>
                    <w:tcW w:w="551"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账面</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价值</w:t>
                    </w:r>
                  </w:p>
                </w:tc>
              </w:sdtContent>
            </w:sdt>
            <w:sdt>
              <w:sdtPr>
                <w:rPr>
                  <w:rFonts w:asciiTheme="minorEastAsia" w:hAnsiTheme="minorEastAsia" w:eastAsiaTheme="minorEastAsia"/>
                  <w:sz w:val="15"/>
                  <w:szCs w:val="15"/>
                </w:rPr>
                <w:tag w:val="_PLD_f01498a5d6634d7ab63dd393e266902a"/>
                <w:id w:val="-1015534289"/>
                <w:lock w:val="sdtLocked"/>
              </w:sdtPr>
              <w:sdtEndPr>
                <w:rPr>
                  <w:rFonts w:asciiTheme="minorEastAsia" w:hAnsiTheme="minorEastAsia" w:eastAsiaTheme="minorEastAsia"/>
                  <w:sz w:val="15"/>
                  <w:szCs w:val="15"/>
                </w:rPr>
              </w:sdtEndPr>
              <w:sdtContent>
                <w:tc>
                  <w:tcPr>
                    <w:tcW w:w="911" w:type="pct"/>
                    <w:gridSpan w:val="2"/>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账面余额</w:t>
                    </w:r>
                  </w:p>
                </w:tc>
              </w:sdtContent>
            </w:sdt>
            <w:sdt>
              <w:sdtPr>
                <w:rPr>
                  <w:rFonts w:asciiTheme="minorEastAsia" w:hAnsiTheme="minorEastAsia" w:eastAsiaTheme="minorEastAsia"/>
                  <w:sz w:val="15"/>
                  <w:szCs w:val="15"/>
                </w:rPr>
                <w:tag w:val="_PLD_e9336373677a4e1781b6e81f705c1bec"/>
                <w:id w:val="-1111666049"/>
                <w:lock w:val="sdtLocked"/>
              </w:sdtPr>
              <w:sdtEndPr>
                <w:rPr>
                  <w:rFonts w:asciiTheme="minorEastAsia" w:hAnsiTheme="minorEastAsia" w:eastAsiaTheme="minorEastAsia"/>
                  <w:sz w:val="15"/>
                  <w:szCs w:val="15"/>
                </w:rPr>
              </w:sdtEndPr>
              <w:sdtContent>
                <w:tc>
                  <w:tcPr>
                    <w:tcW w:w="879" w:type="pct"/>
                    <w:gridSpan w:val="2"/>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坏账准备</w:t>
                    </w:r>
                  </w:p>
                </w:tc>
              </w:sdtContent>
            </w:sdt>
            <w:sdt>
              <w:sdtPr>
                <w:rPr>
                  <w:rFonts w:asciiTheme="minorEastAsia" w:hAnsiTheme="minorEastAsia" w:eastAsiaTheme="minorEastAsia"/>
                  <w:sz w:val="15"/>
                  <w:szCs w:val="15"/>
                </w:rPr>
                <w:tag w:val="_PLD_09bacc527e7b4910a0c82606fe4a5754"/>
                <w:id w:val="969470804"/>
                <w:lock w:val="sdtLocked"/>
              </w:sdtPr>
              <w:sdtEndPr>
                <w:rPr>
                  <w:rFonts w:asciiTheme="minorEastAsia" w:hAnsiTheme="minorEastAsia" w:eastAsiaTheme="minorEastAsia"/>
                  <w:sz w:val="15"/>
                  <w:szCs w:val="15"/>
                </w:rPr>
              </w:sdtEndPr>
              <w:sdtContent>
                <w:tc>
                  <w:tcPr>
                    <w:tcW w:w="550" w:type="pct"/>
                    <w:vMerge w:val="restart"/>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账面</w:t>
                    </w:r>
                  </w:p>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307" w:type="pct"/>
                <w:vMerge w:val="continue"/>
                <w:tcBorders>
                  <w:left w:val="single" w:color="auto" w:sz="4" w:space="0"/>
                  <w:bottom w:val="single" w:color="auto" w:sz="4" w:space="0"/>
                  <w:right w:val="single" w:color="auto" w:sz="4" w:space="0"/>
                </w:tcBorders>
                <w:vAlign w:val="center"/>
              </w:tcPr>
              <w:p>
                <w:pPr>
                  <w:rPr>
                    <w:rFonts w:asciiTheme="minorEastAsia" w:hAnsiTheme="minorEastAsia" w:eastAsiaTheme="minorEastAsia"/>
                    <w:sz w:val="15"/>
                    <w:szCs w:val="15"/>
                  </w:rPr>
                </w:pPr>
              </w:p>
            </w:tc>
            <w:sdt>
              <w:sdtPr>
                <w:rPr>
                  <w:rFonts w:asciiTheme="minorEastAsia" w:hAnsiTheme="minorEastAsia" w:eastAsiaTheme="minorEastAsia"/>
                  <w:sz w:val="15"/>
                  <w:szCs w:val="15"/>
                </w:rPr>
                <w:tag w:val="_PLD_9a908e63a38c4885ae2f80c1b860b93a"/>
                <w:id w:val="1118491088"/>
                <w:lock w:val="sdtLocked"/>
              </w:sdtPr>
              <w:sdtEndPr>
                <w:rPr>
                  <w:rFonts w:asciiTheme="minorEastAsia" w:hAnsiTheme="minorEastAsia" w:eastAsiaTheme="minorEastAsia"/>
                  <w:sz w:val="15"/>
                  <w:szCs w:val="15"/>
                </w:rPr>
              </w:sdtEndPr>
              <w:sdtContent>
                <w:tc>
                  <w:tcPr>
                    <w:tcW w:w="615"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金额</w:t>
                    </w:r>
                  </w:p>
                </w:tc>
              </w:sdtContent>
            </w:sdt>
            <w:sdt>
              <w:sdtPr>
                <w:rPr>
                  <w:rFonts w:asciiTheme="minorEastAsia" w:hAnsiTheme="minorEastAsia" w:eastAsiaTheme="minorEastAsia"/>
                  <w:sz w:val="15"/>
                  <w:szCs w:val="15"/>
                </w:rPr>
                <w:tag w:val="_PLD_df211ff0344e48aa8266bff852c13d4a"/>
                <w:id w:val="-1983383795"/>
                <w:lock w:val="sdtLocked"/>
              </w:sdtPr>
              <w:sdtEndPr>
                <w:rPr>
                  <w:rFonts w:asciiTheme="minorEastAsia" w:hAnsiTheme="minorEastAsia" w:eastAsiaTheme="minorEastAsia"/>
                  <w:sz w:val="15"/>
                  <w:szCs w:val="15"/>
                </w:rPr>
              </w:sdtEndPr>
              <w:sdtContent>
                <w:tc>
                  <w:tcPr>
                    <w:tcW w:w="309"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比例</w:t>
                    </w:r>
                    <w:r>
                      <w:rPr>
                        <w:rFonts w:asciiTheme="minorEastAsia" w:hAnsiTheme="minorEastAsia" w:eastAsiaTheme="minorEastAsia"/>
                        <w:sz w:val="15"/>
                        <w:szCs w:val="15"/>
                      </w:rPr>
                      <w:t>(%)</w:t>
                    </w:r>
                  </w:p>
                </w:tc>
              </w:sdtContent>
            </w:sdt>
            <w:sdt>
              <w:sdtPr>
                <w:rPr>
                  <w:rFonts w:asciiTheme="minorEastAsia" w:hAnsiTheme="minorEastAsia" w:eastAsiaTheme="minorEastAsia"/>
                  <w:sz w:val="15"/>
                  <w:szCs w:val="15"/>
                </w:rPr>
                <w:tag w:val="_PLD_bc7278fbd5c542a3abfb9a55090a49e0"/>
                <w:id w:val="244468578"/>
                <w:lock w:val="sdtLocked"/>
              </w:sdtPr>
              <w:sdtEndPr>
                <w:rPr>
                  <w:rFonts w:asciiTheme="minorEastAsia" w:hAnsiTheme="minorEastAsia" w:eastAsiaTheme="minorEastAsia"/>
                  <w:sz w:val="15"/>
                  <w:szCs w:val="15"/>
                </w:rPr>
              </w:sdtEndPr>
              <w:sdtContent>
                <w:tc>
                  <w:tcPr>
                    <w:tcW w:w="556"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金额</w:t>
                    </w:r>
                  </w:p>
                </w:tc>
              </w:sdtContent>
            </w:sdt>
            <w:sdt>
              <w:sdtPr>
                <w:rPr>
                  <w:rFonts w:asciiTheme="minorEastAsia" w:hAnsiTheme="minorEastAsia" w:eastAsiaTheme="minorEastAsia"/>
                  <w:sz w:val="15"/>
                  <w:szCs w:val="15"/>
                </w:rPr>
                <w:tag w:val="_PLD_98f107e07b5b44938d61d6b0984d9e2b"/>
                <w:id w:val="1290403915"/>
                <w:lock w:val="sdtLocked"/>
              </w:sdtPr>
              <w:sdtEndPr>
                <w:rPr>
                  <w:rFonts w:asciiTheme="minorEastAsia" w:hAnsiTheme="minorEastAsia" w:eastAsiaTheme="minorEastAsia"/>
                  <w:sz w:val="15"/>
                  <w:szCs w:val="15"/>
                </w:rPr>
              </w:sdtEndPr>
              <w:sdtContent>
                <w:tc>
                  <w:tcPr>
                    <w:tcW w:w="322"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计提比例</w:t>
                    </w:r>
                    <w:r>
                      <w:rPr>
                        <w:rFonts w:asciiTheme="minorEastAsia" w:hAnsiTheme="minorEastAsia" w:eastAsiaTheme="minorEastAsia"/>
                        <w:sz w:val="15"/>
                        <w:szCs w:val="15"/>
                      </w:rPr>
                      <w:t>(%)</w:t>
                    </w:r>
                  </w:p>
                </w:tc>
              </w:sdtContent>
            </w:sdt>
            <w:tc>
              <w:tcPr>
                <w:tcW w:w="551" w:type="pct"/>
                <w:vMerge w:val="continue"/>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p>
            </w:tc>
            <w:sdt>
              <w:sdtPr>
                <w:rPr>
                  <w:rFonts w:asciiTheme="minorEastAsia" w:hAnsiTheme="minorEastAsia" w:eastAsiaTheme="minorEastAsia"/>
                  <w:sz w:val="15"/>
                  <w:szCs w:val="15"/>
                </w:rPr>
                <w:tag w:val="_PLD_27c35a851bfc461b93652bdd1c4da46e"/>
                <w:id w:val="-1866205148"/>
                <w:lock w:val="sdtLocked"/>
              </w:sdtPr>
              <w:sdtEndPr>
                <w:rPr>
                  <w:rFonts w:asciiTheme="minorEastAsia" w:hAnsiTheme="minorEastAsia" w:eastAsiaTheme="minorEastAsia"/>
                  <w:sz w:val="15"/>
                  <w:szCs w:val="15"/>
                </w:rPr>
              </w:sdtEndPr>
              <w:sdtContent>
                <w:tc>
                  <w:tcPr>
                    <w:tcW w:w="615"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金额</w:t>
                    </w:r>
                  </w:p>
                </w:tc>
              </w:sdtContent>
            </w:sdt>
            <w:sdt>
              <w:sdtPr>
                <w:rPr>
                  <w:rFonts w:asciiTheme="minorEastAsia" w:hAnsiTheme="minorEastAsia" w:eastAsiaTheme="minorEastAsia"/>
                  <w:sz w:val="15"/>
                  <w:szCs w:val="15"/>
                </w:rPr>
                <w:tag w:val="_PLD_8cdcb4d0cfc74ea299eeda00998b7eed"/>
                <w:id w:val="-222212477"/>
                <w:lock w:val="sdtLocked"/>
              </w:sdtPr>
              <w:sdtEndPr>
                <w:rPr>
                  <w:rFonts w:asciiTheme="minorEastAsia" w:hAnsiTheme="minorEastAsia" w:eastAsiaTheme="minorEastAsia"/>
                  <w:sz w:val="15"/>
                  <w:szCs w:val="15"/>
                </w:rPr>
              </w:sdtEndPr>
              <w:sdtContent>
                <w:tc>
                  <w:tcPr>
                    <w:tcW w:w="296"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比例</w:t>
                    </w:r>
                    <w:r>
                      <w:rPr>
                        <w:rFonts w:asciiTheme="minorEastAsia" w:hAnsiTheme="minorEastAsia" w:eastAsiaTheme="minorEastAsia"/>
                        <w:sz w:val="15"/>
                        <w:szCs w:val="15"/>
                      </w:rPr>
                      <w:t>(%)</w:t>
                    </w:r>
                  </w:p>
                </w:tc>
              </w:sdtContent>
            </w:sdt>
            <w:sdt>
              <w:sdtPr>
                <w:rPr>
                  <w:rFonts w:asciiTheme="minorEastAsia" w:hAnsiTheme="minorEastAsia" w:eastAsiaTheme="minorEastAsia"/>
                  <w:sz w:val="15"/>
                  <w:szCs w:val="15"/>
                </w:rPr>
                <w:tag w:val="_PLD_205ec069d7004eaba20d3af25a7dfeda"/>
                <w:id w:val="1358855803"/>
                <w:lock w:val="sdtLocked"/>
              </w:sdtPr>
              <w:sdtEndPr>
                <w:rPr>
                  <w:rFonts w:asciiTheme="minorEastAsia" w:hAnsiTheme="minorEastAsia" w:eastAsiaTheme="minorEastAsia"/>
                  <w:sz w:val="15"/>
                  <w:szCs w:val="15"/>
                </w:rPr>
              </w:sdtEndPr>
              <w:sdtContent>
                <w:tc>
                  <w:tcPr>
                    <w:tcW w:w="553"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金额</w:t>
                    </w:r>
                  </w:p>
                </w:tc>
              </w:sdtContent>
            </w:sdt>
            <w:sdt>
              <w:sdtPr>
                <w:rPr>
                  <w:rFonts w:asciiTheme="minorEastAsia" w:hAnsiTheme="minorEastAsia" w:eastAsiaTheme="minorEastAsia"/>
                  <w:sz w:val="15"/>
                  <w:szCs w:val="15"/>
                </w:rPr>
                <w:tag w:val="_PLD_cee6517bce154e26a5f2a917cc143a54"/>
                <w:id w:val="-2116204014"/>
                <w:lock w:val="sdtLocked"/>
              </w:sdtPr>
              <w:sdtEndPr>
                <w:rPr>
                  <w:rFonts w:asciiTheme="minorEastAsia" w:hAnsiTheme="minorEastAsia" w:eastAsiaTheme="minorEastAsia"/>
                  <w:sz w:val="15"/>
                  <w:szCs w:val="15"/>
                </w:rPr>
              </w:sdtEndPr>
              <w:sdtContent>
                <w:tc>
                  <w:tcPr>
                    <w:tcW w:w="325"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计提比例</w:t>
                    </w:r>
                    <w:r>
                      <w:rPr>
                        <w:rFonts w:asciiTheme="minorEastAsia" w:hAnsiTheme="minorEastAsia" w:eastAsiaTheme="minorEastAsia"/>
                        <w:sz w:val="15"/>
                        <w:szCs w:val="15"/>
                      </w:rPr>
                      <w:t>(%)</w:t>
                    </w:r>
                  </w:p>
                </w:tc>
              </w:sdtContent>
            </w:sdt>
            <w:tc>
              <w:tcPr>
                <w:tcW w:w="550" w:type="pct"/>
                <w:vMerge w:val="continue"/>
                <w:tcBorders>
                  <w:left w:val="single" w:color="auto" w:sz="4" w:space="0"/>
                  <w:bottom w:val="single" w:color="auto" w:sz="4" w:space="0"/>
                  <w:right w:val="single" w:color="auto" w:sz="4" w:space="0"/>
                </w:tcBorders>
              </w:tcPr>
              <w:p>
                <w:pPr>
                  <w:jc w:val="center"/>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74de90e03c554305ba6a96c70365070b"/>
                <w:id w:val="-615438275"/>
                <w:lock w:val="sdtLocked"/>
              </w:sdtPr>
              <w:sdtEndPr>
                <w:rPr>
                  <w:rFonts w:asciiTheme="minorEastAsia" w:hAnsiTheme="minorEastAsia" w:eastAsiaTheme="minorEastAsia"/>
                  <w:sz w:val="15"/>
                  <w:szCs w:val="15"/>
                </w:rPr>
              </w:sdtEndPr>
              <w:sdtContent>
                <w:tc>
                  <w:tcPr>
                    <w:tcW w:w="30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按单项计提坏账准备</w:t>
                    </w:r>
                  </w:p>
                </w:tc>
              </w:sdtContent>
            </w:sdt>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920,863,900.68</w:t>
                </w:r>
              </w:p>
            </w:tc>
            <w:tc>
              <w:tcPr>
                <w:tcW w:w="30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62.07</w:t>
                </w:r>
              </w:p>
            </w:tc>
            <w:tc>
              <w:tcPr>
                <w:tcW w:w="55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722,681,678.49</w:t>
                </w:r>
              </w:p>
            </w:tc>
            <w:tc>
              <w:tcPr>
                <w:tcW w:w="32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78.48</w:t>
                </w:r>
              </w:p>
            </w:tc>
            <w:tc>
              <w:tcPr>
                <w:tcW w:w="55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198,182,222.19</w:t>
                </w: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969,820,746.80</w:t>
                </w:r>
              </w:p>
            </w:tc>
            <w:tc>
              <w:tcPr>
                <w:tcW w:w="29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72.97</w:t>
                </w: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728,910,655.24</w:t>
                </w:r>
              </w:p>
            </w:tc>
            <w:tc>
              <w:tcPr>
                <w:tcW w:w="32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75.16</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240,910,091.56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2843924a07e24276b2592afce851b5fd"/>
                <w:id w:val="199522233"/>
                <w:lock w:val="sdtLocked"/>
              </w:sdtPr>
              <w:sdtEndPr>
                <w:rPr>
                  <w:rFonts w:asciiTheme="minorEastAsia" w:hAnsiTheme="minorEastAsia" w:eastAsiaTheme="minorEastAsia"/>
                  <w:sz w:val="15"/>
                  <w:szCs w:val="15"/>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其中：</w:t>
                    </w:r>
                  </w:p>
                </w:tc>
              </w:sdtContent>
            </w:sdt>
          </w:tr>
          <w:sdt>
            <w:sdtPr>
              <w:rPr>
                <w:rFonts w:asciiTheme="minorEastAsia" w:hAnsiTheme="minorEastAsia" w:eastAsiaTheme="minorEastAsia"/>
                <w:sz w:val="15"/>
                <w:szCs w:val="15"/>
              </w:rPr>
              <w:alias w:val="按单项计提坏账准备的应收账款明细"/>
              <w:tag w:val="_TUP_684b69d68a8f40419fc86e69a6ed257b"/>
              <w:id w:val="1827001997"/>
              <w:lock w:val="sdtLocked"/>
            </w:sdtPr>
            <w:sdtEndPr>
              <w:rPr>
                <w:rFonts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alias w:val="按单项计提坏账准备的应收账款明细-类别"/>
                    <w:tag w:val="_GBC_886eea3bd42a4a8b945a70eaa8cff3df"/>
                    <w:id w:val="1496926394"/>
                    <w:lock w:val="sdtLocked"/>
                    <w:showingPlcHdr/>
                  </w:sdtPr>
                  <w:sdtEndPr>
                    <w:rPr>
                      <w:rFonts w:asciiTheme="minorEastAsia" w:hAnsiTheme="minorEastAsia" w:eastAsiaTheme="minorEastAsia"/>
                      <w:sz w:val="15"/>
                      <w:szCs w:val="15"/>
                    </w:rPr>
                  </w:sdtEndPr>
                  <w:sdtContent>
                    <w:tc>
                      <w:tcPr>
                        <w:tcW w:w="30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808080"/>
                            <w:sz w:val="15"/>
                            <w:szCs w:val="15"/>
                          </w:rPr>
                        </w:pPr>
                      </w:p>
                    </w:tc>
                  </w:sdtContent>
                </w:sdt>
                <w:tc>
                  <w:tcPr>
                    <w:tcW w:w="61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0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5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5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61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296"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5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32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c>
                  <w:tcPr>
                    <w:tcW w:w="550"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5"/>
                        <w:szCs w:val="15"/>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d8ed1eba357f4adab0a97ff43996a2d9"/>
                <w:id w:val="1995985401"/>
                <w:lock w:val="sdtLocked"/>
              </w:sdtPr>
              <w:sdtEndPr>
                <w:rPr>
                  <w:rFonts w:asciiTheme="minorEastAsia" w:hAnsiTheme="minorEastAsia" w:eastAsiaTheme="minorEastAsia"/>
                  <w:sz w:val="15"/>
                  <w:szCs w:val="15"/>
                </w:rPr>
              </w:sdtEndPr>
              <w:sdtContent>
                <w:tc>
                  <w:tcPr>
                    <w:tcW w:w="30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按组合计提坏账准备</w:t>
                    </w:r>
                  </w:p>
                </w:tc>
              </w:sdtContent>
            </w:sdt>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562,823,817.15</w:t>
                </w:r>
              </w:p>
            </w:tc>
            <w:tc>
              <w:tcPr>
                <w:tcW w:w="30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37.93</w:t>
                </w:r>
              </w:p>
            </w:tc>
            <w:tc>
              <w:tcPr>
                <w:tcW w:w="55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73,696,152.71</w:t>
                </w:r>
              </w:p>
            </w:tc>
            <w:tc>
              <w:tcPr>
                <w:tcW w:w="32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13.09</w:t>
                </w:r>
              </w:p>
            </w:tc>
            <w:tc>
              <w:tcPr>
                <w:tcW w:w="55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489,127,664.44</w:t>
                </w: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359,303,065.23</w:t>
                </w:r>
              </w:p>
            </w:tc>
            <w:tc>
              <w:tcPr>
                <w:tcW w:w="29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27.03</w:t>
                </w: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70,328,305.86</w:t>
                </w:r>
              </w:p>
            </w:tc>
            <w:tc>
              <w:tcPr>
                <w:tcW w:w="32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19.57</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288,974,759.37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ce0cfa8fc80147608db7db4b7ce1db69"/>
                <w:id w:val="560147837"/>
                <w:lock w:val="sdtLocked"/>
              </w:sdtPr>
              <w:sdtEndPr>
                <w:rPr>
                  <w:rFonts w:asciiTheme="minorEastAsia" w:hAnsiTheme="minorEastAsia" w:eastAsiaTheme="minorEastAsia"/>
                  <w:sz w:val="15"/>
                  <w:szCs w:val="15"/>
                </w:rPr>
              </w:sdtEndPr>
              <w:sdtContent>
                <w:tc>
                  <w:tcPr>
                    <w:tcW w:w="5000" w:type="pct"/>
                    <w:gridSpan w:val="11"/>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其中：</w:t>
                    </w:r>
                  </w:p>
                </w:tc>
              </w:sdtContent>
            </w:sdt>
          </w:tr>
          <w:sdt>
            <w:sdtPr>
              <w:rPr>
                <w:rFonts w:asciiTheme="minorEastAsia" w:hAnsiTheme="minorEastAsia" w:eastAsiaTheme="minorEastAsia"/>
                <w:sz w:val="15"/>
                <w:szCs w:val="15"/>
              </w:rPr>
              <w:alias w:val="按组合计提坏账准备的应收账款明细"/>
              <w:tag w:val="_TUP_6a5136aa27f94b1e8c86df4585d9c3ea"/>
              <w:id w:val="96220263"/>
              <w:lock w:val="sdtLocked"/>
            </w:sdtPr>
            <w:sdtEndPr>
              <w:rPr>
                <w:rFonts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alias w:val="按组合计提坏账准备的应收账款明细-组合名称"/>
                    <w:tag w:val="_GBC_a216a551f9d54c89b88dad6bcecd942d"/>
                    <w:id w:val="1867873088"/>
                    <w:lock w:val="sdtLocked"/>
                  </w:sdtPr>
                  <w:sdtEndPr>
                    <w:rPr>
                      <w:rFonts w:asciiTheme="minorEastAsia" w:hAnsiTheme="minorEastAsia" w:eastAsiaTheme="minorEastAsia"/>
                      <w:sz w:val="15"/>
                      <w:szCs w:val="15"/>
                    </w:rPr>
                  </w:sdtEndPr>
                  <w:sdtContent>
                    <w:tc>
                      <w:tcPr>
                        <w:tcW w:w="307" w:type="pct"/>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color w:val="808080"/>
                            <w:sz w:val="15"/>
                            <w:szCs w:val="15"/>
                          </w:rPr>
                        </w:pPr>
                        <w:r>
                          <w:rPr>
                            <w:rFonts w:hint="eastAsia" w:asciiTheme="minorEastAsia" w:hAnsiTheme="minorEastAsia" w:eastAsiaTheme="minorEastAsia"/>
                            <w:sz w:val="15"/>
                            <w:szCs w:val="15"/>
                          </w:rPr>
                          <w:t>账龄组合</w:t>
                        </w:r>
                      </w:p>
                    </w:tc>
                  </w:sdtContent>
                </w:sdt>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562,823,817.15</w:t>
                    </w:r>
                  </w:p>
                </w:tc>
                <w:tc>
                  <w:tcPr>
                    <w:tcW w:w="30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37.93</w:t>
                    </w:r>
                  </w:p>
                </w:tc>
                <w:tc>
                  <w:tcPr>
                    <w:tcW w:w="55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73,696,152.71</w:t>
                    </w:r>
                  </w:p>
                </w:tc>
                <w:tc>
                  <w:tcPr>
                    <w:tcW w:w="32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13.09</w:t>
                    </w:r>
                  </w:p>
                </w:tc>
                <w:tc>
                  <w:tcPr>
                    <w:tcW w:w="55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489,127,664.44</w:t>
                    </w: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359,303,065.23</w:t>
                    </w:r>
                  </w:p>
                </w:tc>
                <w:tc>
                  <w:tcPr>
                    <w:tcW w:w="29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27.03</w:t>
                    </w: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70,328,305.86</w:t>
                    </w:r>
                  </w:p>
                </w:tc>
                <w:tc>
                  <w:tcPr>
                    <w:tcW w:w="32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19.57</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288,974,759.37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d1cfb21816ea4c1f9d462c84b34cd380"/>
                <w:id w:val="-1025792157"/>
                <w:lock w:val="sdtLocked"/>
              </w:sdtPr>
              <w:sdtEndPr>
                <w:rPr>
                  <w:rFonts w:asciiTheme="minorEastAsia" w:hAnsiTheme="minorEastAsia" w:eastAsiaTheme="minorEastAsia"/>
                  <w:sz w:val="15"/>
                  <w:szCs w:val="15"/>
                </w:rPr>
              </w:sdtEndPr>
              <w:sdtContent>
                <w:tc>
                  <w:tcPr>
                    <w:tcW w:w="30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合计</w:t>
                    </w:r>
                  </w:p>
                </w:tc>
              </w:sdtContent>
            </w:sdt>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1,483,687,717.83</w:t>
                </w:r>
              </w:p>
            </w:tc>
            <w:tc>
              <w:tcPr>
                <w:tcW w:w="30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100.00</w:t>
                </w:r>
              </w:p>
            </w:tc>
            <w:tc>
              <w:tcPr>
                <w:tcW w:w="55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796,377,831.20</w:t>
                </w:r>
              </w:p>
            </w:tc>
            <w:tc>
              <w:tcPr>
                <w:tcW w:w="32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53.68</w:t>
                </w:r>
              </w:p>
            </w:tc>
            <w:tc>
              <w:tcPr>
                <w:tcW w:w="55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687,309,886.63</w:t>
                </w:r>
              </w:p>
            </w:tc>
            <w:tc>
              <w:tcPr>
                <w:tcW w:w="61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1,329,123,812.03</w:t>
                </w:r>
              </w:p>
            </w:tc>
            <w:tc>
              <w:tcPr>
                <w:tcW w:w="296"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100.00</w:t>
                </w:r>
              </w:p>
            </w:tc>
            <w:tc>
              <w:tcPr>
                <w:tcW w:w="55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799,238,961.10</w:t>
                </w:r>
              </w:p>
            </w:tc>
            <w:tc>
              <w:tcPr>
                <w:tcW w:w="32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60.13</w:t>
                </w:r>
              </w:p>
            </w:tc>
            <w:tc>
              <w:tcPr>
                <w:tcW w:w="55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529,884,850.93</w:t>
                </w:r>
              </w:p>
            </w:tc>
          </w:tr>
        </w:tbl>
        <w:p/>
        <w:p/>
      </w:sdtContent>
    </w:sdt>
    <w:bookmarkEnd w:id="148"/>
    <w:sdt>
      <w:sdtPr>
        <w:rPr>
          <w:rFonts w:hint="eastAsia"/>
          <w:szCs w:val="21"/>
        </w:rPr>
        <w:alias w:val="模块:按单项计提坏账准备"/>
        <w:tag w:val="_SEC_ef7cfc3c8ebf4f0dbd12a60dde63ca04"/>
        <w:id w:val="311986929"/>
        <w:lock w:val="sdtLocked"/>
        <w:placeholder>
          <w:docPart w:val="GBC22222222222222222222222222222"/>
        </w:placeholder>
      </w:sdtPr>
      <w:sdtEndPr>
        <w:rPr>
          <w:rFonts w:hint="default"/>
          <w:szCs w:val="24"/>
        </w:rPr>
      </w:sdtEndPr>
      <w:sdtContent>
        <w:p>
          <w:pPr>
            <w:rPr>
              <w:szCs w:val="21"/>
            </w:rPr>
          </w:pPr>
          <w:r>
            <w:rPr>
              <w:rFonts w:hint="eastAsia"/>
              <w:szCs w:val="21"/>
            </w:rPr>
            <w:t>按单项计提坏账准备：</w:t>
          </w:r>
        </w:p>
        <w:sdt>
          <w:sdtPr>
            <w:rPr>
              <w:rFonts w:hint="eastAsia"/>
            </w:rPr>
            <w:alias w:val="是否适用：按单项计提坏账准备的应收账款详细情况[双击切换]"/>
            <w:tag w:val="_GBC_1add32cead514597854ff8ba7f5bf59e"/>
            <w:id w:val="313523866"/>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按单项计提坏账准备的应收账款详细情况"/>
              <w:tag w:val="_GBC_895a0edb0a3a4e12b8b3c0e2c547284e"/>
              <w:id w:val="-9258030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单项计提坏账准备的应收账款详细情况"/>
              <w:tag w:val="_GBC_ceb9b753925d4115a51bdbcf043dc1b2"/>
              <w:id w:val="42607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2"/>
            <w:gridCol w:w="1686"/>
            <w:gridCol w:w="1686"/>
            <w:gridCol w:w="1546"/>
            <w:gridCol w:w="1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fa41067b8749859d9b8b001dab9dde"/>
                <w:id w:val="1905488019"/>
                <w:lock w:val="sdtLocked"/>
              </w:sdtPr>
              <w:sdtContent>
                <w:tc>
                  <w:tcPr>
                    <w:tcW w:w="1160" w:type="pct"/>
                    <w:vMerge w:val="restart"/>
                    <w:vAlign w:val="center"/>
                  </w:tcPr>
                  <w:p>
                    <w:pPr>
                      <w:jc w:val="center"/>
                      <w:rPr>
                        <w:szCs w:val="21"/>
                      </w:rPr>
                    </w:pPr>
                    <w:r>
                      <w:rPr>
                        <w:rFonts w:hint="eastAsia"/>
                        <w:szCs w:val="21"/>
                      </w:rPr>
                      <w:t>名称</w:t>
                    </w:r>
                  </w:p>
                </w:tc>
              </w:sdtContent>
            </w:sdt>
            <w:sdt>
              <w:sdtPr>
                <w:tag w:val="_PLD_53121e07f76046af9290059d0b8136d4"/>
                <w:id w:val="-26639952"/>
                <w:lock w:val="sdtLocked"/>
              </w:sdtPr>
              <w:sdtContent>
                <w:tc>
                  <w:tcPr>
                    <w:tcW w:w="3840" w:type="pct"/>
                    <w:gridSpan w:val="4"/>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Merge w:val="continue"/>
              </w:tcPr>
              <w:p>
                <w:pPr>
                  <w:jc w:val="center"/>
                  <w:rPr>
                    <w:szCs w:val="21"/>
                  </w:rPr>
                </w:pPr>
              </w:p>
            </w:tc>
            <w:sdt>
              <w:sdtPr>
                <w:tag w:val="_PLD_89b2d64d2083464fae141734d17523d3"/>
                <w:id w:val="-1680345875"/>
                <w:lock w:val="sdtLocked"/>
              </w:sdtPr>
              <w:sdtContent>
                <w:tc>
                  <w:tcPr>
                    <w:tcW w:w="939" w:type="pct"/>
                    <w:vAlign w:val="center"/>
                  </w:tcPr>
                  <w:p>
                    <w:pPr>
                      <w:jc w:val="center"/>
                      <w:rPr>
                        <w:szCs w:val="21"/>
                      </w:rPr>
                    </w:pPr>
                    <w:r>
                      <w:rPr>
                        <w:rFonts w:hint="eastAsia"/>
                        <w:szCs w:val="21"/>
                      </w:rPr>
                      <w:t>账面余额</w:t>
                    </w:r>
                  </w:p>
                </w:tc>
              </w:sdtContent>
            </w:sdt>
            <w:sdt>
              <w:sdtPr>
                <w:tag w:val="_PLD_ace529544c544606915552a352f0e13b"/>
                <w:id w:val="-1943754372"/>
                <w:lock w:val="sdtLocked"/>
              </w:sdtPr>
              <w:sdtContent>
                <w:tc>
                  <w:tcPr>
                    <w:tcW w:w="940" w:type="pct"/>
                    <w:vAlign w:val="center"/>
                  </w:tcPr>
                  <w:p>
                    <w:pPr>
                      <w:jc w:val="center"/>
                      <w:rPr>
                        <w:szCs w:val="21"/>
                      </w:rPr>
                    </w:pPr>
                    <w:r>
                      <w:rPr>
                        <w:rFonts w:hint="eastAsia"/>
                        <w:szCs w:val="21"/>
                      </w:rPr>
                      <w:t>坏账准备</w:t>
                    </w:r>
                  </w:p>
                </w:tc>
              </w:sdtContent>
            </w:sdt>
            <w:sdt>
              <w:sdtPr>
                <w:tag w:val="_PLD_8fd7658c68a540cf9892f97231c626d7"/>
                <w:id w:val="1793783725"/>
                <w:lock w:val="sdtLocked"/>
              </w:sdtPr>
              <w:sdtContent>
                <w:tc>
                  <w:tcPr>
                    <w:tcW w:w="939" w:type="pct"/>
                    <w:vAlign w:val="center"/>
                  </w:tcPr>
                  <w:p>
                    <w:pPr>
                      <w:jc w:val="center"/>
                      <w:rPr>
                        <w:szCs w:val="21"/>
                      </w:rPr>
                    </w:pPr>
                    <w:r>
                      <w:rPr>
                        <w:szCs w:val="21"/>
                      </w:rPr>
                      <w:t>计提比例</w:t>
                    </w:r>
                    <w:r>
                      <w:rPr>
                        <w:rFonts w:hint="eastAsia"/>
                        <w:szCs w:val="21"/>
                      </w:rPr>
                      <w:t>（%）</w:t>
                    </w:r>
                  </w:p>
                </w:tc>
              </w:sdtContent>
            </w:sdt>
            <w:sdt>
              <w:sdtPr>
                <w:tag w:val="_PLD_e9726e8171bb463ba9719bc643c14988"/>
                <w:id w:val="398637078"/>
                <w:lock w:val="sdtLocked"/>
              </w:sdtPr>
              <w:sdtContent>
                <w:tc>
                  <w:tcPr>
                    <w:tcW w:w="1023" w:type="pct"/>
                    <w:vAlign w:val="center"/>
                  </w:tcPr>
                  <w:p>
                    <w:pPr>
                      <w:jc w:val="center"/>
                      <w:rPr>
                        <w:szCs w:val="21"/>
                      </w:rPr>
                    </w:pPr>
                    <w:r>
                      <w:rPr>
                        <w:rFonts w:hint="eastAsia"/>
                        <w:szCs w:val="21"/>
                      </w:rPr>
                      <w:t>计提理由</w:t>
                    </w:r>
                  </w:p>
                </w:tc>
              </w:sdtContent>
            </w:sdt>
          </w:tr>
          <w:sdt>
            <w:sdtPr>
              <w:rPr>
                <w:szCs w:val="21"/>
              </w:rPr>
              <w:alias w:val="按单项计提坏账准备的应收账款详细名称明细"/>
              <w:tag w:val="_TUP_7d92570101f141ecb63ab18937afc316"/>
              <w:id w:val="-210879986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rPr>
                        <w:szCs w:val="21"/>
                      </w:rPr>
                    </w:pPr>
                    <w:r>
                      <w:t>KERMAN   MOTOR CO</w:t>
                    </w:r>
                  </w:p>
                </w:tc>
                <w:tc>
                  <w:tcPr>
                    <w:tcW w:w="939" w:type="pct"/>
                    <w:vAlign w:val="center"/>
                  </w:tcPr>
                  <w:p>
                    <w:pPr>
                      <w:jc w:val="center"/>
                      <w:rPr>
                        <w:szCs w:val="21"/>
                      </w:rPr>
                    </w:pPr>
                    <w:r>
                      <w:t>575,108,574.25</w:t>
                    </w:r>
                  </w:p>
                </w:tc>
                <w:tc>
                  <w:tcPr>
                    <w:tcW w:w="940" w:type="pct"/>
                    <w:vAlign w:val="center"/>
                  </w:tcPr>
                  <w:p>
                    <w:pPr>
                      <w:jc w:val="center"/>
                      <w:rPr>
                        <w:szCs w:val="21"/>
                      </w:rPr>
                    </w:pPr>
                    <w:r>
                      <w:t>379,851,347.57</w:t>
                    </w:r>
                  </w:p>
                </w:tc>
                <w:tc>
                  <w:tcPr>
                    <w:tcW w:w="939" w:type="pct"/>
                    <w:vAlign w:val="center"/>
                  </w:tcPr>
                  <w:p>
                    <w:pPr>
                      <w:jc w:val="center"/>
                      <w:rPr>
                        <w:szCs w:val="21"/>
                      </w:rPr>
                    </w:pPr>
                    <w:r>
                      <w:t>66.05</w:t>
                    </w:r>
                  </w:p>
                </w:tc>
                <w:tc>
                  <w:tcPr>
                    <w:tcW w:w="1023" w:type="pct"/>
                    <w:vAlign w:val="center"/>
                  </w:tcPr>
                  <w:p>
                    <w:pPr>
                      <w:jc w:val="center"/>
                      <w:rPr>
                        <w:szCs w:val="21"/>
                      </w:rPr>
                    </w:pPr>
                    <w:r>
                      <w:t>预计部分不能收回</w:t>
                    </w:r>
                  </w:p>
                </w:tc>
              </w:tr>
            </w:sdtContent>
          </w:sdt>
          <w:sdt>
            <w:sdtPr>
              <w:rPr>
                <w:szCs w:val="21"/>
              </w:rPr>
              <w:alias w:val="按单项计提坏账准备的应收账款详细名称明细"/>
              <w:tag w:val="_TUP_7d92570101f141ecb63ab18937afc316"/>
              <w:id w:val="-144768544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rPr>
                        <w:szCs w:val="21"/>
                      </w:rPr>
                    </w:pPr>
                    <w:r>
                      <w:t>BAM   KHODRO SERVICES AND TRADING CO.</w:t>
                    </w:r>
                  </w:p>
                </w:tc>
                <w:tc>
                  <w:tcPr>
                    <w:tcW w:w="939" w:type="pct"/>
                    <w:vAlign w:val="center"/>
                  </w:tcPr>
                  <w:p>
                    <w:pPr>
                      <w:jc w:val="center"/>
                      <w:rPr>
                        <w:szCs w:val="21"/>
                      </w:rPr>
                    </w:pPr>
                    <w:r>
                      <w:t>125,664,987.07</w:t>
                    </w:r>
                  </w:p>
                </w:tc>
                <w:tc>
                  <w:tcPr>
                    <w:tcW w:w="940" w:type="pct"/>
                    <w:vAlign w:val="center"/>
                  </w:tcPr>
                  <w:p>
                    <w:pPr>
                      <w:jc w:val="center"/>
                      <w:rPr>
                        <w:szCs w:val="21"/>
                      </w:rPr>
                    </w:pPr>
                    <w:r>
                      <w:t>125,664,987.07</w:t>
                    </w:r>
                  </w:p>
                </w:tc>
                <w:tc>
                  <w:tcPr>
                    <w:tcW w:w="939" w:type="pct"/>
                    <w:vAlign w:val="center"/>
                  </w:tcPr>
                  <w:p>
                    <w:pPr>
                      <w:jc w:val="center"/>
                      <w:rPr>
                        <w:szCs w:val="21"/>
                      </w:rPr>
                    </w:pPr>
                    <w:r>
                      <w:t>100.00</w:t>
                    </w:r>
                  </w:p>
                </w:tc>
                <w:tc>
                  <w:tcPr>
                    <w:tcW w:w="1023" w:type="pct"/>
                    <w:vAlign w:val="center"/>
                  </w:tcPr>
                  <w:p>
                    <w:pPr>
                      <w:jc w:val="center"/>
                      <w:rPr>
                        <w:szCs w:val="21"/>
                      </w:rPr>
                    </w:pPr>
                    <w:r>
                      <w:t>预计不能收回</w:t>
                    </w:r>
                  </w:p>
                </w:tc>
              </w:tr>
            </w:sdtContent>
          </w:sdt>
          <w:sdt>
            <w:sdtPr>
              <w:rPr>
                <w:szCs w:val="21"/>
              </w:rPr>
              <w:alias w:val="按单项计提坏账准备的应收账款详细名称明细"/>
              <w:tag w:val="_TUP_7d92570101f141ecb63ab18937afc316"/>
              <w:id w:val="-120085764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rPr>
                        <w:szCs w:val="21"/>
                      </w:rPr>
                    </w:pPr>
                    <w:r>
                      <w:t>洛阳川铃摩托车销售有限公司</w:t>
                    </w:r>
                  </w:p>
                </w:tc>
                <w:tc>
                  <w:tcPr>
                    <w:tcW w:w="939" w:type="pct"/>
                    <w:vAlign w:val="center"/>
                  </w:tcPr>
                  <w:p>
                    <w:pPr>
                      <w:jc w:val="center"/>
                      <w:rPr>
                        <w:szCs w:val="21"/>
                      </w:rPr>
                    </w:pPr>
                    <w:r>
                      <w:t>25,812,330.82</w:t>
                    </w:r>
                  </w:p>
                </w:tc>
                <w:tc>
                  <w:tcPr>
                    <w:tcW w:w="940" w:type="pct"/>
                    <w:vAlign w:val="center"/>
                  </w:tcPr>
                  <w:p>
                    <w:pPr>
                      <w:jc w:val="center"/>
                      <w:rPr>
                        <w:szCs w:val="21"/>
                      </w:rPr>
                    </w:pPr>
                    <w:r>
                      <w:t>25,812,330.82</w:t>
                    </w:r>
                  </w:p>
                </w:tc>
                <w:tc>
                  <w:tcPr>
                    <w:tcW w:w="939" w:type="pct"/>
                    <w:vAlign w:val="center"/>
                  </w:tcPr>
                  <w:p>
                    <w:pPr>
                      <w:jc w:val="center"/>
                      <w:rPr>
                        <w:szCs w:val="21"/>
                      </w:rPr>
                    </w:pPr>
                    <w:r>
                      <w:t>100.00</w:t>
                    </w:r>
                  </w:p>
                </w:tc>
                <w:tc>
                  <w:tcPr>
                    <w:tcW w:w="1023" w:type="pct"/>
                    <w:vAlign w:val="center"/>
                  </w:tcPr>
                  <w:p>
                    <w:pPr>
                      <w:jc w:val="center"/>
                      <w:rPr>
                        <w:szCs w:val="21"/>
                      </w:rPr>
                    </w:pPr>
                    <w:r>
                      <w:t>被列入失信人，无法收回</w:t>
                    </w:r>
                  </w:p>
                </w:tc>
              </w:tr>
            </w:sdtContent>
          </w:sdt>
          <w:sdt>
            <w:sdtPr>
              <w:rPr>
                <w:szCs w:val="21"/>
              </w:rPr>
              <w:alias w:val="按单项计提坏账准备的应收账款详细名称明细"/>
              <w:tag w:val="_TUP_7d92570101f141ecb63ab18937afc316"/>
              <w:id w:val="-201282820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rPr>
                        <w:szCs w:val="21"/>
                      </w:rPr>
                    </w:pPr>
                    <w:r>
                      <w:t>重庆飞帆汽车销售有限公司</w:t>
                    </w:r>
                  </w:p>
                </w:tc>
                <w:tc>
                  <w:tcPr>
                    <w:tcW w:w="939" w:type="pct"/>
                    <w:vAlign w:val="center"/>
                  </w:tcPr>
                  <w:p>
                    <w:pPr>
                      <w:jc w:val="center"/>
                      <w:rPr>
                        <w:szCs w:val="21"/>
                      </w:rPr>
                    </w:pPr>
                    <w:r>
                      <w:t>15,960,498.79</w:t>
                    </w:r>
                  </w:p>
                </w:tc>
                <w:tc>
                  <w:tcPr>
                    <w:tcW w:w="940" w:type="pct"/>
                    <w:vAlign w:val="center"/>
                  </w:tcPr>
                  <w:p>
                    <w:pPr>
                      <w:jc w:val="center"/>
                      <w:rPr>
                        <w:szCs w:val="21"/>
                      </w:rPr>
                    </w:pPr>
                    <w:r>
                      <w:t>15,960,498.79</w:t>
                    </w:r>
                  </w:p>
                </w:tc>
                <w:tc>
                  <w:tcPr>
                    <w:tcW w:w="939" w:type="pct"/>
                    <w:vAlign w:val="center"/>
                  </w:tcPr>
                  <w:p>
                    <w:pPr>
                      <w:jc w:val="center"/>
                      <w:rPr>
                        <w:szCs w:val="21"/>
                      </w:rPr>
                    </w:pPr>
                    <w:r>
                      <w:t>100.00</w:t>
                    </w:r>
                  </w:p>
                </w:tc>
                <w:tc>
                  <w:tcPr>
                    <w:tcW w:w="1023" w:type="pct"/>
                    <w:vAlign w:val="center"/>
                  </w:tcPr>
                  <w:p>
                    <w:pPr>
                      <w:jc w:val="center"/>
                      <w:rPr>
                        <w:szCs w:val="21"/>
                      </w:rPr>
                    </w:pPr>
                    <w:r>
                      <w:t>预计不能收回</w:t>
                    </w:r>
                  </w:p>
                </w:tc>
              </w:tr>
            </w:sdtContent>
          </w:sdt>
          <w:sdt>
            <w:sdtPr>
              <w:rPr>
                <w:szCs w:val="21"/>
              </w:rPr>
              <w:alias w:val="按单项计提坏账准备的应收账款详细名称明细"/>
              <w:tag w:val="_TUP_7d92570101f141ecb63ab18937afc316"/>
              <w:id w:val="97788167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vAlign w:val="center"/>
                  </w:tcPr>
                  <w:p>
                    <w:pPr>
                      <w:jc w:val="center"/>
                      <w:rPr>
                        <w:szCs w:val="21"/>
                      </w:rPr>
                    </w:pPr>
                    <w:r>
                      <w:t>其他</w:t>
                    </w:r>
                  </w:p>
                </w:tc>
                <w:tc>
                  <w:tcPr>
                    <w:tcW w:w="939" w:type="pct"/>
                    <w:vAlign w:val="center"/>
                  </w:tcPr>
                  <w:p>
                    <w:pPr>
                      <w:jc w:val="center"/>
                      <w:rPr>
                        <w:szCs w:val="21"/>
                      </w:rPr>
                    </w:pPr>
                    <w:r>
                      <w:t>178,317,509.75</w:t>
                    </w:r>
                  </w:p>
                </w:tc>
                <w:tc>
                  <w:tcPr>
                    <w:tcW w:w="940" w:type="pct"/>
                    <w:vAlign w:val="center"/>
                  </w:tcPr>
                  <w:p>
                    <w:pPr>
                      <w:jc w:val="center"/>
                      <w:rPr>
                        <w:szCs w:val="21"/>
                      </w:rPr>
                    </w:pPr>
                    <w:r>
                      <w:t>175,392,514.24</w:t>
                    </w:r>
                  </w:p>
                </w:tc>
                <w:tc>
                  <w:tcPr>
                    <w:tcW w:w="939" w:type="pct"/>
                    <w:vAlign w:val="center"/>
                  </w:tcPr>
                  <w:p>
                    <w:pPr>
                      <w:jc w:val="center"/>
                      <w:rPr>
                        <w:szCs w:val="21"/>
                      </w:rPr>
                    </w:pPr>
                    <w:r>
                      <w:t>98.36</w:t>
                    </w:r>
                  </w:p>
                </w:tc>
                <w:tc>
                  <w:tcPr>
                    <w:tcW w:w="1023" w:type="pct"/>
                    <w:vAlign w:val="center"/>
                  </w:tcPr>
                  <w:p>
                    <w:pPr>
                      <w:jc w:val="center"/>
                      <w:rPr>
                        <w:szCs w:val="21"/>
                      </w:rPr>
                    </w:pPr>
                    <w:r>
                      <w:t>被列入失信人/无执行物终止执行/款项存在争议等</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d91ad8a33154a4397fe05ffbb5a6db7"/>
                <w:id w:val="854158388"/>
                <w:lock w:val="sdtLocked"/>
              </w:sdtPr>
              <w:sdtContent>
                <w:tc>
                  <w:tcPr>
                    <w:tcW w:w="1160" w:type="pct"/>
                    <w:vAlign w:val="center"/>
                  </w:tcPr>
                  <w:p>
                    <w:pPr>
                      <w:jc w:val="center"/>
                      <w:rPr>
                        <w:szCs w:val="21"/>
                      </w:rPr>
                    </w:pPr>
                    <w:r>
                      <w:rPr>
                        <w:rFonts w:hint="eastAsia"/>
                        <w:szCs w:val="21"/>
                      </w:rPr>
                      <w:t>合计</w:t>
                    </w:r>
                  </w:p>
                </w:tc>
              </w:sdtContent>
            </w:sdt>
            <w:tc>
              <w:tcPr>
                <w:tcW w:w="939" w:type="pct"/>
                <w:vAlign w:val="center"/>
              </w:tcPr>
              <w:p>
                <w:pPr>
                  <w:jc w:val="center"/>
                  <w:rPr>
                    <w:szCs w:val="21"/>
                  </w:rPr>
                </w:pPr>
                <w:r>
                  <w:t>920,863,900.68</w:t>
                </w:r>
              </w:p>
            </w:tc>
            <w:tc>
              <w:tcPr>
                <w:tcW w:w="940" w:type="pct"/>
                <w:vAlign w:val="center"/>
              </w:tcPr>
              <w:p>
                <w:pPr>
                  <w:jc w:val="center"/>
                  <w:rPr>
                    <w:szCs w:val="21"/>
                  </w:rPr>
                </w:pPr>
                <w:r>
                  <w:t>722,681,678.49</w:t>
                </w:r>
              </w:p>
            </w:tc>
            <w:tc>
              <w:tcPr>
                <w:tcW w:w="939" w:type="pct"/>
                <w:vAlign w:val="center"/>
              </w:tcPr>
              <w:p>
                <w:pPr>
                  <w:jc w:val="center"/>
                  <w:rPr>
                    <w:szCs w:val="21"/>
                  </w:rPr>
                </w:pPr>
                <w:r>
                  <w:t>78.48</w:t>
                </w:r>
              </w:p>
            </w:tc>
            <w:tc>
              <w:tcPr>
                <w:tcW w:w="1023" w:type="pct"/>
                <w:vAlign w:val="center"/>
              </w:tcPr>
              <w:p>
                <w:pPr>
                  <w:jc w:val="center"/>
                  <w:rPr>
                    <w:szCs w:val="21"/>
                  </w:rPr>
                </w:pPr>
              </w:p>
            </w:tc>
          </w:tr>
        </w:tbl>
        <w:p/>
        <w:p>
          <w:pPr>
            <w:rPr>
              <w:szCs w:val="21"/>
            </w:rPr>
          </w:pPr>
          <w:r>
            <w:rPr>
              <w:rFonts w:hint="eastAsia"/>
              <w:szCs w:val="21"/>
            </w:rPr>
            <w:t>按单项计提坏账准备的说明：</w:t>
          </w:r>
        </w:p>
        <w:sdt>
          <w:sdtPr>
            <w:rPr>
              <w:szCs w:val="21"/>
            </w:rPr>
            <w:alias w:val="是否适用：按单项计提坏账准备的应收账款说明[双击切换]"/>
            <w:tag w:val="_GBC_e665d0e996124f458355f06bf32118ca"/>
            <w:id w:val="156721636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szCs w:val="21"/>
        </w:rPr>
        <w:tag w:val="_PLD_21b31dda4e9f44bd901ccb9e126e1392"/>
        <w:id w:val="-1342924978"/>
        <w:lock w:val="sdtLocked"/>
        <w:placeholder>
          <w:docPart w:val="GBC22222222222222222222222222222"/>
        </w:placeholder>
      </w:sdtPr>
      <w:sdtEndPr>
        <w:rPr>
          <w:rFonts w:hint="eastAsia"/>
          <w:szCs w:val="21"/>
        </w:rPr>
      </w:sdtEndPr>
      <w:sdtContent>
        <w:p>
          <w:pPr>
            <w:rPr>
              <w:szCs w:val="21"/>
            </w:rPr>
          </w:pPr>
          <w:r>
            <w:rPr>
              <w:rFonts w:hint="eastAsia"/>
              <w:szCs w:val="21"/>
            </w:rPr>
            <w:t>按组合计提坏账准备：</w:t>
          </w:r>
        </w:p>
      </w:sdtContent>
    </w:sdt>
    <w:sdt>
      <w:sdtPr>
        <w:rPr>
          <w:rFonts w:hint="eastAsia"/>
        </w:rPr>
        <w:alias w:val="是否适用：按组合计提坏账准备的应收账款详细情况[双击切换]"/>
        <w:tag w:val="_GBC_600909a2591c4c1187685fb640783e4a"/>
        <w:id w:val="-260828659"/>
        <w:lock w:val="sdtConten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szCs w:val="21"/>
        </w:rPr>
        <w:alias w:val="模块:按组合计提坏账准备"/>
        <w:tag w:val="_SEC_04cea84e35a1467eb05df185ad69482a"/>
        <w:id w:val="1217472817"/>
        <w:lock w:val="sdtLocked"/>
        <w:placeholder>
          <w:docPart w:val="GBC22222222222222222222222222222"/>
        </w:placeholder>
      </w:sdtPr>
      <w:sdtEndPr>
        <w:rPr>
          <w:rFonts w:hint="default"/>
          <w:szCs w:val="24"/>
        </w:rPr>
      </w:sdtEndPr>
      <w:sdtContent>
        <w:p>
          <w:pPr>
            <w:rPr>
              <w:szCs w:val="21"/>
            </w:rPr>
          </w:pPr>
          <w:bookmarkStart w:id="149" w:name="_Hlk533607573"/>
          <w:r>
            <w:rPr>
              <w:rFonts w:hint="eastAsia"/>
              <w:szCs w:val="21"/>
            </w:rPr>
            <w:t>组合计提项目：</w:t>
          </w:r>
          <w:sdt>
            <w:sdtPr>
              <w:rPr>
                <w:rFonts w:hint="eastAsia"/>
                <w:szCs w:val="21"/>
              </w:rPr>
              <w:alias w:val="按组合计提坏账准备的应收账款明细-组合名称"/>
              <w:tag w:val="_GBC_a99af83acd7e492a99d5eed2536b8adb"/>
              <w:id w:val="-924564362"/>
              <w:lock w:val="sdtLocked"/>
              <w:placeholder>
                <w:docPart w:val="GBC22222222222222222222222222222"/>
              </w:placeholder>
              <w:comboBox>
                <w:listItem w:displayText="账龄组合" w:value="账龄组合"/>
              </w:comboBox>
            </w:sdtPr>
            <w:sdtEndPr>
              <w:rPr>
                <w:rFonts w:hint="eastAsia"/>
                <w:szCs w:val="21"/>
              </w:rPr>
            </w:sdtEndPr>
            <w:sdtContent>
              <w:r>
                <w:rPr>
                  <w:rFonts w:hint="eastAsia"/>
                  <w:szCs w:val="21"/>
                </w:rPr>
                <w:t>账龄组合</w:t>
              </w:r>
            </w:sdtContent>
          </w:sdt>
        </w:p>
        <w:p>
          <w:pPr>
            <w:autoSpaceDE w:val="0"/>
            <w:autoSpaceDN w:val="0"/>
            <w:adjustRightInd w:val="0"/>
            <w:ind w:left="5880" w:right="105"/>
            <w:jc w:val="right"/>
            <w:rPr>
              <w:szCs w:val="21"/>
            </w:rPr>
          </w:pPr>
          <w:r>
            <w:rPr>
              <w:rFonts w:hint="eastAsia"/>
              <w:szCs w:val="21"/>
            </w:rPr>
            <w:t>单位：</w:t>
          </w:r>
          <w:sdt>
            <w:sdtPr>
              <w:rPr>
                <w:rFonts w:hint="eastAsia"/>
                <w:szCs w:val="21"/>
              </w:rPr>
              <w:alias w:val="单位：按组合计提坏账准备的应收账款详细情况"/>
              <w:tag w:val="_GBC_048426f3fbc6488d9ff13660d47dce88"/>
              <w:id w:val="-147134717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按组合计提坏账准备的应收账款详细情况"/>
              <w:tag w:val="_GBC_2a89eacddb4842daa40a2883ae740824"/>
              <w:id w:val="-1514377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5"/>
            <w:gridCol w:w="2176"/>
            <w:gridCol w:w="2216"/>
            <w:gridCol w:w="21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6fac25a376f4d4b884d95c8c8b4cdbd"/>
                <w:id w:val="693349071"/>
                <w:lock w:val="sdtLocked"/>
              </w:sdtPr>
              <w:sdtContent>
                <w:tc>
                  <w:tcPr>
                    <w:tcW w:w="1158" w:type="pct"/>
                    <w:vMerge w:val="restart"/>
                    <w:vAlign w:val="center"/>
                  </w:tcPr>
                  <w:p>
                    <w:pPr>
                      <w:jc w:val="center"/>
                      <w:rPr>
                        <w:szCs w:val="21"/>
                      </w:rPr>
                    </w:pPr>
                    <w:r>
                      <w:rPr>
                        <w:rFonts w:hint="eastAsia"/>
                        <w:szCs w:val="21"/>
                      </w:rPr>
                      <w:t>名称</w:t>
                    </w:r>
                  </w:p>
                </w:tc>
              </w:sdtContent>
            </w:sdt>
            <w:sdt>
              <w:sdtPr>
                <w:tag w:val="_PLD_2ea73da2ba22410090605fad4228c06a"/>
                <w:id w:val="975651509"/>
                <w:lock w:val="sdtLocked"/>
              </w:sdtPr>
              <w:sdtContent>
                <w:tc>
                  <w:tcPr>
                    <w:tcW w:w="3842" w:type="pct"/>
                    <w:gridSpan w:val="3"/>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vMerge w:val="continue"/>
              </w:tcPr>
              <w:p>
                <w:pPr>
                  <w:jc w:val="center"/>
                  <w:rPr>
                    <w:szCs w:val="21"/>
                  </w:rPr>
                </w:pPr>
              </w:p>
            </w:tc>
            <w:sdt>
              <w:sdtPr>
                <w:tag w:val="_PLD_841eb33e3b60464dbe6b3cefac602503"/>
                <w:id w:val="1578710637"/>
                <w:lock w:val="sdtLocked"/>
              </w:sdtPr>
              <w:sdtContent>
                <w:tc>
                  <w:tcPr>
                    <w:tcW w:w="1276" w:type="pct"/>
                    <w:vAlign w:val="center"/>
                  </w:tcPr>
                  <w:p>
                    <w:pPr>
                      <w:jc w:val="center"/>
                      <w:rPr>
                        <w:szCs w:val="21"/>
                      </w:rPr>
                    </w:pPr>
                    <w:r>
                      <w:rPr>
                        <w:rFonts w:hint="eastAsia"/>
                        <w:szCs w:val="21"/>
                      </w:rPr>
                      <w:t>应收账款</w:t>
                    </w:r>
                  </w:p>
                </w:tc>
              </w:sdtContent>
            </w:sdt>
            <w:sdt>
              <w:sdtPr>
                <w:tag w:val="_PLD_b28da65f0aac478c80ab20a817d350ac"/>
                <w:id w:val="1195885496"/>
                <w:lock w:val="sdtLocked"/>
              </w:sdtPr>
              <w:sdtContent>
                <w:tc>
                  <w:tcPr>
                    <w:tcW w:w="1299" w:type="pct"/>
                    <w:vAlign w:val="center"/>
                  </w:tcPr>
                  <w:p>
                    <w:pPr>
                      <w:jc w:val="center"/>
                      <w:rPr>
                        <w:szCs w:val="21"/>
                      </w:rPr>
                    </w:pPr>
                    <w:r>
                      <w:rPr>
                        <w:rFonts w:hint="eastAsia"/>
                        <w:szCs w:val="21"/>
                      </w:rPr>
                      <w:t>坏账准备</w:t>
                    </w:r>
                  </w:p>
                </w:tc>
              </w:sdtContent>
            </w:sdt>
            <w:sdt>
              <w:sdtPr>
                <w:tag w:val="_PLD_98321f537bf94701b17705eae6c543e2"/>
                <w:id w:val="-1063020030"/>
                <w:lock w:val="sdtLocked"/>
              </w:sdtPr>
              <w:sdtContent>
                <w:tc>
                  <w:tcPr>
                    <w:tcW w:w="1267" w:type="pct"/>
                    <w:vAlign w:val="center"/>
                  </w:tcPr>
                  <w:p>
                    <w:pPr>
                      <w:jc w:val="center"/>
                      <w:rPr>
                        <w:szCs w:val="21"/>
                      </w:rPr>
                    </w:pPr>
                    <w:r>
                      <w:rPr>
                        <w:szCs w:val="21"/>
                      </w:rPr>
                      <w:t>计提比例</w:t>
                    </w:r>
                    <w:r>
                      <w:rPr>
                        <w:rFonts w:hint="eastAsia"/>
                        <w:szCs w:val="21"/>
                      </w:rPr>
                      <w:t>（%）</w:t>
                    </w:r>
                  </w:p>
                </w:tc>
              </w:sdtContent>
            </w:sdt>
          </w:tr>
          <w:sdt>
            <w:sdtPr>
              <w:rPr>
                <w:szCs w:val="21"/>
              </w:rPr>
              <w:alias w:val="按组合计提坏账准备的应收账款详细名称明细"/>
              <w:tag w:val="_TUP_5014630afd484c5d916b4275ea3f536a"/>
              <w:id w:val="-190999066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0－6个月</w:t>
                    </w:r>
                  </w:p>
                </w:tc>
                <w:tc>
                  <w:tcPr>
                    <w:tcW w:w="1276" w:type="pct"/>
                  </w:tcPr>
                  <w:p>
                    <w:pPr>
                      <w:jc w:val="right"/>
                      <w:rPr>
                        <w:szCs w:val="21"/>
                      </w:rPr>
                    </w:pPr>
                    <w:r>
                      <w:t>441,948,412.84</w:t>
                    </w:r>
                  </w:p>
                </w:tc>
                <w:tc>
                  <w:tcPr>
                    <w:tcW w:w="1299" w:type="pct"/>
                  </w:tcPr>
                  <w:p>
                    <w:pPr>
                      <w:jc w:val="right"/>
                      <w:rPr>
                        <w:szCs w:val="21"/>
                      </w:rPr>
                    </w:pPr>
                  </w:p>
                </w:tc>
                <w:tc>
                  <w:tcPr>
                    <w:tcW w:w="1267" w:type="pct"/>
                  </w:tcPr>
                  <w:p>
                    <w:pPr>
                      <w:jc w:val="right"/>
                      <w:rPr>
                        <w:szCs w:val="21"/>
                      </w:rPr>
                    </w:pPr>
                  </w:p>
                </w:tc>
              </w:tr>
            </w:sdtContent>
          </w:sdt>
          <w:sdt>
            <w:sdtPr>
              <w:rPr>
                <w:szCs w:val="21"/>
              </w:rPr>
              <w:alias w:val="按组合计提坏账准备的应收账款详细名称明细"/>
              <w:tag w:val="_TUP_5014630afd484c5d916b4275ea3f536a"/>
              <w:id w:val="205835514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6个月－1年</w:t>
                    </w:r>
                  </w:p>
                </w:tc>
                <w:tc>
                  <w:tcPr>
                    <w:tcW w:w="1276" w:type="pct"/>
                  </w:tcPr>
                  <w:p>
                    <w:pPr>
                      <w:jc w:val="right"/>
                      <w:rPr>
                        <w:szCs w:val="21"/>
                      </w:rPr>
                    </w:pPr>
                    <w:r>
                      <w:t>21,661,695.94</w:t>
                    </w:r>
                  </w:p>
                </w:tc>
                <w:tc>
                  <w:tcPr>
                    <w:tcW w:w="1299" w:type="pct"/>
                  </w:tcPr>
                  <w:p>
                    <w:pPr>
                      <w:jc w:val="right"/>
                      <w:rPr>
                        <w:szCs w:val="21"/>
                      </w:rPr>
                    </w:pPr>
                    <w:r>
                      <w:t>1,083,084.83</w:t>
                    </w:r>
                  </w:p>
                </w:tc>
                <w:tc>
                  <w:tcPr>
                    <w:tcW w:w="1267" w:type="pct"/>
                  </w:tcPr>
                  <w:p>
                    <w:pPr>
                      <w:jc w:val="center"/>
                      <w:rPr>
                        <w:szCs w:val="21"/>
                      </w:rPr>
                    </w:pPr>
                    <w:r>
                      <w:t>5.00</w:t>
                    </w:r>
                  </w:p>
                </w:tc>
              </w:tr>
            </w:sdtContent>
          </w:sdt>
          <w:sdt>
            <w:sdtPr>
              <w:rPr>
                <w:szCs w:val="21"/>
              </w:rPr>
              <w:alias w:val="按组合计提坏账准备的应收账款详细名称明细"/>
              <w:tag w:val="_TUP_5014630afd484c5d916b4275ea3f536a"/>
              <w:id w:val="160946730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1－2年</w:t>
                    </w:r>
                  </w:p>
                </w:tc>
                <w:tc>
                  <w:tcPr>
                    <w:tcW w:w="1276" w:type="pct"/>
                  </w:tcPr>
                  <w:p>
                    <w:pPr>
                      <w:jc w:val="right"/>
                      <w:rPr>
                        <w:szCs w:val="21"/>
                      </w:rPr>
                    </w:pPr>
                    <w:r>
                      <w:t>15,736,828.55</w:t>
                    </w:r>
                  </w:p>
                </w:tc>
                <w:tc>
                  <w:tcPr>
                    <w:tcW w:w="1299" w:type="pct"/>
                  </w:tcPr>
                  <w:p>
                    <w:pPr>
                      <w:jc w:val="right"/>
                      <w:rPr>
                        <w:szCs w:val="21"/>
                      </w:rPr>
                    </w:pPr>
                    <w:r>
                      <w:t>1,573,682.85</w:t>
                    </w:r>
                  </w:p>
                </w:tc>
                <w:tc>
                  <w:tcPr>
                    <w:tcW w:w="1267" w:type="pct"/>
                  </w:tcPr>
                  <w:p>
                    <w:pPr>
                      <w:jc w:val="center"/>
                      <w:rPr>
                        <w:szCs w:val="21"/>
                      </w:rPr>
                    </w:pPr>
                    <w:r>
                      <w:t>10.00</w:t>
                    </w:r>
                  </w:p>
                </w:tc>
              </w:tr>
            </w:sdtContent>
          </w:sdt>
          <w:sdt>
            <w:sdtPr>
              <w:rPr>
                <w:szCs w:val="21"/>
              </w:rPr>
              <w:alias w:val="按组合计提坏账准备的应收账款详细名称明细"/>
              <w:tag w:val="_TUP_5014630afd484c5d916b4275ea3f536a"/>
              <w:id w:val="84013216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2－3年</w:t>
                    </w:r>
                  </w:p>
                </w:tc>
                <w:tc>
                  <w:tcPr>
                    <w:tcW w:w="1276" w:type="pct"/>
                  </w:tcPr>
                  <w:p>
                    <w:pPr>
                      <w:jc w:val="right"/>
                      <w:rPr>
                        <w:szCs w:val="21"/>
                      </w:rPr>
                    </w:pPr>
                    <w:r>
                      <w:t>7,965,270.54</w:t>
                    </w:r>
                  </w:p>
                </w:tc>
                <w:tc>
                  <w:tcPr>
                    <w:tcW w:w="1299" w:type="pct"/>
                  </w:tcPr>
                  <w:p>
                    <w:pPr>
                      <w:jc w:val="right"/>
                      <w:rPr>
                        <w:szCs w:val="21"/>
                      </w:rPr>
                    </w:pPr>
                    <w:r>
                      <w:t>2,389,581.16</w:t>
                    </w:r>
                  </w:p>
                </w:tc>
                <w:tc>
                  <w:tcPr>
                    <w:tcW w:w="1267" w:type="pct"/>
                  </w:tcPr>
                  <w:p>
                    <w:pPr>
                      <w:jc w:val="center"/>
                      <w:rPr>
                        <w:szCs w:val="21"/>
                      </w:rPr>
                    </w:pPr>
                    <w:r>
                      <w:t>30.00</w:t>
                    </w:r>
                  </w:p>
                </w:tc>
              </w:tr>
            </w:sdtContent>
          </w:sdt>
          <w:sdt>
            <w:sdtPr>
              <w:rPr>
                <w:szCs w:val="21"/>
              </w:rPr>
              <w:alias w:val="按组合计提坏账准备的应收账款详细名称明细"/>
              <w:tag w:val="_TUP_5014630afd484c5d916b4275ea3f536a"/>
              <w:id w:val="168817661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3－4年</w:t>
                    </w:r>
                  </w:p>
                </w:tc>
                <w:tc>
                  <w:tcPr>
                    <w:tcW w:w="1276" w:type="pct"/>
                  </w:tcPr>
                  <w:p>
                    <w:pPr>
                      <w:jc w:val="right"/>
                      <w:rPr>
                        <w:szCs w:val="21"/>
                      </w:rPr>
                    </w:pPr>
                    <w:r>
                      <w:t>7,683,792.59</w:t>
                    </w:r>
                  </w:p>
                </w:tc>
                <w:tc>
                  <w:tcPr>
                    <w:tcW w:w="1299" w:type="pct"/>
                  </w:tcPr>
                  <w:p>
                    <w:pPr>
                      <w:jc w:val="right"/>
                      <w:rPr>
                        <w:szCs w:val="21"/>
                      </w:rPr>
                    </w:pPr>
                    <w:r>
                      <w:t>3,841,896.29</w:t>
                    </w:r>
                  </w:p>
                </w:tc>
                <w:tc>
                  <w:tcPr>
                    <w:tcW w:w="1267" w:type="pct"/>
                  </w:tcPr>
                  <w:p>
                    <w:pPr>
                      <w:jc w:val="center"/>
                      <w:rPr>
                        <w:szCs w:val="21"/>
                      </w:rPr>
                    </w:pPr>
                    <w:r>
                      <w:t>50.00</w:t>
                    </w:r>
                  </w:p>
                </w:tc>
              </w:tr>
            </w:sdtContent>
          </w:sdt>
          <w:sdt>
            <w:sdtPr>
              <w:rPr>
                <w:szCs w:val="21"/>
              </w:rPr>
              <w:alias w:val="按组合计提坏账准备的应收账款详细名称明细"/>
              <w:tag w:val="_TUP_5014630afd484c5d916b4275ea3f536a"/>
              <w:id w:val="49754418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4－5年</w:t>
                    </w:r>
                  </w:p>
                </w:tc>
                <w:tc>
                  <w:tcPr>
                    <w:tcW w:w="1276" w:type="pct"/>
                  </w:tcPr>
                  <w:p>
                    <w:pPr>
                      <w:jc w:val="right"/>
                      <w:rPr>
                        <w:szCs w:val="21"/>
                      </w:rPr>
                    </w:pPr>
                    <w:r>
                      <w:t>15,099,545.59</w:t>
                    </w:r>
                  </w:p>
                </w:tc>
                <w:tc>
                  <w:tcPr>
                    <w:tcW w:w="1299" w:type="pct"/>
                  </w:tcPr>
                  <w:p>
                    <w:pPr>
                      <w:jc w:val="right"/>
                      <w:rPr>
                        <w:szCs w:val="21"/>
                      </w:rPr>
                    </w:pPr>
                    <w:r>
                      <w:t>12,079,636.48</w:t>
                    </w:r>
                  </w:p>
                </w:tc>
                <w:tc>
                  <w:tcPr>
                    <w:tcW w:w="1267" w:type="pct"/>
                  </w:tcPr>
                  <w:p>
                    <w:pPr>
                      <w:jc w:val="center"/>
                      <w:rPr>
                        <w:szCs w:val="21"/>
                      </w:rPr>
                    </w:pPr>
                    <w:r>
                      <w:t>80.00</w:t>
                    </w:r>
                  </w:p>
                </w:tc>
              </w:tr>
            </w:sdtContent>
          </w:sdt>
          <w:sdt>
            <w:sdtPr>
              <w:rPr>
                <w:szCs w:val="21"/>
              </w:rPr>
              <w:alias w:val="按组合计提坏账准备的应收账款详细名称明细"/>
              <w:tag w:val="_TUP_5014630afd484c5d916b4275ea3f536a"/>
              <w:id w:val="142130129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8" w:type="pct"/>
                  </w:tcPr>
                  <w:p>
                    <w:pPr>
                      <w:jc w:val="center"/>
                      <w:rPr>
                        <w:szCs w:val="21"/>
                      </w:rPr>
                    </w:pPr>
                    <w:r>
                      <w:t>5年以上</w:t>
                    </w:r>
                  </w:p>
                </w:tc>
                <w:tc>
                  <w:tcPr>
                    <w:tcW w:w="1276" w:type="pct"/>
                  </w:tcPr>
                  <w:p>
                    <w:pPr>
                      <w:jc w:val="right"/>
                      <w:rPr>
                        <w:szCs w:val="21"/>
                      </w:rPr>
                    </w:pPr>
                    <w:r>
                      <w:t>52,728,271.10</w:t>
                    </w:r>
                  </w:p>
                </w:tc>
                <w:tc>
                  <w:tcPr>
                    <w:tcW w:w="1299" w:type="pct"/>
                  </w:tcPr>
                  <w:p>
                    <w:pPr>
                      <w:jc w:val="right"/>
                      <w:rPr>
                        <w:szCs w:val="21"/>
                      </w:rPr>
                    </w:pPr>
                    <w:r>
                      <w:t>52,728,271.10</w:t>
                    </w:r>
                  </w:p>
                </w:tc>
                <w:tc>
                  <w:tcPr>
                    <w:tcW w:w="1267" w:type="pct"/>
                  </w:tcPr>
                  <w:p>
                    <w:pPr>
                      <w:jc w:val="center"/>
                      <w:rPr>
                        <w:szCs w:val="21"/>
                      </w:rPr>
                    </w:pPr>
                    <w:r>
                      <w:t>100.00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69640e16f174d97a13c86bcebc1c4b9"/>
                <w:id w:val="-657926643"/>
                <w:lock w:val="sdtLocked"/>
              </w:sdtPr>
              <w:sdtContent>
                <w:tc>
                  <w:tcPr>
                    <w:tcW w:w="1158" w:type="pct"/>
                    <w:vAlign w:val="center"/>
                  </w:tcPr>
                  <w:p>
                    <w:pPr>
                      <w:jc w:val="center"/>
                      <w:rPr>
                        <w:szCs w:val="21"/>
                      </w:rPr>
                    </w:pPr>
                    <w:r>
                      <w:rPr>
                        <w:rFonts w:hint="eastAsia"/>
                        <w:szCs w:val="21"/>
                      </w:rPr>
                      <w:t>合计</w:t>
                    </w:r>
                  </w:p>
                </w:tc>
              </w:sdtContent>
            </w:sdt>
            <w:tc>
              <w:tcPr>
                <w:tcW w:w="1276" w:type="pct"/>
                <w:vAlign w:val="center"/>
              </w:tcPr>
              <w:p>
                <w:pPr>
                  <w:jc w:val="right"/>
                  <w:rPr>
                    <w:sz w:val="24"/>
                  </w:rPr>
                </w:pPr>
                <w:r>
                  <w:t>562,823,817.15</w:t>
                </w:r>
              </w:p>
            </w:tc>
            <w:tc>
              <w:tcPr>
                <w:tcW w:w="1299" w:type="pct"/>
                <w:vAlign w:val="center"/>
              </w:tcPr>
              <w:p>
                <w:pPr>
                  <w:jc w:val="right"/>
                  <w:rPr>
                    <w:sz w:val="24"/>
                  </w:rPr>
                </w:pPr>
                <w:r>
                  <w:t>73,696,152.71</w:t>
                </w:r>
              </w:p>
            </w:tc>
            <w:tc>
              <w:tcPr>
                <w:tcW w:w="1267" w:type="pct"/>
                <w:vAlign w:val="center"/>
              </w:tcPr>
              <w:p>
                <w:pPr>
                  <w:ind w:firstLine="630" w:firstLineChars="300"/>
                  <w:rPr>
                    <w:sz w:val="24"/>
                  </w:rPr>
                </w:pPr>
                <w:r>
                  <w:t>13.09</w:t>
                </w:r>
              </w:p>
            </w:tc>
          </w:tr>
        </w:tbl>
        <w:p/>
        <w:p>
          <w:pPr>
            <w:rPr>
              <w:szCs w:val="21"/>
            </w:rPr>
          </w:pPr>
          <w:r>
            <w:rPr>
              <w:rFonts w:hint="eastAsia"/>
              <w:szCs w:val="21"/>
            </w:rPr>
            <w:t>按组合计提坏账的确认标准及说明：</w:t>
          </w:r>
        </w:p>
        <w:sdt>
          <w:sdtPr>
            <w:rPr>
              <w:szCs w:val="21"/>
            </w:rPr>
            <w:alias w:val="是否适用：按组合计提坏账准备的应收账款确认标准[双击切换]"/>
            <w:tag w:val="_GBC_d256dc36994548098f599f5c34cca3f5"/>
            <w:id w:val="26651138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149"/>
    <w:sdt>
      <w:sdtPr>
        <w:alias w:val="模块:如按照一般预计信用损失模型计提坏账，请参照其他应收款的披露方式披露"/>
        <w:tag w:val="_SEC_54bb5413eca24d3ab39af65d518cb352"/>
        <w:id w:val="1360015592"/>
        <w:lock w:val="sdtLocked"/>
        <w:placeholder>
          <w:docPart w:val="GBC22222222222222222222222222222"/>
        </w:placeholder>
      </w:sdtPr>
      <w:sdtContent>
        <w:p>
          <w:bookmarkStart w:id="150" w:name="_Hlk534616257"/>
          <w:r>
            <w:rPr>
              <w:rFonts w:hint="eastAsia"/>
            </w:rPr>
            <w:t>如按预期信用损失一般模型计提坏账准备，请参照其他应收款披露：</w:t>
          </w:r>
        </w:p>
        <w:sdt>
          <w:sdtPr>
            <w:alias w:val="是否适用：应收账款按一般预计信用损失模型计提坏账[双击切换]"/>
            <w:tag w:val="_GBC_45e093109b4846789884ca855c80af01"/>
            <w:id w:val="213543931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50"/>
    <w:sdt>
      <w:sdtPr>
        <w:rPr>
          <w:rFonts w:hint="eastAsia" w:ascii="宋体" w:hAnsi="宋体" w:eastAsia="宋体" w:cs="宋体"/>
          <w:b w:val="0"/>
          <w:bCs w:val="0"/>
          <w:kern w:val="0"/>
          <w:szCs w:val="22"/>
        </w:rPr>
        <w:alias w:val="模块:应收账款坏账准备的情况"/>
        <w:tag w:val="_SEC_06b1384525ce4743a061a4c6762d5977"/>
        <w:id w:val="1388604922"/>
        <w:lock w:val="sdtLocked"/>
        <w:placeholder>
          <w:docPart w:val="GBC22222222222222222222222222222"/>
        </w:placeholder>
      </w:sdtPr>
      <w:sdtEndPr>
        <w:rPr>
          <w:rFonts w:hint="default" w:ascii="Calibri" w:hAnsi="Calibri" w:eastAsia="宋体" w:cs="Times New Roman"/>
          <w:b w:val="0"/>
          <w:bCs w:val="0"/>
          <w:kern w:val="2"/>
          <w:szCs w:val="21"/>
        </w:rPr>
      </w:sdtEndPr>
      <w:sdtContent>
        <w:p>
          <w:pPr>
            <w:pStyle w:val="214"/>
            <w:numPr>
              <w:ilvl w:val="3"/>
              <w:numId w:val="79"/>
            </w:numPr>
            <w:ind w:left="426" w:hanging="426"/>
          </w:pPr>
          <w:bookmarkStart w:id="151" w:name="_Hlk532991911"/>
          <w:r>
            <w:rPr>
              <w:rFonts w:hint="eastAsia"/>
            </w:rPr>
            <w:t>坏账准备的情况</w:t>
          </w:r>
        </w:p>
        <w:sdt>
          <w:sdtPr>
            <w:alias w:val="是否适用：应收账款坏账准备[双击切换]"/>
            <w:tag w:val="_GBC_9f417fa21150444abc4efab15ee99d53"/>
            <w:id w:val="-183220985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24"/>
            <w:snapToGrid w:val="0"/>
            <w:spacing w:line="240" w:lineRule="atLeast"/>
            <w:ind w:left="425" w:firstLine="0" w:firstLineChars="0"/>
            <w:jc w:val="right"/>
            <w:rPr>
              <w:szCs w:val="21"/>
            </w:rPr>
          </w:pPr>
          <w:r>
            <w:rPr>
              <w:rFonts w:hint="eastAsia"/>
              <w:szCs w:val="21"/>
            </w:rPr>
            <w:t>单位：</w:t>
          </w:r>
          <w:sdt>
            <w:sdtPr>
              <w:rPr>
                <w:rFonts w:hint="eastAsia"/>
                <w:szCs w:val="21"/>
              </w:rPr>
              <w:alias w:val="单位：应收账款坏账准备"/>
              <w:tag w:val="_GBC_c27d9b760b54449682d5a777e36369c3"/>
              <w:id w:val="-19116843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应收账款坏账准备"/>
              <w:tag w:val="_GBC_0ea3ceddf10d4313a5111e5088ac98cf"/>
              <w:id w:val="-3477875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480" w:type="pct"/>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088"/>
            <w:gridCol w:w="1606"/>
            <w:gridCol w:w="1699"/>
            <w:gridCol w:w="1419"/>
            <w:gridCol w:w="1419"/>
            <w:gridCol w:w="429"/>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8"/>
                  <w:szCs w:val="18"/>
                </w:rPr>
                <w:tag w:val="_PLD_4744c2787819466dad3d228aea9d34a1"/>
                <w:id w:val="-252279533"/>
                <w:lock w:val="sdtLocked"/>
              </w:sdtPr>
              <w:sdtEndPr>
                <w:rPr>
                  <w:sz w:val="18"/>
                  <w:szCs w:val="18"/>
                </w:rPr>
              </w:sdtEndPr>
              <w:sdtContent>
                <w:tc>
                  <w:tcPr>
                    <w:tcW w:w="582" w:type="pct"/>
                    <w:vMerge w:val="restart"/>
                    <w:shd w:val="clear" w:color="auto" w:fill="FFFFFF"/>
                    <w:vAlign w:val="center"/>
                  </w:tcPr>
                  <w:p>
                    <w:pPr>
                      <w:jc w:val="center"/>
                      <w:rPr>
                        <w:sz w:val="18"/>
                        <w:szCs w:val="18"/>
                      </w:rPr>
                    </w:pPr>
                    <w:r>
                      <w:rPr>
                        <w:sz w:val="18"/>
                        <w:szCs w:val="18"/>
                      </w:rPr>
                      <w:t>类别</w:t>
                    </w:r>
                  </w:p>
                </w:tc>
              </w:sdtContent>
            </w:sdt>
            <w:sdt>
              <w:sdtPr>
                <w:rPr>
                  <w:sz w:val="18"/>
                  <w:szCs w:val="18"/>
                </w:rPr>
                <w:tag w:val="_PLD_c730e797b90345869cdb1a0f449d27c4"/>
                <w:id w:val="-1845546470"/>
                <w:lock w:val="sdtLocked"/>
              </w:sdtPr>
              <w:sdtEndPr>
                <w:rPr>
                  <w:sz w:val="18"/>
                  <w:szCs w:val="18"/>
                </w:rPr>
              </w:sdtEndPr>
              <w:sdtContent>
                <w:tc>
                  <w:tcPr>
                    <w:tcW w:w="858" w:type="pct"/>
                    <w:vMerge w:val="restart"/>
                    <w:shd w:val="clear" w:color="auto" w:fill="FFFFFF"/>
                    <w:vAlign w:val="center"/>
                  </w:tcPr>
                  <w:p>
                    <w:pPr>
                      <w:jc w:val="center"/>
                      <w:rPr>
                        <w:sz w:val="18"/>
                        <w:szCs w:val="18"/>
                      </w:rPr>
                    </w:pPr>
                    <w:r>
                      <w:rPr>
                        <w:sz w:val="18"/>
                        <w:szCs w:val="18"/>
                      </w:rPr>
                      <w:t>期初余额</w:t>
                    </w:r>
                  </w:p>
                </w:tc>
              </w:sdtContent>
            </w:sdt>
            <w:sdt>
              <w:sdtPr>
                <w:rPr>
                  <w:sz w:val="18"/>
                  <w:szCs w:val="18"/>
                </w:rPr>
                <w:tag w:val="_PLD_b648ee5a72ff43aabfa5e5467354f612"/>
                <w:id w:val="1708370881"/>
                <w:lock w:val="sdtLocked"/>
              </w:sdtPr>
              <w:sdtEndPr>
                <w:rPr>
                  <w:sz w:val="18"/>
                  <w:szCs w:val="18"/>
                </w:rPr>
              </w:sdtEndPr>
              <w:sdtContent>
                <w:tc>
                  <w:tcPr>
                    <w:tcW w:w="2653" w:type="pct"/>
                    <w:gridSpan w:val="4"/>
                    <w:shd w:val="clear" w:color="auto" w:fill="FFFFFF"/>
                    <w:vAlign w:val="center"/>
                  </w:tcPr>
                  <w:p>
                    <w:pPr>
                      <w:jc w:val="center"/>
                      <w:rPr>
                        <w:sz w:val="18"/>
                        <w:szCs w:val="18"/>
                      </w:rPr>
                    </w:pPr>
                    <w:r>
                      <w:rPr>
                        <w:rFonts w:hint="eastAsia"/>
                        <w:sz w:val="18"/>
                        <w:szCs w:val="18"/>
                      </w:rPr>
                      <w:t>本期变动</w:t>
                    </w:r>
                    <w:r>
                      <w:rPr>
                        <w:sz w:val="18"/>
                        <w:szCs w:val="18"/>
                      </w:rPr>
                      <w:t>金额</w:t>
                    </w:r>
                  </w:p>
                </w:tc>
              </w:sdtContent>
            </w:sdt>
            <w:sdt>
              <w:sdtPr>
                <w:rPr>
                  <w:sz w:val="18"/>
                  <w:szCs w:val="18"/>
                </w:rPr>
                <w:tag w:val="_PLD_670842119a0446778c0343318379e7bb"/>
                <w:id w:val="1812822665"/>
                <w:lock w:val="sdtLocked"/>
              </w:sdtPr>
              <w:sdtEndPr>
                <w:rPr>
                  <w:sz w:val="18"/>
                  <w:szCs w:val="18"/>
                </w:rPr>
              </w:sdtEndPr>
              <w:sdtContent>
                <w:tc>
                  <w:tcPr>
                    <w:tcW w:w="907" w:type="pct"/>
                    <w:vMerge w:val="restart"/>
                    <w:shd w:val="clear" w:color="auto" w:fill="FFFFFF"/>
                    <w:vAlign w:val="center"/>
                  </w:tcPr>
                  <w:p>
                    <w:pPr>
                      <w:jc w:val="center"/>
                      <w:rPr>
                        <w:sz w:val="18"/>
                        <w:szCs w:val="18"/>
                      </w:rPr>
                    </w:pPr>
                    <w:r>
                      <w:rPr>
                        <w:sz w:val="18"/>
                        <w:szCs w:val="18"/>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82" w:type="pct"/>
                <w:vMerge w:val="continue"/>
                <w:shd w:val="clear" w:color="auto" w:fill="FFFFFF"/>
              </w:tcPr>
              <w:p>
                <w:pPr>
                  <w:jc w:val="center"/>
                  <w:rPr>
                    <w:sz w:val="18"/>
                    <w:szCs w:val="18"/>
                  </w:rPr>
                </w:pPr>
              </w:p>
            </w:tc>
            <w:tc>
              <w:tcPr>
                <w:tcW w:w="858" w:type="pct"/>
                <w:vMerge w:val="continue"/>
                <w:shd w:val="clear" w:color="auto" w:fill="FFFFFF"/>
              </w:tcPr>
              <w:p>
                <w:pPr>
                  <w:jc w:val="center"/>
                  <w:rPr>
                    <w:sz w:val="18"/>
                    <w:szCs w:val="18"/>
                  </w:rPr>
                </w:pPr>
              </w:p>
            </w:tc>
            <w:sdt>
              <w:sdtPr>
                <w:rPr>
                  <w:sz w:val="18"/>
                  <w:szCs w:val="18"/>
                </w:rPr>
                <w:tag w:val="_PLD_9f89b7b6eb974ea9b6438eecb96ab8d7"/>
                <w:id w:val="899714020"/>
                <w:lock w:val="sdtLocked"/>
              </w:sdtPr>
              <w:sdtEndPr>
                <w:rPr>
                  <w:sz w:val="18"/>
                  <w:szCs w:val="18"/>
                </w:rPr>
              </w:sdtEndPr>
              <w:sdtContent>
                <w:tc>
                  <w:tcPr>
                    <w:tcW w:w="908" w:type="pct"/>
                    <w:shd w:val="clear" w:color="auto" w:fill="FFFFFF"/>
                    <w:vAlign w:val="center"/>
                  </w:tcPr>
                  <w:p>
                    <w:pPr>
                      <w:jc w:val="center"/>
                      <w:rPr>
                        <w:sz w:val="18"/>
                        <w:szCs w:val="18"/>
                      </w:rPr>
                    </w:pPr>
                    <w:r>
                      <w:rPr>
                        <w:sz w:val="18"/>
                        <w:szCs w:val="18"/>
                      </w:rPr>
                      <w:t>计提</w:t>
                    </w:r>
                  </w:p>
                </w:tc>
              </w:sdtContent>
            </w:sdt>
            <w:sdt>
              <w:sdtPr>
                <w:rPr>
                  <w:sz w:val="18"/>
                  <w:szCs w:val="18"/>
                </w:rPr>
                <w:tag w:val="_PLD_d83025520e1c49cb905bac81a5fe67a9"/>
                <w:id w:val="-35275681"/>
                <w:lock w:val="sdtLocked"/>
              </w:sdtPr>
              <w:sdtEndPr>
                <w:rPr>
                  <w:sz w:val="18"/>
                  <w:szCs w:val="18"/>
                </w:rPr>
              </w:sdtEndPr>
              <w:sdtContent>
                <w:tc>
                  <w:tcPr>
                    <w:tcW w:w="758" w:type="pct"/>
                    <w:shd w:val="clear" w:color="auto" w:fill="FFFFFF"/>
                    <w:vAlign w:val="center"/>
                  </w:tcPr>
                  <w:p>
                    <w:pPr>
                      <w:jc w:val="center"/>
                      <w:rPr>
                        <w:sz w:val="18"/>
                        <w:szCs w:val="18"/>
                      </w:rPr>
                    </w:pPr>
                    <w:r>
                      <w:rPr>
                        <w:rFonts w:hint="eastAsia"/>
                        <w:sz w:val="18"/>
                        <w:szCs w:val="18"/>
                      </w:rPr>
                      <w:t>收回或转回</w:t>
                    </w:r>
                  </w:p>
                </w:tc>
              </w:sdtContent>
            </w:sdt>
            <w:tc>
              <w:tcPr>
                <w:tcW w:w="758" w:type="pct"/>
                <w:shd w:val="clear" w:color="auto" w:fill="FFFFFF"/>
                <w:vAlign w:val="center"/>
              </w:tcPr>
              <w:sdt>
                <w:sdtPr>
                  <w:rPr>
                    <w:rFonts w:hint="eastAsia"/>
                    <w:sz w:val="18"/>
                    <w:szCs w:val="18"/>
                  </w:rPr>
                  <w:tag w:val="_PLD_43341cdf094c434589f9f5a4eeb8fb4a"/>
                  <w:id w:val="-7612756"/>
                  <w:lock w:val="sdtLocked"/>
                </w:sdtPr>
                <w:sdtEndPr>
                  <w:rPr>
                    <w:rFonts w:hint="eastAsia"/>
                    <w:sz w:val="18"/>
                    <w:szCs w:val="18"/>
                  </w:rPr>
                </w:sdtEndPr>
                <w:sdtContent>
                  <w:p>
                    <w:pPr>
                      <w:jc w:val="center"/>
                      <w:rPr>
                        <w:sz w:val="18"/>
                        <w:szCs w:val="18"/>
                      </w:rPr>
                    </w:pPr>
                    <w:r>
                      <w:rPr>
                        <w:rFonts w:hint="eastAsia"/>
                        <w:sz w:val="18"/>
                        <w:szCs w:val="18"/>
                      </w:rPr>
                      <w:t>转销或核销</w:t>
                    </w:r>
                  </w:p>
                </w:sdtContent>
              </w:sdt>
            </w:tc>
            <w:tc>
              <w:tcPr>
                <w:tcW w:w="228" w:type="pct"/>
                <w:shd w:val="clear" w:color="auto" w:fill="FFFFFF"/>
                <w:vAlign w:val="center"/>
              </w:tcPr>
              <w:sdt>
                <w:sdtPr>
                  <w:rPr>
                    <w:rFonts w:hint="eastAsia"/>
                    <w:sz w:val="18"/>
                    <w:szCs w:val="18"/>
                  </w:rPr>
                  <w:tag w:val="_PLD_4105509cd7cf412981897dd91879a014"/>
                  <w:id w:val="-595946228"/>
                  <w:lock w:val="sdtLocked"/>
                </w:sdtPr>
                <w:sdtEndPr>
                  <w:rPr>
                    <w:rFonts w:hint="eastAsia"/>
                    <w:sz w:val="18"/>
                    <w:szCs w:val="18"/>
                  </w:rPr>
                </w:sdtEndPr>
                <w:sdtContent>
                  <w:p>
                    <w:pPr>
                      <w:jc w:val="center"/>
                      <w:rPr>
                        <w:sz w:val="18"/>
                        <w:szCs w:val="18"/>
                      </w:rPr>
                    </w:pPr>
                    <w:r>
                      <w:rPr>
                        <w:rFonts w:hint="eastAsia"/>
                        <w:sz w:val="18"/>
                        <w:szCs w:val="18"/>
                      </w:rPr>
                      <w:t>其他变动</w:t>
                    </w:r>
                  </w:p>
                </w:sdtContent>
              </w:sdt>
            </w:tc>
            <w:tc>
              <w:tcPr>
                <w:tcW w:w="907" w:type="pct"/>
                <w:vMerge w:val="continue"/>
                <w:shd w:val="clear" w:color="auto" w:fill="FFFFFF"/>
              </w:tcPr>
              <w:p>
                <w:pPr>
                  <w:jc w:val="right"/>
                  <w:rPr>
                    <w:sz w:val="18"/>
                    <w:szCs w:val="18"/>
                  </w:rPr>
                </w:pPr>
              </w:p>
            </w:tc>
          </w:tr>
          <w:sdt>
            <w:sdtPr>
              <w:rPr>
                <w:sz w:val="18"/>
                <w:szCs w:val="18"/>
              </w:rPr>
              <w:alias w:val="应收账款坏账准备明细"/>
              <w:tag w:val="_TUP_4d2ca40f09c3444db0881ad461ba816f"/>
              <w:id w:val="1607379255"/>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82" w:type="pct"/>
                    <w:shd w:val="clear" w:color="auto" w:fill="auto"/>
                  </w:tcPr>
                  <w:p>
                    <w:pPr>
                      <w:rPr>
                        <w:sz w:val="18"/>
                        <w:szCs w:val="18"/>
                      </w:rPr>
                    </w:pPr>
                    <w:r>
                      <w:rPr>
                        <w:sz w:val="18"/>
                        <w:szCs w:val="18"/>
                      </w:rPr>
                      <w:t>单项计提预期信用损失的应收账款</w:t>
                    </w:r>
                  </w:p>
                </w:tc>
                <w:tc>
                  <w:tcPr>
                    <w:tcW w:w="858" w:type="pct"/>
                    <w:shd w:val="clear" w:color="auto" w:fill="auto"/>
                    <w:vAlign w:val="center"/>
                  </w:tcPr>
                  <w:p>
                    <w:pPr>
                      <w:jc w:val="right"/>
                      <w:rPr>
                        <w:sz w:val="18"/>
                        <w:szCs w:val="18"/>
                      </w:rPr>
                    </w:pPr>
                    <w:r>
                      <w:rPr>
                        <w:sz w:val="18"/>
                        <w:szCs w:val="18"/>
                      </w:rPr>
                      <w:t>728,910,655.24</w:t>
                    </w:r>
                  </w:p>
                </w:tc>
                <w:tc>
                  <w:tcPr>
                    <w:tcW w:w="908" w:type="pct"/>
                    <w:shd w:val="clear" w:color="auto" w:fill="auto"/>
                    <w:vAlign w:val="center"/>
                  </w:tcPr>
                  <w:p>
                    <w:pPr>
                      <w:jc w:val="right"/>
                      <w:rPr>
                        <w:sz w:val="18"/>
                        <w:szCs w:val="18"/>
                      </w:rPr>
                    </w:pPr>
                    <w:r>
                      <w:rPr>
                        <w:sz w:val="18"/>
                        <w:szCs w:val="18"/>
                      </w:rPr>
                      <w:t>-3,429,633.65</w:t>
                    </w:r>
                  </w:p>
                </w:tc>
                <w:tc>
                  <w:tcPr>
                    <w:tcW w:w="758" w:type="pct"/>
                    <w:shd w:val="clear" w:color="auto" w:fill="auto"/>
                    <w:vAlign w:val="center"/>
                  </w:tcPr>
                  <w:p>
                    <w:pPr>
                      <w:jc w:val="right"/>
                      <w:rPr>
                        <w:sz w:val="18"/>
                        <w:szCs w:val="18"/>
                      </w:rPr>
                    </w:pPr>
                  </w:p>
                </w:tc>
                <w:tc>
                  <w:tcPr>
                    <w:tcW w:w="758" w:type="pct"/>
                    <w:vAlign w:val="center"/>
                  </w:tcPr>
                  <w:p>
                    <w:pPr>
                      <w:jc w:val="right"/>
                      <w:rPr>
                        <w:sz w:val="18"/>
                        <w:szCs w:val="18"/>
                      </w:rPr>
                    </w:pPr>
                    <w:r>
                      <w:rPr>
                        <w:sz w:val="18"/>
                        <w:szCs w:val="18"/>
                      </w:rPr>
                      <w:t>2,799,343.10</w:t>
                    </w:r>
                  </w:p>
                </w:tc>
                <w:tc>
                  <w:tcPr>
                    <w:tcW w:w="228" w:type="pct"/>
                    <w:vAlign w:val="center"/>
                  </w:tcPr>
                  <w:p>
                    <w:pPr>
                      <w:jc w:val="right"/>
                      <w:rPr>
                        <w:sz w:val="18"/>
                        <w:szCs w:val="18"/>
                      </w:rPr>
                    </w:pPr>
                  </w:p>
                </w:tc>
                <w:tc>
                  <w:tcPr>
                    <w:tcW w:w="907" w:type="pct"/>
                    <w:shd w:val="clear" w:color="auto" w:fill="auto"/>
                    <w:vAlign w:val="center"/>
                  </w:tcPr>
                  <w:p>
                    <w:pPr>
                      <w:jc w:val="right"/>
                      <w:rPr>
                        <w:sz w:val="18"/>
                        <w:szCs w:val="18"/>
                      </w:rPr>
                    </w:pPr>
                    <w:r>
                      <w:rPr>
                        <w:sz w:val="18"/>
                        <w:szCs w:val="18"/>
                      </w:rPr>
                      <w:t>722,681,678.49</w:t>
                    </w:r>
                  </w:p>
                </w:tc>
              </w:tr>
            </w:sdtContent>
          </w:sdt>
          <w:sdt>
            <w:sdtPr>
              <w:rPr>
                <w:sz w:val="18"/>
                <w:szCs w:val="18"/>
              </w:rPr>
              <w:alias w:val="应收账款坏账准备明细"/>
              <w:tag w:val="_TUP_4d2ca40f09c3444db0881ad461ba816f"/>
              <w:id w:val="166142148"/>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82" w:type="pct"/>
                    <w:shd w:val="clear" w:color="auto" w:fill="auto"/>
                  </w:tcPr>
                  <w:p>
                    <w:pPr>
                      <w:rPr>
                        <w:sz w:val="18"/>
                        <w:szCs w:val="18"/>
                      </w:rPr>
                    </w:pPr>
                    <w:r>
                      <w:rPr>
                        <w:sz w:val="18"/>
                        <w:szCs w:val="18"/>
                      </w:rPr>
                      <w:t>按组合计提预期信用损失的应收账款</w:t>
                    </w:r>
                  </w:p>
                </w:tc>
                <w:tc>
                  <w:tcPr>
                    <w:tcW w:w="858" w:type="pct"/>
                    <w:shd w:val="clear" w:color="auto" w:fill="auto"/>
                    <w:vAlign w:val="center"/>
                  </w:tcPr>
                  <w:p>
                    <w:pPr>
                      <w:jc w:val="right"/>
                      <w:rPr>
                        <w:sz w:val="18"/>
                        <w:szCs w:val="18"/>
                      </w:rPr>
                    </w:pPr>
                    <w:r>
                      <w:rPr>
                        <w:sz w:val="18"/>
                        <w:szCs w:val="18"/>
                      </w:rPr>
                      <w:t>70,328,305.86</w:t>
                    </w:r>
                  </w:p>
                </w:tc>
                <w:tc>
                  <w:tcPr>
                    <w:tcW w:w="908" w:type="pct"/>
                    <w:shd w:val="clear" w:color="auto" w:fill="auto"/>
                    <w:vAlign w:val="center"/>
                  </w:tcPr>
                  <w:p>
                    <w:pPr>
                      <w:jc w:val="right"/>
                      <w:rPr>
                        <w:sz w:val="18"/>
                        <w:szCs w:val="18"/>
                      </w:rPr>
                    </w:pPr>
                    <w:r>
                      <w:rPr>
                        <w:sz w:val="18"/>
                        <w:szCs w:val="18"/>
                      </w:rPr>
                      <w:t>-6,625,160.94</w:t>
                    </w:r>
                  </w:p>
                </w:tc>
                <w:tc>
                  <w:tcPr>
                    <w:tcW w:w="758" w:type="pct"/>
                    <w:shd w:val="clear" w:color="auto" w:fill="auto"/>
                    <w:vAlign w:val="center"/>
                  </w:tcPr>
                  <w:p>
                    <w:pPr>
                      <w:jc w:val="right"/>
                      <w:rPr>
                        <w:sz w:val="18"/>
                        <w:szCs w:val="18"/>
                      </w:rPr>
                    </w:pPr>
                    <w:r>
                      <w:rPr>
                        <w:sz w:val="18"/>
                        <w:szCs w:val="18"/>
                      </w:rPr>
                      <w:t>10,000,495.97</w:t>
                    </w:r>
                  </w:p>
                </w:tc>
                <w:tc>
                  <w:tcPr>
                    <w:tcW w:w="758" w:type="pct"/>
                    <w:vAlign w:val="center"/>
                  </w:tcPr>
                  <w:p>
                    <w:pPr>
                      <w:jc w:val="right"/>
                      <w:rPr>
                        <w:sz w:val="18"/>
                        <w:szCs w:val="18"/>
                      </w:rPr>
                    </w:pPr>
                    <w:r>
                      <w:rPr>
                        <w:sz w:val="18"/>
                        <w:szCs w:val="18"/>
                      </w:rPr>
                      <w:t>7,488.18</w:t>
                    </w:r>
                  </w:p>
                </w:tc>
                <w:tc>
                  <w:tcPr>
                    <w:tcW w:w="228" w:type="pct"/>
                    <w:vAlign w:val="center"/>
                  </w:tcPr>
                  <w:p>
                    <w:pPr>
                      <w:jc w:val="right"/>
                      <w:rPr>
                        <w:sz w:val="18"/>
                        <w:szCs w:val="18"/>
                      </w:rPr>
                    </w:pPr>
                  </w:p>
                </w:tc>
                <w:tc>
                  <w:tcPr>
                    <w:tcW w:w="907" w:type="pct"/>
                    <w:shd w:val="clear" w:color="auto" w:fill="auto"/>
                    <w:vAlign w:val="center"/>
                  </w:tcPr>
                  <w:p>
                    <w:pPr>
                      <w:jc w:val="right"/>
                      <w:rPr>
                        <w:sz w:val="18"/>
                        <w:szCs w:val="18"/>
                      </w:rPr>
                    </w:pPr>
                    <w:r>
                      <w:rPr>
                        <w:sz w:val="18"/>
                        <w:szCs w:val="18"/>
                      </w:rPr>
                      <w:t>73,696,152.71</w:t>
                    </w:r>
                  </w:p>
                </w:tc>
              </w:tr>
            </w:sdtContent>
          </w:sdt>
          <w:sdt>
            <w:sdtPr>
              <w:rPr>
                <w:sz w:val="18"/>
                <w:szCs w:val="18"/>
              </w:rPr>
              <w:alias w:val="应收账款坏账准备明细"/>
              <w:tag w:val="_TUP_4d2ca40f09c3444db0881ad461ba816f"/>
              <w:id w:val="146561911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582" w:type="pct"/>
                    <w:shd w:val="clear" w:color="auto" w:fill="auto"/>
                  </w:tcPr>
                  <w:p>
                    <w:pPr>
                      <w:rPr>
                        <w:sz w:val="18"/>
                        <w:szCs w:val="18"/>
                      </w:rPr>
                    </w:pPr>
                    <w:r>
                      <w:rPr>
                        <w:sz w:val="18"/>
                        <w:szCs w:val="18"/>
                      </w:rPr>
                      <w:t>其中：账龄组合</w:t>
                    </w:r>
                  </w:p>
                </w:tc>
                <w:tc>
                  <w:tcPr>
                    <w:tcW w:w="858" w:type="pct"/>
                    <w:shd w:val="clear" w:color="auto" w:fill="auto"/>
                    <w:vAlign w:val="center"/>
                  </w:tcPr>
                  <w:p>
                    <w:pPr>
                      <w:jc w:val="right"/>
                      <w:rPr>
                        <w:sz w:val="18"/>
                        <w:szCs w:val="18"/>
                      </w:rPr>
                    </w:pPr>
                    <w:r>
                      <w:rPr>
                        <w:sz w:val="18"/>
                        <w:szCs w:val="18"/>
                      </w:rPr>
                      <w:t>70,328,305.86</w:t>
                    </w:r>
                  </w:p>
                </w:tc>
                <w:tc>
                  <w:tcPr>
                    <w:tcW w:w="908" w:type="pct"/>
                    <w:shd w:val="clear" w:color="auto" w:fill="auto"/>
                    <w:vAlign w:val="center"/>
                  </w:tcPr>
                  <w:p>
                    <w:pPr>
                      <w:jc w:val="right"/>
                      <w:rPr>
                        <w:sz w:val="18"/>
                        <w:szCs w:val="18"/>
                      </w:rPr>
                    </w:pPr>
                    <w:r>
                      <w:rPr>
                        <w:sz w:val="18"/>
                        <w:szCs w:val="18"/>
                      </w:rPr>
                      <w:t>-6,625,160.94</w:t>
                    </w:r>
                  </w:p>
                </w:tc>
                <w:tc>
                  <w:tcPr>
                    <w:tcW w:w="758" w:type="pct"/>
                    <w:shd w:val="clear" w:color="auto" w:fill="auto"/>
                    <w:vAlign w:val="center"/>
                  </w:tcPr>
                  <w:p>
                    <w:pPr>
                      <w:jc w:val="right"/>
                      <w:rPr>
                        <w:sz w:val="18"/>
                        <w:szCs w:val="18"/>
                      </w:rPr>
                    </w:pPr>
                    <w:r>
                      <w:rPr>
                        <w:sz w:val="18"/>
                        <w:szCs w:val="18"/>
                      </w:rPr>
                      <w:t>10,000,495.97</w:t>
                    </w:r>
                  </w:p>
                </w:tc>
                <w:tc>
                  <w:tcPr>
                    <w:tcW w:w="758" w:type="pct"/>
                    <w:vAlign w:val="center"/>
                  </w:tcPr>
                  <w:p>
                    <w:pPr>
                      <w:jc w:val="right"/>
                      <w:rPr>
                        <w:sz w:val="18"/>
                        <w:szCs w:val="18"/>
                      </w:rPr>
                    </w:pPr>
                    <w:r>
                      <w:rPr>
                        <w:sz w:val="18"/>
                        <w:szCs w:val="18"/>
                      </w:rPr>
                      <w:t>7,488.18</w:t>
                    </w:r>
                  </w:p>
                </w:tc>
                <w:tc>
                  <w:tcPr>
                    <w:tcW w:w="228" w:type="pct"/>
                    <w:vAlign w:val="center"/>
                  </w:tcPr>
                  <w:p>
                    <w:pPr>
                      <w:jc w:val="right"/>
                      <w:rPr>
                        <w:sz w:val="18"/>
                        <w:szCs w:val="18"/>
                      </w:rPr>
                    </w:pPr>
                  </w:p>
                </w:tc>
                <w:tc>
                  <w:tcPr>
                    <w:tcW w:w="907" w:type="pct"/>
                    <w:shd w:val="clear" w:color="auto" w:fill="auto"/>
                    <w:vAlign w:val="center"/>
                  </w:tcPr>
                  <w:p>
                    <w:pPr>
                      <w:jc w:val="right"/>
                      <w:rPr>
                        <w:sz w:val="18"/>
                        <w:szCs w:val="18"/>
                      </w:rPr>
                    </w:pPr>
                    <w:r>
                      <w:rPr>
                        <w:sz w:val="18"/>
                        <w:szCs w:val="18"/>
                      </w:rPr>
                      <w:t>73,696,152.71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8"/>
                  <w:szCs w:val="18"/>
                </w:rPr>
                <w:tag w:val="_PLD_9caf6a7eb01942a3a4ce4362ff8d2240"/>
                <w:id w:val="2057811448"/>
                <w:lock w:val="sdtLocked"/>
              </w:sdtPr>
              <w:sdtEndPr>
                <w:rPr>
                  <w:sz w:val="18"/>
                  <w:szCs w:val="18"/>
                </w:rPr>
              </w:sdtEndPr>
              <w:sdtContent>
                <w:tc>
                  <w:tcPr>
                    <w:tcW w:w="582" w:type="pct"/>
                    <w:shd w:val="clear" w:color="auto" w:fill="auto"/>
                  </w:tcPr>
                  <w:p>
                    <w:pPr>
                      <w:jc w:val="center"/>
                      <w:rPr>
                        <w:sz w:val="18"/>
                        <w:szCs w:val="18"/>
                      </w:rPr>
                    </w:pPr>
                    <w:r>
                      <w:rPr>
                        <w:rFonts w:hint="eastAsia"/>
                        <w:sz w:val="18"/>
                        <w:szCs w:val="18"/>
                      </w:rPr>
                      <w:t>合计</w:t>
                    </w:r>
                  </w:p>
                </w:tc>
              </w:sdtContent>
            </w:sdt>
            <w:tc>
              <w:tcPr>
                <w:tcW w:w="858" w:type="pct"/>
                <w:shd w:val="clear" w:color="auto" w:fill="auto"/>
                <w:vAlign w:val="center"/>
              </w:tcPr>
              <w:p>
                <w:pPr>
                  <w:jc w:val="right"/>
                  <w:rPr>
                    <w:sz w:val="18"/>
                    <w:szCs w:val="18"/>
                  </w:rPr>
                </w:pPr>
                <w:r>
                  <w:rPr>
                    <w:sz w:val="18"/>
                    <w:szCs w:val="18"/>
                  </w:rPr>
                  <w:t>799,238,961.10</w:t>
                </w:r>
              </w:p>
            </w:tc>
            <w:tc>
              <w:tcPr>
                <w:tcW w:w="908" w:type="pct"/>
                <w:shd w:val="clear" w:color="auto" w:fill="auto"/>
                <w:vAlign w:val="center"/>
              </w:tcPr>
              <w:p>
                <w:pPr>
                  <w:jc w:val="right"/>
                  <w:rPr>
                    <w:sz w:val="18"/>
                    <w:szCs w:val="18"/>
                  </w:rPr>
                </w:pPr>
                <w:r>
                  <w:rPr>
                    <w:sz w:val="18"/>
                    <w:szCs w:val="18"/>
                  </w:rPr>
                  <w:t>-10,054,794.59</w:t>
                </w:r>
              </w:p>
            </w:tc>
            <w:tc>
              <w:tcPr>
                <w:tcW w:w="758" w:type="pct"/>
                <w:shd w:val="clear" w:color="auto" w:fill="auto"/>
                <w:vAlign w:val="center"/>
              </w:tcPr>
              <w:p>
                <w:pPr>
                  <w:jc w:val="right"/>
                  <w:rPr>
                    <w:sz w:val="18"/>
                    <w:szCs w:val="18"/>
                  </w:rPr>
                </w:pPr>
                <w:r>
                  <w:rPr>
                    <w:sz w:val="18"/>
                    <w:szCs w:val="18"/>
                  </w:rPr>
                  <w:t>10,000,495.97</w:t>
                </w:r>
              </w:p>
            </w:tc>
            <w:tc>
              <w:tcPr>
                <w:tcW w:w="758" w:type="pct"/>
                <w:vAlign w:val="center"/>
              </w:tcPr>
              <w:p>
                <w:pPr>
                  <w:jc w:val="right"/>
                  <w:rPr>
                    <w:sz w:val="18"/>
                    <w:szCs w:val="18"/>
                  </w:rPr>
                </w:pPr>
                <w:r>
                  <w:rPr>
                    <w:sz w:val="18"/>
                    <w:szCs w:val="18"/>
                  </w:rPr>
                  <w:t>2,806,831.28</w:t>
                </w:r>
              </w:p>
            </w:tc>
            <w:tc>
              <w:tcPr>
                <w:tcW w:w="228" w:type="pct"/>
                <w:vAlign w:val="center"/>
              </w:tcPr>
              <w:p>
                <w:pPr>
                  <w:jc w:val="right"/>
                  <w:rPr>
                    <w:sz w:val="18"/>
                    <w:szCs w:val="18"/>
                  </w:rPr>
                </w:pPr>
              </w:p>
            </w:tc>
            <w:tc>
              <w:tcPr>
                <w:tcW w:w="907" w:type="pct"/>
                <w:shd w:val="clear" w:color="auto" w:fill="auto"/>
                <w:vAlign w:val="center"/>
              </w:tcPr>
              <w:p>
                <w:pPr>
                  <w:jc w:val="right"/>
                  <w:rPr>
                    <w:sz w:val="18"/>
                    <w:szCs w:val="18"/>
                  </w:rPr>
                </w:pPr>
                <w:r>
                  <w:rPr>
                    <w:sz w:val="18"/>
                    <w:szCs w:val="18"/>
                  </w:rPr>
                  <w:t>796,377,831.20</w:t>
                </w:r>
              </w:p>
            </w:tc>
          </w:tr>
        </w:tbl>
        <w:p>
          <w:pPr>
            <w:pStyle w:val="250"/>
          </w:pPr>
        </w:p>
      </w:sdtContent>
    </w:sdt>
    <w:bookmarkEnd w:id="151"/>
    <w:sdt>
      <w:sdtPr>
        <w:rPr>
          <w:rFonts w:asciiTheme="minorHAnsi" w:hAnsiTheme="minorHAnsi"/>
          <w:b/>
          <w:bCs/>
          <w:szCs w:val="22"/>
        </w:rPr>
        <w:alias w:val="模块:本期坏账准备收回或转回金额重要的"/>
        <w:tag w:val="_SEC_3a74ab07636f4f7aaaa3aefe56fdcd36"/>
        <w:id w:val="1564837269"/>
        <w:lock w:val="sdtLocked"/>
        <w:placeholder>
          <w:docPart w:val="GBC22222222222222222222222222222"/>
        </w:placeholder>
      </w:sdtPr>
      <w:sdtEndPr>
        <w:rPr>
          <w:rFonts w:ascii="Times New Roman" w:hAnsi="Times New Roman" w:cs="Times New Roman"/>
          <w:b w:val="0"/>
          <w:bCs w:val="0"/>
          <w:kern w:val="2"/>
          <w:szCs w:val="24"/>
        </w:rPr>
      </w:sdtEndPr>
      <w:sdtContent>
        <w:p>
          <w:r>
            <w:rPr>
              <w:rFonts w:hint="eastAsia"/>
            </w:rPr>
            <w:t>其中本期坏账准备收回或转回金额重要的：</w:t>
          </w:r>
        </w:p>
        <w:sdt>
          <w:sdtPr>
            <w:alias w:val="是否适用：其中本期坏账准备收回或转回金额重要的[双击切换]"/>
            <w:tag w:val="_GBC_6da74212535e450f9d1465f00dddd00b"/>
            <w:id w:val="161400731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highlight w:val="yellow"/>
            </w:rPr>
          </w:pPr>
          <w:r>
            <w:rPr>
              <w:rFonts w:hint="eastAsia"/>
              <w:szCs w:val="21"/>
            </w:rPr>
            <w:t>单位：</w:t>
          </w:r>
          <w:sdt>
            <w:sdtPr>
              <w:rPr>
                <w:rFonts w:hint="eastAsia"/>
                <w:szCs w:val="21"/>
              </w:rPr>
              <w:alias w:val="单位：本期转回或收回情况"/>
              <w:tag w:val="_GBC_d588682760704c0f914665020e456f9b"/>
              <w:id w:val="-1533332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本期转回或收回情况"/>
              <w:tag w:val="_GBC_0588275b11e047d4acf6f4fdf22f587d"/>
              <w:id w:val="-2013606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2210"/>
            <w:gridCol w:w="3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c3fcb90eaea4da4aed0cb4c8e82e51b"/>
                <w:id w:val="-1881704683"/>
                <w:lock w:val="sdtLocked"/>
              </w:sdtPr>
              <w:sdtContent>
                <w:tc>
                  <w:tcPr>
                    <w:tcW w:w="1809" w:type="pct"/>
                    <w:vAlign w:val="center"/>
                  </w:tcPr>
                  <w:p>
                    <w:pPr>
                      <w:jc w:val="center"/>
                      <w:rPr>
                        <w:szCs w:val="21"/>
                      </w:rPr>
                    </w:pPr>
                    <w:r>
                      <w:rPr>
                        <w:rFonts w:hint="eastAsia"/>
                        <w:szCs w:val="21"/>
                      </w:rPr>
                      <w:t>单位名称</w:t>
                    </w:r>
                  </w:p>
                </w:tc>
              </w:sdtContent>
            </w:sdt>
            <w:sdt>
              <w:sdtPr>
                <w:tag w:val="_PLD_8e81b94af6544906a6a1ac7a3035f951"/>
                <w:id w:val="-1223366694"/>
                <w:lock w:val="sdtLocked"/>
              </w:sdtPr>
              <w:sdtContent>
                <w:tc>
                  <w:tcPr>
                    <w:tcW w:w="1296" w:type="pct"/>
                    <w:vAlign w:val="center"/>
                  </w:tcPr>
                  <w:p>
                    <w:pPr>
                      <w:jc w:val="center"/>
                      <w:rPr>
                        <w:szCs w:val="21"/>
                      </w:rPr>
                    </w:pPr>
                    <w:r>
                      <w:rPr>
                        <w:rFonts w:hint="eastAsia"/>
                        <w:szCs w:val="21"/>
                      </w:rPr>
                      <w:t>收回或转回金额</w:t>
                    </w:r>
                  </w:p>
                </w:tc>
              </w:sdtContent>
            </w:sdt>
            <w:sdt>
              <w:sdtPr>
                <w:tag w:val="_PLD_07d37e8b445546679009ed599f886725"/>
                <w:id w:val="-55237281"/>
                <w:lock w:val="sdtLocked"/>
              </w:sdtPr>
              <w:sdtContent>
                <w:tc>
                  <w:tcPr>
                    <w:tcW w:w="1895" w:type="pct"/>
                    <w:vAlign w:val="center"/>
                  </w:tcPr>
                  <w:p>
                    <w:pPr>
                      <w:jc w:val="center"/>
                      <w:rPr>
                        <w:szCs w:val="21"/>
                      </w:rPr>
                    </w:pPr>
                    <w:r>
                      <w:rPr>
                        <w:rFonts w:hint="eastAsia"/>
                        <w:szCs w:val="21"/>
                      </w:rPr>
                      <w:t>收回方式</w:t>
                    </w:r>
                  </w:p>
                </w:tc>
              </w:sdtContent>
            </w:sdt>
          </w:tr>
          <w:sdt>
            <w:sdtPr>
              <w:rPr>
                <w:szCs w:val="21"/>
              </w:rPr>
              <w:alias w:val="转回或收回的应收账款明细"/>
              <w:tag w:val="_TUP_ded9f80fa2244157a7d7c517bbc85ff9"/>
              <w:id w:val="12150200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Pr>
                  <w:p>
                    <w:pPr>
                      <w:jc w:val="center"/>
                      <w:rPr>
                        <w:szCs w:val="21"/>
                      </w:rPr>
                    </w:pPr>
                    <w:r>
                      <w:rPr>
                        <w:rFonts w:hint="eastAsia"/>
                      </w:rPr>
                      <w:t>客户一</w:t>
                    </w:r>
                  </w:p>
                </w:tc>
                <w:tc>
                  <w:tcPr>
                    <w:tcW w:w="1296" w:type="pct"/>
                  </w:tcPr>
                  <w:p>
                    <w:pPr>
                      <w:jc w:val="right"/>
                      <w:rPr>
                        <w:szCs w:val="21"/>
                      </w:rPr>
                    </w:pPr>
                    <w:r>
                      <w:t>6,900,000.00</w:t>
                    </w:r>
                  </w:p>
                </w:tc>
                <w:tc>
                  <w:tcPr>
                    <w:tcW w:w="1895" w:type="pct"/>
                  </w:tcPr>
                  <w:p>
                    <w:pPr>
                      <w:jc w:val="center"/>
                      <w:rPr>
                        <w:szCs w:val="21"/>
                      </w:rPr>
                    </w:pPr>
                    <w:r>
                      <w:t>银行存款</w:t>
                    </w:r>
                  </w:p>
                </w:tc>
              </w:tr>
            </w:sdtContent>
          </w:sdt>
          <w:sdt>
            <w:sdtPr>
              <w:rPr>
                <w:szCs w:val="21"/>
              </w:rPr>
              <w:alias w:val="转回或收回的应收账款明细"/>
              <w:tag w:val="_TUP_ded9f80fa2244157a7d7c517bbc85ff9"/>
              <w:id w:val="170744195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Pr>
                  <w:p>
                    <w:pPr>
                      <w:jc w:val="center"/>
                      <w:rPr>
                        <w:szCs w:val="21"/>
                      </w:rPr>
                    </w:pPr>
                    <w:r>
                      <w:rPr>
                        <w:rFonts w:hint="eastAsia"/>
                      </w:rPr>
                      <w:t>客户二</w:t>
                    </w:r>
                  </w:p>
                </w:tc>
                <w:tc>
                  <w:tcPr>
                    <w:tcW w:w="1296" w:type="pct"/>
                  </w:tcPr>
                  <w:p>
                    <w:pPr>
                      <w:jc w:val="right"/>
                      <w:rPr>
                        <w:szCs w:val="21"/>
                      </w:rPr>
                    </w:pPr>
                    <w:r>
                      <w:t>1,647,000.00</w:t>
                    </w:r>
                  </w:p>
                </w:tc>
                <w:tc>
                  <w:tcPr>
                    <w:tcW w:w="1895" w:type="pct"/>
                  </w:tcPr>
                  <w:p>
                    <w:pPr>
                      <w:jc w:val="center"/>
                      <w:rPr>
                        <w:szCs w:val="21"/>
                      </w:rPr>
                    </w:pPr>
                    <w:r>
                      <w:t>退货</w:t>
                    </w:r>
                  </w:p>
                </w:tc>
              </w:tr>
            </w:sdtContent>
          </w:sdt>
          <w:sdt>
            <w:sdtPr>
              <w:rPr>
                <w:szCs w:val="21"/>
              </w:rPr>
              <w:alias w:val="转回或收回的应收账款明细"/>
              <w:tag w:val="_TUP_ded9f80fa2244157a7d7c517bbc85ff9"/>
              <w:id w:val="90650656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Pr>
                  <w:p>
                    <w:pPr>
                      <w:jc w:val="center"/>
                      <w:rPr>
                        <w:szCs w:val="21"/>
                      </w:rPr>
                    </w:pPr>
                    <w:r>
                      <w:rPr>
                        <w:rFonts w:hint="eastAsia"/>
                      </w:rPr>
                      <w:t>客户三</w:t>
                    </w:r>
                  </w:p>
                </w:tc>
                <w:tc>
                  <w:tcPr>
                    <w:tcW w:w="1296" w:type="pct"/>
                  </w:tcPr>
                  <w:p>
                    <w:pPr>
                      <w:jc w:val="right"/>
                      <w:rPr>
                        <w:szCs w:val="21"/>
                      </w:rPr>
                    </w:pPr>
                    <w:r>
                      <w:t>829,279.15</w:t>
                    </w:r>
                  </w:p>
                </w:tc>
                <w:tc>
                  <w:tcPr>
                    <w:tcW w:w="1895" w:type="pct"/>
                  </w:tcPr>
                  <w:p>
                    <w:pPr>
                      <w:jc w:val="center"/>
                      <w:rPr>
                        <w:szCs w:val="21"/>
                      </w:rPr>
                    </w:pPr>
                    <w:r>
                      <w:t>退货及银行存款</w:t>
                    </w:r>
                  </w:p>
                </w:tc>
              </w:tr>
            </w:sdtContent>
          </w:sdt>
          <w:sdt>
            <w:sdtPr>
              <w:rPr>
                <w:szCs w:val="21"/>
              </w:rPr>
              <w:alias w:val="转回或收回的应收账款明细"/>
              <w:tag w:val="_TUP_ded9f80fa2244157a7d7c517bbc85ff9"/>
              <w:id w:val="92468520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Pr>
                  <w:p>
                    <w:pPr>
                      <w:jc w:val="center"/>
                      <w:rPr>
                        <w:szCs w:val="21"/>
                      </w:rPr>
                    </w:pPr>
                    <w:r>
                      <w:rPr>
                        <w:rFonts w:hint="eastAsia"/>
                      </w:rPr>
                      <w:t>客户四</w:t>
                    </w:r>
                  </w:p>
                </w:tc>
                <w:tc>
                  <w:tcPr>
                    <w:tcW w:w="1296" w:type="pct"/>
                  </w:tcPr>
                  <w:p>
                    <w:pPr>
                      <w:jc w:val="right"/>
                      <w:rPr>
                        <w:szCs w:val="21"/>
                      </w:rPr>
                    </w:pPr>
                    <w:r>
                      <w:t>572,610.20</w:t>
                    </w:r>
                  </w:p>
                </w:tc>
                <w:tc>
                  <w:tcPr>
                    <w:tcW w:w="1895" w:type="pct"/>
                  </w:tcPr>
                  <w:p>
                    <w:pPr>
                      <w:jc w:val="center"/>
                      <w:rPr>
                        <w:szCs w:val="21"/>
                      </w:rPr>
                    </w:pPr>
                    <w:r>
                      <w:t>退货</w:t>
                    </w:r>
                  </w:p>
                </w:tc>
              </w:tr>
            </w:sdtContent>
          </w:sdt>
          <w:sdt>
            <w:sdtPr>
              <w:rPr>
                <w:szCs w:val="21"/>
              </w:rPr>
              <w:alias w:val="转回或收回的应收账款明细"/>
              <w:tag w:val="_TUP_ded9f80fa2244157a7d7c517bbc85ff9"/>
              <w:id w:val="175370202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pct"/>
                  </w:tcPr>
                  <w:p>
                    <w:pPr>
                      <w:jc w:val="center"/>
                      <w:rPr>
                        <w:szCs w:val="21"/>
                      </w:rPr>
                    </w:pPr>
                    <w:r>
                      <w:rPr>
                        <w:rFonts w:hint="eastAsia"/>
                      </w:rPr>
                      <w:t>客户五</w:t>
                    </w:r>
                  </w:p>
                </w:tc>
                <w:tc>
                  <w:tcPr>
                    <w:tcW w:w="1296" w:type="pct"/>
                  </w:tcPr>
                  <w:p>
                    <w:pPr>
                      <w:jc w:val="right"/>
                      <w:rPr>
                        <w:szCs w:val="21"/>
                      </w:rPr>
                    </w:pPr>
                    <w:r>
                      <w:t>51,606.62</w:t>
                    </w:r>
                  </w:p>
                </w:tc>
                <w:tc>
                  <w:tcPr>
                    <w:tcW w:w="1895" w:type="pct"/>
                  </w:tcPr>
                  <w:p>
                    <w:pPr>
                      <w:jc w:val="center"/>
                      <w:rPr>
                        <w:szCs w:val="21"/>
                      </w:rPr>
                    </w:pPr>
                    <w:r>
                      <w:t>银行存款</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93908adc294c139e24cf2218378644"/>
                <w:id w:val="1504166004"/>
                <w:lock w:val="sdtLocked"/>
              </w:sdtPr>
              <w:sdtContent>
                <w:tc>
                  <w:tcPr>
                    <w:tcW w:w="1809" w:type="pct"/>
                    <w:vAlign w:val="center"/>
                  </w:tcPr>
                  <w:p>
                    <w:pPr>
                      <w:jc w:val="center"/>
                      <w:rPr>
                        <w:szCs w:val="21"/>
                      </w:rPr>
                    </w:pPr>
                    <w:r>
                      <w:rPr>
                        <w:szCs w:val="21"/>
                      </w:rPr>
                      <w:t>合计</w:t>
                    </w:r>
                  </w:p>
                </w:tc>
              </w:sdtContent>
            </w:sdt>
            <w:tc>
              <w:tcPr>
                <w:tcW w:w="1296" w:type="pct"/>
              </w:tcPr>
              <w:p>
                <w:pPr>
                  <w:jc w:val="right"/>
                  <w:rPr>
                    <w:szCs w:val="21"/>
                  </w:rPr>
                </w:pPr>
                <w:r>
                  <w:rPr>
                    <w:szCs w:val="21"/>
                  </w:rPr>
                  <w:t>10,000,495.97</w:t>
                </w:r>
              </w:p>
            </w:tc>
            <w:tc>
              <w:tcPr>
                <w:tcW w:w="1895" w:type="pct"/>
              </w:tcPr>
              <w:p>
                <w:pPr>
                  <w:jc w:val="center"/>
                  <w:rPr>
                    <w:szCs w:val="21"/>
                  </w:rPr>
                </w:pPr>
                <w:r>
                  <w:rPr>
                    <w:rFonts w:hint="eastAsia"/>
                    <w:szCs w:val="21"/>
                  </w:rPr>
                  <w:t>/</w:t>
                </w:r>
              </w:p>
            </w:tc>
          </w:tr>
        </w:tbl>
        <w:p/>
        <w:p>
          <w:r>
            <w:rPr>
              <w:rFonts w:hint="eastAsia"/>
            </w:rPr>
            <w:t>其他说明：</w:t>
          </w:r>
        </w:p>
        <w:sdt>
          <w:sdtPr>
            <w:alias w:val="应收账款坏账准备转回或收回金额重要的说明"/>
            <w:tag w:val="_GBC_497841b0d4bf4697928b74836200c0fa"/>
            <w:id w:val="2119940030"/>
            <w:lock w:val="sdtLocked"/>
            <w:placeholder>
              <w:docPart w:val="GBC22222222222222222222222222222"/>
            </w:placeholder>
          </w:sdtPr>
          <w:sdtContent>
            <w:p>
              <w:pPr>
                <w:ind w:right="42" w:rightChars="20"/>
              </w:pPr>
              <w:r>
                <w:rPr>
                  <w:rFonts w:hint="eastAsia"/>
                </w:rPr>
                <w:t>无</w:t>
              </w:r>
            </w:p>
          </w:sdtContent>
        </w:sdt>
        <w:p>
          <w:pPr>
            <w:ind w:right="-1593" w:rightChars="-759"/>
          </w:pPr>
        </w:p>
      </w:sdtContent>
    </w:sdt>
    <w:sdt>
      <w:sdtPr>
        <w:rPr>
          <w:rFonts w:hint="eastAsia" w:ascii="Times New Roman" w:hAnsi="Times New Roman" w:eastAsia="宋体" w:cs="宋体"/>
          <w:b w:val="0"/>
          <w:bCs w:val="0"/>
          <w:kern w:val="0"/>
          <w:szCs w:val="24"/>
        </w:rPr>
        <w:alias w:val="模块:本报告期实际核销的应收账款情况"/>
        <w:tag w:val="_SEC_232653caa33f43eface8372ffe3a60eb"/>
        <w:id w:val="-159392967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79"/>
            </w:numPr>
            <w:ind w:left="426" w:hanging="426"/>
          </w:pPr>
          <w:r>
            <w:t>本期实际核销的应收</w:t>
          </w:r>
          <w:r>
            <w:rPr>
              <w:rFonts w:hint="eastAsia"/>
            </w:rPr>
            <w:t>账款</w:t>
          </w:r>
          <w:r>
            <w:t>情况</w:t>
          </w:r>
        </w:p>
        <w:sdt>
          <w:sdtPr>
            <w:alias w:val="是否适用：本期实际核销的应收账款情况[双击切换]"/>
            <w:tag w:val="_GBC_a6ff40b990b34b00968a4938eac82a74"/>
            <w:id w:val="-4684358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1757625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8181564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27"/>
            <w:gridCol w:w="4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1b4d2de9bc4878bfaf030b4ac7f864"/>
                <w:id w:val="-1128088560"/>
                <w:lock w:val="sdtLocked"/>
              </w:sdtPr>
              <w:sdtContent>
                <w:tc>
                  <w:tcPr>
                    <w:tcW w:w="2361" w:type="pct"/>
                    <w:vAlign w:val="center"/>
                  </w:tcPr>
                  <w:p>
                    <w:pPr>
                      <w:jc w:val="center"/>
                      <w:rPr>
                        <w:szCs w:val="21"/>
                      </w:rPr>
                    </w:pPr>
                    <w:r>
                      <w:rPr>
                        <w:rFonts w:hint="eastAsia"/>
                        <w:szCs w:val="21"/>
                      </w:rPr>
                      <w:t>项目</w:t>
                    </w:r>
                  </w:p>
                </w:tc>
              </w:sdtContent>
            </w:sdt>
            <w:sdt>
              <w:sdtPr>
                <w:tag w:val="_PLD_8157ba5967c14e4e821de564c4546b40"/>
                <w:id w:val="671762063"/>
                <w:lock w:val="sdtLocked"/>
              </w:sdtPr>
              <w:sdtContent>
                <w:tc>
                  <w:tcPr>
                    <w:tcW w:w="2639" w:type="pct"/>
                  </w:tcPr>
                  <w:p>
                    <w:pPr>
                      <w:jc w:val="center"/>
                      <w:rPr>
                        <w:szCs w:val="21"/>
                      </w:rPr>
                    </w:pPr>
                    <w:r>
                      <w:rPr>
                        <w:rFonts w:hint="eastAsia"/>
                        <w:szCs w:val="21"/>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7ec5fad5c041b0b22a2350bc5cdb48"/>
                <w:id w:val="553588601"/>
                <w:lock w:val="sdtLocked"/>
              </w:sdtPr>
              <w:sdtContent>
                <w:tc>
                  <w:tcPr>
                    <w:tcW w:w="2361" w:type="pct"/>
                  </w:tcPr>
                  <w:p>
                    <w:pPr>
                      <w:jc w:val="center"/>
                      <w:rPr>
                        <w:szCs w:val="21"/>
                      </w:rPr>
                    </w:pPr>
                    <w:r>
                      <w:rPr>
                        <w:rFonts w:hint="eastAsia"/>
                        <w:szCs w:val="21"/>
                      </w:rPr>
                      <w:t>实际核销的应收账款</w:t>
                    </w:r>
                  </w:p>
                </w:tc>
              </w:sdtContent>
            </w:sdt>
            <w:tc>
              <w:tcPr>
                <w:tcW w:w="2639" w:type="pct"/>
              </w:tcPr>
              <w:p>
                <w:pPr>
                  <w:jc w:val="center"/>
                  <w:rPr>
                    <w:szCs w:val="21"/>
                  </w:rPr>
                </w:pPr>
                <w:r>
                  <w:rPr>
                    <w:szCs w:val="21"/>
                  </w:rPr>
                  <w:t>2,806,831.28</w:t>
                </w:r>
              </w:p>
            </w:tc>
          </w:tr>
        </w:tbl>
        <w:p>
          <w:pPr>
            <w:rPr>
              <w:szCs w:val="21"/>
            </w:rPr>
          </w:pPr>
        </w:p>
        <w:p>
          <w:pPr>
            <w:spacing w:line="360" w:lineRule="auto"/>
            <w:rPr>
              <w:szCs w:val="21"/>
            </w:rPr>
          </w:pPr>
          <w:r>
            <w:rPr>
              <w:rFonts w:hint="eastAsia"/>
              <w:szCs w:val="21"/>
            </w:rPr>
            <w:t>其中重要的应收账款核销情况</w:t>
          </w:r>
        </w:p>
        <w:sdt>
          <w:sdtPr>
            <w:rPr>
              <w:szCs w:val="21"/>
            </w:rPr>
            <w:alias w:val="是否适用：其中重要的应收账款核销情况[双击切换]"/>
            <w:tag w:val="_GBC_3c12c3e5b4fd4acda2beb7a5cacacd97"/>
            <w:id w:val="-592858708"/>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360" w:lineRule="auto"/>
            <w:rPr>
              <w:szCs w:val="21"/>
            </w:rPr>
          </w:pPr>
          <w:r>
            <w:rPr>
              <w:rFonts w:hint="eastAsia"/>
              <w:szCs w:val="21"/>
            </w:rPr>
            <w:t>应收账款核销说明：</w:t>
          </w:r>
        </w:p>
        <w:sdt>
          <w:sdtPr>
            <w:rPr>
              <w:szCs w:val="21"/>
            </w:rPr>
            <w:alias w:val="是否适用：应收账款核销说明[双击切换]"/>
            <w:tag w:val="_GBC_e00d0b458c1b4b5f99d670e3f2a2b2e2"/>
            <w:id w:val="1986354489"/>
            <w:lock w:val="sdtLocked"/>
            <w:placeholder>
              <w:docPart w:val="GBC22222222222222222222222222222"/>
            </w:placeholder>
          </w:sdtPr>
          <w:sdtEndPr>
            <w:rPr>
              <w:szCs w:val="21"/>
            </w:rPr>
          </w:sdtEndPr>
          <w:sdtContent>
            <w:p>
              <w:pPr>
                <w:snapToGrid w:val="0"/>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Times New Roman" w:hAnsi="Times New Roman" w:eastAsia="宋体" w:cs="宋体"/>
          <w:b w:val="0"/>
          <w:bCs w:val="0"/>
          <w:kern w:val="0"/>
          <w:szCs w:val="24"/>
        </w:rPr>
        <w:alias w:val="模块:按欠款方归集的期末余额前五名的应收账款情况："/>
        <w:tag w:val="_SEC_71c89f02128446e2b4ea3a2dfb767bd2"/>
        <w:id w:val="-431440226"/>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79"/>
            </w:numPr>
            <w:ind w:left="426" w:hanging="426"/>
          </w:pPr>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384d0a1c7eac41bb9693117cbe9c7e5b"/>
            <w:id w:val="-965962274"/>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szCs w:val="21"/>
              </w:rPr>
              <w:alias w:val="单位：财务附注：应收账款前五名欠款情况"/>
              <w:tag w:val="_GBC_95040abe54a0489f8b830082545a50f5"/>
              <w:id w:val="-8059341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szCs w:val="21"/>
              </w:rPr>
            </w:sdtEndPr>
            <w:sdtContent>
              <w:r>
                <w:rPr>
                  <w:szCs w:val="21"/>
                </w:rPr>
                <w:t>元</w:t>
              </w:r>
            </w:sdtContent>
          </w:sdt>
          <w:r>
            <w:rPr>
              <w:rFonts w:hint="eastAsia"/>
              <w:szCs w:val="21"/>
            </w:rPr>
            <w:t xml:space="preserve">  币种：</w:t>
          </w:r>
          <w:sdt>
            <w:sdtPr>
              <w:rPr>
                <w:rFonts w:hint="eastAsia"/>
                <w:szCs w:val="21"/>
              </w:rPr>
              <w:alias w:val="币种：财务附注：应收账款前五名欠款情况"/>
              <w:tag w:val="_GBC_2e7ff062f76c406d86d744597244f24c"/>
              <w:id w:val="-146102703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29"/>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eastAsia"/>
                  <w:szCs w:val="21"/>
                </w:rPr>
                <w:tag w:val="_PLD_393da722a1e6440ebfe654baf23b690e"/>
                <w:id w:val="1387912680"/>
                <w:lock w:val="sdtLocked"/>
              </w:sdtPr>
              <w:sdtEndPr>
                <w:rPr>
                  <w:rFonts w:hint="eastAsia"/>
                  <w:szCs w:val="21"/>
                </w:rPr>
              </w:sdtEndPr>
              <w:sdtContent>
                <w:tc>
                  <w:tcPr>
                    <w:tcW w:w="1250" w:type="pct"/>
                    <w:vAlign w:val="center"/>
                  </w:tcPr>
                  <w:p>
                    <w:pPr>
                      <w:ind w:right="105"/>
                      <w:jc w:val="center"/>
                      <w:rPr>
                        <w:szCs w:val="21"/>
                      </w:rPr>
                    </w:pPr>
                    <w:r>
                      <w:rPr>
                        <w:rFonts w:hint="eastAsia"/>
                        <w:szCs w:val="21"/>
                      </w:rPr>
                      <w:t>单位名称</w:t>
                    </w:r>
                  </w:p>
                </w:tc>
              </w:sdtContent>
            </w:sdt>
            <w:sdt>
              <w:sdtPr>
                <w:rPr>
                  <w:rFonts w:hint="eastAsia"/>
                  <w:szCs w:val="21"/>
                </w:rPr>
                <w:tag w:val="_PLD_e14b89c8ccbc4e1fbb83ed437d4f7c27"/>
                <w:id w:val="-2099311668"/>
                <w:lock w:val="sdtLocked"/>
              </w:sdtPr>
              <w:sdtEndPr>
                <w:rPr>
                  <w:rFonts w:hint="eastAsia"/>
                  <w:szCs w:val="21"/>
                </w:rPr>
              </w:sdtEndPr>
              <w:sdtContent>
                <w:tc>
                  <w:tcPr>
                    <w:tcW w:w="1250" w:type="pct"/>
                    <w:vAlign w:val="center"/>
                  </w:tcPr>
                  <w:p>
                    <w:pPr>
                      <w:ind w:right="73"/>
                      <w:jc w:val="center"/>
                      <w:rPr>
                        <w:szCs w:val="21"/>
                      </w:rPr>
                    </w:pPr>
                    <w:r>
                      <w:rPr>
                        <w:rFonts w:hint="eastAsia"/>
                        <w:szCs w:val="21"/>
                      </w:rPr>
                      <w:t>期末余额</w:t>
                    </w:r>
                  </w:p>
                </w:tc>
              </w:sdtContent>
            </w:sdt>
            <w:sdt>
              <w:sdtPr>
                <w:rPr>
                  <w:rFonts w:hint="eastAsia"/>
                  <w:szCs w:val="21"/>
                </w:rPr>
                <w:tag w:val="_PLD_fe3fe9e0c6444bbca9de49f2f86ff256"/>
                <w:id w:val="-673415524"/>
                <w:lock w:val="sdtLocked"/>
              </w:sdtPr>
              <w:sdtEndPr>
                <w:rPr>
                  <w:rFonts w:hint="default"/>
                  <w:szCs w:val="21"/>
                </w:rPr>
              </w:sdtEndPr>
              <w:sdtContent>
                <w:tc>
                  <w:tcPr>
                    <w:tcW w:w="1250" w:type="pct"/>
                    <w:vAlign w:val="center"/>
                  </w:tcPr>
                  <w:p>
                    <w:pPr>
                      <w:jc w:val="center"/>
                      <w:rPr>
                        <w:szCs w:val="21"/>
                      </w:rPr>
                    </w:pPr>
                    <w:r>
                      <w:rPr>
                        <w:rFonts w:hint="eastAsia"/>
                        <w:szCs w:val="21"/>
                      </w:rPr>
                      <w:t>占应收账款期末余额合计数的比例(</w:t>
                    </w:r>
                    <w:r>
                      <w:rPr>
                        <w:szCs w:val="21"/>
                      </w:rPr>
                      <w:t>%)</w:t>
                    </w:r>
                  </w:p>
                </w:tc>
              </w:sdtContent>
            </w:sdt>
            <w:sdt>
              <w:sdtPr>
                <w:rPr>
                  <w:rFonts w:hint="eastAsia"/>
                  <w:szCs w:val="21"/>
                </w:rPr>
                <w:tag w:val="_PLD_e198f1b6108c4fccacfc45ea46e8ff41"/>
                <w:id w:val="2118171222"/>
                <w:lock w:val="sdtLocked"/>
              </w:sdtPr>
              <w:sdtEndPr>
                <w:rPr>
                  <w:rFonts w:hint="eastAsia"/>
                  <w:szCs w:val="21"/>
                </w:rPr>
              </w:sdtEndPr>
              <w:sdtContent>
                <w:tc>
                  <w:tcPr>
                    <w:tcW w:w="1250" w:type="pct"/>
                    <w:vAlign w:val="center"/>
                  </w:tcPr>
                  <w:p>
                    <w:pPr>
                      <w:jc w:val="center"/>
                      <w:rPr>
                        <w:szCs w:val="21"/>
                      </w:rPr>
                    </w:pPr>
                    <w:r>
                      <w:rPr>
                        <w:rFonts w:hint="eastAsia"/>
                        <w:szCs w:val="21"/>
                      </w:rPr>
                      <w:t>坏账准备期末余额</w:t>
                    </w:r>
                  </w:p>
                </w:tc>
              </w:sdtContent>
            </w:sdt>
          </w:tr>
          <w:sdt>
            <w:sdtPr>
              <w:rPr>
                <w:szCs w:val="21"/>
              </w:rPr>
              <w:alias w:val="应收账款欠款户"/>
              <w:tag w:val="_TUP_71de566abd764904906a55741ffee786"/>
              <w:id w:val="-65329471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jc w:val="center"/>
                      <w:rPr>
                        <w:szCs w:val="21"/>
                      </w:rPr>
                    </w:pPr>
                    <w:r>
                      <w:t>第一名</w:t>
                    </w:r>
                  </w:p>
                </w:tc>
                <w:tc>
                  <w:tcPr>
                    <w:tcW w:w="1250" w:type="pct"/>
                  </w:tcPr>
                  <w:p>
                    <w:pPr>
                      <w:ind w:right="73"/>
                      <w:jc w:val="right"/>
                      <w:rPr>
                        <w:szCs w:val="21"/>
                      </w:rPr>
                    </w:pPr>
                    <w:r>
                      <w:t>575,108,574.25</w:t>
                    </w:r>
                  </w:p>
                </w:tc>
                <w:tc>
                  <w:tcPr>
                    <w:tcW w:w="1250" w:type="pct"/>
                  </w:tcPr>
                  <w:p>
                    <w:pPr>
                      <w:jc w:val="right"/>
                      <w:rPr>
                        <w:szCs w:val="21"/>
                      </w:rPr>
                    </w:pPr>
                    <w:r>
                      <w:t>38.76</w:t>
                    </w:r>
                  </w:p>
                </w:tc>
                <w:tc>
                  <w:tcPr>
                    <w:tcW w:w="1250" w:type="pct"/>
                  </w:tcPr>
                  <w:p>
                    <w:pPr>
                      <w:jc w:val="right"/>
                      <w:rPr>
                        <w:szCs w:val="21"/>
                      </w:rPr>
                    </w:pPr>
                    <w:r>
                      <w:t>379,851,347.57</w:t>
                    </w:r>
                  </w:p>
                </w:tc>
              </w:tr>
            </w:sdtContent>
          </w:sdt>
          <w:sdt>
            <w:sdtPr>
              <w:rPr>
                <w:szCs w:val="21"/>
              </w:rPr>
              <w:alias w:val="应收账款欠款户"/>
              <w:tag w:val="_TUP_71de566abd764904906a55741ffee786"/>
              <w:id w:val="-200958205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jc w:val="center"/>
                      <w:rPr>
                        <w:szCs w:val="21"/>
                      </w:rPr>
                    </w:pPr>
                    <w:r>
                      <w:t>第二名</w:t>
                    </w:r>
                  </w:p>
                </w:tc>
                <w:tc>
                  <w:tcPr>
                    <w:tcW w:w="1250" w:type="pct"/>
                  </w:tcPr>
                  <w:p>
                    <w:pPr>
                      <w:ind w:right="73"/>
                      <w:jc w:val="right"/>
                      <w:rPr>
                        <w:szCs w:val="21"/>
                      </w:rPr>
                    </w:pPr>
                    <w:r>
                      <w:t>125,664,987.07</w:t>
                    </w:r>
                  </w:p>
                </w:tc>
                <w:tc>
                  <w:tcPr>
                    <w:tcW w:w="1250" w:type="pct"/>
                  </w:tcPr>
                  <w:p>
                    <w:pPr>
                      <w:jc w:val="right"/>
                      <w:rPr>
                        <w:szCs w:val="21"/>
                      </w:rPr>
                    </w:pPr>
                    <w:r>
                      <w:t>8.47</w:t>
                    </w:r>
                  </w:p>
                </w:tc>
                <w:tc>
                  <w:tcPr>
                    <w:tcW w:w="1250" w:type="pct"/>
                  </w:tcPr>
                  <w:p>
                    <w:pPr>
                      <w:jc w:val="right"/>
                      <w:rPr>
                        <w:szCs w:val="21"/>
                      </w:rPr>
                    </w:pPr>
                    <w:r>
                      <w:t>125,664,987.07</w:t>
                    </w:r>
                  </w:p>
                </w:tc>
              </w:tr>
            </w:sdtContent>
          </w:sdt>
          <w:sdt>
            <w:sdtPr>
              <w:rPr>
                <w:szCs w:val="21"/>
              </w:rPr>
              <w:alias w:val="应收账款欠款户"/>
              <w:tag w:val="_TUP_71de566abd764904906a55741ffee786"/>
              <w:id w:val="119465755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jc w:val="center"/>
                      <w:rPr>
                        <w:szCs w:val="21"/>
                      </w:rPr>
                    </w:pPr>
                    <w:r>
                      <w:t>第三名</w:t>
                    </w:r>
                  </w:p>
                </w:tc>
                <w:tc>
                  <w:tcPr>
                    <w:tcW w:w="1250" w:type="pct"/>
                  </w:tcPr>
                  <w:p>
                    <w:pPr>
                      <w:ind w:right="73"/>
                      <w:jc w:val="right"/>
                      <w:rPr>
                        <w:szCs w:val="21"/>
                      </w:rPr>
                    </w:pPr>
                    <w:r>
                      <w:t>80,750,000.00</w:t>
                    </w:r>
                  </w:p>
                </w:tc>
                <w:tc>
                  <w:tcPr>
                    <w:tcW w:w="1250" w:type="pct"/>
                  </w:tcPr>
                  <w:p>
                    <w:pPr>
                      <w:jc w:val="right"/>
                      <w:rPr>
                        <w:szCs w:val="21"/>
                      </w:rPr>
                    </w:pPr>
                    <w:r>
                      <w:t>5.44</w:t>
                    </w:r>
                  </w:p>
                </w:tc>
                <w:tc>
                  <w:tcPr>
                    <w:tcW w:w="1250" w:type="pct"/>
                  </w:tcPr>
                  <w:p>
                    <w:pPr>
                      <w:jc w:val="right"/>
                      <w:rPr>
                        <w:szCs w:val="21"/>
                      </w:rPr>
                    </w:pPr>
                  </w:p>
                </w:tc>
              </w:tr>
            </w:sdtContent>
          </w:sdt>
          <w:sdt>
            <w:sdtPr>
              <w:rPr>
                <w:szCs w:val="21"/>
              </w:rPr>
              <w:alias w:val="应收账款欠款户"/>
              <w:tag w:val="_TUP_71de566abd764904906a55741ffee786"/>
              <w:id w:val="-69870042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jc w:val="center"/>
                      <w:rPr>
                        <w:szCs w:val="21"/>
                      </w:rPr>
                    </w:pPr>
                    <w:r>
                      <w:t>第四名</w:t>
                    </w:r>
                  </w:p>
                </w:tc>
                <w:tc>
                  <w:tcPr>
                    <w:tcW w:w="1250" w:type="pct"/>
                  </w:tcPr>
                  <w:p>
                    <w:pPr>
                      <w:ind w:right="73"/>
                      <w:jc w:val="right"/>
                      <w:rPr>
                        <w:szCs w:val="21"/>
                      </w:rPr>
                    </w:pPr>
                    <w:r>
                      <w:t>66,132,600.00</w:t>
                    </w:r>
                  </w:p>
                </w:tc>
                <w:tc>
                  <w:tcPr>
                    <w:tcW w:w="1250" w:type="pct"/>
                  </w:tcPr>
                  <w:p>
                    <w:pPr>
                      <w:jc w:val="right"/>
                      <w:rPr>
                        <w:szCs w:val="21"/>
                      </w:rPr>
                    </w:pPr>
                    <w:r>
                      <w:t>4.46</w:t>
                    </w:r>
                  </w:p>
                </w:tc>
                <w:tc>
                  <w:tcPr>
                    <w:tcW w:w="1250" w:type="pct"/>
                  </w:tcPr>
                  <w:p>
                    <w:pPr>
                      <w:jc w:val="right"/>
                      <w:rPr>
                        <w:szCs w:val="21"/>
                      </w:rPr>
                    </w:pPr>
                  </w:p>
                </w:tc>
              </w:tr>
            </w:sdtContent>
          </w:sdt>
          <w:sdt>
            <w:sdtPr>
              <w:rPr>
                <w:szCs w:val="21"/>
              </w:rPr>
              <w:alias w:val="应收账款欠款户"/>
              <w:tag w:val="_TUP_71de566abd764904906a55741ffee786"/>
              <w:id w:val="-136859963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p>
                    <w:pPr>
                      <w:ind w:right="105"/>
                      <w:jc w:val="center"/>
                      <w:rPr>
                        <w:szCs w:val="21"/>
                      </w:rPr>
                    </w:pPr>
                    <w:r>
                      <w:t>第五名</w:t>
                    </w:r>
                  </w:p>
                </w:tc>
                <w:tc>
                  <w:tcPr>
                    <w:tcW w:w="1250" w:type="pct"/>
                  </w:tcPr>
                  <w:p>
                    <w:pPr>
                      <w:ind w:right="73"/>
                      <w:jc w:val="right"/>
                      <w:rPr>
                        <w:szCs w:val="21"/>
                      </w:rPr>
                    </w:pPr>
                    <w:r>
                      <w:t>25,812,330.82</w:t>
                    </w:r>
                  </w:p>
                </w:tc>
                <w:tc>
                  <w:tcPr>
                    <w:tcW w:w="1250" w:type="pct"/>
                  </w:tcPr>
                  <w:p>
                    <w:pPr>
                      <w:jc w:val="right"/>
                      <w:rPr>
                        <w:szCs w:val="21"/>
                      </w:rPr>
                    </w:pPr>
                    <w:r>
                      <w:t>1.74</w:t>
                    </w:r>
                  </w:p>
                </w:tc>
                <w:tc>
                  <w:tcPr>
                    <w:tcW w:w="1250" w:type="pct"/>
                  </w:tcPr>
                  <w:p>
                    <w:pPr>
                      <w:jc w:val="right"/>
                      <w:rPr>
                        <w:szCs w:val="21"/>
                      </w:rPr>
                    </w:pPr>
                    <w:r>
                      <w:t>25,812,330.82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250" w:type="pct"/>
              </w:tcPr>
              <w:sdt>
                <w:sdtPr>
                  <w:rPr>
                    <w:rFonts w:hint="eastAsia"/>
                    <w:szCs w:val="21"/>
                  </w:rPr>
                  <w:tag w:val="_PLD_80106d3884164c6c84de375c8603e8dc"/>
                  <w:id w:val="1121734294"/>
                  <w:lock w:val="sdtLocked"/>
                </w:sdtPr>
                <w:sdtEndPr>
                  <w:rPr>
                    <w:rFonts w:hint="eastAsia"/>
                    <w:szCs w:val="21"/>
                  </w:rPr>
                </w:sdtEndPr>
                <w:sdtContent>
                  <w:p>
                    <w:pPr>
                      <w:ind w:right="105"/>
                      <w:jc w:val="center"/>
                      <w:rPr>
                        <w:szCs w:val="21"/>
                      </w:rPr>
                    </w:pPr>
                    <w:r>
                      <w:rPr>
                        <w:rFonts w:hint="eastAsia"/>
                        <w:szCs w:val="21"/>
                      </w:rPr>
                      <w:t>合计</w:t>
                    </w:r>
                  </w:p>
                </w:sdtContent>
              </w:sdt>
            </w:tc>
            <w:tc>
              <w:tcPr>
                <w:tcW w:w="1250" w:type="pct"/>
                <w:vAlign w:val="center"/>
              </w:tcPr>
              <w:p>
                <w:pPr>
                  <w:jc w:val="right"/>
                  <w:rPr>
                    <w:sz w:val="24"/>
                  </w:rPr>
                </w:pPr>
                <w:r>
                  <w:t>873,468,492.14</w:t>
                </w:r>
              </w:p>
            </w:tc>
            <w:tc>
              <w:tcPr>
                <w:tcW w:w="1250" w:type="pct"/>
                <w:vAlign w:val="center"/>
              </w:tcPr>
              <w:p>
                <w:pPr>
                  <w:jc w:val="right"/>
                  <w:rPr>
                    <w:sz w:val="24"/>
                  </w:rPr>
                </w:pPr>
                <w:r>
                  <w:t>58.87</w:t>
                </w:r>
              </w:p>
            </w:tc>
            <w:tc>
              <w:tcPr>
                <w:tcW w:w="1250" w:type="pct"/>
                <w:vAlign w:val="center"/>
              </w:tcPr>
              <w:p>
                <w:pPr>
                  <w:jc w:val="right"/>
                  <w:rPr>
                    <w:sz w:val="24"/>
                  </w:rPr>
                </w:pPr>
                <w:r>
                  <w:t>531,328,665.46</w:t>
                </w:r>
              </w:p>
            </w:tc>
          </w:tr>
        </w:tbl>
        <w:p/>
        <w:p>
          <w:pPr>
            <w:snapToGrid w:val="0"/>
            <w:spacing w:line="360" w:lineRule="auto"/>
            <w:rPr>
              <w:szCs w:val="21"/>
            </w:rPr>
          </w:pPr>
          <w:r>
            <w:rPr>
              <w:rFonts w:hint="eastAsia"/>
              <w:szCs w:val="21"/>
            </w:rPr>
            <w:t>其他说明</w:t>
          </w:r>
        </w:p>
        <w:sdt>
          <w:sdtPr>
            <w:rPr>
              <w:szCs w:val="21"/>
            </w:rPr>
            <w:alias w:val="按欠款方归集的期末余额前五名的应收账款情况的说明"/>
            <w:tag w:val="_GBC_c00993263f034b6b95498635f166760d"/>
            <w:id w:val="919995326"/>
            <w:lock w:val="sdtLocked"/>
            <w:placeholder>
              <w:docPart w:val="GBC22222222222222222222222222222"/>
            </w:placeholder>
          </w:sdtPr>
          <w:sdtEndPr>
            <w:rPr>
              <w:szCs w:val="21"/>
            </w:rPr>
          </w:sdtEndPr>
          <w:sdtContent>
            <w:p>
              <w:pPr>
                <w:snapToGrid w:val="0"/>
                <w:spacing w:line="360" w:lineRule="auto"/>
                <w:rPr>
                  <w:szCs w:val="21"/>
                </w:rPr>
              </w:pPr>
              <w:r>
                <w:rPr>
                  <w:rFonts w:hint="eastAsia"/>
                  <w:szCs w:val="21"/>
                </w:rPr>
                <w:t>无</w:t>
              </w:r>
            </w:p>
          </w:sdtContent>
        </w:sdt>
        <w:p>
          <w:pPr>
            <w:snapToGrid w:val="0"/>
            <w:spacing w:line="360" w:lineRule="auto"/>
            <w:rPr>
              <w:szCs w:val="21"/>
            </w:rPr>
          </w:pPr>
        </w:p>
      </w:sdtContent>
    </w:sdt>
    <w:sdt>
      <w:sdtPr>
        <w:rPr>
          <w:rFonts w:hint="eastAsia" w:ascii="Times New Roman" w:hAnsi="Times New Roman" w:eastAsia="宋体" w:cs="宋体"/>
          <w:b w:val="0"/>
          <w:bCs w:val="0"/>
          <w:kern w:val="0"/>
          <w:szCs w:val="24"/>
        </w:rPr>
        <w:alias w:val="模块:因金融资产转移而终止确认的应收账款"/>
        <w:tag w:val="_SEC_c714bd6e3e0e4f269266374f899ea672"/>
        <w:id w:val="-1495637863"/>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79"/>
            </w:numPr>
            <w:spacing w:before="0" w:after="0" w:line="360" w:lineRule="auto"/>
            <w:ind w:left="426" w:hanging="426"/>
          </w:pPr>
          <w:r>
            <w:rPr>
              <w:rFonts w:hint="eastAsia"/>
            </w:rPr>
            <w:t>因金融资产转移而终止确认的应收账款</w:t>
          </w:r>
        </w:p>
        <w:sdt>
          <w:sdtPr>
            <w:rPr>
              <w:rFonts w:hint="eastAsia"/>
              <w:szCs w:val="21"/>
            </w:rPr>
            <w:alias w:val="是否适用：因金融资产转移而终止确认的应收账款[双击切换]"/>
            <w:tag w:val="_GBC_dfb8423e0ae348dfb33933d73bade44c"/>
            <w:id w:val="366805595"/>
            <w:lock w:val="sdtLocked"/>
            <w:placeholder>
              <w:docPart w:val="GBC22222222222222222222222222222"/>
            </w:placeholder>
          </w:sdtPr>
          <w:sdtEndPr>
            <w:rPr>
              <w:rFonts w:hint="eastAsia"/>
              <w:szCs w:val="21"/>
            </w:rPr>
          </w:sdtEndPr>
          <w:sdtContent>
            <w:p>
              <w:pPr>
                <w:snapToGrid w:val="0"/>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360" w:lineRule="auto"/>
            <w:rPr>
              <w:rFonts w:ascii="Times New Roman" w:hAnsi="Times New Roman"/>
            </w:rPr>
          </w:pPr>
        </w:p>
      </w:sdtContent>
    </w:sdt>
    <w:sdt>
      <w:sdtPr>
        <w:rPr>
          <w:rFonts w:hint="eastAsia" w:ascii="Times New Roman" w:hAnsi="Times New Roman" w:eastAsia="宋体" w:cs="宋体"/>
          <w:b w:val="0"/>
          <w:bCs w:val="0"/>
          <w:kern w:val="0"/>
          <w:szCs w:val="24"/>
        </w:rPr>
        <w:alias w:val="模块:转移应收账款且继续涉入的，分项列示继续涉入形成的资产、负债的金额"/>
        <w:tag w:val="_SEC_304899e10c75409c8a53fa6208e46b9c"/>
        <w:id w:val="1685776072"/>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79"/>
            </w:numPr>
            <w:spacing w:before="0" w:after="0" w:line="360" w:lineRule="auto"/>
            <w:ind w:left="426" w:hanging="426"/>
          </w:pPr>
          <w:r>
            <w:rPr>
              <w:rFonts w:hint="eastAsia"/>
            </w:rPr>
            <w:t>转移应收账款且继续涉入形成的资产、负债金额</w:t>
          </w:r>
        </w:p>
        <w:sdt>
          <w:sdtPr>
            <w:rPr>
              <w:rFonts w:hint="eastAsia"/>
            </w:rPr>
            <w:alias w:val="是否适用：转移应收账款且继续涉入形成的资产、负债金额[双击切换]"/>
            <w:tag w:val="_GBC_b2ae4888f2a44724852098ef5926692e"/>
            <w:id w:val="-1868984429"/>
            <w:lock w:val="sdtLocked"/>
            <w:placeholder>
              <w:docPart w:val="GBC22222222222222222222222222222"/>
            </w:placeholder>
          </w:sdtPr>
          <w:sdtEndPr>
            <w:rPr>
              <w:rFonts w:hint="eastAsia"/>
            </w:rPr>
          </w:sdtEndPr>
          <w:sdtContent>
            <w:p>
              <w:pPr>
                <w:snapToGrid w:val="0"/>
                <w:spacing w:line="360" w:lineRule="auto"/>
                <w:rPr>
                  <w:rFonts w:ascii="Times New Roman" w:hAnsi="Times New Roman"/>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360" w:lineRule="auto"/>
        <w:ind w:left="-105" w:leftChars="-50"/>
        <w:rPr>
          <w:rFonts w:ascii="Times New Roman" w:hAnsi="Times New Roman"/>
        </w:rPr>
      </w:pPr>
    </w:p>
    <w:sdt>
      <w:sdtPr>
        <w:rPr>
          <w:rFonts w:hint="eastAsia" w:ascii="Times New Roman" w:hAnsi="Times New Roman"/>
          <w:b/>
          <w:bCs/>
        </w:rPr>
        <w:alias w:val="模块:应收账款其他说明"/>
        <w:tag w:val="_SEC_46308b28e0464ca38e1d9a9e55371ee9"/>
        <w:id w:val="74406823"/>
        <w:lock w:val="sdtLocked"/>
        <w:placeholder>
          <w:docPart w:val="GBC22222222222222222222222222222"/>
        </w:placeholder>
      </w:sdtPr>
      <w:sdtEndPr>
        <w:rPr>
          <w:rFonts w:hint="default" w:ascii="Times New Roman" w:hAnsi="Times New Roman"/>
          <w:b w:val="0"/>
          <w:bCs w:val="0"/>
        </w:rPr>
      </w:sdtEndPr>
      <w:sdtContent>
        <w:p>
          <w:pPr>
            <w:snapToGrid w:val="0"/>
            <w:spacing w:line="360" w:lineRule="auto"/>
          </w:pPr>
          <w:r>
            <w:rPr>
              <w:rFonts w:hint="eastAsia"/>
            </w:rPr>
            <w:t>其他</w:t>
          </w:r>
          <w:r>
            <w:t>说明：</w:t>
          </w:r>
        </w:p>
        <w:sdt>
          <w:sdtPr>
            <w:rPr>
              <w:rFonts w:hint="eastAsia"/>
            </w:rPr>
            <w:alias w:val="是否适用：应收账款其他说明[双击切换]"/>
            <w:tag w:val="_GBC_c8da833d28234be8913330da9ab8f46c"/>
            <w:id w:val="-200170589"/>
            <w:lock w:val="sdtLocked"/>
            <w:placeholder>
              <w:docPart w:val="GBC22222222222222222222222222222"/>
            </w:placeholder>
          </w:sdtPr>
          <w:sdtEndPr>
            <w:rPr>
              <w:rFonts w:hint="eastAsia"/>
            </w:rPr>
          </w:sdtEndPr>
          <w:sdtContent>
            <w:p>
              <w:pPr>
                <w:snapToGrid w:val="0"/>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rPr>
          <w:szCs w:val="21"/>
        </w:rPr>
      </w:pPr>
    </w:p>
    <w:sdt>
      <w:sdtPr>
        <w:rPr>
          <w:rFonts w:ascii="宋体" w:hAnsi="宋体" w:cs="宋体"/>
          <w:b w:val="0"/>
          <w:bCs w:val="0"/>
          <w:kern w:val="0"/>
          <w:szCs w:val="21"/>
        </w:rPr>
        <w:alias w:val="模块:应收款项融资"/>
        <w:tag w:val="_SEC_27b579e617f043faa86b5afdc54a44ce"/>
        <w:id w:val="-1892567472"/>
        <w:lock w:val="sdtLocked"/>
        <w:placeholder>
          <w:docPart w:val="GBC22222222222222222222222222222"/>
        </w:placeholder>
      </w:sdtPr>
      <w:sdtEndPr>
        <w:rPr>
          <w:rFonts w:ascii="宋体" w:hAnsi="宋体" w:cs="宋体"/>
          <w:b w:val="0"/>
          <w:bCs w:val="0"/>
          <w:kern w:val="0"/>
          <w:szCs w:val="21"/>
        </w:rPr>
      </w:sdtEndPr>
      <w:sdtContent>
        <w:p>
          <w:pPr>
            <w:pStyle w:val="213"/>
            <w:numPr>
              <w:ilvl w:val="0"/>
              <w:numId w:val="77"/>
            </w:numPr>
            <w:spacing w:before="0" w:after="0" w:line="360" w:lineRule="auto"/>
            <w:rPr>
              <w:szCs w:val="21"/>
            </w:rPr>
          </w:pPr>
          <w:bookmarkStart w:id="152" w:name="_Hlk24102175"/>
          <w:r>
            <w:rPr>
              <w:rFonts w:hint="eastAsia"/>
              <w:szCs w:val="21"/>
            </w:rPr>
            <w:t>应收款项融资</w:t>
          </w:r>
        </w:p>
        <w:sdt>
          <w:sdtPr>
            <w:rPr>
              <w:szCs w:val="21"/>
            </w:rPr>
            <w:alias w:val="是否适用：应收款项融资[双击切换]"/>
            <w:tag w:val="_GBC_e38b7d767cdd4e9f8dd5f7f6ea2330da"/>
            <w:id w:val="1824085017"/>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bookmarkEnd w:id="152"/>
    <w:p>
      <w:pPr>
        <w:pStyle w:val="213"/>
        <w:numPr>
          <w:ilvl w:val="0"/>
          <w:numId w:val="77"/>
        </w:numPr>
        <w:spacing w:before="0" w:after="0" w:line="360" w:lineRule="auto"/>
      </w:pPr>
      <w:r>
        <w:rPr>
          <w:rFonts w:hint="eastAsia"/>
        </w:rPr>
        <w:t>预付款项</w:t>
      </w:r>
    </w:p>
    <w:sdt>
      <w:sdtPr>
        <w:rPr>
          <w:rFonts w:hint="eastAsia" w:eastAsia="宋体" w:cs="宋体" w:asciiTheme="minorHAnsi" w:hAnsiTheme="minorHAnsi"/>
          <w:b w:val="0"/>
          <w:bCs w:val="0"/>
          <w:kern w:val="0"/>
          <w:szCs w:val="22"/>
        </w:rPr>
        <w:alias w:val="模块:预付款项按账龄列示"/>
        <w:tag w:val="_SEC_c3a77c7d5fc54cf3891eeb30bc294643"/>
        <w:id w:val="-121365240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0"/>
            </w:numPr>
            <w:spacing w:before="0" w:after="0" w:line="360" w:lineRule="auto"/>
            <w:ind w:left="426" w:hanging="426"/>
          </w:pPr>
          <w:r>
            <w:rPr>
              <w:rFonts w:hint="eastAsia"/>
            </w:rPr>
            <w:t>预付款项按账龄列示</w:t>
          </w:r>
        </w:p>
        <w:sdt>
          <w:sdtPr>
            <w:rPr>
              <w:rFonts w:hint="eastAsia"/>
            </w:rPr>
            <w:alias w:val="是否适用：预付款项按账龄列示[双击切换]"/>
            <w:tag w:val="_GBC_9c50af2eedb44a33921bab4a9f5ef35c"/>
            <w:id w:val="1886289965"/>
            <w:lock w:val="sdtLocked"/>
            <w:placeholder>
              <w:docPart w:val="GBC22222222222222222222222222222"/>
            </w:placeholder>
          </w:sdtPr>
          <w:sdtEndPr>
            <w:rPr>
              <w:rFonts w:hint="eastAsia"/>
            </w:rPr>
          </w:sdtEnd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预付账款账龄"/>
              <w:tag w:val="_GBC_25e874c523c14d528beabbdb96c27981"/>
              <w:id w:val="-18557988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20810885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06"/>
            <w:gridCol w:w="1815"/>
            <w:gridCol w:w="1802"/>
            <w:gridCol w:w="1800"/>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237" w:hRule="atLeast"/>
            </w:trPr>
            <w:sdt>
              <w:sdtPr>
                <w:tag w:val="_PLD_497c76328aa14442bd9ed8d02efaffdc"/>
                <w:id w:val="34466008"/>
                <w:lock w:val="sdtLocked"/>
              </w:sdtPr>
              <w:sdtContent>
                <w:tc>
                  <w:tcPr>
                    <w:tcW w:w="765" w:type="pct"/>
                    <w:vMerge w:val="restart"/>
                    <w:vAlign w:val="center"/>
                  </w:tcPr>
                  <w:p>
                    <w:pPr>
                      <w:ind w:right="5"/>
                      <w:jc w:val="center"/>
                      <w:rPr>
                        <w:szCs w:val="21"/>
                      </w:rPr>
                    </w:pPr>
                    <w:r>
                      <w:rPr>
                        <w:rFonts w:hint="eastAsia"/>
                        <w:szCs w:val="21"/>
                      </w:rPr>
                      <w:t>账龄</w:t>
                    </w:r>
                  </w:p>
                </w:tc>
              </w:sdtContent>
            </w:sdt>
            <w:sdt>
              <w:sdtPr>
                <w:tag w:val="_PLD_3c7cef9fd55549768916decb59114918"/>
                <w:id w:val="359560683"/>
                <w:lock w:val="sdtLocked"/>
              </w:sdtPr>
              <w:sdtContent>
                <w:tc>
                  <w:tcPr>
                    <w:tcW w:w="2118" w:type="pct"/>
                    <w:gridSpan w:val="2"/>
                    <w:vAlign w:val="center"/>
                  </w:tcPr>
                  <w:p>
                    <w:pPr>
                      <w:ind w:right="5"/>
                      <w:jc w:val="center"/>
                      <w:rPr>
                        <w:szCs w:val="21"/>
                      </w:rPr>
                    </w:pPr>
                    <w:r>
                      <w:rPr>
                        <w:rFonts w:hint="eastAsia"/>
                        <w:szCs w:val="21"/>
                      </w:rPr>
                      <w:t>期末余额</w:t>
                    </w:r>
                  </w:p>
                </w:tc>
              </w:sdtContent>
            </w:sdt>
            <w:sdt>
              <w:sdtPr>
                <w:tag w:val="_PLD_3338d9aea932468fa8faa1bef2db4526"/>
                <w:id w:val="613255058"/>
                <w:lock w:val="sdtLocked"/>
              </w:sdtPr>
              <w:sdtContent>
                <w:tc>
                  <w:tcPr>
                    <w:tcW w:w="2117" w:type="pct"/>
                    <w:gridSpan w:val="2"/>
                    <w:vAlign w:val="center"/>
                  </w:tcPr>
                  <w:p>
                    <w:pPr>
                      <w:ind w:right="5"/>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765" w:type="pct"/>
                <w:vMerge w:val="continue"/>
              </w:tcPr>
              <w:p>
                <w:pPr>
                  <w:rPr>
                    <w:szCs w:val="21"/>
                  </w:rPr>
                </w:pPr>
              </w:p>
            </w:tc>
            <w:sdt>
              <w:sdtPr>
                <w:tag w:val="_PLD_2b1b05d61c574fe485d979f04a81c8c9"/>
                <w:id w:val="1554656254"/>
                <w:lock w:val="sdtLocked"/>
              </w:sdtPr>
              <w:sdtContent>
                <w:tc>
                  <w:tcPr>
                    <w:tcW w:w="1063" w:type="pct"/>
                    <w:vAlign w:val="center"/>
                  </w:tcPr>
                  <w:p>
                    <w:pPr>
                      <w:ind w:right="5"/>
                      <w:jc w:val="center"/>
                      <w:rPr>
                        <w:szCs w:val="21"/>
                      </w:rPr>
                    </w:pPr>
                    <w:r>
                      <w:rPr>
                        <w:rFonts w:hint="eastAsia"/>
                        <w:szCs w:val="21"/>
                      </w:rPr>
                      <w:t>金额</w:t>
                    </w:r>
                  </w:p>
                </w:tc>
              </w:sdtContent>
            </w:sdt>
            <w:sdt>
              <w:sdtPr>
                <w:tag w:val="_PLD_7faf25028eff45ce8c6bf33a9060f296"/>
                <w:id w:val="-196940818"/>
                <w:lock w:val="sdtLocked"/>
              </w:sdtPr>
              <w:sdtContent>
                <w:tc>
                  <w:tcPr>
                    <w:tcW w:w="1055" w:type="pct"/>
                    <w:vAlign w:val="center"/>
                  </w:tcPr>
                  <w:p>
                    <w:pPr>
                      <w:ind w:right="5"/>
                      <w:jc w:val="center"/>
                      <w:rPr>
                        <w:szCs w:val="21"/>
                      </w:rPr>
                    </w:pPr>
                    <w:r>
                      <w:rPr>
                        <w:rFonts w:hint="eastAsia"/>
                        <w:szCs w:val="21"/>
                      </w:rPr>
                      <w:t>比例</w:t>
                    </w:r>
                    <w:r>
                      <w:rPr>
                        <w:szCs w:val="21"/>
                      </w:rPr>
                      <w:t>(%)</w:t>
                    </w:r>
                  </w:p>
                </w:tc>
              </w:sdtContent>
            </w:sdt>
            <w:sdt>
              <w:sdtPr>
                <w:tag w:val="_PLD_56219e7f20ba4e60b1a3edd32c1c534e"/>
                <w:id w:val="1948496102"/>
                <w:lock w:val="sdtLocked"/>
              </w:sdtPr>
              <w:sdtContent>
                <w:tc>
                  <w:tcPr>
                    <w:tcW w:w="1054" w:type="pct"/>
                    <w:vAlign w:val="center"/>
                  </w:tcPr>
                  <w:p>
                    <w:pPr>
                      <w:ind w:right="5"/>
                      <w:jc w:val="center"/>
                      <w:rPr>
                        <w:szCs w:val="21"/>
                      </w:rPr>
                    </w:pPr>
                    <w:r>
                      <w:rPr>
                        <w:rFonts w:hint="eastAsia"/>
                        <w:szCs w:val="21"/>
                      </w:rPr>
                      <w:t>金额</w:t>
                    </w:r>
                  </w:p>
                </w:tc>
              </w:sdtContent>
            </w:sdt>
            <w:sdt>
              <w:sdtPr>
                <w:tag w:val="_PLD_430fca228ced43ada83018b2091f7abf"/>
                <w:id w:val="-702784276"/>
                <w:lock w:val="sdtLocked"/>
              </w:sdtPr>
              <w:sdtContent>
                <w:tc>
                  <w:tcPr>
                    <w:tcW w:w="1063" w:type="pct"/>
                    <w:vAlign w:val="center"/>
                  </w:tcPr>
                  <w:p>
                    <w:pPr>
                      <w:ind w:right="5"/>
                      <w:jc w:val="center"/>
                      <w:rPr>
                        <w:szCs w:val="21"/>
                      </w:rPr>
                    </w:pPr>
                    <w:r>
                      <w:rPr>
                        <w:rFonts w:hint="eastAsia"/>
                        <w:szCs w:val="21"/>
                      </w:rPr>
                      <w:t>比例</w:t>
                    </w:r>
                    <w:r>
                      <w:rPr>
                        <w:szCs w:val="21"/>
                      </w:rPr>
                      <w:t>(%)</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99" w:hRule="atLeast"/>
            </w:trPr>
            <w:sdt>
              <w:sdtPr>
                <w:tag w:val="_PLD_174778f02a0244e0b2b8c44129503d0e"/>
                <w:id w:val="275760974"/>
                <w:lock w:val="sdtLocked"/>
              </w:sdtPr>
              <w:sdtContent>
                <w:tc>
                  <w:tcPr>
                    <w:tcW w:w="765" w:type="pct"/>
                  </w:tcPr>
                  <w:p>
                    <w:pPr>
                      <w:ind w:right="5"/>
                      <w:jc w:val="center"/>
                      <w:rPr>
                        <w:szCs w:val="21"/>
                      </w:rPr>
                    </w:pPr>
                    <w:r>
                      <w:rPr>
                        <w:rFonts w:hint="eastAsia"/>
                        <w:szCs w:val="21"/>
                      </w:rPr>
                      <w:t>1年以内</w:t>
                    </w:r>
                  </w:p>
                </w:tc>
              </w:sdtContent>
            </w:sdt>
            <w:tc>
              <w:tcPr>
                <w:tcW w:w="1063" w:type="pct"/>
              </w:tcPr>
              <w:p>
                <w:pPr>
                  <w:ind w:right="5"/>
                  <w:jc w:val="right"/>
                  <w:rPr>
                    <w:szCs w:val="21"/>
                  </w:rPr>
                </w:pPr>
                <w:r>
                  <w:t>22,891,677.70</w:t>
                </w:r>
              </w:p>
            </w:tc>
            <w:tc>
              <w:tcPr>
                <w:tcW w:w="1055" w:type="pct"/>
              </w:tcPr>
              <w:p>
                <w:pPr>
                  <w:ind w:right="5"/>
                  <w:jc w:val="right"/>
                  <w:rPr>
                    <w:szCs w:val="21"/>
                  </w:rPr>
                </w:pPr>
                <w:r>
                  <w:t>50.16</w:t>
                </w:r>
              </w:p>
            </w:tc>
            <w:tc>
              <w:tcPr>
                <w:tcW w:w="1054" w:type="pct"/>
              </w:tcPr>
              <w:p>
                <w:pPr>
                  <w:ind w:right="5"/>
                  <w:jc w:val="right"/>
                  <w:rPr>
                    <w:szCs w:val="21"/>
                  </w:rPr>
                </w:pPr>
                <w:r>
                  <w:t>30,177,117.74</w:t>
                </w:r>
              </w:p>
            </w:tc>
            <w:tc>
              <w:tcPr>
                <w:tcW w:w="1063" w:type="pct"/>
              </w:tcPr>
              <w:p>
                <w:pPr>
                  <w:ind w:right="5"/>
                  <w:jc w:val="right"/>
                  <w:rPr>
                    <w:szCs w:val="21"/>
                  </w:rPr>
                </w:pPr>
                <w:r>
                  <w:t>56.53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b385111cb5344928917e1906f5b2ab9"/>
                <w:id w:val="1525977172"/>
                <w:lock w:val="sdtLocked"/>
              </w:sdtPr>
              <w:sdtContent>
                <w:tc>
                  <w:tcPr>
                    <w:tcW w:w="765" w:type="pct"/>
                  </w:tcPr>
                  <w:p>
                    <w:pPr>
                      <w:ind w:right="5"/>
                      <w:jc w:val="center"/>
                      <w:rPr>
                        <w:szCs w:val="21"/>
                      </w:rPr>
                    </w:pPr>
                    <w:r>
                      <w:rPr>
                        <w:rFonts w:hint="eastAsia"/>
                        <w:szCs w:val="21"/>
                      </w:rPr>
                      <w:t>1至2年</w:t>
                    </w:r>
                  </w:p>
                </w:tc>
              </w:sdtContent>
            </w:sdt>
            <w:tc>
              <w:tcPr>
                <w:tcW w:w="1063" w:type="pct"/>
              </w:tcPr>
              <w:p>
                <w:pPr>
                  <w:ind w:right="5"/>
                  <w:jc w:val="right"/>
                  <w:rPr>
                    <w:szCs w:val="21"/>
                  </w:rPr>
                </w:pPr>
                <w:r>
                  <w:t>4,678,268.66</w:t>
                </w:r>
              </w:p>
            </w:tc>
            <w:tc>
              <w:tcPr>
                <w:tcW w:w="1055" w:type="pct"/>
              </w:tcPr>
              <w:p>
                <w:pPr>
                  <w:ind w:right="5"/>
                  <w:jc w:val="right"/>
                  <w:rPr>
                    <w:szCs w:val="21"/>
                  </w:rPr>
                </w:pPr>
                <w:r>
                  <w:t>10.25</w:t>
                </w:r>
              </w:p>
            </w:tc>
            <w:tc>
              <w:tcPr>
                <w:tcW w:w="1054" w:type="pct"/>
              </w:tcPr>
              <w:p>
                <w:pPr>
                  <w:ind w:right="5"/>
                  <w:jc w:val="right"/>
                  <w:rPr>
                    <w:szCs w:val="21"/>
                  </w:rPr>
                </w:pPr>
                <w:r>
                  <w:t>3,463,175.87</w:t>
                </w:r>
              </w:p>
            </w:tc>
            <w:tc>
              <w:tcPr>
                <w:tcW w:w="1063" w:type="pct"/>
              </w:tcPr>
              <w:p>
                <w:pPr>
                  <w:ind w:right="5"/>
                  <w:jc w:val="right"/>
                  <w:rPr>
                    <w:szCs w:val="21"/>
                  </w:rPr>
                </w:pPr>
                <w:r>
                  <w:t>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ea945633abf49e9bb136b919b3abb21"/>
                <w:id w:val="986137348"/>
                <w:lock w:val="sdtLocked"/>
              </w:sdtPr>
              <w:sdtContent>
                <w:tc>
                  <w:tcPr>
                    <w:tcW w:w="765" w:type="pct"/>
                  </w:tcPr>
                  <w:p>
                    <w:pPr>
                      <w:ind w:right="5"/>
                      <w:jc w:val="center"/>
                      <w:rPr>
                        <w:szCs w:val="21"/>
                      </w:rPr>
                    </w:pPr>
                    <w:r>
                      <w:rPr>
                        <w:rFonts w:hint="eastAsia"/>
                        <w:szCs w:val="21"/>
                      </w:rPr>
                      <w:t>2至3年</w:t>
                    </w:r>
                  </w:p>
                </w:tc>
              </w:sdtContent>
            </w:sdt>
            <w:tc>
              <w:tcPr>
                <w:tcW w:w="1063" w:type="pct"/>
              </w:tcPr>
              <w:p>
                <w:pPr>
                  <w:ind w:right="5"/>
                  <w:jc w:val="right"/>
                  <w:rPr>
                    <w:szCs w:val="21"/>
                  </w:rPr>
                </w:pPr>
                <w:r>
                  <w:t>2,949,393.45</w:t>
                </w:r>
              </w:p>
            </w:tc>
            <w:tc>
              <w:tcPr>
                <w:tcW w:w="1055" w:type="pct"/>
              </w:tcPr>
              <w:p>
                <w:pPr>
                  <w:ind w:right="5"/>
                  <w:jc w:val="right"/>
                  <w:rPr>
                    <w:szCs w:val="21"/>
                  </w:rPr>
                </w:pPr>
                <w:r>
                  <w:t>6.46</w:t>
                </w:r>
              </w:p>
            </w:tc>
            <w:tc>
              <w:tcPr>
                <w:tcW w:w="1054" w:type="pct"/>
              </w:tcPr>
              <w:p>
                <w:pPr>
                  <w:ind w:right="5"/>
                  <w:jc w:val="right"/>
                  <w:rPr>
                    <w:szCs w:val="21"/>
                  </w:rPr>
                </w:pPr>
                <w:r>
                  <w:t>11,009,086.68</w:t>
                </w:r>
              </w:p>
            </w:tc>
            <w:tc>
              <w:tcPr>
                <w:tcW w:w="1063" w:type="pct"/>
              </w:tcPr>
              <w:p>
                <w:pPr>
                  <w:ind w:right="5"/>
                  <w:jc w:val="right"/>
                  <w:rPr>
                    <w:szCs w:val="21"/>
                  </w:rPr>
                </w:pPr>
                <w:r>
                  <w:t>20.62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2c62dab318848a98f90bfda1a77337c"/>
                <w:id w:val="1282845923"/>
                <w:lock w:val="sdtLocked"/>
              </w:sdtPr>
              <w:sdtContent>
                <w:tc>
                  <w:tcPr>
                    <w:tcW w:w="765" w:type="pct"/>
                  </w:tcPr>
                  <w:p>
                    <w:pPr>
                      <w:ind w:right="5"/>
                      <w:jc w:val="center"/>
                      <w:rPr>
                        <w:szCs w:val="21"/>
                      </w:rPr>
                    </w:pPr>
                    <w:r>
                      <w:rPr>
                        <w:rFonts w:hint="eastAsia"/>
                        <w:szCs w:val="21"/>
                      </w:rPr>
                      <w:t>3年以上</w:t>
                    </w:r>
                  </w:p>
                </w:tc>
              </w:sdtContent>
            </w:sdt>
            <w:tc>
              <w:tcPr>
                <w:tcW w:w="1063" w:type="pct"/>
              </w:tcPr>
              <w:p>
                <w:pPr>
                  <w:ind w:right="5"/>
                  <w:jc w:val="right"/>
                  <w:rPr>
                    <w:szCs w:val="21"/>
                  </w:rPr>
                </w:pPr>
                <w:r>
                  <w:t>15,118,090.09</w:t>
                </w:r>
              </w:p>
            </w:tc>
            <w:tc>
              <w:tcPr>
                <w:tcW w:w="1055" w:type="pct"/>
              </w:tcPr>
              <w:p>
                <w:pPr>
                  <w:ind w:right="5"/>
                  <w:jc w:val="right"/>
                  <w:rPr>
                    <w:szCs w:val="21"/>
                  </w:rPr>
                </w:pPr>
                <w:r>
                  <w:t>33.13</w:t>
                </w:r>
              </w:p>
            </w:tc>
            <w:tc>
              <w:tcPr>
                <w:tcW w:w="1054" w:type="pct"/>
              </w:tcPr>
              <w:p>
                <w:pPr>
                  <w:ind w:right="5"/>
                  <w:jc w:val="right"/>
                  <w:rPr>
                    <w:szCs w:val="21"/>
                  </w:rPr>
                </w:pPr>
                <w:r>
                  <w:t>8,730,877.17</w:t>
                </w:r>
              </w:p>
            </w:tc>
            <w:tc>
              <w:tcPr>
                <w:tcW w:w="1063" w:type="pct"/>
              </w:tcPr>
              <w:p>
                <w:pPr>
                  <w:ind w:right="5"/>
                  <w:jc w:val="right"/>
                  <w:rPr>
                    <w:szCs w:val="21"/>
                  </w:rPr>
                </w:pPr>
                <w:r>
                  <w:t>16.36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51bfbd8cae641f4b76a376fea94ac53"/>
                <w:id w:val="-787195714"/>
                <w:lock w:val="sdtLocked"/>
              </w:sdtPr>
              <w:sdtContent>
                <w:tc>
                  <w:tcPr>
                    <w:tcW w:w="765" w:type="pct"/>
                  </w:tcPr>
                  <w:p>
                    <w:pPr>
                      <w:ind w:right="5"/>
                      <w:jc w:val="center"/>
                      <w:rPr>
                        <w:szCs w:val="21"/>
                      </w:rPr>
                    </w:pPr>
                    <w:r>
                      <w:rPr>
                        <w:rFonts w:hint="eastAsia"/>
                        <w:szCs w:val="21"/>
                      </w:rPr>
                      <w:t>合计</w:t>
                    </w:r>
                  </w:p>
                </w:tc>
              </w:sdtContent>
            </w:sdt>
            <w:tc>
              <w:tcPr>
                <w:tcW w:w="1063" w:type="pct"/>
                <w:vAlign w:val="center"/>
              </w:tcPr>
              <w:p>
                <w:pPr>
                  <w:jc w:val="right"/>
                  <w:rPr>
                    <w:sz w:val="24"/>
                  </w:rPr>
                </w:pPr>
                <w:r>
                  <w:t>45,637,429.90</w:t>
                </w:r>
              </w:p>
            </w:tc>
            <w:tc>
              <w:tcPr>
                <w:tcW w:w="1055" w:type="pct"/>
                <w:vAlign w:val="center"/>
              </w:tcPr>
              <w:p>
                <w:pPr>
                  <w:jc w:val="right"/>
                  <w:rPr>
                    <w:sz w:val="24"/>
                  </w:rPr>
                </w:pPr>
                <w:r>
                  <w:t>100.00</w:t>
                </w:r>
              </w:p>
            </w:tc>
            <w:tc>
              <w:tcPr>
                <w:tcW w:w="1054" w:type="pct"/>
                <w:vAlign w:val="center"/>
              </w:tcPr>
              <w:p>
                <w:pPr>
                  <w:jc w:val="right"/>
                  <w:rPr>
                    <w:sz w:val="24"/>
                  </w:rPr>
                </w:pPr>
                <w:r>
                  <w:t>53,380,257.46</w:t>
                </w:r>
              </w:p>
            </w:tc>
            <w:tc>
              <w:tcPr>
                <w:tcW w:w="1063" w:type="pct"/>
                <w:vAlign w:val="center"/>
              </w:tcPr>
              <w:p>
                <w:pPr>
                  <w:jc w:val="right"/>
                  <w:rPr>
                    <w:sz w:val="24"/>
                  </w:rPr>
                </w:pPr>
                <w:r>
                  <w:t>100.00</w:t>
                </w:r>
              </w:p>
            </w:tc>
          </w:tr>
        </w:tbl>
        <w:p/>
        <w:p>
          <w:pPr>
            <w:rPr>
              <w:szCs w:val="21"/>
            </w:rPr>
          </w:pPr>
          <w:r>
            <w:t>账</w:t>
          </w:r>
          <w:r>
            <w:rPr>
              <w:rFonts w:hint="eastAsia"/>
              <w:szCs w:val="21"/>
            </w:rPr>
            <w:t>龄超过1年且金额重要的预付款项未及时结算原因</w:t>
          </w:r>
          <w:r>
            <w:rPr>
              <w:szCs w:val="21"/>
            </w:rPr>
            <w:t>的说明：</w:t>
          </w:r>
        </w:p>
        <w:sdt>
          <w:sdtPr>
            <w:rPr>
              <w:rFonts w:hint="eastAsia"/>
            </w:rPr>
            <w:alias w:val="账龄超过1年且金额重要的预付款项未及时结算原因的说明"/>
            <w:tag w:val="_GBC_21bfefabbdb8489685d0bb3ee64c2ca5"/>
            <w:id w:val="-1202017475"/>
            <w:lock w:val="sdtLocked"/>
            <w:placeholder>
              <w:docPart w:val="GBC22222222222222222222222222222"/>
            </w:placeholder>
          </w:sdtPr>
          <w:sdtEndPr>
            <w:rPr>
              <w:rFonts w:hint="eastAsia"/>
            </w:rPr>
          </w:sdtEndPr>
          <w:sdtConten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43"/>
                <w:gridCol w:w="1476"/>
                <w:gridCol w:w="2470"/>
                <w:gridCol w:w="1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7" w:type="pct"/>
                    <w:shd w:val="clear" w:color="auto" w:fill="auto"/>
                    <w:vAlign w:val="center"/>
                  </w:tcPr>
                  <w:p>
                    <w:pPr>
                      <w:widowControl w:val="0"/>
                      <w:tabs>
                        <w:tab w:val="left" w:pos="196"/>
                        <w:tab w:val="left" w:pos="426"/>
                      </w:tabs>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单位名称</w:t>
                    </w:r>
                  </w:p>
                </w:tc>
                <w:tc>
                  <w:tcPr>
                    <w:tcW w:w="857" w:type="pct"/>
                    <w:shd w:val="clear" w:color="auto" w:fill="auto"/>
                    <w:vAlign w:val="center"/>
                  </w:tcPr>
                  <w:p>
                    <w:pPr>
                      <w:widowControl w:val="0"/>
                      <w:tabs>
                        <w:tab w:val="left" w:pos="196"/>
                        <w:tab w:val="left" w:pos="426"/>
                      </w:tabs>
                      <w:adjustRightInd w:val="0"/>
                      <w:snapToGrid w:val="0"/>
                      <w:jc w:val="center"/>
                      <w:rPr>
                        <w:rFonts w:asciiTheme="minorEastAsia" w:hAnsiTheme="minorEastAsia" w:eastAsiaTheme="minorEastAsia"/>
                        <w:szCs w:val="21"/>
                      </w:rPr>
                    </w:pPr>
                    <w:r>
                      <w:rPr>
                        <w:rFonts w:hint="eastAsia" w:asciiTheme="minorEastAsia" w:hAnsiTheme="minorEastAsia" w:eastAsiaTheme="minorEastAsia"/>
                        <w:szCs w:val="21"/>
                      </w:rPr>
                      <w:t>期末余额</w:t>
                    </w:r>
                  </w:p>
                </w:tc>
                <w:tc>
                  <w:tcPr>
                    <w:tcW w:w="1451" w:type="pct"/>
                    <w:shd w:val="clear" w:color="auto" w:fill="auto"/>
                    <w:vAlign w:val="center"/>
                  </w:tcPr>
                  <w:p>
                    <w:pPr>
                      <w:widowControl w:val="0"/>
                      <w:tabs>
                        <w:tab w:val="left" w:pos="196"/>
                        <w:tab w:val="left" w:pos="426"/>
                      </w:tabs>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账龄</w:t>
                    </w:r>
                  </w:p>
                </w:tc>
                <w:tc>
                  <w:tcPr>
                    <w:tcW w:w="905" w:type="pct"/>
                    <w:shd w:val="clear" w:color="auto" w:fill="auto"/>
                    <w:vAlign w:val="center"/>
                  </w:tcPr>
                  <w:p>
                    <w:pPr>
                      <w:widowControl w:val="0"/>
                      <w:tabs>
                        <w:tab w:val="left" w:pos="196"/>
                        <w:tab w:val="left" w:pos="426"/>
                      </w:tabs>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未及时结算原因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pct"/>
                    <w:shd w:val="clear" w:color="auto" w:fill="auto"/>
                    <w:vAlign w:val="center"/>
                  </w:tcPr>
                  <w:p>
                    <w:pPr>
                      <w:widowControl w:val="0"/>
                      <w:tabs>
                        <w:tab w:val="left" w:pos="196"/>
                        <w:tab w:val="left" w:pos="426"/>
                      </w:tabs>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AUTOMOTIVE TRUCKS, S.A. de C.V.</w:t>
                    </w:r>
                  </w:p>
                </w:tc>
                <w:tc>
                  <w:tcPr>
                    <w:tcW w:w="857" w:type="pct"/>
                    <w:shd w:val="clear" w:color="auto" w:fill="auto"/>
                    <w:vAlign w:val="center"/>
                  </w:tcPr>
                  <w:p>
                    <w:pPr>
                      <w:pStyle w:val="277"/>
                      <w:widowControl w:val="0"/>
                      <w:tabs>
                        <w:tab w:val="left" w:pos="196"/>
                        <w:tab w:val="left" w:pos="426"/>
                      </w:tabs>
                      <w:spacing w:afterLines="0" w:line="240" w:lineRule="auto"/>
                      <w:ind w:firstLine="0" w:firstLineChars="0"/>
                      <w:jc w:val="right"/>
                      <w:rPr>
                        <w:rFonts w:asciiTheme="minorEastAsia" w:hAnsiTheme="minorEastAsia" w:eastAsiaTheme="minorEastAsia"/>
                        <w:b w:val="0"/>
                        <w:szCs w:val="21"/>
                      </w:rPr>
                    </w:pPr>
                    <w:r>
                      <w:rPr>
                        <w:rFonts w:asciiTheme="minorEastAsia" w:hAnsiTheme="minorEastAsia" w:eastAsiaTheme="minorEastAsia"/>
                        <w:b w:val="0"/>
                        <w:szCs w:val="21"/>
                      </w:rPr>
                      <w:t>3,172,449.94</w:t>
                    </w:r>
                  </w:p>
                </w:tc>
                <w:tc>
                  <w:tcPr>
                    <w:tcW w:w="1451"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2</w:t>
                    </w:r>
                    <w:r>
                      <w:rPr>
                        <w:rFonts w:hint="eastAsia" w:asciiTheme="minorEastAsia" w:hAnsiTheme="minorEastAsia" w:eastAsiaTheme="minorEastAsia"/>
                        <w:b w:val="0"/>
                        <w:szCs w:val="21"/>
                      </w:rPr>
                      <w:t>年</w:t>
                    </w:r>
                    <w:r>
                      <w:rPr>
                        <w:rFonts w:asciiTheme="minorEastAsia" w:hAnsiTheme="minorEastAsia" w:eastAsiaTheme="minorEastAsia"/>
                        <w:b w:val="0"/>
                        <w:szCs w:val="21"/>
                      </w:rPr>
                      <w:t>86,855.87</w:t>
                    </w:r>
                  </w:p>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2</w:t>
                    </w:r>
                    <w:r>
                      <w:rPr>
                        <w:rFonts w:hint="eastAsia" w:asciiTheme="minorEastAsia" w:hAnsiTheme="minorEastAsia" w:eastAsiaTheme="minorEastAsia"/>
                        <w:b w:val="0"/>
                        <w:szCs w:val="21"/>
                      </w:rPr>
                      <w:t>-</w:t>
                    </w:r>
                    <w:r>
                      <w:rPr>
                        <w:rFonts w:asciiTheme="minorEastAsia" w:hAnsiTheme="minorEastAsia" w:eastAsiaTheme="minorEastAsia"/>
                        <w:b w:val="0"/>
                        <w:szCs w:val="21"/>
                      </w:rPr>
                      <w:t>3年90,125.93</w:t>
                    </w:r>
                  </w:p>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3</w:t>
                    </w:r>
                    <w:r>
                      <w:rPr>
                        <w:rFonts w:asciiTheme="minorEastAsia" w:hAnsiTheme="minorEastAsia" w:eastAsiaTheme="minorEastAsia"/>
                        <w:b w:val="0"/>
                        <w:szCs w:val="21"/>
                      </w:rPr>
                      <w:t>年</w:t>
                    </w:r>
                    <w:r>
                      <w:rPr>
                        <w:rFonts w:hint="eastAsia" w:asciiTheme="minorEastAsia" w:hAnsiTheme="minorEastAsia" w:eastAsiaTheme="minorEastAsia"/>
                        <w:b w:val="0"/>
                        <w:szCs w:val="21"/>
                      </w:rPr>
                      <w:t>以上</w:t>
                    </w:r>
                    <w:r>
                      <w:rPr>
                        <w:rFonts w:asciiTheme="minorEastAsia" w:hAnsiTheme="minorEastAsia" w:eastAsiaTheme="minorEastAsia"/>
                        <w:b w:val="0"/>
                        <w:szCs w:val="21"/>
                      </w:rPr>
                      <w:t>2,995,468.14</w:t>
                    </w:r>
                  </w:p>
                </w:tc>
                <w:tc>
                  <w:tcPr>
                    <w:tcW w:w="905"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因国六政策导致订单暂停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exact"/>
                </w:trPr>
                <w:tc>
                  <w:tcPr>
                    <w:tcW w:w="1787" w:type="pct"/>
                    <w:shd w:val="clear" w:color="auto" w:fill="auto"/>
                    <w:vAlign w:val="center"/>
                  </w:tcPr>
                  <w:p>
                    <w:pPr>
                      <w:widowControl w:val="0"/>
                      <w:tabs>
                        <w:tab w:val="left" w:pos="196"/>
                        <w:tab w:val="left" w:pos="426"/>
                      </w:tabs>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重庆旺兴塑胶有限公司</w:t>
                    </w:r>
                  </w:p>
                </w:tc>
                <w:tc>
                  <w:tcPr>
                    <w:tcW w:w="857" w:type="pct"/>
                    <w:shd w:val="clear" w:color="auto" w:fill="auto"/>
                    <w:vAlign w:val="center"/>
                  </w:tcPr>
                  <w:p>
                    <w:pPr>
                      <w:pStyle w:val="277"/>
                      <w:widowControl w:val="0"/>
                      <w:tabs>
                        <w:tab w:val="left" w:pos="196"/>
                        <w:tab w:val="left" w:pos="426"/>
                      </w:tabs>
                      <w:spacing w:afterLines="0" w:line="240" w:lineRule="auto"/>
                      <w:ind w:firstLine="0" w:firstLineChars="0"/>
                      <w:jc w:val="right"/>
                      <w:rPr>
                        <w:rFonts w:asciiTheme="minorEastAsia" w:hAnsiTheme="minorEastAsia" w:eastAsiaTheme="minorEastAsia"/>
                        <w:b w:val="0"/>
                        <w:szCs w:val="21"/>
                      </w:rPr>
                    </w:pPr>
                    <w:r>
                      <w:rPr>
                        <w:rFonts w:asciiTheme="minorEastAsia" w:hAnsiTheme="minorEastAsia" w:eastAsiaTheme="minorEastAsia"/>
                        <w:b w:val="0"/>
                        <w:szCs w:val="21"/>
                      </w:rPr>
                      <w:t>2,731,500.00</w:t>
                    </w:r>
                  </w:p>
                </w:tc>
                <w:tc>
                  <w:tcPr>
                    <w:tcW w:w="1451"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2</w:t>
                    </w:r>
                    <w:r>
                      <w:rPr>
                        <w:rFonts w:hint="eastAsia" w:asciiTheme="minorEastAsia" w:hAnsiTheme="minorEastAsia" w:eastAsiaTheme="minorEastAsia"/>
                        <w:b w:val="0"/>
                        <w:szCs w:val="21"/>
                      </w:rPr>
                      <w:t>年</w:t>
                    </w:r>
                    <w:r>
                      <w:rPr>
                        <w:rFonts w:asciiTheme="minorEastAsia" w:hAnsiTheme="minorEastAsia" w:eastAsiaTheme="minorEastAsia"/>
                        <w:b w:val="0"/>
                        <w:szCs w:val="21"/>
                      </w:rPr>
                      <w:t>36,200.00</w:t>
                    </w:r>
                  </w:p>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3年以上2,695,300.00</w:t>
                    </w:r>
                  </w:p>
                </w:tc>
                <w:tc>
                  <w:tcPr>
                    <w:tcW w:w="905"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供货量未达标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pct"/>
                    <w:shd w:val="clear" w:color="auto" w:fill="auto"/>
                    <w:vAlign w:val="center"/>
                  </w:tcPr>
                  <w:p>
                    <w:pPr>
                      <w:widowControl w:val="0"/>
                      <w:tabs>
                        <w:tab w:val="left" w:pos="196"/>
                        <w:tab w:val="left" w:pos="426"/>
                      </w:tabs>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DEN HAAG TRANSCONTINENT INTERNATIONAL</w:t>
                    </w:r>
                  </w:p>
                </w:tc>
                <w:tc>
                  <w:tcPr>
                    <w:tcW w:w="857" w:type="pct"/>
                    <w:shd w:val="clear" w:color="auto" w:fill="auto"/>
                    <w:vAlign w:val="center"/>
                  </w:tcPr>
                  <w:p>
                    <w:pPr>
                      <w:pStyle w:val="277"/>
                      <w:widowControl w:val="0"/>
                      <w:tabs>
                        <w:tab w:val="left" w:pos="196"/>
                        <w:tab w:val="left" w:pos="426"/>
                      </w:tabs>
                      <w:spacing w:afterLines="0" w:line="240" w:lineRule="auto"/>
                      <w:ind w:firstLine="0" w:firstLineChars="0"/>
                      <w:jc w:val="right"/>
                      <w:rPr>
                        <w:rFonts w:asciiTheme="minorEastAsia" w:hAnsiTheme="minorEastAsia" w:eastAsiaTheme="minorEastAsia"/>
                        <w:b w:val="0"/>
                        <w:szCs w:val="21"/>
                      </w:rPr>
                    </w:pPr>
                    <w:r>
                      <w:rPr>
                        <w:rFonts w:asciiTheme="minorEastAsia" w:hAnsiTheme="minorEastAsia" w:eastAsiaTheme="minorEastAsia"/>
                        <w:b w:val="0"/>
                        <w:szCs w:val="21"/>
                      </w:rPr>
                      <w:t>1,715,263.55</w:t>
                    </w:r>
                  </w:p>
                </w:tc>
                <w:tc>
                  <w:tcPr>
                    <w:tcW w:w="1451"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1-</w:t>
                    </w:r>
                    <w:r>
                      <w:rPr>
                        <w:rFonts w:asciiTheme="minorEastAsia" w:hAnsiTheme="minorEastAsia" w:eastAsiaTheme="minorEastAsia"/>
                        <w:b w:val="0"/>
                        <w:szCs w:val="21"/>
                      </w:rPr>
                      <w:t>2</w:t>
                    </w:r>
                    <w:r>
                      <w:rPr>
                        <w:rFonts w:hint="eastAsia" w:asciiTheme="minorEastAsia" w:hAnsiTheme="minorEastAsia" w:eastAsiaTheme="minorEastAsia"/>
                        <w:b w:val="0"/>
                        <w:szCs w:val="21"/>
                      </w:rPr>
                      <w:t>年</w:t>
                    </w:r>
                    <w:r>
                      <w:rPr>
                        <w:rFonts w:asciiTheme="minorEastAsia" w:hAnsiTheme="minorEastAsia" w:eastAsiaTheme="minorEastAsia"/>
                        <w:b w:val="0"/>
                        <w:szCs w:val="21"/>
                      </w:rPr>
                      <w:t>51,365.02</w:t>
                    </w:r>
                  </w:p>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2-</w:t>
                    </w:r>
                    <w:r>
                      <w:rPr>
                        <w:rFonts w:asciiTheme="minorEastAsia" w:hAnsiTheme="minorEastAsia" w:eastAsiaTheme="minorEastAsia"/>
                        <w:b w:val="0"/>
                        <w:szCs w:val="21"/>
                      </w:rPr>
                      <w:t>3</w:t>
                    </w:r>
                    <w:r>
                      <w:rPr>
                        <w:rFonts w:hint="eastAsia" w:asciiTheme="minorEastAsia" w:hAnsiTheme="minorEastAsia" w:eastAsiaTheme="minorEastAsia"/>
                        <w:b w:val="0"/>
                        <w:szCs w:val="21"/>
                      </w:rPr>
                      <w:t>年</w:t>
                    </w:r>
                    <w:r>
                      <w:rPr>
                        <w:rFonts w:asciiTheme="minorEastAsia" w:hAnsiTheme="minorEastAsia" w:eastAsiaTheme="minorEastAsia"/>
                        <w:b w:val="0"/>
                        <w:szCs w:val="21"/>
                      </w:rPr>
                      <w:t>14,658.75</w:t>
                    </w:r>
                  </w:p>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3年以上</w:t>
                    </w:r>
                    <w:r>
                      <w:rPr>
                        <w:rFonts w:asciiTheme="minorEastAsia" w:hAnsiTheme="minorEastAsia" w:eastAsiaTheme="minorEastAsia"/>
                        <w:b w:val="0"/>
                        <w:szCs w:val="21"/>
                      </w:rPr>
                      <w:t>1,649,239.78</w:t>
                    </w:r>
                  </w:p>
                </w:tc>
                <w:tc>
                  <w:tcPr>
                    <w:tcW w:w="905"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因国六政策导致订单暂停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pct"/>
                    <w:shd w:val="clear" w:color="auto" w:fill="auto"/>
                    <w:vAlign w:val="center"/>
                  </w:tcPr>
                  <w:p>
                    <w:pPr>
                      <w:widowControl w:val="0"/>
                      <w:tabs>
                        <w:tab w:val="left" w:pos="196"/>
                        <w:tab w:val="left" w:pos="426"/>
                      </w:tabs>
                      <w:adjustRightInd w:val="0"/>
                      <w:snapToGrid w:val="0"/>
                      <w:rPr>
                        <w:rFonts w:asciiTheme="minorEastAsia" w:hAnsiTheme="minorEastAsia" w:eastAsiaTheme="minorEastAsia"/>
                        <w:szCs w:val="21"/>
                      </w:rPr>
                    </w:pPr>
                    <w:r>
                      <w:rPr>
                        <w:rFonts w:asciiTheme="minorEastAsia" w:hAnsiTheme="minorEastAsia" w:eastAsiaTheme="minorEastAsia"/>
                        <w:szCs w:val="21"/>
                      </w:rPr>
                      <w:t>重庆万坤摩托车配件有限公司</w:t>
                    </w:r>
                  </w:p>
                </w:tc>
                <w:tc>
                  <w:tcPr>
                    <w:tcW w:w="857" w:type="pct"/>
                    <w:shd w:val="clear" w:color="auto" w:fill="auto"/>
                    <w:vAlign w:val="center"/>
                  </w:tcPr>
                  <w:p>
                    <w:pPr>
                      <w:pStyle w:val="277"/>
                      <w:widowControl w:val="0"/>
                      <w:tabs>
                        <w:tab w:val="left" w:pos="196"/>
                        <w:tab w:val="left" w:pos="426"/>
                      </w:tabs>
                      <w:spacing w:afterLines="0" w:line="240" w:lineRule="auto"/>
                      <w:ind w:firstLine="0" w:firstLineChars="0"/>
                      <w:jc w:val="right"/>
                      <w:rPr>
                        <w:rFonts w:asciiTheme="minorEastAsia" w:hAnsiTheme="minorEastAsia" w:eastAsiaTheme="minorEastAsia"/>
                        <w:b w:val="0"/>
                        <w:szCs w:val="21"/>
                      </w:rPr>
                    </w:pPr>
                    <w:r>
                      <w:rPr>
                        <w:rFonts w:asciiTheme="minorEastAsia" w:hAnsiTheme="minorEastAsia" w:eastAsiaTheme="minorEastAsia"/>
                        <w:b w:val="0"/>
                        <w:szCs w:val="21"/>
                      </w:rPr>
                      <w:t>1,279,102.67</w:t>
                    </w:r>
                  </w:p>
                </w:tc>
                <w:tc>
                  <w:tcPr>
                    <w:tcW w:w="1451"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3年以上</w:t>
                    </w:r>
                  </w:p>
                </w:tc>
                <w:tc>
                  <w:tcPr>
                    <w:tcW w:w="905"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未达到结算条件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pct"/>
                    <w:shd w:val="clear" w:color="auto" w:fill="auto"/>
                    <w:vAlign w:val="center"/>
                  </w:tcPr>
                  <w:p>
                    <w:pPr>
                      <w:widowControl w:val="0"/>
                      <w:tabs>
                        <w:tab w:val="left" w:pos="196"/>
                        <w:tab w:val="left" w:pos="426"/>
                      </w:tabs>
                      <w:adjustRightInd w:val="0"/>
                      <w:snapToGrid w:val="0"/>
                      <w:rPr>
                        <w:rFonts w:asciiTheme="minorEastAsia" w:hAnsiTheme="minorEastAsia" w:eastAsiaTheme="minorEastAsia"/>
                        <w:szCs w:val="21"/>
                      </w:rPr>
                    </w:pPr>
                    <w:r>
                      <w:rPr>
                        <w:rFonts w:hint="eastAsia" w:asciiTheme="minorEastAsia" w:hAnsiTheme="minorEastAsia" w:eastAsiaTheme="minorEastAsia"/>
                        <w:szCs w:val="21"/>
                      </w:rPr>
                      <w:t>江门德宇新能源科技有限公司</w:t>
                    </w:r>
                  </w:p>
                </w:tc>
                <w:tc>
                  <w:tcPr>
                    <w:tcW w:w="857" w:type="pct"/>
                    <w:shd w:val="clear" w:color="auto" w:fill="auto"/>
                    <w:vAlign w:val="center"/>
                  </w:tcPr>
                  <w:p>
                    <w:pPr>
                      <w:pStyle w:val="277"/>
                      <w:widowControl w:val="0"/>
                      <w:tabs>
                        <w:tab w:val="left" w:pos="196"/>
                        <w:tab w:val="left" w:pos="426"/>
                      </w:tabs>
                      <w:spacing w:afterLines="0" w:line="240" w:lineRule="auto"/>
                      <w:ind w:firstLine="0" w:firstLineChars="0"/>
                      <w:jc w:val="right"/>
                      <w:rPr>
                        <w:rFonts w:asciiTheme="minorEastAsia" w:hAnsiTheme="minorEastAsia" w:eastAsiaTheme="minorEastAsia"/>
                        <w:b w:val="0"/>
                        <w:szCs w:val="21"/>
                      </w:rPr>
                    </w:pPr>
                    <w:r>
                      <w:rPr>
                        <w:rFonts w:asciiTheme="minorEastAsia" w:hAnsiTheme="minorEastAsia" w:eastAsiaTheme="minorEastAsia"/>
                        <w:b w:val="0"/>
                        <w:szCs w:val="21"/>
                      </w:rPr>
                      <w:t>1,100,000.00</w:t>
                    </w:r>
                  </w:p>
                </w:tc>
                <w:tc>
                  <w:tcPr>
                    <w:tcW w:w="1451"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hint="eastAsia" w:asciiTheme="minorEastAsia" w:hAnsiTheme="minorEastAsia" w:eastAsiaTheme="minorEastAsia"/>
                        <w:b w:val="0"/>
                        <w:szCs w:val="21"/>
                      </w:rPr>
                      <w:t>3年以上</w:t>
                    </w:r>
                  </w:p>
                </w:tc>
                <w:tc>
                  <w:tcPr>
                    <w:tcW w:w="905"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r>
                      <w:rPr>
                        <w:rFonts w:asciiTheme="minorEastAsia" w:hAnsiTheme="minorEastAsia" w:eastAsiaTheme="minorEastAsia"/>
                        <w:b w:val="0"/>
                        <w:szCs w:val="21"/>
                      </w:rPr>
                      <w:t>未达到结算条件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pct"/>
                    <w:shd w:val="clear" w:color="auto" w:fill="auto"/>
                    <w:vAlign w:val="center"/>
                  </w:tcPr>
                  <w:p>
                    <w:pPr>
                      <w:widowControl w:val="0"/>
                      <w:tabs>
                        <w:tab w:val="left" w:pos="196"/>
                        <w:tab w:val="left" w:pos="426"/>
                      </w:tabs>
                      <w:adjustRightInd w:val="0"/>
                      <w:snapToGrid w:val="0"/>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857" w:type="pct"/>
                    <w:shd w:val="clear" w:color="auto" w:fill="auto"/>
                    <w:vAlign w:val="center"/>
                  </w:tcPr>
                  <w:p>
                    <w:pPr>
                      <w:pStyle w:val="277"/>
                      <w:widowControl w:val="0"/>
                      <w:tabs>
                        <w:tab w:val="left" w:pos="196"/>
                        <w:tab w:val="left" w:pos="426"/>
                      </w:tabs>
                      <w:spacing w:afterLines="0" w:line="240" w:lineRule="auto"/>
                      <w:ind w:firstLine="0" w:firstLineChars="0"/>
                      <w:jc w:val="right"/>
                      <w:rPr>
                        <w:rFonts w:asciiTheme="minorEastAsia" w:hAnsiTheme="minorEastAsia" w:eastAsiaTheme="minorEastAsia"/>
                        <w:b w:val="0"/>
                        <w:szCs w:val="21"/>
                      </w:rPr>
                    </w:pPr>
                    <w:r>
                      <w:rPr>
                        <w:rFonts w:asciiTheme="minorEastAsia" w:hAnsiTheme="minorEastAsia" w:eastAsiaTheme="minorEastAsia"/>
                        <w:b w:val="0"/>
                        <w:szCs w:val="21"/>
                      </w:rPr>
                      <w:t>9,998,316.16</w:t>
                    </w:r>
                  </w:p>
                </w:tc>
                <w:tc>
                  <w:tcPr>
                    <w:tcW w:w="1451"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p>
                </w:tc>
                <w:tc>
                  <w:tcPr>
                    <w:tcW w:w="905" w:type="pct"/>
                    <w:shd w:val="clear" w:color="auto" w:fill="auto"/>
                    <w:vAlign w:val="center"/>
                  </w:tcPr>
                  <w:p>
                    <w:pPr>
                      <w:pStyle w:val="277"/>
                      <w:widowControl w:val="0"/>
                      <w:tabs>
                        <w:tab w:val="left" w:pos="196"/>
                        <w:tab w:val="left" w:pos="426"/>
                      </w:tabs>
                      <w:spacing w:afterLines="0" w:line="240" w:lineRule="auto"/>
                      <w:ind w:firstLine="0" w:firstLineChars="0"/>
                      <w:jc w:val="both"/>
                      <w:rPr>
                        <w:rFonts w:asciiTheme="minorEastAsia" w:hAnsiTheme="minorEastAsia" w:eastAsiaTheme="minorEastAsia"/>
                        <w:b w:val="0"/>
                        <w:szCs w:val="21"/>
                      </w:rPr>
                    </w:pPr>
                  </w:p>
                </w:tc>
              </w:tr>
            </w:tbl>
            <w:p/>
          </w:sdtContent>
        </w:sdt>
      </w:sdtContent>
    </w:sdt>
    <w:sdt>
      <w:sdtPr>
        <w:rPr>
          <w:rFonts w:hint="eastAsia" w:ascii="宋体" w:hAnsi="宋体" w:eastAsia="宋体" w:cs="宋体"/>
          <w:b w:val="0"/>
          <w:bCs w:val="0"/>
          <w:kern w:val="0"/>
          <w:szCs w:val="24"/>
        </w:rPr>
        <w:alias w:val="模块:预付款项金额前五名单位情况"/>
        <w:tag w:val="_SEC_8a85592946074248a7ee474e6adb363e"/>
        <w:id w:val="-72511727"/>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80"/>
            </w:numPr>
            <w:ind w:left="426" w:hanging="426"/>
            <w:rPr>
              <w:szCs w:val="21"/>
            </w:rPr>
          </w:pPr>
          <w:r>
            <w:rPr>
              <w:rFonts w:hint="eastAsia"/>
            </w:rPr>
            <w:t>按预付对象归集的期末余额前五名的预付款情况</w:t>
          </w:r>
        </w:p>
        <w:sdt>
          <w:sdtPr>
            <w:rPr>
              <w:rFonts w:hint="eastAsia"/>
              <w:szCs w:val="21"/>
            </w:rPr>
            <w:alias w:val="是否适用：按预付对象归集的期末余额前五名的预付款情况[双击切换]"/>
            <w:tag w:val="_GBC_6359dc471e0a406c8706681c2db6e149"/>
            <w:id w:val="-2032786090"/>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Style w:val="11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843"/>
            <w:gridCol w:w="1417"/>
            <w:gridCol w:w="198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hint="eastAsia"/>
                  <w:szCs w:val="21"/>
                </w:rPr>
                <w:tag w:val="_PLD_0ab17d7ae0014b6192c9dd0e6d3d3a25"/>
                <w:id w:val="215100809"/>
                <w:lock w:val="sdtLocked"/>
              </w:sdtPr>
              <w:sdtEndPr>
                <w:rPr>
                  <w:rFonts w:hint="eastAsia"/>
                  <w:szCs w:val="21"/>
                </w:rPr>
              </w:sdtEndPr>
              <w:sdtContent>
                <w:tc>
                  <w:tcPr>
                    <w:tcW w:w="812" w:type="pct"/>
                    <w:vAlign w:val="center"/>
                  </w:tcPr>
                  <w:p>
                    <w:pPr>
                      <w:ind w:right="105"/>
                      <w:jc w:val="center"/>
                      <w:rPr>
                        <w:szCs w:val="21"/>
                      </w:rPr>
                    </w:pPr>
                    <w:r>
                      <w:rPr>
                        <w:rFonts w:hint="eastAsia"/>
                        <w:szCs w:val="21"/>
                      </w:rPr>
                      <w:t>单位名称</w:t>
                    </w:r>
                  </w:p>
                </w:tc>
              </w:sdtContent>
            </w:sdt>
            <w:sdt>
              <w:sdtPr>
                <w:rPr>
                  <w:rFonts w:hint="eastAsia"/>
                  <w:szCs w:val="21"/>
                </w:rPr>
                <w:tag w:val="_PLD_cdd4a1e632c94d14908eb36a620946a9"/>
                <w:id w:val="592438731"/>
                <w:lock w:val="sdtLocked"/>
              </w:sdtPr>
              <w:sdtEndPr>
                <w:rPr>
                  <w:rFonts w:hint="eastAsia"/>
                  <w:szCs w:val="21"/>
                </w:rPr>
              </w:sdtEndPr>
              <w:sdtContent>
                <w:tc>
                  <w:tcPr>
                    <w:tcW w:w="1082" w:type="pct"/>
                    <w:vAlign w:val="center"/>
                  </w:tcPr>
                  <w:p>
                    <w:pPr>
                      <w:ind w:right="73"/>
                      <w:jc w:val="center"/>
                      <w:rPr>
                        <w:szCs w:val="21"/>
                      </w:rPr>
                    </w:pPr>
                    <w:r>
                      <w:rPr>
                        <w:rFonts w:hint="eastAsia"/>
                        <w:szCs w:val="21"/>
                      </w:rPr>
                      <w:t>期末余额</w:t>
                    </w:r>
                  </w:p>
                </w:tc>
              </w:sdtContent>
            </w:sdt>
            <w:sdt>
              <w:sdtPr>
                <w:rPr>
                  <w:rFonts w:hint="eastAsia"/>
                  <w:szCs w:val="21"/>
                </w:rPr>
                <w:tag w:val="_PLD_c9db34035f63426095900b82cc8a8131"/>
                <w:id w:val="128830014"/>
                <w:lock w:val="sdtLocked"/>
              </w:sdtPr>
              <w:sdtEndPr>
                <w:rPr>
                  <w:rFonts w:hint="default"/>
                  <w:szCs w:val="21"/>
                </w:rPr>
              </w:sdtEndPr>
              <w:sdtContent>
                <w:tc>
                  <w:tcPr>
                    <w:tcW w:w="832" w:type="pct"/>
                    <w:vAlign w:val="center"/>
                  </w:tcPr>
                  <w:p>
                    <w:pPr>
                      <w:jc w:val="center"/>
                      <w:rPr>
                        <w:szCs w:val="21"/>
                      </w:rPr>
                    </w:pPr>
                    <w:r>
                      <w:rPr>
                        <w:rFonts w:hint="eastAsia"/>
                        <w:szCs w:val="21"/>
                      </w:rPr>
                      <w:t>占预付款项期末余额合计数的比例(</w:t>
                    </w:r>
                    <w:r>
                      <w:rPr>
                        <w:szCs w:val="21"/>
                      </w:rPr>
                      <w:t>%)</w:t>
                    </w:r>
                  </w:p>
                </w:tc>
              </w:sdtContent>
            </w:sdt>
            <w:tc>
              <w:tcPr>
                <w:tcW w:w="1165" w:type="pct"/>
                <w:vAlign w:val="center"/>
              </w:tcPr>
              <w:p>
                <w:pPr>
                  <w:jc w:val="center"/>
                  <w:rPr>
                    <w:szCs w:val="21"/>
                  </w:rPr>
                </w:pPr>
                <w:r>
                  <w:rPr>
                    <w:rFonts w:hint="eastAsia"/>
                    <w:szCs w:val="21"/>
                  </w:rPr>
                  <w:t>预付款时间</w:t>
                </w:r>
              </w:p>
            </w:tc>
            <w:tc>
              <w:tcPr>
                <w:tcW w:w="1109" w:type="pct"/>
                <w:vAlign w:val="center"/>
              </w:tcPr>
              <w:p>
                <w:pPr>
                  <w:jc w:val="center"/>
                  <w:rPr>
                    <w:szCs w:val="21"/>
                  </w:rPr>
                </w:pPr>
                <w:r>
                  <w:rPr>
                    <w:rFonts w:hint="eastAsia"/>
                    <w:szCs w:val="21"/>
                  </w:rPr>
                  <w:t>未结算原因</w:t>
                </w:r>
              </w:p>
            </w:tc>
          </w:tr>
          <w:sdt>
            <w:sdtPr>
              <w:rPr>
                <w:rFonts w:asciiTheme="minorHAnsi" w:hAnsiTheme="minorHAnsi" w:eastAsiaTheme="minorEastAsia" w:cstheme="minorBidi"/>
                <w:kern w:val="2"/>
                <w:szCs w:val="21"/>
              </w:rPr>
              <w:alias w:val="预付帐款欠款户"/>
              <w:tag w:val="_TUP_93f51bbe2cf24bbea15847f5b49a356b"/>
              <w:id w:val="161454431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2" w:type="pct"/>
                    <w:vAlign w:val="center"/>
                  </w:tcPr>
                  <w:p>
                    <w:pPr>
                      <w:ind w:right="105"/>
                      <w:jc w:val="center"/>
                      <w:rPr>
                        <w:szCs w:val="21"/>
                      </w:rPr>
                    </w:pPr>
                    <w:r>
                      <w:t>第一名</w:t>
                    </w:r>
                  </w:p>
                </w:tc>
                <w:tc>
                  <w:tcPr>
                    <w:tcW w:w="1082" w:type="pct"/>
                    <w:vAlign w:val="center"/>
                  </w:tcPr>
                  <w:p>
                    <w:pPr>
                      <w:ind w:right="73"/>
                      <w:jc w:val="right"/>
                      <w:rPr>
                        <w:szCs w:val="21"/>
                      </w:rPr>
                    </w:pPr>
                    <w:r>
                      <w:t>3,172,449.94</w:t>
                    </w:r>
                  </w:p>
                </w:tc>
                <w:tc>
                  <w:tcPr>
                    <w:tcW w:w="832" w:type="pct"/>
                    <w:vAlign w:val="center"/>
                  </w:tcPr>
                  <w:p>
                    <w:pPr>
                      <w:jc w:val="center"/>
                      <w:rPr>
                        <w:szCs w:val="21"/>
                      </w:rPr>
                    </w:pPr>
                    <w:r>
                      <w:t>6.95</w:t>
                    </w:r>
                  </w:p>
                </w:tc>
                <w:sdt>
                  <w:sdtPr>
                    <w:alias w:val="预付款时间"/>
                    <w:tag w:val="_GBC_0144ec58917c4ad98debbd646d5bddfe"/>
                    <w:id w:val="370889745"/>
                    <w:lock w:val="sdtLocked"/>
                  </w:sdtPr>
                  <w:sdtContent>
                    <w:tc>
                      <w:tcPr>
                        <w:tcW w:w="1165" w:type="pct"/>
                        <w:vAlign w:val="center"/>
                      </w:tcPr>
                      <w:p>
                        <w:pPr>
                          <w:jc w:val="both"/>
                        </w:pPr>
                        <w:r>
                          <w:t>2020年</w:t>
                        </w:r>
                      </w:p>
                      <w:p>
                        <w:pPr>
                          <w:jc w:val="both"/>
                        </w:pPr>
                        <w:r>
                          <w:t>2019年</w:t>
                        </w:r>
                      </w:p>
                      <w:p>
                        <w:pPr>
                          <w:jc w:val="both"/>
                          <w:rPr>
                            <w:szCs w:val="21"/>
                          </w:rPr>
                        </w:pPr>
                        <w:r>
                          <w:t>2018年及以前</w:t>
                        </w:r>
                      </w:p>
                    </w:tc>
                  </w:sdtContent>
                </w:sdt>
                <w:tc>
                  <w:tcPr>
                    <w:tcW w:w="1109" w:type="pct"/>
                    <w:vAlign w:val="center"/>
                  </w:tcPr>
                  <w:p>
                    <w:pPr>
                      <w:jc w:val="both"/>
                      <w:rPr>
                        <w:szCs w:val="21"/>
                      </w:rPr>
                    </w:pPr>
                    <w:r>
                      <w:t>因国六政策导致订单暂停</w:t>
                    </w:r>
                  </w:p>
                </w:tc>
              </w:tr>
            </w:sdtContent>
          </w:sdt>
          <w:sdt>
            <w:sdtPr>
              <w:rPr>
                <w:rFonts w:asciiTheme="minorHAnsi" w:hAnsiTheme="minorHAnsi" w:eastAsiaTheme="minorEastAsia" w:cstheme="minorBidi"/>
                <w:kern w:val="2"/>
                <w:szCs w:val="21"/>
              </w:rPr>
              <w:alias w:val="预付帐款欠款户"/>
              <w:tag w:val="_TUP_93f51bbe2cf24bbea15847f5b49a356b"/>
              <w:id w:val="88483293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2" w:type="pct"/>
                    <w:vAlign w:val="center"/>
                  </w:tcPr>
                  <w:p>
                    <w:pPr>
                      <w:ind w:right="105"/>
                      <w:jc w:val="center"/>
                      <w:rPr>
                        <w:szCs w:val="21"/>
                      </w:rPr>
                    </w:pPr>
                    <w:r>
                      <w:t>第二名</w:t>
                    </w:r>
                  </w:p>
                </w:tc>
                <w:tc>
                  <w:tcPr>
                    <w:tcW w:w="1082" w:type="pct"/>
                    <w:vAlign w:val="center"/>
                  </w:tcPr>
                  <w:p>
                    <w:pPr>
                      <w:ind w:right="73"/>
                      <w:jc w:val="right"/>
                      <w:rPr>
                        <w:szCs w:val="21"/>
                      </w:rPr>
                    </w:pPr>
                    <w:r>
                      <w:t>2,731,500.00</w:t>
                    </w:r>
                  </w:p>
                </w:tc>
                <w:tc>
                  <w:tcPr>
                    <w:tcW w:w="832" w:type="pct"/>
                    <w:vAlign w:val="center"/>
                  </w:tcPr>
                  <w:p>
                    <w:pPr>
                      <w:jc w:val="center"/>
                      <w:rPr>
                        <w:szCs w:val="21"/>
                      </w:rPr>
                    </w:pPr>
                    <w:r>
                      <w:t>5.99</w:t>
                    </w:r>
                  </w:p>
                </w:tc>
                <w:sdt>
                  <w:sdtPr>
                    <w:alias w:val="预付款时间"/>
                    <w:tag w:val="_GBC_0144ec58917c4ad98debbd646d5bddfe"/>
                    <w:id w:val="1093826288"/>
                    <w:lock w:val="sdtLocked"/>
                  </w:sdtPr>
                  <w:sdtContent>
                    <w:tc>
                      <w:tcPr>
                        <w:tcW w:w="1165" w:type="pct"/>
                        <w:vAlign w:val="center"/>
                      </w:tcPr>
                      <w:p>
                        <w:pPr>
                          <w:jc w:val="both"/>
                        </w:pPr>
                        <w:r>
                          <w:t>2020年</w:t>
                        </w:r>
                      </w:p>
                      <w:p>
                        <w:pPr>
                          <w:jc w:val="both"/>
                          <w:rPr>
                            <w:szCs w:val="21"/>
                          </w:rPr>
                        </w:pPr>
                        <w:r>
                          <w:t>2018年及以前</w:t>
                        </w:r>
                      </w:p>
                    </w:tc>
                  </w:sdtContent>
                </w:sdt>
                <w:tc>
                  <w:tcPr>
                    <w:tcW w:w="1109" w:type="pct"/>
                    <w:vAlign w:val="center"/>
                  </w:tcPr>
                  <w:p>
                    <w:pPr>
                      <w:jc w:val="both"/>
                      <w:rPr>
                        <w:szCs w:val="21"/>
                      </w:rPr>
                    </w:pPr>
                    <w:r>
                      <w:t>供货量未达标</w:t>
                    </w:r>
                  </w:p>
                </w:tc>
              </w:tr>
            </w:sdtContent>
          </w:sdt>
          <w:sdt>
            <w:sdtPr>
              <w:rPr>
                <w:rFonts w:asciiTheme="minorHAnsi" w:hAnsiTheme="minorHAnsi" w:eastAsiaTheme="minorEastAsia" w:cstheme="minorBidi"/>
                <w:kern w:val="2"/>
                <w:szCs w:val="21"/>
              </w:rPr>
              <w:alias w:val="预付帐款欠款户"/>
              <w:tag w:val="_TUP_93f51bbe2cf24bbea15847f5b49a356b"/>
              <w:id w:val="-150189434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2" w:type="pct"/>
                    <w:vAlign w:val="center"/>
                  </w:tcPr>
                  <w:p>
                    <w:pPr>
                      <w:ind w:right="105"/>
                      <w:jc w:val="center"/>
                      <w:rPr>
                        <w:szCs w:val="21"/>
                      </w:rPr>
                    </w:pPr>
                    <w:r>
                      <w:t>第三名</w:t>
                    </w:r>
                  </w:p>
                </w:tc>
                <w:tc>
                  <w:tcPr>
                    <w:tcW w:w="1082" w:type="pct"/>
                    <w:vAlign w:val="center"/>
                  </w:tcPr>
                  <w:p>
                    <w:pPr>
                      <w:ind w:right="73"/>
                      <w:jc w:val="right"/>
                      <w:rPr>
                        <w:szCs w:val="21"/>
                      </w:rPr>
                    </w:pPr>
                    <w:r>
                      <w:t>2,022,161.64</w:t>
                    </w:r>
                  </w:p>
                </w:tc>
                <w:tc>
                  <w:tcPr>
                    <w:tcW w:w="832" w:type="pct"/>
                    <w:vAlign w:val="center"/>
                  </w:tcPr>
                  <w:p>
                    <w:pPr>
                      <w:jc w:val="center"/>
                      <w:rPr>
                        <w:szCs w:val="21"/>
                      </w:rPr>
                    </w:pPr>
                    <w:r>
                      <w:t>4.43</w:t>
                    </w:r>
                  </w:p>
                </w:tc>
                <w:sdt>
                  <w:sdtPr>
                    <w:alias w:val="预付款时间"/>
                    <w:tag w:val="_GBC_0144ec58917c4ad98debbd646d5bddfe"/>
                    <w:id w:val="-2019071349"/>
                    <w:lock w:val="sdtLocked"/>
                  </w:sdtPr>
                  <w:sdtContent>
                    <w:tc>
                      <w:tcPr>
                        <w:tcW w:w="1165" w:type="pct"/>
                        <w:vAlign w:val="center"/>
                      </w:tcPr>
                      <w:p>
                        <w:pPr>
                          <w:jc w:val="both"/>
                          <w:rPr>
                            <w:szCs w:val="21"/>
                          </w:rPr>
                        </w:pPr>
                        <w:r>
                          <w:t>2021年</w:t>
                        </w:r>
                      </w:p>
                    </w:tc>
                  </w:sdtContent>
                </w:sdt>
                <w:tc>
                  <w:tcPr>
                    <w:tcW w:w="1109" w:type="pct"/>
                    <w:vAlign w:val="center"/>
                  </w:tcPr>
                  <w:p>
                    <w:pPr>
                      <w:jc w:val="both"/>
                      <w:rPr>
                        <w:szCs w:val="21"/>
                      </w:rPr>
                    </w:pPr>
                    <w:r>
                      <w:t>未达到结算条件</w:t>
                    </w:r>
                  </w:p>
                </w:tc>
              </w:tr>
            </w:sdtContent>
          </w:sdt>
          <w:sdt>
            <w:sdtPr>
              <w:rPr>
                <w:rFonts w:asciiTheme="minorHAnsi" w:hAnsiTheme="minorHAnsi" w:eastAsiaTheme="minorEastAsia" w:cstheme="minorBidi"/>
                <w:kern w:val="2"/>
                <w:szCs w:val="21"/>
              </w:rPr>
              <w:alias w:val="预付帐款欠款户"/>
              <w:tag w:val="_TUP_93f51bbe2cf24bbea15847f5b49a356b"/>
              <w:id w:val="-33477367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2" w:type="pct"/>
                    <w:vAlign w:val="center"/>
                  </w:tcPr>
                  <w:p>
                    <w:pPr>
                      <w:ind w:right="105"/>
                      <w:jc w:val="center"/>
                      <w:rPr>
                        <w:szCs w:val="21"/>
                      </w:rPr>
                    </w:pPr>
                    <w:r>
                      <w:t>第四名</w:t>
                    </w:r>
                  </w:p>
                </w:tc>
                <w:tc>
                  <w:tcPr>
                    <w:tcW w:w="1082" w:type="pct"/>
                    <w:vAlign w:val="center"/>
                  </w:tcPr>
                  <w:p>
                    <w:pPr>
                      <w:ind w:right="73"/>
                      <w:jc w:val="right"/>
                      <w:rPr>
                        <w:szCs w:val="21"/>
                      </w:rPr>
                    </w:pPr>
                    <w:r>
                      <w:t>1,912,710.00</w:t>
                    </w:r>
                  </w:p>
                </w:tc>
                <w:tc>
                  <w:tcPr>
                    <w:tcW w:w="832" w:type="pct"/>
                    <w:vAlign w:val="center"/>
                  </w:tcPr>
                  <w:p>
                    <w:pPr>
                      <w:jc w:val="center"/>
                      <w:rPr>
                        <w:szCs w:val="21"/>
                      </w:rPr>
                    </w:pPr>
                    <w:r>
                      <w:t>4.19</w:t>
                    </w:r>
                  </w:p>
                </w:tc>
                <w:sdt>
                  <w:sdtPr>
                    <w:alias w:val="预付款时间"/>
                    <w:tag w:val="_GBC_0144ec58917c4ad98debbd646d5bddfe"/>
                    <w:id w:val="-681505223"/>
                    <w:lock w:val="sdtLocked"/>
                  </w:sdtPr>
                  <w:sdtContent>
                    <w:tc>
                      <w:tcPr>
                        <w:tcW w:w="1165" w:type="pct"/>
                        <w:vAlign w:val="center"/>
                      </w:tcPr>
                      <w:p>
                        <w:pPr>
                          <w:jc w:val="both"/>
                          <w:rPr>
                            <w:szCs w:val="21"/>
                          </w:rPr>
                        </w:pPr>
                        <w:r>
                          <w:t>2021年</w:t>
                        </w:r>
                      </w:p>
                    </w:tc>
                  </w:sdtContent>
                </w:sdt>
                <w:tc>
                  <w:tcPr>
                    <w:tcW w:w="1109" w:type="pct"/>
                    <w:vAlign w:val="center"/>
                  </w:tcPr>
                  <w:p>
                    <w:pPr>
                      <w:jc w:val="both"/>
                      <w:rPr>
                        <w:szCs w:val="21"/>
                      </w:rPr>
                    </w:pPr>
                    <w:r>
                      <w:t>未达到结算条件</w:t>
                    </w:r>
                  </w:p>
                </w:tc>
              </w:tr>
            </w:sdtContent>
          </w:sdt>
          <w:sdt>
            <w:sdtPr>
              <w:rPr>
                <w:rFonts w:asciiTheme="minorHAnsi" w:hAnsiTheme="minorHAnsi" w:eastAsiaTheme="minorEastAsia" w:cstheme="minorBidi"/>
                <w:kern w:val="2"/>
                <w:szCs w:val="21"/>
              </w:rPr>
              <w:alias w:val="预付帐款欠款户"/>
              <w:tag w:val="_TUP_93f51bbe2cf24bbea15847f5b49a356b"/>
              <w:id w:val="81159704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2" w:type="pct"/>
                    <w:vAlign w:val="center"/>
                  </w:tcPr>
                  <w:p>
                    <w:pPr>
                      <w:ind w:right="105"/>
                      <w:jc w:val="center"/>
                      <w:rPr>
                        <w:szCs w:val="21"/>
                      </w:rPr>
                    </w:pPr>
                    <w:r>
                      <w:t>第五名</w:t>
                    </w:r>
                  </w:p>
                </w:tc>
                <w:tc>
                  <w:tcPr>
                    <w:tcW w:w="1082" w:type="pct"/>
                    <w:vAlign w:val="center"/>
                  </w:tcPr>
                  <w:p>
                    <w:pPr>
                      <w:ind w:right="73"/>
                      <w:jc w:val="right"/>
                      <w:rPr>
                        <w:szCs w:val="21"/>
                      </w:rPr>
                    </w:pPr>
                    <w:r>
                      <w:t>1,715,263.55</w:t>
                    </w:r>
                  </w:p>
                </w:tc>
                <w:tc>
                  <w:tcPr>
                    <w:tcW w:w="832" w:type="pct"/>
                    <w:vAlign w:val="center"/>
                  </w:tcPr>
                  <w:p>
                    <w:pPr>
                      <w:jc w:val="center"/>
                      <w:rPr>
                        <w:szCs w:val="21"/>
                      </w:rPr>
                    </w:pPr>
                    <w:r>
                      <w:t>3.76</w:t>
                    </w:r>
                  </w:p>
                </w:tc>
                <w:sdt>
                  <w:sdtPr>
                    <w:alias w:val="预付款时间"/>
                    <w:tag w:val="_GBC_0144ec58917c4ad98debbd646d5bddfe"/>
                    <w:id w:val="-1620364869"/>
                    <w:lock w:val="sdtLocked"/>
                  </w:sdtPr>
                  <w:sdtContent>
                    <w:tc>
                      <w:tcPr>
                        <w:tcW w:w="1165" w:type="pct"/>
                        <w:vAlign w:val="center"/>
                      </w:tcPr>
                      <w:p>
                        <w:pPr>
                          <w:jc w:val="both"/>
                        </w:pPr>
                        <w:r>
                          <w:t>2020年</w:t>
                        </w:r>
                      </w:p>
                      <w:p>
                        <w:pPr>
                          <w:jc w:val="both"/>
                        </w:pPr>
                        <w:r>
                          <w:t>2019年</w:t>
                        </w:r>
                      </w:p>
                      <w:p>
                        <w:pPr>
                          <w:jc w:val="both"/>
                          <w:rPr>
                            <w:szCs w:val="21"/>
                          </w:rPr>
                        </w:pPr>
                        <w:r>
                          <w:t>2018年及以前</w:t>
                        </w:r>
                      </w:p>
                    </w:tc>
                  </w:sdtContent>
                </w:sdt>
                <w:tc>
                  <w:tcPr>
                    <w:tcW w:w="1109" w:type="pct"/>
                    <w:vAlign w:val="center"/>
                  </w:tcPr>
                  <w:p>
                    <w:pPr>
                      <w:jc w:val="both"/>
                      <w:rPr>
                        <w:szCs w:val="21"/>
                      </w:rPr>
                    </w:pPr>
                    <w:r>
                      <w:t>因国六政策导致订单暂停</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2" w:type="pct"/>
              </w:tcPr>
              <w:sdt>
                <w:sdtPr>
                  <w:rPr>
                    <w:rFonts w:hint="eastAsia"/>
                    <w:szCs w:val="21"/>
                  </w:rPr>
                  <w:tag w:val="_PLD_6013c930571c4255bf5da8f1352aaf1f"/>
                  <w:id w:val="804968526"/>
                  <w:lock w:val="sdtLocked"/>
                </w:sdtPr>
                <w:sdtEndPr>
                  <w:rPr>
                    <w:rFonts w:hint="eastAsia"/>
                    <w:szCs w:val="21"/>
                  </w:rPr>
                </w:sdtEndPr>
                <w:sdtContent>
                  <w:p>
                    <w:pPr>
                      <w:ind w:right="105"/>
                      <w:jc w:val="center"/>
                      <w:rPr>
                        <w:szCs w:val="21"/>
                      </w:rPr>
                    </w:pPr>
                    <w:r>
                      <w:rPr>
                        <w:rFonts w:hint="eastAsia"/>
                        <w:szCs w:val="21"/>
                      </w:rPr>
                      <w:t>合计</w:t>
                    </w:r>
                  </w:p>
                </w:sdtContent>
              </w:sdt>
            </w:tc>
            <w:tc>
              <w:tcPr>
                <w:tcW w:w="1082" w:type="pct"/>
                <w:vAlign w:val="center"/>
              </w:tcPr>
              <w:p>
                <w:pPr>
                  <w:jc w:val="right"/>
                  <w:rPr>
                    <w:sz w:val="24"/>
                  </w:rPr>
                </w:pPr>
                <w:r>
                  <w:t>11,554,085.13</w:t>
                </w:r>
              </w:p>
            </w:tc>
            <w:tc>
              <w:tcPr>
                <w:tcW w:w="832" w:type="pct"/>
                <w:vAlign w:val="center"/>
              </w:tcPr>
              <w:p>
                <w:pPr>
                  <w:jc w:val="center"/>
                  <w:rPr>
                    <w:sz w:val="24"/>
                  </w:rPr>
                </w:pPr>
                <w:r>
                  <w:t>25.32</w:t>
                </w:r>
              </w:p>
            </w:tc>
            <w:tc>
              <w:tcPr>
                <w:tcW w:w="1165" w:type="pct"/>
                <w:vAlign w:val="center"/>
              </w:tcPr>
              <w:p>
                <w:pPr>
                  <w:jc w:val="both"/>
                  <w:rPr>
                    <w:sz w:val="24"/>
                  </w:rPr>
                </w:pPr>
              </w:p>
            </w:tc>
            <w:tc>
              <w:tcPr>
                <w:tcW w:w="1109" w:type="pct"/>
                <w:vAlign w:val="center"/>
              </w:tcPr>
              <w:p>
                <w:pPr>
                  <w:jc w:val="both"/>
                  <w:rPr>
                    <w:sz w:val="24"/>
                  </w:rPr>
                </w:pPr>
              </w:p>
            </w:tc>
          </w:tr>
        </w:tbl>
        <w:p/>
        <w:p>
          <w:pPr>
            <w:snapToGrid w:val="0"/>
            <w:spacing w:line="240" w:lineRule="atLeast"/>
            <w:rPr>
              <w:szCs w:val="21"/>
            </w:rPr>
          </w:pPr>
          <w:r>
            <w:rPr>
              <w:rFonts w:hint="eastAsia"/>
              <w:szCs w:val="21"/>
            </w:rPr>
            <w:t>其他说明</w:t>
          </w:r>
        </w:p>
        <w:sdt>
          <w:sdtPr>
            <w:rPr>
              <w:szCs w:val="21"/>
            </w:rPr>
            <w:alias w:val="按预付对象归集的期末余额前五名的预付款情况的说明"/>
            <w:tag w:val="_GBC_01cbdc0115484d88931f2dbcc9e0aa2b"/>
            <w:id w:val="-2113738643"/>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p>
          <w:pPr>
            <w:snapToGrid w:val="0"/>
            <w:spacing w:line="240" w:lineRule="atLeast"/>
            <w:rPr>
              <w:szCs w:val="21"/>
            </w:rPr>
          </w:pPr>
        </w:p>
      </w:sdtContent>
    </w:sdt>
    <w:sdt>
      <w:sdtPr>
        <w:rPr>
          <w:rFonts w:hint="eastAsia" w:ascii="Times New Roman" w:hAnsi="Times New Roman"/>
          <w:b/>
          <w:bCs/>
        </w:rPr>
        <w:alias w:val="模块:预付款项的说明"/>
        <w:tag w:val="_SEC_b4786b512c5648f09f6aeb396ccb9ee7"/>
        <w:id w:val="1113260573"/>
        <w:lock w:val="sdtLocked"/>
        <w:placeholder>
          <w:docPart w:val="GBC22222222222222222222222222222"/>
        </w:placeholder>
      </w:sdtPr>
      <w:sdtEndPr>
        <w:rPr>
          <w:rFonts w:hint="default" w:ascii="Times New Roman" w:hAnsi="Times New Roman"/>
          <w:b w:val="0"/>
          <w:bCs w:val="0"/>
        </w:rPr>
      </w:sdtEndPr>
      <w:sdtContent>
        <w:p>
          <w:r>
            <w:rPr>
              <w:rFonts w:hint="eastAsia"/>
            </w:rPr>
            <w:t>其他说明</w:t>
          </w:r>
        </w:p>
        <w:sdt>
          <w:sdtPr>
            <w:rPr>
              <w:rFonts w:hint="eastAsia"/>
              <w:szCs w:val="21"/>
            </w:rPr>
            <w:alias w:val="是否适用：预付帐款的说明[双击切换]"/>
            <w:tag w:val="_GBC_292d88b78b6d439981e508e0126d8061"/>
            <w:id w:val="-68020045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213"/>
        <w:numPr>
          <w:ilvl w:val="0"/>
          <w:numId w:val="77"/>
        </w:numPr>
      </w:pPr>
      <w:r>
        <w:rPr>
          <w:rFonts w:hint="eastAsia"/>
        </w:rPr>
        <w:t>其他应收款</w:t>
      </w:r>
    </w:p>
    <w:sdt>
      <w:sdtPr>
        <w:rPr>
          <w:rFonts w:hint="eastAsia" w:ascii="宋体" w:hAnsi="宋体" w:eastAsia="宋体" w:cs="宋体"/>
          <w:b w:val="0"/>
          <w:bCs w:val="0"/>
          <w:kern w:val="0"/>
          <w:szCs w:val="24"/>
        </w:rPr>
        <w:alias w:val="模块:其他应收款分类列示"/>
        <w:tag w:val="_SEC_832356e7ad3a4fd389aa33f3370163f0"/>
        <w:id w:val="-183738076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pPr>
          <w:r>
            <w:rPr>
              <w:rFonts w:hint="eastAsia" w:ascii="宋体" w:hAnsi="宋体" w:eastAsia="宋体" w:cs="宋体"/>
              <w:kern w:val="0"/>
              <w:szCs w:val="24"/>
            </w:rPr>
            <w:t>项目列示</w:t>
          </w:r>
        </w:p>
        <w:sdt>
          <w:sdtPr>
            <w:alias w:val="是否适用：其他应收款分类列示[双击切换]"/>
            <w:tag w:val="_GBC_5cf24a2049f64010a4df1f0db5a97234"/>
            <w:id w:val="154964465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收款分类列示"/>
              <w:tag w:val="_GBC_7f9aa6546943491ca0ac8585be1822b5"/>
              <w:id w:val="-7459557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分类列示"/>
              <w:tag w:val="_GBC_04bd5c819b004daf9b35f05cdd98046d"/>
              <w:id w:val="16379142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12"/>
            <w:gridCol w:w="2770"/>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377dcbf8fc04365884311b6628ee70c"/>
                <w:id w:val="1104771994"/>
                <w:lock w:val="sdtLocked"/>
              </w:sdtPr>
              <w:sdtContent>
                <w:tc>
                  <w:tcPr>
                    <w:tcW w:w="1764" w:type="pct"/>
                    <w:vAlign w:val="center"/>
                  </w:tcPr>
                  <w:p>
                    <w:pPr>
                      <w:jc w:val="center"/>
                      <w:rPr>
                        <w:szCs w:val="21"/>
                      </w:rPr>
                    </w:pPr>
                    <w:r>
                      <w:rPr>
                        <w:rFonts w:hint="eastAsia"/>
                        <w:szCs w:val="21"/>
                      </w:rPr>
                      <w:t>项目</w:t>
                    </w:r>
                  </w:p>
                </w:tc>
              </w:sdtContent>
            </w:sdt>
            <w:sdt>
              <w:sdtPr>
                <w:tag w:val="_PLD_9eed799cfa4b445abd6bf2c21c8e53d1"/>
                <w:id w:val="302589037"/>
                <w:lock w:val="sdtLocked"/>
              </w:sdtPr>
              <w:sdtContent>
                <w:tc>
                  <w:tcPr>
                    <w:tcW w:w="1622" w:type="pct"/>
                    <w:vAlign w:val="center"/>
                  </w:tcPr>
                  <w:p>
                    <w:pPr>
                      <w:jc w:val="center"/>
                      <w:rPr>
                        <w:szCs w:val="21"/>
                      </w:rPr>
                    </w:pPr>
                    <w:r>
                      <w:rPr>
                        <w:rFonts w:hint="eastAsia"/>
                        <w:szCs w:val="21"/>
                      </w:rPr>
                      <w:t>期末余额</w:t>
                    </w:r>
                  </w:p>
                </w:tc>
              </w:sdtContent>
            </w:sdt>
            <w:sdt>
              <w:sdtPr>
                <w:tag w:val="_PLD_200365ee1196470e91075b949a7f5552"/>
                <w:id w:val="-948775762"/>
                <w:lock w:val="sdtLocked"/>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057e8dff1234d46846699dd5feb85cb"/>
                <w:id w:val="-2079821537"/>
                <w:lock w:val="sdtLocked"/>
              </w:sdtPr>
              <w:sdtContent>
                <w:tc>
                  <w:tcPr>
                    <w:tcW w:w="1764" w:type="pct"/>
                  </w:tcPr>
                  <w:p>
                    <w:pPr>
                      <w:ind w:right="5"/>
                      <w:rPr>
                        <w:szCs w:val="21"/>
                      </w:rPr>
                    </w:pPr>
                    <w:r>
                      <w:rPr>
                        <w:rFonts w:hint="eastAsia"/>
                        <w:szCs w:val="21"/>
                      </w:rPr>
                      <w:t>应收利息</w:t>
                    </w:r>
                  </w:p>
                </w:tc>
              </w:sdtContent>
            </w:sdt>
            <w:tc>
              <w:tcPr>
                <w:tcW w:w="1622" w:type="pct"/>
                <w:vAlign w:val="center"/>
              </w:tcPr>
              <w:p>
                <w:pPr>
                  <w:jc w:val="right"/>
                  <w:rPr>
                    <w:sz w:val="24"/>
                  </w:rPr>
                </w:pPr>
              </w:p>
            </w:tc>
            <w:tc>
              <w:tcPr>
                <w:tcW w:w="1614" w:type="pct"/>
                <w:vAlign w:val="center"/>
              </w:tcPr>
              <w:p>
                <w:pPr>
                  <w:jc w:val="right"/>
                  <w:rPr>
                    <w:sz w:val="24"/>
                  </w:rPr>
                </w:pPr>
                <w:r>
                  <w:t>29,294.46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0a7e2171c2154f80a555ff0bce99834b"/>
                <w:id w:val="297428910"/>
                <w:lock w:val="sdtLocked"/>
              </w:sdtPr>
              <w:sdtContent>
                <w:tc>
                  <w:tcPr>
                    <w:tcW w:w="1764" w:type="pct"/>
                  </w:tcPr>
                  <w:p>
                    <w:pPr>
                      <w:ind w:right="5"/>
                      <w:rPr>
                        <w:szCs w:val="21"/>
                      </w:rPr>
                    </w:pPr>
                    <w:r>
                      <w:rPr>
                        <w:rFonts w:hint="eastAsia"/>
                        <w:szCs w:val="21"/>
                      </w:rPr>
                      <w:t>应收股利</w:t>
                    </w:r>
                  </w:p>
                </w:tc>
              </w:sdtContent>
            </w:sdt>
            <w:tc>
              <w:tcPr>
                <w:tcW w:w="1622" w:type="pct"/>
                <w:vAlign w:val="center"/>
              </w:tcPr>
              <w:p>
                <w:pPr>
                  <w:jc w:val="right"/>
                  <w:rPr>
                    <w:sz w:val="24"/>
                  </w:rPr>
                </w:pPr>
                <w:r>
                  <w:t>99,858,043.12</w:t>
                </w:r>
              </w:p>
            </w:tc>
            <w:tc>
              <w:tcPr>
                <w:tcW w:w="1614" w:type="pct"/>
                <w:vAlign w:val="center"/>
              </w:tcPr>
              <w:p>
                <w:pPr>
                  <w:jc w:val="right"/>
                  <w:rPr>
                    <w:sz w:val="24"/>
                  </w:rPr>
                </w:pPr>
                <w:r>
                  <w:t>51,530,323.48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2110eaa82be949499badb3b40511c6e3"/>
                <w:id w:val="-628703974"/>
                <w:lock w:val="sdtLocked"/>
              </w:sdtPr>
              <w:sdtContent>
                <w:tc>
                  <w:tcPr>
                    <w:tcW w:w="1764" w:type="pct"/>
                  </w:tcPr>
                  <w:p>
                    <w:pPr>
                      <w:ind w:right="5"/>
                      <w:rPr>
                        <w:szCs w:val="21"/>
                      </w:rPr>
                    </w:pPr>
                    <w:r>
                      <w:rPr>
                        <w:rFonts w:hint="eastAsia"/>
                        <w:szCs w:val="21"/>
                      </w:rPr>
                      <w:t>其他应收款</w:t>
                    </w:r>
                  </w:p>
                </w:tc>
              </w:sdtContent>
            </w:sdt>
            <w:tc>
              <w:tcPr>
                <w:tcW w:w="1622" w:type="pct"/>
                <w:vAlign w:val="center"/>
              </w:tcPr>
              <w:p>
                <w:pPr>
                  <w:jc w:val="right"/>
                  <w:rPr>
                    <w:sz w:val="24"/>
                  </w:rPr>
                </w:pPr>
                <w:r>
                  <w:t>319,070,884.15</w:t>
                </w:r>
              </w:p>
            </w:tc>
            <w:tc>
              <w:tcPr>
                <w:tcW w:w="1614" w:type="pct"/>
                <w:vAlign w:val="center"/>
              </w:tcPr>
              <w:p>
                <w:pPr>
                  <w:jc w:val="right"/>
                  <w:rPr>
                    <w:sz w:val="24"/>
                  </w:rPr>
                </w:pPr>
                <w:r>
                  <w:t>1,010,686,849.55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e5832c53835461581fdc41cd6b8f81f"/>
                <w:id w:val="-260217596"/>
                <w:lock w:val="sdtLocked"/>
              </w:sdtPr>
              <w:sdtContent>
                <w:tc>
                  <w:tcPr>
                    <w:tcW w:w="1764" w:type="pct"/>
                  </w:tcPr>
                  <w:p>
                    <w:pPr>
                      <w:autoSpaceDE w:val="0"/>
                      <w:autoSpaceDN w:val="0"/>
                      <w:adjustRightInd w:val="0"/>
                      <w:rPr>
                        <w:szCs w:val="21"/>
                      </w:rPr>
                    </w:pPr>
                    <w:r>
                      <w:rPr>
                        <w:rFonts w:hint="eastAsia"/>
                        <w:szCs w:val="21"/>
                      </w:rPr>
                      <w:t>合计</w:t>
                    </w:r>
                  </w:p>
                </w:tc>
              </w:sdtContent>
            </w:sdt>
            <w:tc>
              <w:tcPr>
                <w:tcW w:w="1622" w:type="pct"/>
                <w:vAlign w:val="center"/>
              </w:tcPr>
              <w:p>
                <w:pPr>
                  <w:jc w:val="right"/>
                </w:pPr>
                <w:r>
                  <w:t>418,928,927.27</w:t>
                </w:r>
              </w:p>
            </w:tc>
            <w:tc>
              <w:tcPr>
                <w:tcW w:w="1614" w:type="pct"/>
                <w:vAlign w:val="center"/>
              </w:tcPr>
              <w:p>
                <w:pPr>
                  <w:jc w:val="right"/>
                  <w:rPr>
                    <w:sz w:val="24"/>
                  </w:rPr>
                </w:pPr>
                <w:r>
                  <w:t>1,062,246,467.49</w:t>
                </w:r>
              </w:p>
            </w:tc>
          </w:tr>
        </w:tbl>
        <w:p>
          <w:r>
            <w:rPr>
              <w:rFonts w:hint="eastAsia"/>
            </w:rPr>
            <w:t>注：上表中其他应收款指扣除应收利息、应收股利后的其他应收款</w:t>
          </w:r>
          <w:r>
            <w:t>。</w:t>
          </w:r>
        </w:p>
        <w:p/>
      </w:sdtContent>
    </w:sdt>
    <w:sdt>
      <w:sdtPr>
        <w:rPr>
          <w:rFonts w:hint="eastAsia"/>
          <w:szCs w:val="21"/>
        </w:rPr>
        <w:alias w:val="模块:其他应收款分类列示其他说明"/>
        <w:tag w:val="_SEC_9f746d8f63c24963bbf193ceb3ce319d"/>
        <w:id w:val="231659606"/>
        <w:lock w:val="sdtLocked"/>
        <w:placeholder>
          <w:docPart w:val="GBC22222222222222222222222222222"/>
        </w:placeholder>
      </w:sdtPr>
      <w:sdtEndPr>
        <w:rPr>
          <w:rFonts w:hint="default"/>
          <w:szCs w:val="21"/>
        </w:rPr>
      </w:sdtEndPr>
      <w:sdtContent>
        <w:p>
          <w:pPr>
            <w:rPr>
              <w:szCs w:val="21"/>
            </w:rPr>
          </w:pPr>
          <w:bookmarkStart w:id="153" w:name="_Hlk532906097"/>
          <w:r>
            <w:rPr>
              <w:rFonts w:hint="eastAsia"/>
              <w:szCs w:val="21"/>
            </w:rPr>
            <w:t>其他说明：</w:t>
          </w:r>
          <w:bookmarkEnd w:id="153"/>
        </w:p>
        <w:sdt>
          <w:sdtPr>
            <w:rPr>
              <w:szCs w:val="21"/>
            </w:rPr>
            <w:alias w:val="是否适用：其他应收款分类列示其他说明[双击切换]"/>
            <w:tag w:val="_GBC_87a25d8043fc4fcfac6a8c802b58dfc7"/>
            <w:id w:val="169927572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214"/>
        <w:ind w:left="360" w:hanging="360"/>
      </w:pPr>
      <w:r>
        <w:rPr>
          <w:rFonts w:hint="eastAsia"/>
        </w:rPr>
        <w:t>应收利息</w:t>
      </w:r>
    </w:p>
    <w:sdt>
      <w:sdtPr>
        <w:rPr>
          <w:rFonts w:hint="eastAsia" w:eastAsia="宋体" w:cs="宋体" w:asciiTheme="minorHAnsi" w:hAnsiTheme="minorHAnsi"/>
          <w:b w:val="0"/>
          <w:bCs w:val="0"/>
          <w:kern w:val="0"/>
          <w:szCs w:val="22"/>
        </w:rPr>
        <w:alias w:val="模块:应收利息"/>
        <w:tag w:val="_SEC_e7556b18b03f4947b14c0b36c675ff06"/>
        <w:id w:val="745156703"/>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214"/>
            <w:numPr>
              <w:ilvl w:val="3"/>
              <w:numId w:val="81"/>
            </w:numPr>
            <w:ind w:left="426" w:hanging="426"/>
          </w:pPr>
          <w:r>
            <w:rPr>
              <w:rFonts w:hint="eastAsia"/>
            </w:rPr>
            <w:t>应收利息分类</w:t>
          </w:r>
        </w:p>
        <w:sdt>
          <w:sdtPr>
            <w:alias w:val="是否适用：应收利息分类[双击切换]"/>
            <w:tag w:val="_GBC_83217ec91e3240eeb9ff337eca1b11bb"/>
            <w:id w:val="-111828627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收利息"/>
              <w:tag w:val="_GBC_a6b2e52dacdf43a881a851c5936300fb"/>
              <w:id w:val="16853996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收利息"/>
              <w:tag w:val="_GBC_7a13615855fc4fce9c2abbff62cc7bac"/>
              <w:id w:val="-4056905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615"/>
            <w:gridCol w:w="2870"/>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c79e531b9874e498616fab4dcc1e1d2"/>
                <w:id w:val="-1987540936"/>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38eed1c007a749019423f6e2b801e2ea"/>
                <w:id w:val="788016290"/>
                <w:lock w:val="sdtLocked"/>
              </w:sdtPr>
              <w:sdtContent>
                <w:tc>
                  <w:tcPr>
                    <w:tcW w:w="1714" w:type="pct"/>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fbeae8d14161482bb87e95a83309553a"/>
                <w:id w:val="-1737000295"/>
                <w:lock w:val="sdtLocked"/>
              </w:sdtPr>
              <w:sdtContent>
                <w:tc>
                  <w:tcPr>
                    <w:tcW w:w="1724" w:type="pct"/>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0e9cd808d1ee403d983dcd2914b6828f"/>
                <w:id w:val="-1590148354"/>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定期存款</w:t>
                    </w:r>
                  </w:p>
                </w:tc>
              </w:sdtContent>
            </w:sdt>
            <w:tc>
              <w:tcPr>
                <w:tcW w:w="1714" w:type="pct"/>
                <w:vAlign w:val="center"/>
              </w:tcPr>
              <w:p>
                <w:pPr>
                  <w:jc w:val="right"/>
                  <w:rPr>
                    <w:sz w:val="24"/>
                  </w:rPr>
                </w:pPr>
              </w:p>
            </w:tc>
            <w:tc>
              <w:tcPr>
                <w:tcW w:w="1724" w:type="pct"/>
                <w:vAlign w:val="center"/>
              </w:tcPr>
              <w:p>
                <w:pPr>
                  <w:jc w:val="right"/>
                  <w:rPr>
                    <w:sz w:val="24"/>
                  </w:rPr>
                </w:pPr>
                <w:r>
                  <w:t>29,294.46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8b1771afcd24d65b0cfcc2044da3271"/>
                <w:id w:val="1433165470"/>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委托贷款</w:t>
                    </w:r>
                  </w:p>
                </w:tc>
              </w:sdtContent>
            </w:sdt>
            <w:tc>
              <w:tcPr>
                <w:tcW w:w="1714" w:type="pct"/>
              </w:tcPr>
              <w:p>
                <w:pPr>
                  <w:ind w:right="105" w:rightChars="50"/>
                  <w:jc w:val="right"/>
                  <w:rPr>
                    <w:szCs w:val="21"/>
                  </w:rPr>
                </w:pPr>
              </w:p>
            </w:tc>
            <w:tc>
              <w:tcPr>
                <w:tcW w:w="1724" w:type="pct"/>
              </w:tcPr>
              <w:p>
                <w:pPr>
                  <w:ind w:right="105" w:rightChars="5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6af52fa9b7584e388b65ec28e8f245a4"/>
                <w:id w:val="462168472"/>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债券投资</w:t>
                    </w:r>
                  </w:p>
                </w:tc>
              </w:sdtContent>
            </w:sdt>
            <w:tc>
              <w:tcPr>
                <w:tcW w:w="1714" w:type="pct"/>
              </w:tcPr>
              <w:p>
                <w:pPr>
                  <w:ind w:right="105" w:rightChars="50"/>
                  <w:jc w:val="right"/>
                  <w:rPr>
                    <w:szCs w:val="21"/>
                  </w:rPr>
                </w:pPr>
              </w:p>
            </w:tc>
            <w:tc>
              <w:tcPr>
                <w:tcW w:w="1724" w:type="pct"/>
              </w:tcPr>
              <w:p>
                <w:pPr>
                  <w:ind w:right="105" w:rightChars="5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c3358781dc564586bf697bd123061ae0"/>
                <w:id w:val="621801342"/>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vAlign w:val="center"/>
              </w:tcPr>
              <w:p>
                <w:pPr>
                  <w:jc w:val="right"/>
                  <w:rPr>
                    <w:sz w:val="24"/>
                  </w:rPr>
                </w:pPr>
              </w:p>
            </w:tc>
            <w:tc>
              <w:tcPr>
                <w:tcW w:w="1724" w:type="pct"/>
                <w:vAlign w:val="center"/>
              </w:tcPr>
              <w:p>
                <w:pPr>
                  <w:jc w:val="right"/>
                  <w:rPr>
                    <w:sz w:val="24"/>
                  </w:rPr>
                </w:pPr>
                <w:r>
                  <w:t>29,294.46</w:t>
                </w:r>
              </w:p>
            </w:tc>
          </w:tr>
        </w:tbl>
        <w:p>
          <w:pPr>
            <w:rPr>
              <w:szCs w:val="21"/>
            </w:rPr>
          </w:pPr>
        </w:p>
      </w:sdtContent>
    </w:sdt>
    <w:sdt>
      <w:sdtPr>
        <w:rPr>
          <w:rFonts w:hint="eastAsia" w:ascii="宋体" w:hAnsi="宋体" w:eastAsia="宋体" w:cs="宋体"/>
          <w:b w:val="0"/>
          <w:bCs w:val="0"/>
          <w:kern w:val="0"/>
          <w:szCs w:val="24"/>
        </w:rPr>
        <w:alias w:val="模块:逾期利息"/>
        <w:tag w:val="_SEC_2b1aed9928154ce3b72406656569e1a0"/>
        <w:id w:val="43841442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1"/>
            </w:numPr>
            <w:ind w:left="426" w:hanging="426"/>
          </w:pPr>
          <w:r>
            <w:rPr>
              <w:rFonts w:hint="eastAsia"/>
            </w:rPr>
            <w:t>重要逾期利息</w:t>
          </w:r>
        </w:p>
        <w:sdt>
          <w:sdtPr>
            <w:alias w:val="是否适用：重要逾期利息[双击切换]"/>
            <w:tag w:val="_GBC_4720cbb6fd9144c2b14ef7120e6159be"/>
            <w:id w:val="-2464230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1"/>
        </w:rPr>
        <w:alias w:val="模块:坏账准备计提情况"/>
        <w:tag w:val="_SEC_d2c4f1952afe44258e5612ef28731834"/>
        <w:id w:val="125640701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1"/>
            </w:numPr>
            <w:ind w:left="426" w:hanging="426"/>
            <w:rPr>
              <w:szCs w:val="21"/>
            </w:rPr>
          </w:pPr>
          <w:bookmarkStart w:id="154" w:name="_Hlk533867290"/>
          <w:r>
            <w:rPr>
              <w:rFonts w:hint="eastAsia" w:ascii="宋体" w:hAnsi="宋体" w:eastAsia="宋体" w:cs="宋体"/>
              <w:bCs w:val="0"/>
              <w:kern w:val="0"/>
              <w:szCs w:val="21"/>
            </w:rPr>
            <w:t>坏账准备计提情况</w:t>
          </w:r>
        </w:p>
        <w:sdt>
          <w:sdtPr>
            <w:rPr>
              <w:szCs w:val="21"/>
            </w:rPr>
            <w:alias w:val="是否适用：应收利息坏账准备调节表[双击切换]"/>
            <w:tag w:val="_GBC_2926f106217b4c11a5fe606b79f60d83"/>
            <w:id w:val="-76144775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p>
      </w:sdtContent>
    </w:sdt>
    <w:bookmarkEnd w:id="154"/>
    <w:sdt>
      <w:sdtPr>
        <w:rPr>
          <w:rFonts w:hint="eastAsia"/>
          <w:b/>
          <w:bCs/>
        </w:rPr>
        <w:alias w:val="模块:应收利息的说明"/>
        <w:tag w:val="_SEC_f928a6e9e75047f3b72b49250b05ba14"/>
        <w:id w:val="-971749747"/>
        <w:lock w:val="sdtLocked"/>
        <w:placeholder>
          <w:docPart w:val="GBC22222222222222222222222222222"/>
        </w:placeholder>
      </w:sdtPr>
      <w:sdtEndPr>
        <w:rPr>
          <w:rFonts w:hint="default"/>
          <w:b w:val="0"/>
          <w:bCs w:val="0"/>
          <w:szCs w:val="21"/>
        </w:rPr>
      </w:sdtEndPr>
      <w:sdtContent>
        <w:p>
          <w:r>
            <w:rPr>
              <w:rFonts w:hint="eastAsia"/>
            </w:rPr>
            <w:t>其他说明：</w:t>
          </w:r>
        </w:p>
        <w:sdt>
          <w:sdtPr>
            <w:rPr>
              <w:rFonts w:hint="eastAsia"/>
              <w:szCs w:val="21"/>
            </w:rPr>
            <w:alias w:val="是否适用：应收利息的说明[双击切换]"/>
            <w:tag w:val="_GBC_353af20a1db84c639b0e03e660c37a48"/>
            <w:id w:val="-87808904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eastAsia="宋体" w:asciiTheme="minorHAnsi" w:hAnsiTheme="minorHAnsi" w:cstheme="minorBidi"/>
          <w:b w:val="0"/>
          <w:bCs w:val="0"/>
          <w:kern w:val="0"/>
          <w:szCs w:val="22"/>
        </w:rPr>
        <w:alias w:val="模块:应收股利"/>
        <w:tag w:val="_SEC_531f695428244731b7e3fcf9986e03c5"/>
        <w:id w:val="609323103"/>
        <w:lock w:val="sdtLocked"/>
        <w:placeholder>
          <w:docPart w:val="GBC22222222222222222222222222222"/>
        </w:placeholder>
      </w:sdtPr>
      <w:sdtEndPr>
        <w:rPr>
          <w:rFonts w:hint="eastAsia" w:ascii="Times New Roman" w:hAnsi="Times New Roman" w:eastAsia="宋体" w:cs="Times New Roman"/>
          <w:b w:val="0"/>
          <w:bCs w:val="0"/>
          <w:kern w:val="0"/>
          <w:szCs w:val="24"/>
        </w:rPr>
      </w:sdtEndPr>
      <w:sdtContent>
        <w:p>
          <w:pPr>
            <w:pStyle w:val="214"/>
            <w:numPr>
              <w:ilvl w:val="3"/>
              <w:numId w:val="81"/>
            </w:numPr>
            <w:ind w:left="426" w:hanging="426"/>
          </w:pPr>
          <w:r>
            <w:rPr>
              <w:rFonts w:hint="eastAsia"/>
            </w:rPr>
            <w:t>应收股利</w:t>
          </w:r>
        </w:p>
        <w:sdt>
          <w:sdtPr>
            <w:alias w:val="是否适用：应收股利[双击切换]"/>
            <w:tag w:val="_GBC_c0f7b0360a644690b0472107042df17a"/>
            <w:id w:val="-73316154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收股利"/>
              <w:tag w:val="_GBC_50f835a1df1e48409cac94b31300ae2b"/>
              <w:id w:val="-3897271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9348751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3"/>
            <w:gridCol w:w="2410"/>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a83912b1814ce587a6aa2bfcc20d43"/>
                <w:id w:val="1899014597"/>
                <w:lock w:val="sdtLocked"/>
              </w:sdtPr>
              <w:sdtContent>
                <w:tc>
                  <w:tcPr>
                    <w:tcW w:w="2224" w:type="pct"/>
                    <w:vAlign w:val="center"/>
                  </w:tcPr>
                  <w:p>
                    <w:pPr>
                      <w:jc w:val="center"/>
                      <w:rPr>
                        <w:szCs w:val="21"/>
                      </w:rPr>
                    </w:pPr>
                    <w:r>
                      <w:rPr>
                        <w:rFonts w:hint="eastAsia"/>
                        <w:szCs w:val="21"/>
                      </w:rPr>
                      <w:t>项目(或被投资单位)</w:t>
                    </w:r>
                  </w:p>
                </w:tc>
              </w:sdtContent>
            </w:sdt>
            <w:sdt>
              <w:sdtPr>
                <w:tag w:val="_PLD_de504ddfb0d74b04930d73922e81793f"/>
                <w:id w:val="1360850564"/>
                <w:lock w:val="sdtLocked"/>
              </w:sdtPr>
              <w:sdtContent>
                <w:tc>
                  <w:tcPr>
                    <w:tcW w:w="1413" w:type="pct"/>
                    <w:vAlign w:val="center"/>
                  </w:tcPr>
                  <w:p>
                    <w:pPr>
                      <w:jc w:val="center"/>
                      <w:rPr>
                        <w:szCs w:val="21"/>
                      </w:rPr>
                    </w:pPr>
                    <w:r>
                      <w:rPr>
                        <w:rFonts w:hint="eastAsia"/>
                        <w:szCs w:val="21"/>
                      </w:rPr>
                      <w:t>期末余额</w:t>
                    </w:r>
                  </w:p>
                </w:tc>
              </w:sdtContent>
            </w:sdt>
            <w:sdt>
              <w:sdtPr>
                <w:tag w:val="_PLD_06fe10e4c67542f3ae16fdf0e6912fbc"/>
                <w:id w:val="-1690133479"/>
                <w:lock w:val="sdtLocked"/>
              </w:sdtPr>
              <w:sdtContent>
                <w:tc>
                  <w:tcPr>
                    <w:tcW w:w="1363" w:type="pct"/>
                    <w:vAlign w:val="center"/>
                  </w:tcPr>
                  <w:p>
                    <w:pPr>
                      <w:jc w:val="center"/>
                      <w:rPr>
                        <w:szCs w:val="21"/>
                      </w:rPr>
                    </w:pPr>
                    <w:r>
                      <w:rPr>
                        <w:rFonts w:hint="eastAsia"/>
                        <w:szCs w:val="21"/>
                      </w:rPr>
                      <w:t>期初余额</w:t>
                    </w:r>
                  </w:p>
                </w:tc>
              </w:sdtContent>
            </w:sdt>
          </w:tr>
          <w:sdt>
            <w:sdtPr>
              <w:rPr>
                <w:rFonts w:hint="eastAsia"/>
                <w:szCs w:val="21"/>
              </w:rPr>
              <w:alias w:val="应收股利明细"/>
              <w:tag w:val="_TUP_6fa5fa06ba054fe58d8bb861a8ec252d"/>
              <w:id w:val="-72722477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Pr>
                  <w:p>
                    <w:pPr>
                      <w:rPr>
                        <w:szCs w:val="21"/>
                      </w:rPr>
                    </w:pPr>
                    <w:r>
                      <w:t>重庆新能源汽车融资租赁有限公司</w:t>
                    </w:r>
                  </w:p>
                </w:tc>
                <w:tc>
                  <w:tcPr>
                    <w:tcW w:w="1413" w:type="pct"/>
                  </w:tcPr>
                  <w:p>
                    <w:pPr>
                      <w:jc w:val="right"/>
                      <w:rPr>
                        <w:szCs w:val="21"/>
                      </w:rPr>
                    </w:pPr>
                    <w:r>
                      <w:t>11,727,677.71</w:t>
                    </w:r>
                  </w:p>
                </w:tc>
                <w:tc>
                  <w:tcPr>
                    <w:tcW w:w="1363" w:type="pct"/>
                  </w:tcPr>
                  <w:p>
                    <w:pPr>
                      <w:jc w:val="right"/>
                      <w:rPr>
                        <w:szCs w:val="21"/>
                      </w:rPr>
                    </w:pPr>
                    <w:r>
                      <w:t>11,727,677.71</w:t>
                    </w:r>
                  </w:p>
                </w:tc>
              </w:tr>
            </w:sdtContent>
          </w:sdt>
          <w:sdt>
            <w:sdtPr>
              <w:rPr>
                <w:rFonts w:hint="eastAsia"/>
                <w:szCs w:val="21"/>
              </w:rPr>
              <w:alias w:val="应收股利明细"/>
              <w:tag w:val="_TUP_6fa5fa06ba054fe58d8bb861a8ec252d"/>
              <w:id w:val="84190282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Pr>
                  <w:p>
                    <w:pPr>
                      <w:rPr>
                        <w:szCs w:val="21"/>
                      </w:rPr>
                    </w:pPr>
                    <w:r>
                      <w:t>新能源汽车产业发展（重庆）有限公司</w:t>
                    </w:r>
                  </w:p>
                </w:tc>
                <w:tc>
                  <w:tcPr>
                    <w:tcW w:w="1413" w:type="pct"/>
                  </w:tcPr>
                  <w:p>
                    <w:pPr>
                      <w:jc w:val="right"/>
                      <w:rPr>
                        <w:szCs w:val="21"/>
                      </w:rPr>
                    </w:pPr>
                    <w:r>
                      <w:t>1,000,000.00</w:t>
                    </w:r>
                  </w:p>
                </w:tc>
                <w:tc>
                  <w:tcPr>
                    <w:tcW w:w="1363" w:type="pct"/>
                  </w:tcPr>
                  <w:p>
                    <w:pPr>
                      <w:jc w:val="right"/>
                      <w:rPr>
                        <w:szCs w:val="21"/>
                      </w:rPr>
                    </w:pPr>
                    <w:r>
                      <w:t>1,000,000.00</w:t>
                    </w:r>
                  </w:p>
                </w:tc>
              </w:tr>
            </w:sdtContent>
          </w:sdt>
          <w:sdt>
            <w:sdtPr>
              <w:rPr>
                <w:rFonts w:hint="eastAsia"/>
                <w:szCs w:val="21"/>
              </w:rPr>
              <w:alias w:val="应收股利明细"/>
              <w:tag w:val="_TUP_6fa5fa06ba054fe58d8bb861a8ec252d"/>
              <w:id w:val="142885152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Pr>
                  <w:p>
                    <w:pPr>
                      <w:rPr>
                        <w:szCs w:val="21"/>
                      </w:rPr>
                    </w:pPr>
                    <w:r>
                      <w:t>重庆银行股份有限公司</w:t>
                    </w:r>
                  </w:p>
                </w:tc>
                <w:tc>
                  <w:tcPr>
                    <w:tcW w:w="1413" w:type="pct"/>
                  </w:tcPr>
                  <w:p>
                    <w:pPr>
                      <w:jc w:val="right"/>
                      <w:rPr>
                        <w:szCs w:val="21"/>
                      </w:rPr>
                    </w:pPr>
                    <w:r>
                      <w:t>98,858,043.12</w:t>
                    </w:r>
                  </w:p>
                </w:tc>
                <w:tc>
                  <w:tcPr>
                    <w:tcW w:w="1363" w:type="pct"/>
                  </w:tcPr>
                  <w:p>
                    <w:pPr>
                      <w:jc w:val="right"/>
                      <w:rPr>
                        <w:szCs w:val="21"/>
                      </w:rPr>
                    </w:pPr>
                    <w:r>
                      <w:t>50,530,323.48</w:t>
                    </w:r>
                  </w:p>
                </w:tc>
              </w:tr>
            </w:sdtContent>
          </w:sdt>
          <w:sdt>
            <w:sdtPr>
              <w:rPr>
                <w:rFonts w:hint="eastAsia"/>
                <w:szCs w:val="21"/>
              </w:rPr>
              <w:alias w:val="应收股利明细"/>
              <w:tag w:val="_TUP_6fa5fa06ba054fe58d8bb861a8ec252d"/>
              <w:id w:val="-153395206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Pr>
                  <w:p>
                    <w:pPr>
                      <w:rPr>
                        <w:szCs w:val="21"/>
                      </w:rPr>
                    </w:pPr>
                    <w:r>
                      <w:t>减：坏账准备</w:t>
                    </w:r>
                  </w:p>
                </w:tc>
                <w:tc>
                  <w:tcPr>
                    <w:tcW w:w="1413" w:type="pct"/>
                  </w:tcPr>
                  <w:p>
                    <w:pPr>
                      <w:jc w:val="right"/>
                      <w:rPr>
                        <w:szCs w:val="21"/>
                      </w:rPr>
                    </w:pPr>
                    <w:r>
                      <w:t>11,727,677.71</w:t>
                    </w:r>
                  </w:p>
                </w:tc>
                <w:tc>
                  <w:tcPr>
                    <w:tcW w:w="1363" w:type="pct"/>
                  </w:tcPr>
                  <w:p>
                    <w:pPr>
                      <w:jc w:val="right"/>
                      <w:rPr>
                        <w:szCs w:val="21"/>
                      </w:rPr>
                    </w:pPr>
                    <w:r>
                      <w:t>11,727,677.71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3ce87f87a24aca97031067ec2e10eb"/>
                <w:id w:val="301816087"/>
                <w:lock w:val="sdtLocked"/>
              </w:sdtPr>
              <w:sdtContent>
                <w:tc>
                  <w:tcPr>
                    <w:tcW w:w="2224" w:type="pct"/>
                    <w:vAlign w:val="center"/>
                  </w:tcPr>
                  <w:p>
                    <w:pPr>
                      <w:jc w:val="center"/>
                      <w:rPr>
                        <w:szCs w:val="21"/>
                      </w:rPr>
                    </w:pPr>
                    <w:r>
                      <w:rPr>
                        <w:rFonts w:hint="eastAsia"/>
                        <w:szCs w:val="21"/>
                      </w:rPr>
                      <w:t>合计</w:t>
                    </w:r>
                  </w:p>
                </w:tc>
              </w:sdtContent>
            </w:sdt>
            <w:tc>
              <w:tcPr>
                <w:tcW w:w="1413" w:type="pct"/>
                <w:vAlign w:val="center"/>
              </w:tcPr>
              <w:p>
                <w:pPr>
                  <w:jc w:val="right"/>
                  <w:rPr>
                    <w:sz w:val="24"/>
                  </w:rPr>
                </w:pPr>
                <w:r>
                  <w:t>99,858,043.12</w:t>
                </w:r>
              </w:p>
            </w:tc>
            <w:tc>
              <w:tcPr>
                <w:tcW w:w="1363" w:type="pct"/>
                <w:vAlign w:val="center"/>
              </w:tcPr>
              <w:p>
                <w:pPr>
                  <w:jc w:val="right"/>
                  <w:rPr>
                    <w:sz w:val="24"/>
                  </w:rPr>
                </w:pPr>
                <w:r>
                  <w:t>51,530,323.48</w:t>
                </w:r>
              </w:p>
            </w:tc>
          </w:tr>
        </w:tbl>
        <w:p>
          <w:pPr>
            <w:rPr>
              <w:szCs w:val="21"/>
            </w:rPr>
          </w:pPr>
        </w:p>
      </w:sdtContent>
    </w:sdt>
    <w:sdt>
      <w:sdtPr>
        <w:rPr>
          <w:rFonts w:hint="eastAsia" w:eastAsia="宋体" w:asciiTheme="minorHAnsi" w:hAnsiTheme="minorHAnsi" w:cstheme="minorBidi"/>
          <w:b w:val="0"/>
          <w:bCs w:val="0"/>
          <w:kern w:val="0"/>
          <w:szCs w:val="22"/>
        </w:rPr>
        <w:alias w:val="模块:应收股利"/>
        <w:tag w:val="_SEC_9503084ad1734739bb1a74f5476ec07c"/>
        <w:id w:val="-183120328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1"/>
            </w:numPr>
            <w:ind w:left="426" w:hanging="426"/>
          </w:pPr>
          <w:r>
            <w:rPr>
              <w:rFonts w:hint="eastAsia"/>
            </w:rPr>
            <w:t>重要的账龄超过1年的应收股利</w:t>
          </w:r>
        </w:p>
        <w:p>
          <w:pPr>
            <w:rPr>
              <w:szCs w:val="21"/>
            </w:rPr>
          </w:pPr>
          <w:sdt>
            <w:sdtPr>
              <w:rPr>
                <w:rFonts w:hint="eastAsia"/>
                <w:szCs w:val="21"/>
              </w:rPr>
              <w:alias w:val="是否适用：重要的账龄超过1年的应收股利[双击切换]"/>
              <w:tag w:val="_GBC_d46c4e6d2f2e4e20b430a619bde9abe8"/>
              <w:id w:val="59146804"/>
              <w:lock w:val="sdtLocked"/>
              <w:placeholder>
                <w:docPart w:val="GBC22222222222222222222222222222"/>
              </w:placeholder>
            </w:sdtPr>
            <w:sdtEndPr>
              <w:rPr>
                <w:rFonts w:hint="eastAsia"/>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jc w:val="right"/>
            <w:rPr>
              <w:szCs w:val="21"/>
            </w:rPr>
          </w:pPr>
          <w:r>
            <w:rPr>
              <w:rFonts w:hint="eastAsia"/>
              <w:szCs w:val="21"/>
            </w:rPr>
            <w:t>单位：</w:t>
          </w:r>
          <w:sdt>
            <w:sdtPr>
              <w:rPr>
                <w:rFonts w:hint="eastAsia"/>
                <w:szCs w:val="21"/>
              </w:rPr>
              <w:alias w:val="单位：财务附注：重要的账龄超过1年的应收股利"/>
              <w:tag w:val="_GBC_04848cb0745549e0b5c64527aa5d6ac8"/>
              <w:id w:val="17414401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重要的账龄超过1年的应收股利"/>
              <w:tag w:val="_GBC_998ac82ccb7243f795f84184c125f77b"/>
              <w:id w:val="15286047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211"/>
            <w:gridCol w:w="2013"/>
            <w:gridCol w:w="996"/>
            <w:gridCol w:w="1984"/>
            <w:gridCol w:w="133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4c950ed3234549f1942480783d74d97c"/>
                <w:id w:val="1001308516"/>
                <w:lock w:val="sdtLocked"/>
              </w:sdtPr>
              <w:sdtContent>
                <w:tc>
                  <w:tcPr>
                    <w:tcW w:w="1295" w:type="pct"/>
                    <w:vAlign w:val="center"/>
                  </w:tcPr>
                  <w:p>
                    <w:pPr>
                      <w:autoSpaceDE w:val="0"/>
                      <w:autoSpaceDN w:val="0"/>
                      <w:adjustRightInd w:val="0"/>
                      <w:snapToGrid w:val="0"/>
                      <w:spacing w:line="240" w:lineRule="atLeast"/>
                      <w:jc w:val="center"/>
                      <w:rPr>
                        <w:szCs w:val="21"/>
                      </w:rPr>
                    </w:pPr>
                    <w:r>
                      <w:rPr>
                        <w:rFonts w:hint="eastAsia"/>
                        <w:szCs w:val="21"/>
                      </w:rPr>
                      <w:t>项目(或被投资单位)</w:t>
                    </w:r>
                  </w:p>
                </w:tc>
              </w:sdtContent>
            </w:sdt>
            <w:sdt>
              <w:sdtPr>
                <w:tag w:val="_PLD_718dc79420da471ba577ae0c31bde3ff"/>
                <w:id w:val="2085405247"/>
                <w:lock w:val="sdtLocked"/>
              </w:sdtPr>
              <w:sdtContent>
                <w:tc>
                  <w:tcPr>
                    <w:tcW w:w="1179" w:type="pct"/>
                    <w:tcBorders>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2ab7351e2ff84ba4831de9038e12296f"/>
                <w:id w:val="1299731474"/>
                <w:lock w:val="sdtLocked"/>
              </w:sdtPr>
              <w:sdtContent>
                <w:tc>
                  <w:tcPr>
                    <w:tcW w:w="583" w:type="pct"/>
                    <w:tcBorders>
                      <w:lef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账龄</w:t>
                    </w:r>
                  </w:p>
                </w:tc>
              </w:sdtContent>
            </w:sdt>
            <w:sdt>
              <w:sdtPr>
                <w:tag w:val="_PLD_2d5ad2d6c2a74f6eba0c1faba1555f1b"/>
                <w:id w:val="-1857341758"/>
                <w:lock w:val="sdtLocked"/>
              </w:sdtPr>
              <w:sdtContent>
                <w:tc>
                  <w:tcPr>
                    <w:tcW w:w="1162" w:type="pct"/>
                    <w:vAlign w:val="center"/>
                  </w:tcPr>
                  <w:p>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c10c41b00b924e3bacb0fea3fee53ff9"/>
                <w:id w:val="347986615"/>
                <w:lock w:val="sdtLocked"/>
              </w:sdtPr>
              <w:sdtContent>
                <w:tc>
                  <w:tcPr>
                    <w:tcW w:w="781" w:type="pct"/>
                    <w:vAlign w:val="center"/>
                  </w:tcPr>
                  <w:p>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TUP_5b6efc1aa4a74acdbb8c5894729cf367"/>
              <w:id w:val="1996448803"/>
              <w:lock w:val="sdtLocked"/>
            </w:sdtPr>
            <w:sdtEndPr>
              <w:rPr>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95" w:type="pct"/>
                  </w:tcPr>
                  <w:p>
                    <w:pPr>
                      <w:rPr>
                        <w:szCs w:val="21"/>
                      </w:rPr>
                    </w:pPr>
                    <w:r>
                      <w:t>重庆新能源汽车融资租赁有限公司</w:t>
                    </w:r>
                  </w:p>
                </w:tc>
                <w:tc>
                  <w:tcPr>
                    <w:tcW w:w="1179" w:type="pct"/>
                    <w:tcBorders>
                      <w:right w:val="single" w:color="auto" w:sz="4" w:space="0"/>
                    </w:tcBorders>
                    <w:vAlign w:val="center"/>
                  </w:tcPr>
                  <w:p>
                    <w:pPr>
                      <w:autoSpaceDE w:val="0"/>
                      <w:autoSpaceDN w:val="0"/>
                      <w:adjustRightInd w:val="0"/>
                      <w:snapToGrid w:val="0"/>
                      <w:spacing w:line="240" w:lineRule="atLeast"/>
                      <w:jc w:val="right"/>
                      <w:rPr>
                        <w:szCs w:val="21"/>
                      </w:rPr>
                    </w:pPr>
                    <w:r>
                      <w:t>11,727,677.71</w:t>
                    </w:r>
                  </w:p>
                </w:tc>
                <w:tc>
                  <w:tcPr>
                    <w:tcW w:w="583" w:type="pct"/>
                    <w:tcBorders>
                      <w:left w:val="single" w:color="auto" w:sz="4" w:space="0"/>
                    </w:tcBorders>
                    <w:vAlign w:val="center"/>
                  </w:tcPr>
                  <w:p>
                    <w:pPr>
                      <w:autoSpaceDE w:val="0"/>
                      <w:autoSpaceDN w:val="0"/>
                      <w:adjustRightInd w:val="0"/>
                      <w:snapToGrid w:val="0"/>
                      <w:spacing w:line="240" w:lineRule="atLeast"/>
                      <w:ind w:right="105" w:rightChars="50"/>
                      <w:jc w:val="center"/>
                      <w:rPr>
                        <w:szCs w:val="21"/>
                      </w:rPr>
                    </w:pPr>
                    <w:r>
                      <w:t>3-4年</w:t>
                    </w:r>
                  </w:p>
                </w:tc>
                <w:tc>
                  <w:tcPr>
                    <w:tcW w:w="1162" w:type="pct"/>
                    <w:vAlign w:val="center"/>
                  </w:tcPr>
                  <w:p>
                    <w:pPr>
                      <w:autoSpaceDE w:val="0"/>
                      <w:autoSpaceDN w:val="0"/>
                      <w:adjustRightInd w:val="0"/>
                      <w:snapToGrid w:val="0"/>
                      <w:spacing w:line="240" w:lineRule="atLeast"/>
                      <w:jc w:val="both"/>
                      <w:rPr>
                        <w:szCs w:val="21"/>
                      </w:rPr>
                    </w:pPr>
                    <w:r>
                      <w:t>被投资单位经营状况恶化</w:t>
                    </w:r>
                  </w:p>
                </w:tc>
                <w:sdt>
                  <w:sdtPr>
                    <w:rPr>
                      <w:szCs w:val="21"/>
                    </w:rPr>
                    <w:alias w:val="账龄一年以上的应收股利明细-相关款项是否发生减值及其判断依据"/>
                    <w:tag w:val="_GBC_dba1a38f2f194c88a755f4515b5277c2"/>
                    <w:id w:val="-77674747"/>
                    <w:lock w:val="sdtLocked"/>
                    <w:comboBox>
                      <w:listItem w:displayText="是" w:value="true"/>
                      <w:listItem w:displayText="否" w:value="false"/>
                    </w:comboBox>
                  </w:sdtPr>
                  <w:sdtEndPr>
                    <w:rPr>
                      <w:szCs w:val="21"/>
                    </w:rPr>
                  </w:sdtEndPr>
                  <w:sdtContent>
                    <w:tc>
                      <w:tcPr>
                        <w:tcW w:w="781" w:type="pct"/>
                        <w:vAlign w:val="center"/>
                      </w:tcPr>
                      <w:p>
                        <w:pPr>
                          <w:autoSpaceDE w:val="0"/>
                          <w:autoSpaceDN w:val="0"/>
                          <w:adjustRightInd w:val="0"/>
                          <w:snapToGrid w:val="0"/>
                          <w:spacing w:line="240" w:lineRule="atLeast"/>
                          <w:jc w:val="both"/>
                          <w:rPr>
                            <w:szCs w:val="21"/>
                          </w:rPr>
                        </w:pPr>
                        <w:r>
                          <w:rPr>
                            <w:szCs w:val="21"/>
                          </w:rPr>
                          <w:t>是</w:t>
                        </w:r>
                      </w:p>
                    </w:tc>
                  </w:sdtContent>
                </w:sdt>
              </w:tr>
            </w:sdtContent>
          </w:sdt>
          <w:sdt>
            <w:sdtPr>
              <w:rPr>
                <w:szCs w:val="21"/>
              </w:rPr>
              <w:alias w:val="账龄一年以上的应收股利明细"/>
              <w:tag w:val="_TUP_5b6efc1aa4a74acdbb8c5894729cf367"/>
              <w:id w:val="-1916919294"/>
              <w:lock w:val="sdtLocked"/>
            </w:sdtPr>
            <w:sdtEndPr>
              <w:rPr>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95" w:type="pct"/>
                  </w:tcPr>
                  <w:p>
                    <w:pPr>
                      <w:rPr>
                        <w:szCs w:val="21"/>
                      </w:rPr>
                    </w:pPr>
                    <w:r>
                      <w:t>新能源汽车产业发展（重庆）有限公司</w:t>
                    </w:r>
                  </w:p>
                </w:tc>
                <w:tc>
                  <w:tcPr>
                    <w:tcW w:w="1179" w:type="pct"/>
                    <w:tcBorders>
                      <w:right w:val="single" w:color="auto" w:sz="4" w:space="0"/>
                    </w:tcBorders>
                    <w:vAlign w:val="center"/>
                  </w:tcPr>
                  <w:p>
                    <w:pPr>
                      <w:autoSpaceDE w:val="0"/>
                      <w:autoSpaceDN w:val="0"/>
                      <w:adjustRightInd w:val="0"/>
                      <w:snapToGrid w:val="0"/>
                      <w:spacing w:line="240" w:lineRule="atLeast"/>
                      <w:jc w:val="right"/>
                      <w:rPr>
                        <w:szCs w:val="21"/>
                      </w:rPr>
                    </w:pPr>
                    <w:r>
                      <w:t>1,000,000.00</w:t>
                    </w:r>
                  </w:p>
                </w:tc>
                <w:tc>
                  <w:tcPr>
                    <w:tcW w:w="583" w:type="pct"/>
                    <w:tcBorders>
                      <w:left w:val="single" w:color="auto" w:sz="4" w:space="0"/>
                    </w:tcBorders>
                    <w:vAlign w:val="center"/>
                  </w:tcPr>
                  <w:p>
                    <w:pPr>
                      <w:autoSpaceDE w:val="0"/>
                      <w:autoSpaceDN w:val="0"/>
                      <w:adjustRightInd w:val="0"/>
                      <w:snapToGrid w:val="0"/>
                      <w:spacing w:line="240" w:lineRule="atLeast"/>
                      <w:ind w:right="105" w:rightChars="50"/>
                      <w:jc w:val="center"/>
                      <w:rPr>
                        <w:szCs w:val="21"/>
                      </w:rPr>
                    </w:pPr>
                    <w:r>
                      <w:t>1-2年</w:t>
                    </w:r>
                  </w:p>
                </w:tc>
                <w:tc>
                  <w:tcPr>
                    <w:tcW w:w="1162" w:type="pct"/>
                    <w:vAlign w:val="center"/>
                  </w:tcPr>
                  <w:p>
                    <w:pPr>
                      <w:autoSpaceDE w:val="0"/>
                      <w:autoSpaceDN w:val="0"/>
                      <w:adjustRightInd w:val="0"/>
                      <w:snapToGrid w:val="0"/>
                      <w:spacing w:line="240" w:lineRule="atLeast"/>
                      <w:jc w:val="both"/>
                      <w:rPr>
                        <w:szCs w:val="21"/>
                      </w:rPr>
                    </w:pPr>
                    <w:r>
                      <w:rPr>
                        <w:rFonts w:hint="eastAsia"/>
                      </w:rPr>
                      <w:t>项目投资需求，暂缓发放</w:t>
                    </w:r>
                  </w:p>
                </w:tc>
                <w:sdt>
                  <w:sdtPr>
                    <w:rPr>
                      <w:szCs w:val="21"/>
                    </w:rPr>
                    <w:alias w:val="账龄一年以上的应收股利明细-相关款项是否发生减值及其判断依据"/>
                    <w:tag w:val="_GBC_dba1a38f2f194c88a755f4515b5277c2"/>
                    <w:id w:val="-665939328"/>
                    <w:lock w:val="sdtLocked"/>
                    <w:comboBox>
                      <w:listItem w:displayText="是" w:value="true"/>
                      <w:listItem w:displayText="否" w:value="false"/>
                    </w:comboBox>
                  </w:sdtPr>
                  <w:sdtEndPr>
                    <w:rPr>
                      <w:szCs w:val="21"/>
                    </w:rPr>
                  </w:sdtEndPr>
                  <w:sdtContent>
                    <w:tc>
                      <w:tcPr>
                        <w:tcW w:w="781" w:type="pct"/>
                        <w:vAlign w:val="center"/>
                      </w:tcPr>
                      <w:p>
                        <w:pPr>
                          <w:autoSpaceDE w:val="0"/>
                          <w:autoSpaceDN w:val="0"/>
                          <w:adjustRightInd w:val="0"/>
                          <w:snapToGrid w:val="0"/>
                          <w:spacing w:line="240" w:lineRule="atLeast"/>
                          <w:jc w:val="both"/>
                          <w:rPr>
                            <w:szCs w:val="21"/>
                          </w:rPr>
                        </w:pPr>
                        <w:r>
                          <w:rPr>
                            <w:szCs w:val="21"/>
                          </w:rPr>
                          <w:t>否</w:t>
                        </w:r>
                      </w:p>
                    </w:tc>
                  </w:sdtContent>
                </w:sdt>
              </w:tr>
            </w:sdtContent>
          </w:sdt>
          <w:sdt>
            <w:sdtPr>
              <w:rPr>
                <w:szCs w:val="21"/>
              </w:rPr>
              <w:alias w:val="账龄一年以上的应收股利明细"/>
              <w:tag w:val="_TUP_5b6efc1aa4a74acdbb8c5894729cf367"/>
              <w:id w:val="-686762149"/>
              <w:lock w:val="sdtLocked"/>
            </w:sdtPr>
            <w:sdtEndPr>
              <w:rPr>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95" w:type="pct"/>
                  </w:tcPr>
                  <w:p>
                    <w:pPr>
                      <w:rPr>
                        <w:szCs w:val="21"/>
                      </w:rPr>
                    </w:pPr>
                    <w:r>
                      <w:t>重庆银行股份有限公司</w:t>
                    </w:r>
                  </w:p>
                </w:tc>
                <w:tc>
                  <w:tcPr>
                    <w:tcW w:w="1179" w:type="pct"/>
                    <w:tcBorders>
                      <w:right w:val="single" w:color="auto" w:sz="4" w:space="0"/>
                    </w:tcBorders>
                    <w:vAlign w:val="center"/>
                  </w:tcPr>
                  <w:p>
                    <w:pPr>
                      <w:autoSpaceDE w:val="0"/>
                      <w:autoSpaceDN w:val="0"/>
                      <w:adjustRightInd w:val="0"/>
                      <w:snapToGrid w:val="0"/>
                      <w:spacing w:line="240" w:lineRule="atLeast"/>
                      <w:jc w:val="right"/>
                      <w:rPr>
                        <w:szCs w:val="21"/>
                      </w:rPr>
                    </w:pPr>
                    <w:r>
                      <w:t>50,530,323.48</w:t>
                    </w:r>
                  </w:p>
                </w:tc>
                <w:tc>
                  <w:tcPr>
                    <w:tcW w:w="583" w:type="pct"/>
                    <w:tcBorders>
                      <w:left w:val="single" w:color="auto" w:sz="4" w:space="0"/>
                    </w:tcBorders>
                    <w:vAlign w:val="center"/>
                  </w:tcPr>
                  <w:p>
                    <w:pPr>
                      <w:autoSpaceDE w:val="0"/>
                      <w:autoSpaceDN w:val="0"/>
                      <w:adjustRightInd w:val="0"/>
                      <w:snapToGrid w:val="0"/>
                      <w:spacing w:line="240" w:lineRule="atLeast"/>
                      <w:ind w:right="105" w:rightChars="50"/>
                      <w:jc w:val="center"/>
                    </w:pPr>
                    <w:r>
                      <w:t>1-2年</w:t>
                    </w:r>
                  </w:p>
                  <w:p>
                    <w:pPr>
                      <w:autoSpaceDE w:val="0"/>
                      <w:autoSpaceDN w:val="0"/>
                      <w:adjustRightInd w:val="0"/>
                      <w:snapToGrid w:val="0"/>
                      <w:spacing w:line="240" w:lineRule="atLeast"/>
                      <w:ind w:right="105" w:rightChars="50"/>
                      <w:jc w:val="center"/>
                      <w:rPr>
                        <w:szCs w:val="21"/>
                      </w:rPr>
                    </w:pPr>
                    <w:r>
                      <w:t>2-3年</w:t>
                    </w:r>
                  </w:p>
                </w:tc>
                <w:tc>
                  <w:tcPr>
                    <w:tcW w:w="1162" w:type="pct"/>
                    <w:vAlign w:val="center"/>
                  </w:tcPr>
                  <w:p>
                    <w:pPr>
                      <w:autoSpaceDE w:val="0"/>
                      <w:autoSpaceDN w:val="0"/>
                      <w:adjustRightInd w:val="0"/>
                      <w:snapToGrid w:val="0"/>
                      <w:spacing w:line="240" w:lineRule="atLeast"/>
                      <w:jc w:val="both"/>
                      <w:rPr>
                        <w:szCs w:val="21"/>
                      </w:rPr>
                    </w:pPr>
                    <w:r>
                      <w:t>股权被冻结</w:t>
                    </w:r>
                  </w:p>
                </w:tc>
                <w:sdt>
                  <w:sdtPr>
                    <w:rPr>
                      <w:szCs w:val="21"/>
                    </w:rPr>
                    <w:alias w:val="账龄一年以上的应收股利明细-相关款项是否发生减值及其判断依据"/>
                    <w:tag w:val="_GBC_dba1a38f2f194c88a755f4515b5277c2"/>
                    <w:id w:val="44968109"/>
                    <w:lock w:val="sdtLocked"/>
                    <w:comboBox>
                      <w:listItem w:displayText="是" w:value="true"/>
                      <w:listItem w:displayText="否" w:value="false"/>
                    </w:comboBox>
                  </w:sdtPr>
                  <w:sdtEndPr>
                    <w:rPr>
                      <w:szCs w:val="21"/>
                    </w:rPr>
                  </w:sdtEndPr>
                  <w:sdtContent>
                    <w:tc>
                      <w:tcPr>
                        <w:tcW w:w="781" w:type="pct"/>
                        <w:vAlign w:val="center"/>
                      </w:tcPr>
                      <w:p>
                        <w:pPr>
                          <w:autoSpaceDE w:val="0"/>
                          <w:autoSpaceDN w:val="0"/>
                          <w:adjustRightInd w:val="0"/>
                          <w:snapToGrid w:val="0"/>
                          <w:spacing w:line="240" w:lineRule="atLeast"/>
                          <w:jc w:val="both"/>
                          <w:rPr>
                            <w:szCs w:val="21"/>
                          </w:rPr>
                        </w:pPr>
                        <w:r>
                          <w:rPr>
                            <w:szCs w:val="21"/>
                          </w:rPr>
                          <w:t>否</w:t>
                        </w:r>
                      </w:p>
                    </w:tc>
                  </w:sdtContent>
                </w:sdt>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44469f9a519748b9b16de380ebd35dbd"/>
                <w:id w:val="567772242"/>
                <w:lock w:val="sdtLocked"/>
              </w:sdtPr>
              <w:sdtContent>
                <w:tc>
                  <w:tcPr>
                    <w:tcW w:w="1295"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179" w:type="pct"/>
                <w:tcBorders>
                  <w:right w:val="single" w:color="auto" w:sz="4" w:space="0"/>
                </w:tcBorders>
              </w:tcPr>
              <w:p>
                <w:pPr>
                  <w:jc w:val="right"/>
                  <w:rPr>
                    <w:szCs w:val="21"/>
                  </w:rPr>
                </w:pPr>
                <w:r>
                  <w:rPr>
                    <w:szCs w:val="21"/>
                  </w:rPr>
                  <w:t>63,258,001.19</w:t>
                </w:r>
              </w:p>
            </w:tc>
            <w:tc>
              <w:tcPr>
                <w:tcW w:w="583" w:type="pct"/>
                <w:tcBorders>
                  <w:left w:val="single" w:color="auto" w:sz="4" w:space="0"/>
                </w:tcBorders>
              </w:tcPr>
              <w:p>
                <w:pPr>
                  <w:jc w:val="center"/>
                  <w:rPr>
                    <w:color w:val="008000"/>
                    <w:szCs w:val="21"/>
                  </w:rPr>
                </w:pPr>
                <w:r>
                  <w:rPr>
                    <w:rFonts w:hint="eastAsia"/>
                    <w:szCs w:val="21"/>
                  </w:rPr>
                  <w:t>/</w:t>
                </w:r>
              </w:p>
            </w:tc>
            <w:tc>
              <w:tcPr>
                <w:tcW w:w="1162" w:type="pct"/>
              </w:tcPr>
              <w:p>
                <w:pPr>
                  <w:jc w:val="center"/>
                  <w:rPr>
                    <w:szCs w:val="21"/>
                  </w:rPr>
                </w:pPr>
                <w:r>
                  <w:rPr>
                    <w:rFonts w:hint="eastAsia"/>
                    <w:szCs w:val="21"/>
                  </w:rPr>
                  <w:t>/</w:t>
                </w:r>
              </w:p>
            </w:tc>
            <w:tc>
              <w:tcPr>
                <w:tcW w:w="781" w:type="pct"/>
              </w:tcPr>
              <w:p>
                <w:pPr>
                  <w:jc w:val="center"/>
                  <w:rPr>
                    <w:szCs w:val="21"/>
                  </w:rPr>
                </w:pPr>
                <w:r>
                  <w:rPr>
                    <w:rFonts w:hint="eastAsia"/>
                    <w:szCs w:val="21"/>
                  </w:rPr>
                  <w:t>/</w:t>
                </w:r>
              </w:p>
            </w:tc>
          </w:tr>
        </w:tbl>
        <w:p/>
      </w:sdtContent>
    </w:sdt>
    <w:sdt>
      <w:sdtPr>
        <w:rPr>
          <w:rFonts w:hint="eastAsia" w:ascii="宋体" w:hAnsi="宋体" w:eastAsia="宋体" w:cs="宋体"/>
          <w:b w:val="0"/>
          <w:bCs w:val="0"/>
          <w:kern w:val="0"/>
          <w:szCs w:val="24"/>
        </w:rPr>
        <w:alias w:val="模块:坏账准备计提情况"/>
        <w:tag w:val="_SEC_bfa6d1d8f0d04386aa81c3673c519221"/>
        <w:id w:val="-297079800"/>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1"/>
            </w:numPr>
            <w:ind w:left="426" w:hanging="426"/>
          </w:pPr>
          <w:bookmarkStart w:id="155" w:name="_Hlk533421146"/>
          <w:r>
            <w:rPr>
              <w:rFonts w:hint="eastAsia" w:ascii="宋体" w:hAnsi="宋体" w:eastAsia="宋体" w:cs="宋体"/>
              <w:bCs w:val="0"/>
              <w:kern w:val="0"/>
              <w:szCs w:val="24"/>
            </w:rPr>
            <w:t>坏账准备计提情况</w:t>
          </w:r>
        </w:p>
        <w:sdt>
          <w:sdtPr>
            <w:alias w:val="是否适用：应收股利坏账准备调节表[双击切换]"/>
            <w:tag w:val="_GBC_847cf15503744e02b8ac7395c17d2da6"/>
            <w:id w:val="200408361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应收股利坏账准备调节表"/>
              <w:tag w:val="_GBC_7cca6dde80f449039a6c96ac33d14ec6"/>
              <w:id w:val="-17027754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应收股利坏账准备调节表"/>
              <w:tag w:val="_GBC_15c466ad2e0d4da2bba3f9e9dff5c7e0"/>
              <w:id w:val="-133867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14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1470"/>
            <w:gridCol w:w="1872"/>
            <w:gridCol w:w="1872"/>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deb967daaaf458b87ec21c44173b97c"/>
                <w:id w:val="1942403897"/>
                <w:lock w:val="sdtLocked"/>
              </w:sdtPr>
              <w:sdtContent>
                <w:tc>
                  <w:tcPr>
                    <w:tcW w:w="1112" w:type="pct"/>
                    <w:vMerge w:val="restar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d8ee8f79f52c40a2932df12fedeb1282"/>
                <w:id w:val="-589706017"/>
                <w:lock w:val="sdtLocked"/>
              </w:sdtPr>
              <w:sdtContent>
                <w:tc>
                  <w:tcPr>
                    <w:tcW w:w="838"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4a221eb196e24f65bb8781edb771c96d"/>
                <w:id w:val="-185521943"/>
                <w:lock w:val="sdtLocked"/>
              </w:sdtPr>
              <w:sdtContent>
                <w:tc>
                  <w:tcPr>
                    <w:tcW w:w="1067"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f3241caf53304d0bb940ea8311e64117"/>
                <w:id w:val="-839781606"/>
                <w:lock w:val="sdtLocked"/>
              </w:sdtPr>
              <w:sdtContent>
                <w:tc>
                  <w:tcPr>
                    <w:tcW w:w="1067"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1b0a513429cc4f74a27614c2692490f3"/>
                <w:id w:val="-1632249234"/>
                <w:lock w:val="sdtLocked"/>
              </w:sdtPr>
              <w:sdtContent>
                <w:tc>
                  <w:tcPr>
                    <w:tcW w:w="917" w:type="pct"/>
                    <w:vMerge w:val="restar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pct"/>
                <w:vMerge w:val="continue"/>
                <w:vAlign w:val="center"/>
              </w:tcPr>
              <w:p>
                <w:pPr>
                  <w:jc w:val="center"/>
                  <w:rPr>
                    <w:color w:val="008000"/>
                    <w:szCs w:val="21"/>
                  </w:rPr>
                </w:pPr>
              </w:p>
            </w:tc>
            <w:sdt>
              <w:sdtPr>
                <w:tag w:val="_PLD_588e3bea439d428fbcb17c84f3a46250"/>
                <w:id w:val="365945085"/>
                <w:lock w:val="sdtLocked"/>
              </w:sdtPr>
              <w:sdtContent>
                <w:tc>
                  <w:tcPr>
                    <w:tcW w:w="838"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67661307e98544278542a3708db694fd"/>
                <w:id w:val="-1365747915"/>
                <w:lock w:val="sdtLocked"/>
              </w:sdtPr>
              <w:sdtContent>
                <w:tc>
                  <w:tcPr>
                    <w:tcW w:w="1067"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e8af5d5d108448ce8eecb5ea1647a984"/>
                <w:id w:val="-797298727"/>
                <w:lock w:val="sdtLocked"/>
              </w:sdtPr>
              <w:sdtContent>
                <w:tc>
                  <w:tcPr>
                    <w:tcW w:w="1067"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17" w:type="pct"/>
                <w:vMerge w:val="continue"/>
              </w:tcPr>
              <w:p>
                <w:pPr>
                  <w:jc w:val="center"/>
                  <w:rPr>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215dca4233d4f599d8eeab66e899303"/>
                <w:id w:val="-519007402"/>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2021年</w:t>
                    </w:r>
                    <w:r>
                      <w:rPr>
                        <w:rFonts w:hint="eastAsia" w:ascii="宋体" w:hAnsi="宋体" w:eastAsia="宋体" w:cs="宋体"/>
                        <w:sz w:val="21"/>
                        <w:szCs w:val="21"/>
                        <w:lang w:eastAsia="zh-CN"/>
                      </w:rPr>
                      <w:t>1月1日余额</w:t>
                    </w:r>
                  </w:p>
                </w:tc>
              </w:sdtContent>
            </w:sdt>
            <w:tc>
              <w:tcPr>
                <w:tcW w:w="838" w:type="pct"/>
              </w:tcPr>
              <w:p>
                <w:pPr>
                  <w:jc w:val="right"/>
                  <w:rPr>
                    <w:szCs w:val="21"/>
                  </w:rPr>
                </w:pPr>
              </w:p>
            </w:tc>
            <w:tc>
              <w:tcPr>
                <w:tcW w:w="1067" w:type="pct"/>
              </w:tcPr>
              <w:p>
                <w:pPr>
                  <w:jc w:val="right"/>
                  <w:rPr>
                    <w:szCs w:val="21"/>
                  </w:rPr>
                </w:pPr>
              </w:p>
            </w:tc>
            <w:tc>
              <w:tcPr>
                <w:tcW w:w="1067" w:type="pct"/>
                <w:vAlign w:val="center"/>
              </w:tcPr>
              <w:p>
                <w:pPr>
                  <w:rPr>
                    <w:sz w:val="24"/>
                  </w:rPr>
                </w:pPr>
                <w:r>
                  <w:t>11,727,677.71</w:t>
                </w:r>
              </w:p>
            </w:tc>
            <w:tc>
              <w:tcPr>
                <w:tcW w:w="917" w:type="pct"/>
                <w:vAlign w:val="center"/>
              </w:tcPr>
              <w:p>
                <w:pPr>
                  <w:rPr>
                    <w:sz w:val="24"/>
                  </w:rPr>
                </w:pPr>
                <w:r>
                  <w:t>11,727,677.71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1242479e1cc484f99356135bab330aa"/>
                <w:id w:val="-1402826242"/>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2021年1月1日余额在本期</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ace2dfefba84a238acf5770fc1a650c"/>
                <w:id w:val="548812384"/>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09b6c48973b4809b2e7b089fb0241e0"/>
                <w:id w:val="1338957496"/>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958307309ff4f23b97ca3aa24bf76d3"/>
                <w:id w:val="-1291665443"/>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4546ba469c64c03ae8c49a69d911b02"/>
                <w:id w:val="-218982424"/>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fbb0ba2768417eac8ea324558fa2e2"/>
                <w:id w:val="179865083"/>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pct"/>
                <w:vAlign w:val="center"/>
              </w:tcPr>
              <w:sdt>
                <w:sdtPr>
                  <w:rPr>
                    <w:rFonts w:hint="eastAsia" w:asciiTheme="minorEastAsia" w:hAnsiTheme="minorEastAsia" w:eastAsiaTheme="minorEastAsia"/>
                    <w:sz w:val="21"/>
                    <w:lang w:eastAsia="zh-CN"/>
                  </w:rPr>
                  <w:tag w:val="_PLD_0b8d4314717749c7ac0edc428dad2132"/>
                  <w:id w:val="1425613906"/>
                  <w:lock w:val="sdtLocked"/>
                </w:sdtPr>
                <w:sdtEndPr>
                  <w:rPr>
                    <w:rFonts w:hint="eastAsia" w:asciiTheme="minorEastAsia" w:hAnsiTheme="minorEastAsia" w:eastAsiaTheme="minorEastAsia"/>
                    <w:sz w:val="21"/>
                    <w:lang w:eastAsia="zh-CN"/>
                  </w:rPr>
                </w:sdtEndPr>
                <w:sdtContent>
                  <w:p>
                    <w:pPr>
                      <w:pStyle w:val="269"/>
                      <w:spacing w:after="0" w:line="240" w:lineRule="auto"/>
                      <w:jc w:val="both"/>
                      <w:rPr>
                        <w:rFonts w:asciiTheme="minorEastAsia" w:hAnsiTheme="minorEastAsia" w:eastAsiaTheme="minorEastAsia"/>
                      </w:rPr>
                    </w:pPr>
                    <w:r>
                      <w:rPr>
                        <w:rFonts w:hint="eastAsia" w:asciiTheme="minorEastAsia" w:hAnsiTheme="minorEastAsia" w:eastAsiaTheme="minorEastAsia"/>
                        <w:sz w:val="21"/>
                        <w:lang w:eastAsia="zh-CN"/>
                      </w:rPr>
                      <w:t>本期转回</w:t>
                    </w:r>
                  </w:p>
                </w:sdtContent>
              </w:sdt>
            </w:tc>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e6eb08c876942e68124f072cbf7af5f"/>
                <w:id w:val="-1323973512"/>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2" w:type="pct"/>
                <w:vAlign w:val="center"/>
              </w:tcPr>
              <w:sdt>
                <w:sdtPr>
                  <w:rPr>
                    <w:rFonts w:hint="eastAsia" w:asciiTheme="minorEastAsia" w:hAnsiTheme="minorEastAsia" w:eastAsiaTheme="minorEastAsia"/>
                    <w:sz w:val="21"/>
                    <w:szCs w:val="21"/>
                    <w:lang w:eastAsia="zh-CN"/>
                  </w:rPr>
                  <w:tag w:val="_PLD_ec3ec4707626465089e3bcd471e28bd8"/>
                  <w:id w:val="-1549679833"/>
                  <w:lock w:val="sdtLocked"/>
                </w:sdtPr>
                <w:sdtEndPr>
                  <w:rPr>
                    <w:rFonts w:hint="eastAsia" w:asciiTheme="minorEastAsia" w:hAnsiTheme="minorEastAsia" w:eastAsiaTheme="minorEastAsia"/>
                    <w:sz w:val="21"/>
                    <w:szCs w:val="21"/>
                    <w:lang w:eastAsia="zh-CN"/>
                  </w:rPr>
                </w:sdtEndPr>
                <w:sdtContent>
                  <w:p>
                    <w:pPr>
                      <w:pStyle w:val="269"/>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sdtContent>
              </w:sdt>
            </w:tc>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9f9602552ef4212bae027ff0ff95ab1"/>
                <w:id w:val="619953782"/>
                <w:lock w:val="sdtLocked"/>
              </w:sdtPr>
              <w:sdtContent>
                <w:tc>
                  <w:tcPr>
                    <w:tcW w:w="1112"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838" w:type="pct"/>
              </w:tcPr>
              <w:p>
                <w:pPr>
                  <w:jc w:val="right"/>
                  <w:rPr>
                    <w:szCs w:val="21"/>
                  </w:rPr>
                </w:pPr>
              </w:p>
            </w:tc>
            <w:tc>
              <w:tcPr>
                <w:tcW w:w="1067" w:type="pct"/>
              </w:tcPr>
              <w:p>
                <w:pPr>
                  <w:jc w:val="right"/>
                  <w:rPr>
                    <w:szCs w:val="21"/>
                  </w:rPr>
                </w:pPr>
              </w:p>
            </w:tc>
            <w:tc>
              <w:tcPr>
                <w:tcW w:w="1067" w:type="pct"/>
              </w:tcPr>
              <w:p>
                <w:pPr>
                  <w:jc w:val="right"/>
                  <w:rPr>
                    <w:szCs w:val="21"/>
                  </w:rPr>
                </w:pPr>
              </w:p>
            </w:tc>
            <w:tc>
              <w:tcPr>
                <w:tcW w:w="91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7818ffe08e94acc9b6bbc6d697f6d72"/>
                <w:id w:val="674540682"/>
                <w:lock w:val="sdtLocked"/>
              </w:sdtPr>
              <w:sdtContent>
                <w:tc>
                  <w:tcPr>
                    <w:tcW w:w="1112" w:type="pct"/>
                    <w:vAlign w:val="center"/>
                  </w:tcPr>
                  <w:p>
                    <w:pPr>
                      <w:pStyle w:val="269"/>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2021年12月31日</w:t>
                    </w:r>
                    <w:r>
                      <w:rPr>
                        <w:rFonts w:hint="eastAsia" w:ascii="宋体" w:hAnsi="宋体" w:eastAsia="宋体" w:cs="宋体"/>
                        <w:sz w:val="21"/>
                        <w:szCs w:val="21"/>
                        <w:lang w:eastAsia="zh-CN"/>
                      </w:rPr>
                      <w:t>余额</w:t>
                    </w:r>
                  </w:p>
                </w:tc>
              </w:sdtContent>
            </w:sdt>
            <w:tc>
              <w:tcPr>
                <w:tcW w:w="838" w:type="pct"/>
              </w:tcPr>
              <w:p>
                <w:pPr>
                  <w:jc w:val="right"/>
                  <w:rPr>
                    <w:szCs w:val="21"/>
                  </w:rPr>
                </w:pPr>
              </w:p>
            </w:tc>
            <w:tc>
              <w:tcPr>
                <w:tcW w:w="1067" w:type="pct"/>
              </w:tcPr>
              <w:p>
                <w:pPr>
                  <w:jc w:val="right"/>
                  <w:rPr>
                    <w:szCs w:val="21"/>
                  </w:rPr>
                </w:pPr>
              </w:p>
            </w:tc>
            <w:tc>
              <w:tcPr>
                <w:tcW w:w="1067" w:type="pct"/>
                <w:vAlign w:val="center"/>
              </w:tcPr>
              <w:p>
                <w:pPr>
                  <w:rPr>
                    <w:sz w:val="24"/>
                  </w:rPr>
                </w:pPr>
                <w:r>
                  <w:t>11,727,677.71</w:t>
                </w:r>
              </w:p>
            </w:tc>
            <w:tc>
              <w:tcPr>
                <w:tcW w:w="917" w:type="pct"/>
                <w:vAlign w:val="center"/>
              </w:tcPr>
              <w:p>
                <w:pPr>
                  <w:rPr>
                    <w:sz w:val="24"/>
                  </w:rPr>
                </w:pPr>
                <w:r>
                  <w:t>11,727,677.71</w:t>
                </w:r>
              </w:p>
            </w:tc>
          </w:tr>
        </w:tbl>
        <w:p>
          <w:pPr>
            <w:autoSpaceDE w:val="0"/>
            <w:autoSpaceDN w:val="0"/>
            <w:adjustRightInd w:val="0"/>
            <w:ind w:right="105" w:rightChars="50"/>
            <w:rPr>
              <w:szCs w:val="21"/>
            </w:rPr>
          </w:pPr>
        </w:p>
        <w:p>
          <w:pPr>
            <w:pStyle w:val="250"/>
          </w:pPr>
          <w:r>
            <w:rPr>
              <w:rFonts w:hint="eastAsia"/>
            </w:rPr>
            <w:t>对本期发生损失准备变动的应收股利账面余额显著变动的情况说明：</w:t>
          </w:r>
        </w:p>
        <w:sdt>
          <w:sdtPr>
            <w:rPr>
              <w:szCs w:val="21"/>
            </w:rPr>
            <w:alias w:val="是否适用：应收股利本期发生损失准备变动且账面余额显著变动的情况说明[双击切换]"/>
            <w:tag w:val="_GBC_f431acf85fd94f1eb2cd4d70b0f69b2c"/>
            <w:id w:val="-1764139570"/>
            <w:lock w:val="sdtLocked"/>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p>
      </w:sdtContent>
    </w:sdt>
    <w:bookmarkEnd w:id="155"/>
    <w:sdt>
      <w:sdtPr>
        <w:rPr>
          <w:rFonts w:hint="eastAsia"/>
          <w:szCs w:val="21"/>
        </w:rPr>
        <w:alias w:val="模块:应收股利的说明"/>
        <w:tag w:val="_SEC_e50f0bae57ac4f97bb5148c612a8ca48"/>
        <w:id w:val="1629897145"/>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p>
          <w:pPr>
            <w:rPr>
              <w:szCs w:val="21"/>
            </w:rPr>
          </w:pPr>
          <w:sdt>
            <w:sdtPr>
              <w:rPr>
                <w:szCs w:val="21"/>
              </w:rPr>
              <w:alias w:val="是否适用：应收股利的说明[双击切换]"/>
              <w:tag w:val="_GBC_22314d2cdf794d5f90af92f13665da22"/>
              <w:id w:val="1819530326"/>
              <w:lock w:val="sdtLocked"/>
              <w:placeholder>
                <w:docPart w:val="GBC22222222222222222222222222222"/>
              </w:placeholder>
            </w:sdtPr>
            <w:sdtEndPr>
              <w:rPr>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Content>
    </w:sdt>
    <w:p>
      <w:pPr>
        <w:snapToGrid w:val="0"/>
        <w:spacing w:line="240" w:lineRule="atLeast"/>
        <w:ind w:right="25" w:rightChars="12"/>
        <w:rPr>
          <w:color w:val="FF0000"/>
          <w:szCs w:val="21"/>
        </w:rPr>
      </w:pPr>
    </w:p>
    <w:p>
      <w:pPr>
        <w:pStyle w:val="214"/>
        <w:ind w:left="360" w:hanging="360"/>
      </w:pPr>
      <w:r>
        <w:rPr>
          <w:rFonts w:hint="eastAsia"/>
        </w:rPr>
        <w:t>其他应收款</w:t>
      </w:r>
    </w:p>
    <w:sdt>
      <w:sdtPr>
        <w:rPr>
          <w:rFonts w:hint="eastAsia" w:ascii="宋体" w:hAnsi="宋体" w:eastAsia="宋体" w:cs="宋体"/>
          <w:b w:val="0"/>
          <w:bCs w:val="0"/>
          <w:kern w:val="0"/>
          <w:szCs w:val="24"/>
        </w:rPr>
        <w:alias w:val="模块:按账龄披露"/>
        <w:tag w:val="_SEC_9cd4f6309fba4b598ec2f3a0a4e083ad"/>
        <w:id w:val="-886256269"/>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3"/>
              <w:numId w:val="81"/>
            </w:numPr>
            <w:ind w:left="426" w:hanging="426"/>
          </w:pPr>
          <w:bookmarkStart w:id="156" w:name="_Hlk533421204"/>
          <w:r>
            <w:rPr>
              <w:rFonts w:hint="eastAsia"/>
            </w:rPr>
            <w:t>按账龄披露</w:t>
          </w:r>
          <w:bookmarkEnd w:id="156"/>
        </w:p>
        <w:sdt>
          <w:sdtPr>
            <w:rPr>
              <w:rFonts w:hint="eastAsia"/>
              <w:szCs w:val="21"/>
            </w:rPr>
            <w:alias w:val="是否适用：组合中，按账龄分析法计提坏账准备的其他应收账款[双击切换]"/>
            <w:tag w:val="_GBC_b46a4e720a884c40b402c5b30a4f4432"/>
            <w:id w:val="-171410848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6ca37718de0645da8a1de40ee1bb1597"/>
              <w:id w:val="-868677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eccd3e1ac8d04ff882b9e0189e7dd629"/>
              <w:id w:val="-91454342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372"/>
            <w:gridCol w:w="3259"/>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693c274d2774e098d4e6f0b6ce787c4"/>
                <w:id w:val="328643332"/>
                <w:lock w:val="sdtLocked"/>
              </w:sdtPr>
              <w:sdtContent>
                <w:tc>
                  <w:tcPr>
                    <w:tcW w:w="197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tag w:val="_PLD_592d3cc76c64401da21e664b374ad045"/>
                <w:id w:val="262576515"/>
                <w:lock w:val="sdtLocked"/>
              </w:sdtPr>
              <w:sdtContent>
                <w:tc>
                  <w:tcPr>
                    <w:tcW w:w="191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tc>
              <w:tcPr>
                <w:tcW w:w="11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6947d7a3e56e4c59be970f76736c65e3"/>
                <w:id w:val="-1922164220"/>
                <w:lock w:val="sdtLocked"/>
              </w:sdtPr>
              <w:sdtContent>
                <w:tc>
                  <w:tcPr>
                    <w:tcW w:w="5000" w:type="pct"/>
                    <w:gridSpan w:val="3"/>
                    <w:tcBorders>
                      <w:top w:val="single" w:color="auto" w:sz="4" w:space="0"/>
                      <w:left w:val="single" w:color="auto" w:sz="4" w:space="0"/>
                      <w:bottom w:val="single" w:color="auto" w:sz="4" w:space="0"/>
                      <w:right w:val="single" w:color="auto" w:sz="4" w:space="0"/>
                    </w:tcBorders>
                  </w:tcPr>
                  <w:p>
                    <w:pPr>
                      <w:rPr>
                        <w:color w:val="FF0000"/>
                        <w:szCs w:val="21"/>
                      </w:rPr>
                    </w:pPr>
                    <w:r>
                      <w:rPr>
                        <w:rFonts w:hint="eastAsia"/>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7cf536363dd4da2bae7017806fba883"/>
                <w:id w:val="1451517198"/>
                <w:lock w:val="sdtLocked"/>
              </w:sdtPr>
              <w:sdtContent>
                <w:tc>
                  <w:tcPr>
                    <w:tcW w:w="5000" w:type="pct"/>
                    <w:gridSpan w:val="3"/>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其中：1年以内分项</w:t>
                    </w:r>
                  </w:p>
                </w:tc>
              </w:sdtContent>
            </w:sdt>
          </w:tr>
          <w:sdt>
            <w:sdtPr>
              <w:rPr>
                <w:rFonts w:hint="eastAsia" w:asciiTheme="minorHAnsi" w:hAnsiTheme="minorHAnsi" w:eastAsiaTheme="minorEastAsia" w:cstheme="minorBidi"/>
                <w:kern w:val="2"/>
                <w:szCs w:val="21"/>
              </w:rPr>
              <w:alias w:val="一年以内其他应收款金额明细"/>
              <w:tag w:val="_TUP_dfa535b506af4aeb868cc2263d0644f6"/>
              <w:id w:val="67008661"/>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78" w:type="pct"/>
                    <w:tcBorders>
                      <w:top w:val="single" w:color="auto" w:sz="4" w:space="0"/>
                      <w:left w:val="single" w:color="auto" w:sz="4" w:space="0"/>
                      <w:bottom w:val="single" w:color="auto" w:sz="4" w:space="0"/>
                      <w:right w:val="single" w:color="auto" w:sz="4" w:space="0"/>
                    </w:tcBorders>
                  </w:tcPr>
                  <w:p>
                    <w:pPr>
                      <w:rPr>
                        <w:szCs w:val="21"/>
                      </w:rPr>
                    </w:pPr>
                    <w:r>
                      <w:t>0－6个月</w:t>
                    </w:r>
                  </w:p>
                </w:tc>
                <w:tc>
                  <w:tcPr>
                    <w:tcW w:w="1912" w:type="pct"/>
                    <w:tcBorders>
                      <w:top w:val="single" w:color="auto" w:sz="4" w:space="0"/>
                      <w:left w:val="single" w:color="auto" w:sz="4" w:space="0"/>
                      <w:bottom w:val="single" w:color="auto" w:sz="4" w:space="0"/>
                      <w:right w:val="single" w:color="auto" w:sz="4" w:space="0"/>
                    </w:tcBorders>
                  </w:tcPr>
                  <w:p>
                    <w:pPr>
                      <w:jc w:val="right"/>
                      <w:rPr>
                        <w:szCs w:val="21"/>
                      </w:rPr>
                    </w:pPr>
                    <w:r>
                      <w:t>178,593,190.03</w:t>
                    </w:r>
                  </w:p>
                </w:tc>
                <w:sdt>
                  <w:sdtPr>
                    <w:alias w:val="期初账面余额"/>
                    <w:tag w:val="_GBC_59781eb23fdb4a11a69c9c52b3c605cc"/>
                    <w:id w:val="769124548"/>
                    <w:lock w:val="sdtLocked"/>
                  </w:sdtPr>
                  <w:sdtContent>
                    <w:tc>
                      <w:tcPr>
                        <w:tcW w:w="1110" w:type="pct"/>
                        <w:tcBorders>
                          <w:top w:val="single" w:color="auto" w:sz="4" w:space="0"/>
                          <w:left w:val="single" w:color="auto" w:sz="4" w:space="0"/>
                          <w:bottom w:val="single" w:color="auto" w:sz="4" w:space="0"/>
                          <w:right w:val="single" w:color="auto" w:sz="4" w:space="0"/>
                        </w:tcBorders>
                      </w:tcPr>
                      <w:p>
                        <w:pPr>
                          <w:jc w:val="right"/>
                          <w:rPr>
                            <w:szCs w:val="21"/>
                          </w:rPr>
                        </w:pPr>
                        <w:r>
                          <w:t>815,276,081.49</w:t>
                        </w:r>
                      </w:p>
                    </w:tc>
                  </w:sdtContent>
                </w:sdt>
              </w:tr>
            </w:sdtContent>
          </w:sdt>
          <w:sdt>
            <w:sdtPr>
              <w:rPr>
                <w:rFonts w:hint="eastAsia" w:asciiTheme="minorHAnsi" w:hAnsiTheme="minorHAnsi" w:eastAsiaTheme="minorEastAsia" w:cstheme="minorBidi"/>
                <w:kern w:val="2"/>
                <w:szCs w:val="21"/>
              </w:rPr>
              <w:alias w:val="一年以内其他应收款金额明细"/>
              <w:tag w:val="_TUP_dfa535b506af4aeb868cc2263d0644f6"/>
              <w:id w:val="172462248"/>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78" w:type="pct"/>
                    <w:tcBorders>
                      <w:top w:val="single" w:color="auto" w:sz="4" w:space="0"/>
                      <w:left w:val="single" w:color="auto" w:sz="4" w:space="0"/>
                      <w:bottom w:val="single" w:color="auto" w:sz="4" w:space="0"/>
                      <w:right w:val="single" w:color="auto" w:sz="4" w:space="0"/>
                    </w:tcBorders>
                  </w:tcPr>
                  <w:p>
                    <w:pPr>
                      <w:rPr>
                        <w:szCs w:val="21"/>
                      </w:rPr>
                    </w:pPr>
                    <w:r>
                      <w:t>6个月－1年</w:t>
                    </w:r>
                  </w:p>
                </w:tc>
                <w:tc>
                  <w:tcPr>
                    <w:tcW w:w="1912" w:type="pct"/>
                    <w:tcBorders>
                      <w:top w:val="single" w:color="auto" w:sz="4" w:space="0"/>
                      <w:left w:val="single" w:color="auto" w:sz="4" w:space="0"/>
                      <w:bottom w:val="single" w:color="auto" w:sz="4" w:space="0"/>
                      <w:right w:val="single" w:color="auto" w:sz="4" w:space="0"/>
                    </w:tcBorders>
                  </w:tcPr>
                  <w:p>
                    <w:pPr>
                      <w:jc w:val="right"/>
                      <w:rPr>
                        <w:szCs w:val="21"/>
                      </w:rPr>
                    </w:pPr>
                    <w:r>
                      <w:t>664,406.10</w:t>
                    </w:r>
                  </w:p>
                </w:tc>
                <w:sdt>
                  <w:sdtPr>
                    <w:alias w:val="期初账面余额"/>
                    <w:tag w:val="_GBC_59781eb23fdb4a11a69c9c52b3c605cc"/>
                    <w:id w:val="1375269975"/>
                    <w:lock w:val="sdtLocked"/>
                  </w:sdtPr>
                  <w:sdtContent>
                    <w:tc>
                      <w:tcPr>
                        <w:tcW w:w="1110" w:type="pct"/>
                        <w:tcBorders>
                          <w:top w:val="single" w:color="auto" w:sz="4" w:space="0"/>
                          <w:left w:val="single" w:color="auto" w:sz="4" w:space="0"/>
                          <w:bottom w:val="single" w:color="auto" w:sz="4" w:space="0"/>
                          <w:right w:val="single" w:color="auto" w:sz="4" w:space="0"/>
                        </w:tcBorders>
                      </w:tcPr>
                      <w:p>
                        <w:pPr>
                          <w:jc w:val="right"/>
                          <w:rPr>
                            <w:szCs w:val="21"/>
                          </w:rPr>
                        </w:pPr>
                        <w:r>
                          <w:t>29,058,194.88</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0ea7052fc724634bba2abea66f07723"/>
                <w:id w:val="-443767114"/>
                <w:lock w:val="sdtLocked"/>
              </w:sdtPr>
              <w:sdtContent>
                <w:tc>
                  <w:tcPr>
                    <w:tcW w:w="19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1年以内小计</w:t>
                    </w:r>
                  </w:p>
                </w:tc>
              </w:sdtContent>
            </w:sdt>
            <w:tc>
              <w:tcPr>
                <w:tcW w:w="1912" w:type="pct"/>
                <w:tcBorders>
                  <w:top w:val="single" w:color="auto" w:sz="4" w:space="0"/>
                  <w:left w:val="single" w:color="auto" w:sz="4" w:space="0"/>
                  <w:bottom w:val="single" w:color="auto" w:sz="4" w:space="0"/>
                  <w:right w:val="single" w:color="auto" w:sz="4" w:space="0"/>
                </w:tcBorders>
              </w:tcPr>
              <w:p>
                <w:pPr>
                  <w:jc w:val="right"/>
                  <w:rPr>
                    <w:szCs w:val="21"/>
                  </w:rPr>
                </w:pPr>
                <w:r>
                  <w:t>179,257,596.13</w:t>
                </w:r>
              </w:p>
            </w:tc>
            <w:tc>
              <w:tcPr>
                <w:tcW w:w="1110"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844</w:t>
                </w:r>
                <w:r>
                  <w:rPr>
                    <w:rFonts w:hint="eastAsia"/>
                    <w:szCs w:val="21"/>
                  </w:rPr>
                  <w:t>,</w:t>
                </w:r>
                <w:r>
                  <w:rPr>
                    <w:szCs w:val="21"/>
                  </w:rPr>
                  <w:t>334</w:t>
                </w:r>
                <w:r>
                  <w:rPr>
                    <w:rFonts w:hint="eastAsia"/>
                    <w:szCs w:val="21"/>
                  </w:rPr>
                  <w:t>,</w:t>
                </w:r>
                <w:r>
                  <w:rPr>
                    <w:szCs w:val="21"/>
                  </w:rPr>
                  <w:t>276.37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98586cfb9fec441587daa5f6317031cb"/>
                <w:id w:val="-138424275"/>
                <w:lock w:val="sdtLocked"/>
              </w:sdtPr>
              <w:sdtContent>
                <w:tc>
                  <w:tcPr>
                    <w:tcW w:w="19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1至2年</w:t>
                    </w:r>
                  </w:p>
                </w:tc>
              </w:sdtContent>
            </w:sdt>
            <w:tc>
              <w:tcPr>
                <w:tcW w:w="1912" w:type="pct"/>
                <w:tcBorders>
                  <w:top w:val="single" w:color="auto" w:sz="4" w:space="0"/>
                  <w:left w:val="single" w:color="auto" w:sz="4" w:space="0"/>
                  <w:bottom w:val="single" w:color="auto" w:sz="4" w:space="0"/>
                  <w:right w:val="single" w:color="auto" w:sz="4" w:space="0"/>
                </w:tcBorders>
                <w:vAlign w:val="center"/>
              </w:tcPr>
              <w:p>
                <w:pPr>
                  <w:jc w:val="right"/>
                  <w:rPr>
                    <w:sz w:val="24"/>
                  </w:rPr>
                </w:pPr>
                <w:r>
                  <w:t>43,441,740.77</w:t>
                </w:r>
              </w:p>
            </w:tc>
            <w:tc>
              <w:tcPr>
                <w:tcW w:w="1110" w:type="pct"/>
                <w:tcBorders>
                  <w:top w:val="single" w:color="auto" w:sz="4" w:space="0"/>
                  <w:left w:val="single" w:color="auto" w:sz="4" w:space="0"/>
                  <w:bottom w:val="single" w:color="auto" w:sz="4" w:space="0"/>
                  <w:right w:val="single" w:color="auto" w:sz="4" w:space="0"/>
                </w:tcBorders>
                <w:vAlign w:val="center"/>
              </w:tcPr>
              <w:p>
                <w:pPr>
                  <w:jc w:val="right"/>
                  <w:rPr>
                    <w:sz w:val="24"/>
                  </w:rPr>
                </w:pPr>
                <w:r>
                  <w:t>21,214,755.05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7dfbea412634188b20a56b875d5c1a0"/>
                <w:id w:val="-1503349991"/>
                <w:lock w:val="sdtLocked"/>
              </w:sdtPr>
              <w:sdtContent>
                <w:tc>
                  <w:tcPr>
                    <w:tcW w:w="19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2至3年</w:t>
                    </w:r>
                  </w:p>
                </w:tc>
              </w:sdtContent>
            </w:sdt>
            <w:tc>
              <w:tcPr>
                <w:tcW w:w="1912" w:type="pct"/>
                <w:tcBorders>
                  <w:top w:val="single" w:color="auto" w:sz="4" w:space="0"/>
                  <w:left w:val="single" w:color="auto" w:sz="4" w:space="0"/>
                  <w:bottom w:val="single" w:color="auto" w:sz="4" w:space="0"/>
                  <w:right w:val="single" w:color="auto" w:sz="4" w:space="0"/>
                </w:tcBorders>
                <w:vAlign w:val="center"/>
              </w:tcPr>
              <w:p>
                <w:pPr>
                  <w:jc w:val="right"/>
                  <w:rPr>
                    <w:sz w:val="24"/>
                  </w:rPr>
                </w:pPr>
                <w:r>
                  <w:t>19,782,407.61</w:t>
                </w:r>
              </w:p>
            </w:tc>
            <w:tc>
              <w:tcPr>
                <w:tcW w:w="1110" w:type="pct"/>
                <w:tcBorders>
                  <w:top w:val="single" w:color="auto" w:sz="4" w:space="0"/>
                  <w:left w:val="single" w:color="auto" w:sz="4" w:space="0"/>
                  <w:bottom w:val="single" w:color="auto" w:sz="4" w:space="0"/>
                  <w:right w:val="single" w:color="auto" w:sz="4" w:space="0"/>
                </w:tcBorders>
                <w:vAlign w:val="center"/>
              </w:tcPr>
              <w:p>
                <w:pPr>
                  <w:jc w:val="right"/>
                  <w:rPr>
                    <w:sz w:val="24"/>
                  </w:rPr>
                </w:pPr>
                <w:r>
                  <w:t>378,129,638.80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219b34745ba43bd8890e188ec4fd1f5"/>
                <w:id w:val="755095489"/>
                <w:lock w:val="sdtLocked"/>
              </w:sdtPr>
              <w:sdtContent>
                <w:tc>
                  <w:tcPr>
                    <w:tcW w:w="19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3至4年</w:t>
                    </w:r>
                  </w:p>
                </w:tc>
              </w:sdtContent>
            </w:sdt>
            <w:tc>
              <w:tcPr>
                <w:tcW w:w="1912" w:type="pct"/>
                <w:tcBorders>
                  <w:top w:val="single" w:color="auto" w:sz="4" w:space="0"/>
                  <w:left w:val="single" w:color="auto" w:sz="4" w:space="0"/>
                  <w:bottom w:val="single" w:color="auto" w:sz="4" w:space="0"/>
                  <w:right w:val="single" w:color="auto" w:sz="4" w:space="0"/>
                </w:tcBorders>
                <w:vAlign w:val="center"/>
              </w:tcPr>
              <w:p>
                <w:pPr>
                  <w:jc w:val="right"/>
                  <w:rPr>
                    <w:sz w:val="24"/>
                  </w:rPr>
                </w:pPr>
                <w:r>
                  <w:t>301,254,668.12</w:t>
                </w:r>
              </w:p>
            </w:tc>
            <w:tc>
              <w:tcPr>
                <w:tcW w:w="1110" w:type="pct"/>
                <w:tcBorders>
                  <w:top w:val="single" w:color="auto" w:sz="4" w:space="0"/>
                  <w:left w:val="single" w:color="auto" w:sz="4" w:space="0"/>
                  <w:bottom w:val="single" w:color="auto" w:sz="4" w:space="0"/>
                  <w:right w:val="single" w:color="auto" w:sz="4" w:space="0"/>
                </w:tcBorders>
                <w:vAlign w:val="center"/>
              </w:tcPr>
              <w:p>
                <w:pPr>
                  <w:jc w:val="right"/>
                  <w:rPr>
                    <w:sz w:val="24"/>
                  </w:rPr>
                </w:pPr>
                <w:r>
                  <w:t>54,895,907.00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39aa65599744a2ba97edb44895346cd"/>
                <w:id w:val="1795098334"/>
                <w:lock w:val="sdtLocked"/>
              </w:sdtPr>
              <w:sdtContent>
                <w:tc>
                  <w:tcPr>
                    <w:tcW w:w="19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4至5年</w:t>
                    </w:r>
                  </w:p>
                </w:tc>
              </w:sdtContent>
            </w:sdt>
            <w:tc>
              <w:tcPr>
                <w:tcW w:w="1912" w:type="pct"/>
                <w:tcBorders>
                  <w:top w:val="single" w:color="auto" w:sz="4" w:space="0"/>
                  <w:left w:val="single" w:color="auto" w:sz="4" w:space="0"/>
                  <w:bottom w:val="single" w:color="auto" w:sz="4" w:space="0"/>
                  <w:right w:val="single" w:color="auto" w:sz="4" w:space="0"/>
                </w:tcBorders>
                <w:vAlign w:val="center"/>
              </w:tcPr>
              <w:p>
                <w:pPr>
                  <w:jc w:val="right"/>
                  <w:rPr>
                    <w:sz w:val="24"/>
                  </w:rPr>
                </w:pPr>
                <w:r>
                  <w:t>52,550,583.58</w:t>
                </w:r>
              </w:p>
            </w:tc>
            <w:tc>
              <w:tcPr>
                <w:tcW w:w="1110" w:type="pct"/>
                <w:tcBorders>
                  <w:top w:val="single" w:color="auto" w:sz="4" w:space="0"/>
                  <w:left w:val="single" w:color="auto" w:sz="4" w:space="0"/>
                  <w:bottom w:val="single" w:color="auto" w:sz="4" w:space="0"/>
                  <w:right w:val="single" w:color="auto" w:sz="4" w:space="0"/>
                </w:tcBorders>
                <w:vAlign w:val="center"/>
              </w:tcPr>
              <w:p>
                <w:pPr>
                  <w:jc w:val="right"/>
                  <w:rPr>
                    <w:sz w:val="24"/>
                  </w:rPr>
                </w:pPr>
                <w:r>
                  <w:t>10,923,637.16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ea221e85abe4d948804f7b8cb9abd12"/>
                <w:id w:val="-835995159"/>
                <w:lock w:val="sdtLocked"/>
              </w:sdtPr>
              <w:sdtContent>
                <w:tc>
                  <w:tcPr>
                    <w:tcW w:w="1978"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5年以上</w:t>
                    </w:r>
                  </w:p>
                </w:tc>
              </w:sdtContent>
            </w:sdt>
            <w:tc>
              <w:tcPr>
                <w:tcW w:w="1912" w:type="pct"/>
                <w:tcBorders>
                  <w:top w:val="single" w:color="auto" w:sz="4" w:space="0"/>
                  <w:left w:val="single" w:color="auto" w:sz="4" w:space="0"/>
                  <w:bottom w:val="single" w:color="auto" w:sz="4" w:space="0"/>
                  <w:right w:val="single" w:color="auto" w:sz="4" w:space="0"/>
                </w:tcBorders>
                <w:vAlign w:val="center"/>
              </w:tcPr>
              <w:p>
                <w:pPr>
                  <w:jc w:val="right"/>
                  <w:rPr>
                    <w:sz w:val="24"/>
                  </w:rPr>
                </w:pPr>
                <w:r>
                  <w:t>12,548,848.97</w:t>
                </w:r>
              </w:p>
            </w:tc>
            <w:tc>
              <w:tcPr>
                <w:tcW w:w="1110" w:type="pct"/>
                <w:tcBorders>
                  <w:top w:val="single" w:color="auto" w:sz="4" w:space="0"/>
                  <w:left w:val="single" w:color="auto" w:sz="4" w:space="0"/>
                  <w:bottom w:val="single" w:color="auto" w:sz="4" w:space="0"/>
                  <w:right w:val="single" w:color="auto" w:sz="4" w:space="0"/>
                </w:tcBorders>
                <w:vAlign w:val="center"/>
              </w:tcPr>
              <w:p>
                <w:pPr>
                  <w:jc w:val="right"/>
                  <w:rPr>
                    <w:sz w:val="24"/>
                  </w:rPr>
                </w:pPr>
                <w:r>
                  <w:t>7,845,611.93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6909243a0c54a05a7001e5799415551"/>
                <w:id w:val="2055505694"/>
                <w:lock w:val="sdtLocked"/>
              </w:sdtPr>
              <w:sdtContent>
                <w:tc>
                  <w:tcPr>
                    <w:tcW w:w="197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1912"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608,835,845.18</w:t>
                </w:r>
              </w:p>
            </w:tc>
            <w:tc>
              <w:tcPr>
                <w:tcW w:w="1110"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1,317,343,826.31</w:t>
                </w:r>
              </w:p>
            </w:tc>
          </w:tr>
        </w:tbl>
        <w:p/>
        <w:p/>
      </w:sdtContent>
    </w:sdt>
    <w:sdt>
      <w:sdtPr>
        <w:rPr>
          <w:rFonts w:hint="eastAsia" w:ascii="宋体" w:hAnsi="宋体" w:eastAsia="宋体" w:cs="宋体"/>
          <w:b w:val="0"/>
          <w:bCs w:val="0"/>
          <w:kern w:val="0"/>
          <w:szCs w:val="24"/>
        </w:rPr>
        <w:alias w:val="模块:按款项性质分类情况"/>
        <w:tag w:val="_SEC_8efe5956682a453f8d45e3b621bac05e"/>
        <w:id w:val="203838572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1"/>
            </w:numPr>
            <w:ind w:left="426" w:hanging="426"/>
          </w:pPr>
          <w:r>
            <w:rPr>
              <w:rFonts w:hint="eastAsia"/>
            </w:rPr>
            <w:t>按款项性质分类情况</w:t>
          </w:r>
        </w:p>
        <w:p>
          <w:sdt>
            <w:sdtPr>
              <w:alias w:val="是否适用：其他应收款按款项性质分类情况[双击切换]"/>
              <w:tag w:val="_GBC_f8f8208812d5412eb0a2fdddf1a9d330"/>
              <w:id w:val="472561723"/>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ind w:firstLine="5810" w:firstLineChars="2767"/>
          </w:pPr>
          <w:r>
            <w:rPr>
              <w:rFonts w:hint="eastAsia"/>
            </w:rPr>
            <w:t>单位：</w:t>
          </w:r>
          <w:sdt>
            <w:sdtPr>
              <w:rPr>
                <w:rFonts w:hint="eastAsia"/>
              </w:rPr>
              <w:alias w:val="单位：财务附注：其他应收款按款项性质分类情况"/>
              <w:tag w:val="_GBC_6e3e3b79e1a6467e8f5cdcabc0a95e4a"/>
              <w:id w:val="5880464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款按款项性质分类情况"/>
              <w:tag w:val="_GBC_09f3d6bcff8b483f9de34a3ddb25bad4"/>
              <w:id w:val="10567375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809"/>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ae09c73a4371a49803278d537455"/>
                <w:id w:val="1142073942"/>
                <w:lock w:val="sdtLocked"/>
              </w:sdtPr>
              <w:sdtContent>
                <w:tc>
                  <w:tcPr>
                    <w:tcW w:w="1700" w:type="pct"/>
                    <w:shd w:val="clear" w:color="auto" w:fill="auto"/>
                    <w:vAlign w:val="center"/>
                  </w:tcPr>
                  <w:p>
                    <w:pPr>
                      <w:jc w:val="center"/>
                    </w:pPr>
                    <w:r>
                      <w:rPr>
                        <w:rFonts w:hint="eastAsia"/>
                      </w:rPr>
                      <w:t>款项性质</w:t>
                    </w:r>
                  </w:p>
                </w:tc>
              </w:sdtContent>
            </w:sdt>
            <w:sdt>
              <w:sdtPr>
                <w:tag w:val="_PLD_166416173edb4a39b34c47c78d0dc766"/>
                <w:id w:val="-113068294"/>
                <w:lock w:val="sdtLocked"/>
              </w:sdtPr>
              <w:sdtContent>
                <w:tc>
                  <w:tcPr>
                    <w:tcW w:w="1647" w:type="pct"/>
                    <w:shd w:val="clear" w:color="auto" w:fill="auto"/>
                    <w:vAlign w:val="center"/>
                  </w:tcPr>
                  <w:p>
                    <w:pPr>
                      <w:jc w:val="center"/>
                    </w:pPr>
                    <w:r>
                      <w:rPr>
                        <w:rFonts w:hint="eastAsia"/>
                      </w:rPr>
                      <w:t>期末账面余额</w:t>
                    </w:r>
                  </w:p>
                </w:tc>
              </w:sdtContent>
            </w:sdt>
            <w:sdt>
              <w:sdtPr>
                <w:tag w:val="_PLD_a78baace40634aeaaff4786c955e1f60"/>
                <w:id w:val="80336099"/>
                <w:lock w:val="sdtLocked"/>
              </w:sdtPr>
              <w:sdtContent>
                <w:tc>
                  <w:tcPr>
                    <w:tcW w:w="1653" w:type="pct"/>
                    <w:shd w:val="clear" w:color="auto" w:fill="auto"/>
                    <w:vAlign w:val="center"/>
                  </w:tcPr>
                  <w:p>
                    <w:pPr>
                      <w:jc w:val="center"/>
                    </w:pPr>
                    <w:r>
                      <w:rPr>
                        <w:rFonts w:hint="eastAsia"/>
                      </w:rPr>
                      <w:t>期初账面余额</w:t>
                    </w:r>
                  </w:p>
                </w:tc>
              </w:sdtContent>
            </w:sdt>
          </w:tr>
          <w:sdt>
            <w:sdtPr>
              <w:rPr>
                <w:rFonts w:hint="eastAsia"/>
              </w:rPr>
              <w:alias w:val="其他应收款按款项性质分类情况明细"/>
              <w:tag w:val="_TUP_57a46f72357b45e3ae87e72e625249f6"/>
              <w:id w:val="2032837156"/>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押金保证金</w:t>
                    </w:r>
                  </w:p>
                </w:tc>
                <w:tc>
                  <w:tcPr>
                    <w:tcW w:w="1647" w:type="pct"/>
                    <w:shd w:val="clear" w:color="auto" w:fill="auto"/>
                  </w:tcPr>
                  <w:p>
                    <w:pPr>
                      <w:jc w:val="right"/>
                    </w:pPr>
                    <w:r>
                      <w:t>7,159,213.83</w:t>
                    </w:r>
                  </w:p>
                </w:tc>
                <w:tc>
                  <w:tcPr>
                    <w:tcW w:w="1653" w:type="pct"/>
                    <w:shd w:val="clear" w:color="auto" w:fill="auto"/>
                  </w:tcPr>
                  <w:p>
                    <w:pPr>
                      <w:jc w:val="right"/>
                    </w:pPr>
                    <w:r>
                      <w:t>14,848,793.50</w:t>
                    </w:r>
                  </w:p>
                </w:tc>
              </w:tr>
            </w:sdtContent>
          </w:sdt>
          <w:sdt>
            <w:sdtPr>
              <w:rPr>
                <w:rFonts w:hint="eastAsia"/>
              </w:rPr>
              <w:alias w:val="其他应收款按款项性质分类情况明细"/>
              <w:tag w:val="_TUP_57a46f72357b45e3ae87e72e625249f6"/>
              <w:id w:val="-1505351105"/>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往来款</w:t>
                    </w:r>
                  </w:p>
                </w:tc>
                <w:tc>
                  <w:tcPr>
                    <w:tcW w:w="1647" w:type="pct"/>
                    <w:shd w:val="clear" w:color="auto" w:fill="auto"/>
                  </w:tcPr>
                  <w:p>
                    <w:pPr>
                      <w:jc w:val="right"/>
                    </w:pPr>
                    <w:r>
                      <w:t>104,728,927.46</w:t>
                    </w:r>
                  </w:p>
                </w:tc>
                <w:tc>
                  <w:tcPr>
                    <w:tcW w:w="1653" w:type="pct"/>
                    <w:shd w:val="clear" w:color="auto" w:fill="auto"/>
                  </w:tcPr>
                  <w:p>
                    <w:pPr>
                      <w:jc w:val="right"/>
                    </w:pPr>
                    <w:r>
                      <w:t>40,474,436.09</w:t>
                    </w:r>
                  </w:p>
                </w:tc>
              </w:tr>
            </w:sdtContent>
          </w:sdt>
          <w:sdt>
            <w:sdtPr>
              <w:rPr>
                <w:rFonts w:hint="eastAsia"/>
              </w:rPr>
              <w:alias w:val="其他应收款按款项性质分类情况明细"/>
              <w:tag w:val="_TUP_57a46f72357b45e3ae87e72e625249f6"/>
              <w:id w:val="-17064594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应收新能源汽车补贴</w:t>
                    </w:r>
                  </w:p>
                </w:tc>
                <w:tc>
                  <w:tcPr>
                    <w:tcW w:w="1647" w:type="pct"/>
                    <w:shd w:val="clear" w:color="auto" w:fill="auto"/>
                  </w:tcPr>
                  <w:p>
                    <w:pPr>
                      <w:jc w:val="right"/>
                    </w:pPr>
                    <w:r>
                      <w:t>422,794,062.40</w:t>
                    </w:r>
                  </w:p>
                </w:tc>
                <w:tc>
                  <w:tcPr>
                    <w:tcW w:w="1653" w:type="pct"/>
                    <w:shd w:val="clear" w:color="auto" w:fill="auto"/>
                  </w:tcPr>
                  <w:p>
                    <w:pPr>
                      <w:jc w:val="right"/>
                    </w:pPr>
                    <w:r>
                      <w:t>374,315,562.40</w:t>
                    </w:r>
                  </w:p>
                </w:tc>
              </w:tr>
            </w:sdtContent>
          </w:sdt>
          <w:sdt>
            <w:sdtPr>
              <w:rPr>
                <w:rFonts w:hint="eastAsia"/>
              </w:rPr>
              <w:alias w:val="其他应收款按款项性质分类情况明细"/>
              <w:tag w:val="_TUP_57a46f72357b45e3ae87e72e625249f6"/>
              <w:id w:val="1357539640"/>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应收出口退税款及出口补贴</w:t>
                    </w:r>
                  </w:p>
                </w:tc>
                <w:tc>
                  <w:tcPr>
                    <w:tcW w:w="1647" w:type="pct"/>
                    <w:shd w:val="clear" w:color="auto" w:fill="auto"/>
                  </w:tcPr>
                  <w:p>
                    <w:pPr>
                      <w:jc w:val="right"/>
                    </w:pPr>
                    <w:r>
                      <w:t>38,429,695.65</w:t>
                    </w:r>
                  </w:p>
                </w:tc>
                <w:tc>
                  <w:tcPr>
                    <w:tcW w:w="1653" w:type="pct"/>
                    <w:shd w:val="clear" w:color="auto" w:fill="auto"/>
                  </w:tcPr>
                  <w:p>
                    <w:pPr>
                      <w:jc w:val="right"/>
                    </w:pPr>
                    <w:r>
                      <w:t>26,184,093.48</w:t>
                    </w:r>
                  </w:p>
                </w:tc>
              </w:tr>
            </w:sdtContent>
          </w:sdt>
          <w:sdt>
            <w:sdtPr>
              <w:rPr>
                <w:rFonts w:hint="eastAsia"/>
              </w:rPr>
              <w:alias w:val="其他应收款按款项性质分类情况明细"/>
              <w:tag w:val="_TUP_57a46f72357b45e3ae87e72e625249f6"/>
              <w:id w:val="-34393091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备用金</w:t>
                    </w:r>
                  </w:p>
                </w:tc>
                <w:tc>
                  <w:tcPr>
                    <w:tcW w:w="1647" w:type="pct"/>
                    <w:shd w:val="clear" w:color="auto" w:fill="auto"/>
                  </w:tcPr>
                  <w:p>
                    <w:pPr>
                      <w:jc w:val="right"/>
                    </w:pPr>
                    <w:r>
                      <w:t>3,316,073.35</w:t>
                    </w:r>
                  </w:p>
                </w:tc>
                <w:tc>
                  <w:tcPr>
                    <w:tcW w:w="1653" w:type="pct"/>
                    <w:shd w:val="clear" w:color="auto" w:fill="auto"/>
                  </w:tcPr>
                  <w:p>
                    <w:pPr>
                      <w:jc w:val="right"/>
                    </w:pPr>
                    <w:r>
                      <w:t>6,981,444.24</w:t>
                    </w:r>
                  </w:p>
                </w:tc>
              </w:tr>
            </w:sdtContent>
          </w:sdt>
          <w:sdt>
            <w:sdtPr>
              <w:rPr>
                <w:rFonts w:hint="eastAsia"/>
              </w:rPr>
              <w:alias w:val="其他应收款按款项性质分类情况明细"/>
              <w:tag w:val="_TUP_57a46f72357b45e3ae87e72e625249f6"/>
              <w:id w:val="-191176864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应收股权转让款</w:t>
                    </w:r>
                  </w:p>
                </w:tc>
                <w:tc>
                  <w:tcPr>
                    <w:tcW w:w="1647" w:type="pct"/>
                    <w:shd w:val="clear" w:color="auto" w:fill="auto"/>
                  </w:tcPr>
                  <w:p>
                    <w:pPr>
                      <w:jc w:val="right"/>
                    </w:pPr>
                    <w:r>
                      <w:t>3,336,421.22</w:t>
                    </w:r>
                  </w:p>
                </w:tc>
                <w:tc>
                  <w:tcPr>
                    <w:tcW w:w="1653" w:type="pct"/>
                    <w:shd w:val="clear" w:color="auto" w:fill="auto"/>
                  </w:tcPr>
                  <w:p>
                    <w:pPr>
                      <w:jc w:val="right"/>
                    </w:pPr>
                    <w:r>
                      <w:t>79,552,000.00</w:t>
                    </w:r>
                  </w:p>
                </w:tc>
              </w:tr>
            </w:sdtContent>
          </w:sdt>
          <w:sdt>
            <w:sdtPr>
              <w:rPr>
                <w:rFonts w:hint="eastAsia"/>
              </w:rPr>
              <w:alias w:val="其他应收款按款项性质分类情况明细"/>
              <w:tag w:val="_TUP_57a46f72357b45e3ae87e72e625249f6"/>
              <w:id w:val="692656904"/>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应收管理人账户资金</w:t>
                    </w:r>
                  </w:p>
                </w:tc>
                <w:tc>
                  <w:tcPr>
                    <w:tcW w:w="1647" w:type="pct"/>
                    <w:shd w:val="clear" w:color="auto" w:fill="auto"/>
                  </w:tcPr>
                  <w:p>
                    <w:pPr>
                      <w:jc w:val="right"/>
                    </w:pPr>
                  </w:p>
                </w:tc>
                <w:tc>
                  <w:tcPr>
                    <w:tcW w:w="1653" w:type="pct"/>
                    <w:shd w:val="clear" w:color="auto" w:fill="auto"/>
                  </w:tcPr>
                  <w:p>
                    <w:pPr>
                      <w:jc w:val="right"/>
                    </w:pPr>
                    <w:r>
                      <w:t>752,546,990.29</w:t>
                    </w:r>
                  </w:p>
                </w:tc>
              </w:tr>
            </w:sdtContent>
          </w:sdt>
          <w:sdt>
            <w:sdtPr>
              <w:rPr>
                <w:rFonts w:hint="eastAsia"/>
              </w:rPr>
              <w:alias w:val="其他应收款按款项性质分类情况明细"/>
              <w:tag w:val="_TUP_57a46f72357b45e3ae87e72e625249f6"/>
              <w:id w:val="1013268652"/>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shd w:val="clear" w:color="auto" w:fill="auto"/>
                  </w:tcPr>
                  <w:p>
                    <w:pPr>
                      <w:jc w:val="center"/>
                    </w:pPr>
                    <w:r>
                      <w:t>其他</w:t>
                    </w:r>
                  </w:p>
                </w:tc>
                <w:tc>
                  <w:tcPr>
                    <w:tcW w:w="1647" w:type="pct"/>
                    <w:shd w:val="clear" w:color="auto" w:fill="auto"/>
                  </w:tcPr>
                  <w:p>
                    <w:pPr>
                      <w:jc w:val="right"/>
                    </w:pPr>
                    <w:r>
                      <w:t>29,071,451.27</w:t>
                    </w:r>
                  </w:p>
                </w:tc>
                <w:tc>
                  <w:tcPr>
                    <w:tcW w:w="1653" w:type="pct"/>
                    <w:shd w:val="clear" w:color="auto" w:fill="auto"/>
                  </w:tcPr>
                  <w:p>
                    <w:pPr>
                      <w:jc w:val="right"/>
                    </w:pPr>
                    <w:r>
                      <w:t>22,440,506.31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a65b7047104096987b4ba036051976"/>
                <w:id w:val="1453212441"/>
                <w:lock w:val="sdtLocked"/>
              </w:sdtPr>
              <w:sdtContent>
                <w:tc>
                  <w:tcPr>
                    <w:tcW w:w="1700" w:type="pct"/>
                    <w:shd w:val="clear" w:color="auto" w:fill="auto"/>
                  </w:tcPr>
                  <w:p>
                    <w:pPr>
                      <w:jc w:val="center"/>
                    </w:pPr>
                    <w:r>
                      <w:t>合计</w:t>
                    </w:r>
                  </w:p>
                </w:tc>
              </w:sdtContent>
            </w:sdt>
            <w:tc>
              <w:tcPr>
                <w:tcW w:w="1647" w:type="pct"/>
                <w:shd w:val="clear" w:color="auto" w:fill="auto"/>
                <w:vAlign w:val="center"/>
              </w:tcPr>
              <w:p>
                <w:pPr>
                  <w:jc w:val="right"/>
                  <w:rPr>
                    <w:sz w:val="24"/>
                  </w:rPr>
                </w:pPr>
                <w:r>
                  <w:t>608,835,845.18</w:t>
                </w:r>
              </w:p>
            </w:tc>
            <w:tc>
              <w:tcPr>
                <w:tcW w:w="1653" w:type="pct"/>
                <w:shd w:val="clear" w:color="auto" w:fill="auto"/>
                <w:vAlign w:val="center"/>
              </w:tcPr>
              <w:p>
                <w:pPr>
                  <w:jc w:val="right"/>
                  <w:rPr>
                    <w:sz w:val="24"/>
                  </w:rPr>
                </w:pPr>
                <w:r>
                  <w:t>1,317,343,826.31</w:t>
                </w:r>
              </w:p>
            </w:tc>
          </w:tr>
        </w:tbl>
        <w:p/>
      </w:sdtContent>
    </w:sdt>
    <w:sdt>
      <w:sdtPr>
        <w:rPr>
          <w:rFonts w:hint="eastAsia" w:ascii="宋体" w:hAnsi="宋体" w:eastAsia="宋体" w:cs="宋体"/>
          <w:b w:val="0"/>
          <w:bCs w:val="0"/>
          <w:kern w:val="0"/>
          <w:szCs w:val="24"/>
        </w:rPr>
        <w:alias w:val="模块:坏账准备计提情况"/>
        <w:tag w:val="_SEC_cb69c8378cb54035bc6be62addb6389d"/>
        <w:id w:val="176487795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1"/>
            </w:numPr>
            <w:ind w:left="426" w:hanging="426"/>
          </w:pPr>
          <w:bookmarkStart w:id="157" w:name="_Hlk533867880"/>
          <w:r>
            <w:rPr>
              <w:rFonts w:hint="eastAsia" w:ascii="宋体" w:hAnsi="宋体" w:eastAsia="宋体" w:cs="宋体"/>
              <w:bCs w:val="0"/>
              <w:kern w:val="0"/>
              <w:szCs w:val="24"/>
            </w:rPr>
            <w:t>坏账准备计提情况</w:t>
          </w:r>
        </w:p>
        <w:sdt>
          <w:sdtPr>
            <w:rPr>
              <w:szCs w:val="21"/>
            </w:rPr>
            <w:alias w:val="是否适用：其他应收款坏账准备调节表[双击切换]"/>
            <w:tag w:val="_GBC_89d7c1af9f504137a919fea1a314fa80"/>
            <w:id w:val="1914888380"/>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其他应收款坏账准备调节表"/>
              <w:tag w:val="_GBC_1e902dc07fc44240af1ff69475733c28"/>
              <w:id w:val="637637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收款坏账准备调节表"/>
              <w:tag w:val="_GBC_5e93354ddb8841df82a0d16f2f5b44ae"/>
              <w:id w:val="-12572097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1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8"/>
            <w:gridCol w:w="1686"/>
            <w:gridCol w:w="1774"/>
            <w:gridCol w:w="1774"/>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734c3456a843bda898d16924c52045"/>
                <w:id w:val="-1090382309"/>
                <w:lock w:val="sdtLocked"/>
              </w:sdtPr>
              <w:sdtContent>
                <w:tc>
                  <w:tcPr>
                    <w:tcW w:w="1036" w:type="pct"/>
                    <w:vMerge w:val="restar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cc2d5e47d032466f8f32fd4edec15e33"/>
                <w:id w:val="1229200111"/>
                <w:lock w:val="sdtLocked"/>
              </w:sdtPr>
              <w:sdtContent>
                <w:tc>
                  <w:tcPr>
                    <w:tcW w:w="966"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f7ffd31ab3534493bb75ab7d04c0c751"/>
                <w:id w:val="-1882242078"/>
                <w:lock w:val="sdtLocked"/>
              </w:sdtPr>
              <w:sdtContent>
                <w:tc>
                  <w:tcPr>
                    <w:tcW w:w="1016"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b787de87168848159cb3a46726196c34"/>
                <w:id w:val="-1773000077"/>
                <w:lock w:val="sdtLocked"/>
              </w:sdtPr>
              <w:sdtContent>
                <w:tc>
                  <w:tcPr>
                    <w:tcW w:w="1016"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3b31af1f922741a8874346a86f3e2d25"/>
                <w:id w:val="-675647161"/>
                <w:lock w:val="sdtLocked"/>
              </w:sdtPr>
              <w:sdtContent>
                <w:tc>
                  <w:tcPr>
                    <w:tcW w:w="966" w:type="pct"/>
                    <w:vMerge w:val="restar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vMerge w:val="continue"/>
                <w:vAlign w:val="center"/>
              </w:tcPr>
              <w:p>
                <w:pPr>
                  <w:jc w:val="center"/>
                  <w:rPr>
                    <w:color w:val="008000"/>
                    <w:szCs w:val="21"/>
                  </w:rPr>
                </w:pPr>
              </w:p>
            </w:tc>
            <w:sdt>
              <w:sdtPr>
                <w:tag w:val="_PLD_7158bbb0fd6b45478d53b382f0c1a5e9"/>
                <w:id w:val="-28648118"/>
                <w:lock w:val="sdtLocked"/>
              </w:sdtPr>
              <w:sdtContent>
                <w:tc>
                  <w:tcPr>
                    <w:tcW w:w="966"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a456fd5785a44d89b944d155197986fc"/>
                <w:id w:val="-1201553541"/>
                <w:lock w:val="sdtLocked"/>
              </w:sdtPr>
              <w:sdtContent>
                <w:tc>
                  <w:tcPr>
                    <w:tcW w:w="1016"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fb9265a3aa334f7ab93242b9630540b0"/>
                <w:id w:val="794489003"/>
                <w:lock w:val="sdtLocked"/>
              </w:sdtPr>
              <w:sdtContent>
                <w:tc>
                  <w:tcPr>
                    <w:tcW w:w="1016" w:type="pct"/>
                    <w:vAlign w:val="center"/>
                  </w:tcPr>
                  <w:p>
                    <w:pPr>
                      <w:pStyle w:val="269"/>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66" w:type="pct"/>
                <w:vMerge w:val="continue"/>
              </w:tcPr>
              <w:p>
                <w:pPr>
                  <w:jc w:val="center"/>
                  <w:rPr>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cd531a2160845bdb7fe60aabffc13e4"/>
                <w:id w:val="709607684"/>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2021年</w:t>
                    </w:r>
                    <w:r>
                      <w:rPr>
                        <w:rFonts w:hint="eastAsia" w:ascii="宋体" w:hAnsi="宋体" w:eastAsia="宋体" w:cs="宋体"/>
                        <w:sz w:val="21"/>
                        <w:szCs w:val="21"/>
                        <w:lang w:eastAsia="zh-CN"/>
                      </w:rPr>
                      <w:t>1月1日余额</w:t>
                    </w:r>
                  </w:p>
                </w:tc>
              </w:sdtContent>
            </w:sdt>
            <w:tc>
              <w:tcPr>
                <w:tcW w:w="966" w:type="pct"/>
                <w:vAlign w:val="center"/>
              </w:tcPr>
              <w:p>
                <w:pPr>
                  <w:rPr>
                    <w:sz w:val="24"/>
                  </w:rPr>
                </w:pPr>
                <w:r>
                  <w:t>34,681,187.75</w:t>
                </w:r>
              </w:p>
            </w:tc>
            <w:tc>
              <w:tcPr>
                <w:tcW w:w="1016" w:type="pct"/>
                <w:vAlign w:val="center"/>
              </w:tcPr>
              <w:p>
                <w:pPr>
                  <w:rPr>
                    <w:sz w:val="24"/>
                  </w:rPr>
                </w:pPr>
              </w:p>
            </w:tc>
            <w:tc>
              <w:tcPr>
                <w:tcW w:w="1016" w:type="pct"/>
                <w:vAlign w:val="center"/>
              </w:tcPr>
              <w:p>
                <w:pPr>
                  <w:rPr>
                    <w:sz w:val="24"/>
                  </w:rPr>
                </w:pPr>
                <w:r>
                  <w:t>271,975,789.01</w:t>
                </w:r>
              </w:p>
            </w:tc>
            <w:tc>
              <w:tcPr>
                <w:tcW w:w="966" w:type="pct"/>
                <w:vAlign w:val="center"/>
              </w:tcPr>
              <w:p>
                <w:pPr>
                  <w:rPr>
                    <w:sz w:val="24"/>
                  </w:rPr>
                </w:pPr>
                <w:r>
                  <w:t>306,656,976.76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b0d3a23ad1544a18a9869d1d72a93c9"/>
                <w:id w:val="709849420"/>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2021年1月1日余额在本期</w:t>
                    </w:r>
                  </w:p>
                </w:tc>
              </w:sdtContent>
            </w:sdt>
            <w:tc>
              <w:tcPr>
                <w:tcW w:w="966" w:type="pct"/>
              </w:tcPr>
              <w:p>
                <w:pPr>
                  <w:jc w:val="right"/>
                  <w:rPr>
                    <w:szCs w:val="21"/>
                  </w:rPr>
                </w:pPr>
              </w:p>
            </w:tc>
            <w:tc>
              <w:tcPr>
                <w:tcW w:w="1016" w:type="pct"/>
              </w:tcPr>
              <w:p>
                <w:pPr>
                  <w:jc w:val="right"/>
                  <w:rPr>
                    <w:szCs w:val="21"/>
                  </w:rPr>
                </w:pPr>
              </w:p>
            </w:tc>
            <w:tc>
              <w:tcPr>
                <w:tcW w:w="1016" w:type="pct"/>
              </w:tcPr>
              <w:p>
                <w:pPr>
                  <w:jc w:val="right"/>
                  <w:rPr>
                    <w:szCs w:val="21"/>
                  </w:rPr>
                </w:pPr>
              </w:p>
            </w:tc>
            <w:tc>
              <w:tcPr>
                <w:tcW w:w="966"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1b88a7d25c34d119c6142c0bbed7fd5"/>
                <w:id w:val="-1070884304"/>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966" w:type="pct"/>
              </w:tcPr>
              <w:p>
                <w:pPr>
                  <w:jc w:val="right"/>
                  <w:rPr>
                    <w:szCs w:val="21"/>
                  </w:rPr>
                </w:pPr>
              </w:p>
            </w:tc>
            <w:tc>
              <w:tcPr>
                <w:tcW w:w="1016" w:type="pct"/>
              </w:tcPr>
              <w:p>
                <w:pPr>
                  <w:jc w:val="right"/>
                  <w:rPr>
                    <w:szCs w:val="21"/>
                  </w:rPr>
                </w:pPr>
              </w:p>
            </w:tc>
            <w:tc>
              <w:tcPr>
                <w:tcW w:w="1016" w:type="pct"/>
              </w:tcPr>
              <w:p>
                <w:pPr>
                  <w:jc w:val="right"/>
                  <w:rPr>
                    <w:szCs w:val="21"/>
                  </w:rPr>
                </w:pPr>
              </w:p>
            </w:tc>
            <w:tc>
              <w:tcPr>
                <w:tcW w:w="966"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a0ac02ca5544c61af90e0b74b6d9772"/>
                <w:id w:val="-1895808140"/>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966" w:type="pct"/>
                <w:vAlign w:val="center"/>
              </w:tcPr>
              <w:p>
                <w:pPr>
                  <w:jc w:val="right"/>
                  <w:rPr>
                    <w:sz w:val="24"/>
                  </w:rPr>
                </w:pPr>
                <w:r>
                  <w:t>-1,291,781.18</w:t>
                </w:r>
              </w:p>
            </w:tc>
            <w:tc>
              <w:tcPr>
                <w:tcW w:w="1016" w:type="pct"/>
                <w:vAlign w:val="center"/>
              </w:tcPr>
              <w:p>
                <w:pPr>
                  <w:jc w:val="right"/>
                  <w:rPr>
                    <w:sz w:val="24"/>
                  </w:rPr>
                </w:pPr>
              </w:p>
            </w:tc>
            <w:tc>
              <w:tcPr>
                <w:tcW w:w="1016" w:type="pct"/>
                <w:vAlign w:val="center"/>
              </w:tcPr>
              <w:p>
                <w:pPr>
                  <w:jc w:val="right"/>
                  <w:rPr>
                    <w:sz w:val="24"/>
                  </w:rPr>
                </w:pPr>
                <w:r>
                  <w:t>1,291,781.18</w:t>
                </w:r>
              </w:p>
            </w:tc>
            <w:tc>
              <w:tcPr>
                <w:tcW w:w="966"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2efa972943f414d8c2725b439187276"/>
                <w:id w:val="-76367781"/>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966" w:type="pct"/>
              </w:tcPr>
              <w:p>
                <w:pPr>
                  <w:jc w:val="right"/>
                  <w:rPr>
                    <w:szCs w:val="21"/>
                  </w:rPr>
                </w:pPr>
              </w:p>
            </w:tc>
            <w:tc>
              <w:tcPr>
                <w:tcW w:w="1016" w:type="pct"/>
              </w:tcPr>
              <w:p>
                <w:pPr>
                  <w:jc w:val="right"/>
                  <w:rPr>
                    <w:szCs w:val="21"/>
                  </w:rPr>
                </w:pPr>
              </w:p>
            </w:tc>
            <w:tc>
              <w:tcPr>
                <w:tcW w:w="1016" w:type="pct"/>
              </w:tcPr>
              <w:p>
                <w:pPr>
                  <w:jc w:val="right"/>
                  <w:rPr>
                    <w:szCs w:val="21"/>
                  </w:rPr>
                </w:pPr>
              </w:p>
            </w:tc>
            <w:tc>
              <w:tcPr>
                <w:tcW w:w="966"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0038f03e6744de690d37930402c226c"/>
                <w:id w:val="-560714151"/>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966" w:type="pct"/>
              </w:tcPr>
              <w:p>
                <w:pPr>
                  <w:jc w:val="right"/>
                  <w:rPr>
                    <w:szCs w:val="21"/>
                  </w:rPr>
                </w:pPr>
              </w:p>
            </w:tc>
            <w:tc>
              <w:tcPr>
                <w:tcW w:w="1016" w:type="pct"/>
              </w:tcPr>
              <w:p>
                <w:pPr>
                  <w:jc w:val="right"/>
                  <w:rPr>
                    <w:szCs w:val="21"/>
                  </w:rPr>
                </w:pPr>
              </w:p>
            </w:tc>
            <w:tc>
              <w:tcPr>
                <w:tcW w:w="1016" w:type="pct"/>
              </w:tcPr>
              <w:p>
                <w:pPr>
                  <w:jc w:val="right"/>
                  <w:rPr>
                    <w:szCs w:val="21"/>
                  </w:rPr>
                </w:pPr>
              </w:p>
            </w:tc>
            <w:tc>
              <w:tcPr>
                <w:tcW w:w="966"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61e1cc37624ad4a01baf228fb5e144"/>
                <w:id w:val="1395772911"/>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966" w:type="pct"/>
                <w:vAlign w:val="center"/>
              </w:tcPr>
              <w:p>
                <w:pPr>
                  <w:jc w:val="right"/>
                  <w:rPr>
                    <w:sz w:val="24"/>
                  </w:rPr>
                </w:pPr>
                <w:r>
                  <w:t>-17,803,783.63</w:t>
                </w:r>
              </w:p>
            </w:tc>
            <w:tc>
              <w:tcPr>
                <w:tcW w:w="1016" w:type="pct"/>
                <w:vAlign w:val="center"/>
              </w:tcPr>
              <w:p>
                <w:pPr>
                  <w:jc w:val="right"/>
                  <w:rPr>
                    <w:sz w:val="24"/>
                  </w:rPr>
                </w:pPr>
              </w:p>
            </w:tc>
            <w:tc>
              <w:tcPr>
                <w:tcW w:w="1016" w:type="pct"/>
                <w:vAlign w:val="center"/>
              </w:tcPr>
              <w:p>
                <w:pPr>
                  <w:jc w:val="right"/>
                  <w:rPr>
                    <w:sz w:val="24"/>
                  </w:rPr>
                </w:pPr>
                <w:r>
                  <w:t>4,890,805.25</w:t>
                </w:r>
              </w:p>
            </w:tc>
            <w:tc>
              <w:tcPr>
                <w:tcW w:w="966" w:type="pct"/>
                <w:vAlign w:val="center"/>
              </w:tcPr>
              <w:p>
                <w:pPr>
                  <w:jc w:val="right"/>
                  <w:rPr>
                    <w:sz w:val="24"/>
                  </w:rPr>
                </w:pPr>
                <w:r>
                  <w:t>-12,912,978.38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vAlign w:val="center"/>
              </w:tcPr>
              <w:sdt>
                <w:sdtPr>
                  <w:rPr>
                    <w:rFonts w:hint="eastAsia" w:asciiTheme="minorEastAsia" w:hAnsiTheme="minorEastAsia" w:eastAsiaTheme="minorEastAsia"/>
                    <w:sz w:val="21"/>
                    <w:szCs w:val="21"/>
                    <w:lang w:eastAsia="zh-CN"/>
                  </w:rPr>
                  <w:tag w:val="_PLD_6b80e34bd4ec459eb98282e241521353"/>
                  <w:id w:val="-1132240900"/>
                  <w:lock w:val="sdtLocked"/>
                </w:sdtPr>
                <w:sdtEndPr>
                  <w:rPr>
                    <w:rFonts w:hint="eastAsia" w:asciiTheme="minorEastAsia" w:hAnsiTheme="minorEastAsia" w:eastAsiaTheme="minorEastAsia"/>
                    <w:sz w:val="21"/>
                    <w:szCs w:val="21"/>
                    <w:lang w:eastAsia="zh-CN"/>
                  </w:rPr>
                </w:sdtEndPr>
                <w:sdtContent>
                  <w:p>
                    <w:pPr>
                      <w:pStyle w:val="269"/>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sdtContent>
              </w:sdt>
            </w:tc>
            <w:tc>
              <w:tcPr>
                <w:tcW w:w="966" w:type="pct"/>
                <w:vAlign w:val="center"/>
              </w:tcPr>
              <w:p>
                <w:pPr>
                  <w:jc w:val="right"/>
                  <w:rPr>
                    <w:sz w:val="24"/>
                  </w:rPr>
                </w:pPr>
                <w:r>
                  <w:t>171,904.00</w:t>
                </w:r>
              </w:p>
            </w:tc>
            <w:tc>
              <w:tcPr>
                <w:tcW w:w="1016" w:type="pct"/>
                <w:vAlign w:val="center"/>
              </w:tcPr>
              <w:p>
                <w:pPr>
                  <w:jc w:val="right"/>
                  <w:rPr>
                    <w:sz w:val="24"/>
                  </w:rPr>
                </w:pPr>
              </w:p>
            </w:tc>
            <w:tc>
              <w:tcPr>
                <w:tcW w:w="1016" w:type="pct"/>
                <w:vAlign w:val="center"/>
              </w:tcPr>
              <w:p>
                <w:pPr>
                  <w:jc w:val="right"/>
                  <w:rPr>
                    <w:sz w:val="24"/>
                  </w:rPr>
                </w:pPr>
              </w:p>
            </w:tc>
            <w:tc>
              <w:tcPr>
                <w:tcW w:w="966" w:type="pct"/>
                <w:vAlign w:val="center"/>
              </w:tcPr>
              <w:p>
                <w:pPr>
                  <w:jc w:val="right"/>
                  <w:rPr>
                    <w:sz w:val="24"/>
                  </w:rPr>
                </w:pPr>
                <w:r>
                  <w:t>171,904.00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12e024183e41b89e975a5495c29146"/>
                <w:id w:val="-1672328428"/>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966" w:type="pct"/>
                <w:vAlign w:val="center"/>
              </w:tcPr>
              <w:p>
                <w:pPr>
                  <w:jc w:val="right"/>
                  <w:rPr>
                    <w:sz w:val="24"/>
                  </w:rPr>
                </w:pPr>
              </w:p>
            </w:tc>
            <w:tc>
              <w:tcPr>
                <w:tcW w:w="1016" w:type="pct"/>
                <w:vAlign w:val="center"/>
              </w:tcPr>
              <w:p>
                <w:pPr>
                  <w:jc w:val="right"/>
                  <w:rPr>
                    <w:sz w:val="24"/>
                  </w:rPr>
                </w:pPr>
              </w:p>
            </w:tc>
            <w:tc>
              <w:tcPr>
                <w:tcW w:w="1016" w:type="pct"/>
                <w:vAlign w:val="center"/>
              </w:tcPr>
              <w:p>
                <w:pPr>
                  <w:jc w:val="right"/>
                  <w:rPr>
                    <w:sz w:val="24"/>
                  </w:rPr>
                </w:pPr>
              </w:p>
            </w:tc>
            <w:tc>
              <w:tcPr>
                <w:tcW w:w="966" w:type="pct"/>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6" w:type="pct"/>
                <w:vAlign w:val="center"/>
              </w:tcPr>
              <w:sdt>
                <w:sdtPr>
                  <w:rPr>
                    <w:rFonts w:hint="eastAsia" w:asciiTheme="minorEastAsia" w:hAnsiTheme="minorEastAsia" w:eastAsiaTheme="minorEastAsia"/>
                    <w:sz w:val="21"/>
                    <w:szCs w:val="21"/>
                    <w:lang w:eastAsia="zh-CN"/>
                  </w:rPr>
                  <w:tag w:val="_PLD_6a963864c33f4d739f3df592fe49d94d"/>
                  <w:id w:val="-2051443706"/>
                  <w:lock w:val="sdtLocked"/>
                </w:sdtPr>
                <w:sdtEndPr>
                  <w:rPr>
                    <w:rFonts w:hint="eastAsia" w:asciiTheme="minorEastAsia" w:hAnsiTheme="minorEastAsia" w:eastAsiaTheme="minorEastAsia"/>
                    <w:sz w:val="21"/>
                    <w:szCs w:val="21"/>
                    <w:lang w:eastAsia="zh-CN"/>
                  </w:rPr>
                </w:sdtEndPr>
                <w:sdtContent>
                  <w:p>
                    <w:pPr>
                      <w:pStyle w:val="269"/>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sdtContent>
              </w:sdt>
            </w:tc>
            <w:tc>
              <w:tcPr>
                <w:tcW w:w="966" w:type="pct"/>
                <w:vAlign w:val="center"/>
              </w:tcPr>
              <w:p>
                <w:pPr>
                  <w:jc w:val="right"/>
                  <w:rPr>
                    <w:sz w:val="24"/>
                  </w:rPr>
                </w:pPr>
                <w:r>
                  <w:t>88,762.91</w:t>
                </w:r>
              </w:p>
            </w:tc>
            <w:tc>
              <w:tcPr>
                <w:tcW w:w="1016" w:type="pct"/>
                <w:vAlign w:val="center"/>
              </w:tcPr>
              <w:p>
                <w:pPr>
                  <w:jc w:val="right"/>
                  <w:rPr>
                    <w:sz w:val="24"/>
                  </w:rPr>
                </w:pPr>
              </w:p>
            </w:tc>
            <w:tc>
              <w:tcPr>
                <w:tcW w:w="1016" w:type="pct"/>
                <w:vAlign w:val="center"/>
              </w:tcPr>
              <w:p>
                <w:pPr>
                  <w:jc w:val="right"/>
                  <w:rPr>
                    <w:sz w:val="24"/>
                  </w:rPr>
                </w:pPr>
                <w:r>
                  <w:t>4,062,178.44</w:t>
                </w:r>
              </w:p>
            </w:tc>
            <w:tc>
              <w:tcPr>
                <w:tcW w:w="966" w:type="pct"/>
                <w:vAlign w:val="center"/>
              </w:tcPr>
              <w:p>
                <w:pPr>
                  <w:jc w:val="right"/>
                  <w:rPr>
                    <w:sz w:val="24"/>
                  </w:rPr>
                </w:pPr>
                <w:r>
                  <w:t>4,150,941.35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65c7fe8f91f451bb10f09ac268aab0b"/>
                <w:id w:val="1594441242"/>
                <w:lock w:val="sdtLocked"/>
              </w:sdtPr>
              <w:sdtContent>
                <w:tc>
                  <w:tcPr>
                    <w:tcW w:w="1036" w:type="pct"/>
                    <w:vAlign w:val="center"/>
                  </w:tcPr>
                  <w:p>
                    <w:pPr>
                      <w:pStyle w:val="269"/>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966" w:type="pct"/>
                <w:vAlign w:val="center"/>
              </w:tcPr>
              <w:p>
                <w:pPr>
                  <w:jc w:val="right"/>
                  <w:rPr>
                    <w:sz w:val="24"/>
                  </w:rPr>
                </w:pPr>
              </w:p>
            </w:tc>
            <w:tc>
              <w:tcPr>
                <w:tcW w:w="1016" w:type="pct"/>
                <w:vAlign w:val="center"/>
              </w:tcPr>
              <w:p>
                <w:pPr>
                  <w:jc w:val="right"/>
                  <w:rPr>
                    <w:sz w:val="24"/>
                  </w:rPr>
                </w:pPr>
              </w:p>
            </w:tc>
            <w:tc>
              <w:tcPr>
                <w:tcW w:w="1016" w:type="pct"/>
                <w:vAlign w:val="center"/>
              </w:tcPr>
              <w:p>
                <w:pPr>
                  <w:jc w:val="right"/>
                  <w:rPr>
                    <w:sz w:val="24"/>
                  </w:rPr>
                </w:pPr>
              </w:p>
            </w:tc>
            <w:tc>
              <w:tcPr>
                <w:tcW w:w="966" w:type="pct"/>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4db8ea6bcbe40539b73b34fcc95a640"/>
                <w:id w:val="-1264759977"/>
                <w:lock w:val="sdtLocked"/>
              </w:sdtPr>
              <w:sdtContent>
                <w:tc>
                  <w:tcPr>
                    <w:tcW w:w="1036" w:type="pct"/>
                    <w:vAlign w:val="center"/>
                  </w:tcPr>
                  <w:p>
                    <w:pPr>
                      <w:pStyle w:val="269"/>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2021年12月31日</w:t>
                    </w:r>
                    <w:r>
                      <w:rPr>
                        <w:rFonts w:hint="eastAsia" w:ascii="宋体" w:hAnsi="宋体" w:eastAsia="宋体" w:cs="宋体"/>
                        <w:sz w:val="21"/>
                        <w:szCs w:val="21"/>
                        <w:lang w:eastAsia="zh-CN"/>
                      </w:rPr>
                      <w:t>余额</w:t>
                    </w:r>
                  </w:p>
                </w:tc>
              </w:sdtContent>
            </w:sdt>
            <w:tc>
              <w:tcPr>
                <w:tcW w:w="966" w:type="pct"/>
                <w:vAlign w:val="center"/>
              </w:tcPr>
              <w:p>
                <w:pPr>
                  <w:jc w:val="right"/>
                  <w:rPr>
                    <w:sz w:val="24"/>
                  </w:rPr>
                </w:pPr>
                <w:r>
                  <w:t>15,668,764.03</w:t>
                </w:r>
              </w:p>
            </w:tc>
            <w:tc>
              <w:tcPr>
                <w:tcW w:w="1016" w:type="pct"/>
                <w:vAlign w:val="center"/>
              </w:tcPr>
              <w:p>
                <w:pPr>
                  <w:jc w:val="right"/>
                  <w:rPr>
                    <w:sz w:val="24"/>
                  </w:rPr>
                </w:pPr>
              </w:p>
            </w:tc>
            <w:tc>
              <w:tcPr>
                <w:tcW w:w="1016" w:type="pct"/>
                <w:vAlign w:val="center"/>
              </w:tcPr>
              <w:p>
                <w:pPr>
                  <w:jc w:val="right"/>
                  <w:rPr>
                    <w:sz w:val="24"/>
                  </w:rPr>
                </w:pPr>
                <w:r>
                  <w:t>274,096,197.00</w:t>
                </w:r>
              </w:p>
            </w:tc>
            <w:tc>
              <w:tcPr>
                <w:tcW w:w="966" w:type="pct"/>
                <w:vAlign w:val="center"/>
              </w:tcPr>
              <w:p>
                <w:pPr>
                  <w:jc w:val="right"/>
                  <w:rPr>
                    <w:sz w:val="24"/>
                  </w:rPr>
                </w:pPr>
                <w:r>
                  <w:t>289,764,961.03</w:t>
                </w:r>
              </w:p>
            </w:tc>
          </w:tr>
        </w:tbl>
        <w:p/>
        <w:p>
          <w:pPr>
            <w:pStyle w:val="281"/>
            <w:widowControl w:val="0"/>
            <w:tabs>
              <w:tab w:val="clear" w:pos="1273"/>
            </w:tabs>
            <w:spacing w:before="156" w:beforeLines="50" w:line="360" w:lineRule="auto"/>
            <w:ind w:left="0" w:leftChars="0" w:firstLine="0" w:firstLineChars="0"/>
            <w:outlineLvl w:val="3"/>
            <w:rPr>
              <w:rFonts w:ascii="Times New Roman" w:hAnsi="Times New Roman"/>
            </w:rPr>
          </w:pPr>
          <w:r>
            <w:rPr>
              <w:rFonts w:hint="eastAsia" w:ascii="Times New Roman" w:hAnsi="Times New Roman"/>
            </w:rPr>
            <w:t>1）按坏账准备计提方法分</w:t>
          </w:r>
          <w:r>
            <w:rPr>
              <w:rFonts w:ascii="Times New Roman" w:hAnsi="Times New Roman"/>
            </w:rPr>
            <w:t>类披露</w:t>
          </w:r>
        </w:p>
        <w:p>
          <w:pPr>
            <w:jc w:val="right"/>
            <w:rPr>
              <w:szCs w:val="21"/>
            </w:rPr>
          </w:pPr>
          <w:r>
            <w:rPr>
              <w:rFonts w:hint="eastAsia"/>
              <w:szCs w:val="21"/>
            </w:rPr>
            <w:t>单位：元 币种：人民币</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1883"/>
            <w:gridCol w:w="1686"/>
            <w:gridCol w:w="846"/>
            <w:gridCol w:w="1686"/>
            <w:gridCol w:w="741"/>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373" w:type="pct"/>
                <w:vMerge w:val="restart"/>
                <w:shd w:val="clear" w:color="000000" w:fill="auto"/>
                <w:vAlign w:val="center"/>
              </w:tcPr>
              <w:p>
                <w:pPr>
                  <w:tabs>
                    <w:tab w:val="left" w:pos="196"/>
                    <w:tab w:val="left" w:pos="426"/>
                  </w:tabs>
                  <w:snapToGrid w:val="0"/>
                  <w:jc w:val="center"/>
                  <w:rPr>
                    <w:szCs w:val="21"/>
                  </w:rPr>
                </w:pPr>
                <w:r>
                  <w:rPr>
                    <w:rFonts w:hint="eastAsia"/>
                    <w:szCs w:val="21"/>
                  </w:rPr>
                  <w:t>类别</w:t>
                </w:r>
              </w:p>
            </w:tc>
            <w:tc>
              <w:tcPr>
                <w:tcW w:w="3627" w:type="pct"/>
                <w:gridSpan w:val="5"/>
                <w:shd w:val="clear" w:color="000000" w:fill="auto"/>
                <w:vAlign w:val="center"/>
              </w:tcPr>
              <w:p>
                <w:pPr>
                  <w:tabs>
                    <w:tab w:val="left" w:pos="196"/>
                    <w:tab w:val="left" w:pos="426"/>
                  </w:tabs>
                  <w:snapToGrid w:val="0"/>
                  <w:jc w:val="center"/>
                  <w:rPr>
                    <w:szCs w:val="21"/>
                  </w:rPr>
                </w:pPr>
                <w:r>
                  <w:rPr>
                    <w:rFonts w:hint="eastAsia"/>
                    <w:szCs w:val="21"/>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373" w:type="pct"/>
                <w:vMerge w:val="continue"/>
                <w:shd w:val="clear" w:color="000000" w:fill="auto"/>
                <w:vAlign w:val="center"/>
              </w:tcPr>
              <w:p>
                <w:pPr>
                  <w:tabs>
                    <w:tab w:val="left" w:pos="196"/>
                    <w:tab w:val="left" w:pos="426"/>
                  </w:tabs>
                  <w:snapToGrid w:val="0"/>
                  <w:rPr>
                    <w:szCs w:val="21"/>
                  </w:rPr>
                </w:pPr>
              </w:p>
            </w:tc>
            <w:tc>
              <w:tcPr>
                <w:tcW w:w="1372" w:type="pct"/>
                <w:gridSpan w:val="2"/>
                <w:shd w:val="clear" w:color="000000" w:fill="auto"/>
                <w:vAlign w:val="center"/>
              </w:tcPr>
              <w:p>
                <w:pPr>
                  <w:tabs>
                    <w:tab w:val="left" w:pos="196"/>
                    <w:tab w:val="left" w:pos="426"/>
                  </w:tabs>
                  <w:snapToGrid w:val="0"/>
                  <w:jc w:val="center"/>
                  <w:rPr>
                    <w:szCs w:val="21"/>
                  </w:rPr>
                </w:pPr>
                <w:r>
                  <w:rPr>
                    <w:szCs w:val="21"/>
                  </w:rPr>
                  <w:t>账面余额</w:t>
                </w:r>
              </w:p>
            </w:tc>
            <w:tc>
              <w:tcPr>
                <w:tcW w:w="1359" w:type="pct"/>
                <w:gridSpan w:val="2"/>
                <w:shd w:val="clear" w:color="000000" w:fill="auto"/>
                <w:vAlign w:val="center"/>
              </w:tcPr>
              <w:p>
                <w:pPr>
                  <w:tabs>
                    <w:tab w:val="left" w:pos="196"/>
                    <w:tab w:val="left" w:pos="426"/>
                  </w:tabs>
                  <w:snapToGrid w:val="0"/>
                  <w:jc w:val="center"/>
                  <w:rPr>
                    <w:szCs w:val="21"/>
                  </w:rPr>
                </w:pPr>
                <w:r>
                  <w:rPr>
                    <w:szCs w:val="21"/>
                  </w:rPr>
                  <w:t>坏账准备</w:t>
                </w:r>
              </w:p>
            </w:tc>
            <w:tc>
              <w:tcPr>
                <w:tcW w:w="896" w:type="pct"/>
                <w:vMerge w:val="restart"/>
                <w:shd w:val="clear" w:color="000000" w:fill="auto"/>
                <w:vAlign w:val="center"/>
              </w:tcPr>
              <w:p>
                <w:pPr>
                  <w:tabs>
                    <w:tab w:val="left" w:pos="196"/>
                    <w:tab w:val="left" w:pos="426"/>
                  </w:tabs>
                  <w:snapToGrid w:val="0"/>
                  <w:jc w:val="center"/>
                  <w:rPr>
                    <w:szCs w:val="21"/>
                  </w:rPr>
                </w:pPr>
                <w:r>
                  <w:rPr>
                    <w:szCs w:val="21"/>
                  </w:rPr>
                  <w:t>账面价值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373" w:type="pct"/>
                <w:vMerge w:val="continue"/>
                <w:shd w:val="clear" w:color="000000" w:fill="auto"/>
                <w:vAlign w:val="center"/>
              </w:tcPr>
              <w:p>
                <w:pPr>
                  <w:tabs>
                    <w:tab w:val="left" w:pos="196"/>
                    <w:tab w:val="left" w:pos="426"/>
                  </w:tabs>
                  <w:snapToGrid w:val="0"/>
                  <w:rPr>
                    <w:szCs w:val="21"/>
                  </w:rPr>
                </w:pPr>
              </w:p>
            </w:tc>
            <w:tc>
              <w:tcPr>
                <w:tcW w:w="896" w:type="pct"/>
                <w:shd w:val="clear" w:color="000000" w:fill="auto"/>
                <w:vAlign w:val="center"/>
              </w:tcPr>
              <w:p>
                <w:pPr>
                  <w:tabs>
                    <w:tab w:val="left" w:pos="196"/>
                    <w:tab w:val="left" w:pos="426"/>
                  </w:tabs>
                  <w:snapToGrid w:val="0"/>
                  <w:jc w:val="center"/>
                  <w:rPr>
                    <w:szCs w:val="21"/>
                  </w:rPr>
                </w:pPr>
                <w:r>
                  <w:rPr>
                    <w:szCs w:val="21"/>
                  </w:rPr>
                  <w:t>金额</w:t>
                </w:r>
              </w:p>
            </w:tc>
            <w:tc>
              <w:tcPr>
                <w:tcW w:w="475" w:type="pct"/>
                <w:shd w:val="clear" w:color="000000" w:fill="auto"/>
                <w:vAlign w:val="center"/>
              </w:tcPr>
              <w:p>
                <w:pPr>
                  <w:tabs>
                    <w:tab w:val="left" w:pos="196"/>
                    <w:tab w:val="left" w:pos="426"/>
                  </w:tabs>
                  <w:snapToGrid w:val="0"/>
                  <w:ind w:left="-63" w:leftChars="-30" w:right="-63" w:rightChars="-30"/>
                  <w:jc w:val="center"/>
                  <w:rPr>
                    <w:szCs w:val="21"/>
                  </w:rPr>
                </w:pPr>
                <w:r>
                  <w:rPr>
                    <w:szCs w:val="21"/>
                  </w:rPr>
                  <w:t>比例（%）</w:t>
                </w:r>
              </w:p>
            </w:tc>
            <w:tc>
              <w:tcPr>
                <w:tcW w:w="884" w:type="pct"/>
                <w:shd w:val="clear" w:color="000000" w:fill="auto"/>
                <w:vAlign w:val="center"/>
              </w:tcPr>
              <w:p>
                <w:pPr>
                  <w:tabs>
                    <w:tab w:val="left" w:pos="196"/>
                    <w:tab w:val="left" w:pos="426"/>
                  </w:tabs>
                  <w:snapToGrid w:val="0"/>
                  <w:jc w:val="center"/>
                  <w:rPr>
                    <w:szCs w:val="21"/>
                  </w:rPr>
                </w:pPr>
                <w:r>
                  <w:rPr>
                    <w:szCs w:val="21"/>
                  </w:rPr>
                  <w:t>金额</w:t>
                </w:r>
              </w:p>
            </w:tc>
            <w:tc>
              <w:tcPr>
                <w:tcW w:w="475" w:type="pct"/>
                <w:shd w:val="clear" w:color="000000" w:fill="auto"/>
                <w:vAlign w:val="center"/>
              </w:tcPr>
              <w:p>
                <w:pPr>
                  <w:tabs>
                    <w:tab w:val="left" w:pos="196"/>
                    <w:tab w:val="left" w:pos="426"/>
                  </w:tabs>
                  <w:snapToGrid w:val="0"/>
                  <w:ind w:left="-63" w:leftChars="-30" w:right="-63" w:rightChars="-30"/>
                  <w:jc w:val="center"/>
                  <w:rPr>
                    <w:szCs w:val="21"/>
                  </w:rPr>
                </w:pPr>
                <w:r>
                  <w:rPr>
                    <w:szCs w:val="21"/>
                  </w:rPr>
                  <w:t>计提比例（%）</w:t>
                </w:r>
              </w:p>
            </w:tc>
            <w:tc>
              <w:tcPr>
                <w:tcW w:w="896" w:type="pct"/>
                <w:vMerge w:val="continue"/>
                <w:shd w:val="clear" w:color="000000" w:fill="auto"/>
                <w:vAlign w:val="center"/>
              </w:tcPr>
              <w:p>
                <w:pPr>
                  <w:tabs>
                    <w:tab w:val="left" w:pos="196"/>
                    <w:tab w:val="left" w:pos="426"/>
                  </w:tabs>
                  <w:snapToGrid w:val="0"/>
                  <w:ind w:left="-63" w:leftChars="-30" w:right="-63" w:rightChars="-3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373" w:type="pct"/>
                <w:shd w:val="clear" w:color="000000" w:fill="auto"/>
                <w:vAlign w:val="center"/>
              </w:tcPr>
              <w:p>
                <w:pPr>
                  <w:tabs>
                    <w:tab w:val="left" w:pos="196"/>
                    <w:tab w:val="left" w:pos="426"/>
                  </w:tabs>
                  <w:snapToGrid w:val="0"/>
                  <w:rPr>
                    <w:szCs w:val="21"/>
                  </w:rPr>
                </w:pPr>
                <w:r>
                  <w:rPr>
                    <w:rFonts w:hint="eastAsia"/>
                    <w:szCs w:val="21"/>
                  </w:rPr>
                  <w:t>单项计提预期信用损失</w:t>
                </w:r>
                <w:r>
                  <w:rPr>
                    <w:szCs w:val="21"/>
                  </w:rPr>
                  <w:t>的</w:t>
                </w:r>
                <w:r>
                  <w:rPr>
                    <w:rFonts w:hint="eastAsia"/>
                    <w:szCs w:val="21"/>
                  </w:rPr>
                  <w:t>其他应收款</w:t>
                </w:r>
              </w:p>
            </w:tc>
            <w:tc>
              <w:tcPr>
                <w:tcW w:w="896" w:type="pct"/>
                <w:shd w:val="clear" w:color="000000" w:fill="auto"/>
                <w:vAlign w:val="center"/>
              </w:tcPr>
              <w:p>
                <w:pPr>
                  <w:tabs>
                    <w:tab w:val="left" w:pos="196"/>
                    <w:tab w:val="left" w:pos="426"/>
                  </w:tabs>
                  <w:snapToGrid w:val="0"/>
                  <w:jc w:val="right"/>
                  <w:rPr>
                    <w:szCs w:val="21"/>
                  </w:rPr>
                </w:pPr>
                <w:r>
                  <w:rPr>
                    <w:szCs w:val="21"/>
                  </w:rPr>
                  <w:t>425,419,950.00</w:t>
                </w:r>
              </w:p>
            </w:tc>
            <w:tc>
              <w:tcPr>
                <w:tcW w:w="475" w:type="pct"/>
                <w:shd w:val="clear" w:color="000000" w:fill="auto"/>
                <w:vAlign w:val="center"/>
              </w:tcPr>
              <w:p>
                <w:pPr>
                  <w:tabs>
                    <w:tab w:val="left" w:pos="196"/>
                    <w:tab w:val="left" w:pos="426"/>
                  </w:tabs>
                  <w:snapToGrid w:val="0"/>
                  <w:jc w:val="right"/>
                  <w:rPr>
                    <w:szCs w:val="21"/>
                  </w:rPr>
                </w:pPr>
                <w:r>
                  <w:rPr>
                    <w:szCs w:val="21"/>
                  </w:rPr>
                  <w:t>69.87</w:t>
                </w:r>
              </w:p>
            </w:tc>
            <w:tc>
              <w:tcPr>
                <w:tcW w:w="884" w:type="pct"/>
                <w:shd w:val="clear" w:color="000000" w:fill="auto"/>
                <w:vAlign w:val="center"/>
              </w:tcPr>
              <w:p>
                <w:pPr>
                  <w:tabs>
                    <w:tab w:val="left" w:pos="196"/>
                    <w:tab w:val="left" w:pos="426"/>
                  </w:tabs>
                  <w:snapToGrid w:val="0"/>
                  <w:jc w:val="right"/>
                  <w:rPr>
                    <w:szCs w:val="21"/>
                  </w:rPr>
                </w:pPr>
                <w:r>
                  <w:rPr>
                    <w:szCs w:val="21"/>
                  </w:rPr>
                  <w:t>274,096,197.00</w:t>
                </w:r>
              </w:p>
            </w:tc>
            <w:tc>
              <w:tcPr>
                <w:tcW w:w="475" w:type="pct"/>
                <w:shd w:val="clear" w:color="000000" w:fill="auto"/>
                <w:vAlign w:val="center"/>
              </w:tcPr>
              <w:p>
                <w:pPr>
                  <w:tabs>
                    <w:tab w:val="left" w:pos="196"/>
                    <w:tab w:val="left" w:pos="426"/>
                  </w:tabs>
                  <w:snapToGrid w:val="0"/>
                  <w:jc w:val="right"/>
                  <w:rPr>
                    <w:szCs w:val="21"/>
                  </w:rPr>
                </w:pPr>
                <w:r>
                  <w:rPr>
                    <w:szCs w:val="21"/>
                  </w:rPr>
                  <w:t>64.43</w:t>
                </w:r>
              </w:p>
            </w:tc>
            <w:tc>
              <w:tcPr>
                <w:tcW w:w="896" w:type="pct"/>
                <w:shd w:val="clear" w:color="000000" w:fill="auto"/>
                <w:vAlign w:val="center"/>
              </w:tcPr>
              <w:p>
                <w:pPr>
                  <w:tabs>
                    <w:tab w:val="left" w:pos="196"/>
                    <w:tab w:val="left" w:pos="426"/>
                  </w:tabs>
                  <w:snapToGrid w:val="0"/>
                  <w:jc w:val="right"/>
                  <w:rPr>
                    <w:szCs w:val="21"/>
                  </w:rPr>
                </w:pPr>
                <w:r>
                  <w:rPr>
                    <w:szCs w:val="21"/>
                  </w:rPr>
                  <w:t>151,323,753.00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373" w:type="pct"/>
                <w:shd w:val="clear" w:color="000000" w:fill="auto"/>
                <w:vAlign w:val="center"/>
              </w:tcPr>
              <w:p>
                <w:pPr>
                  <w:tabs>
                    <w:tab w:val="left" w:pos="196"/>
                    <w:tab w:val="left" w:pos="426"/>
                  </w:tabs>
                  <w:snapToGrid w:val="0"/>
                  <w:rPr>
                    <w:szCs w:val="21"/>
                  </w:rPr>
                </w:pPr>
                <w:r>
                  <w:rPr>
                    <w:rFonts w:hint="eastAsia"/>
                    <w:szCs w:val="21"/>
                  </w:rPr>
                  <w:t>按组合计提预期信用损失</w:t>
                </w:r>
                <w:r>
                  <w:rPr>
                    <w:szCs w:val="21"/>
                  </w:rPr>
                  <w:t>的</w:t>
                </w:r>
                <w:r>
                  <w:rPr>
                    <w:rFonts w:hint="eastAsia"/>
                    <w:szCs w:val="21"/>
                  </w:rPr>
                  <w:t>其他应收款</w:t>
                </w:r>
              </w:p>
            </w:tc>
            <w:tc>
              <w:tcPr>
                <w:tcW w:w="896" w:type="pct"/>
                <w:shd w:val="clear" w:color="000000" w:fill="auto"/>
                <w:vAlign w:val="center"/>
              </w:tcPr>
              <w:p>
                <w:pPr>
                  <w:tabs>
                    <w:tab w:val="left" w:pos="196"/>
                    <w:tab w:val="left" w:pos="426"/>
                  </w:tabs>
                  <w:snapToGrid w:val="0"/>
                  <w:jc w:val="right"/>
                  <w:rPr>
                    <w:szCs w:val="21"/>
                  </w:rPr>
                </w:pPr>
                <w:r>
                  <w:t>183,415,895.18</w:t>
                </w:r>
              </w:p>
            </w:tc>
            <w:tc>
              <w:tcPr>
                <w:tcW w:w="475" w:type="pct"/>
                <w:shd w:val="clear" w:color="000000" w:fill="auto"/>
                <w:vAlign w:val="center"/>
              </w:tcPr>
              <w:p>
                <w:pPr>
                  <w:tabs>
                    <w:tab w:val="left" w:pos="196"/>
                    <w:tab w:val="left" w:pos="426"/>
                  </w:tabs>
                  <w:snapToGrid w:val="0"/>
                  <w:jc w:val="right"/>
                  <w:rPr>
                    <w:szCs w:val="21"/>
                  </w:rPr>
                </w:pPr>
                <w:r>
                  <w:t>30.13</w:t>
                </w:r>
              </w:p>
            </w:tc>
            <w:tc>
              <w:tcPr>
                <w:tcW w:w="884" w:type="pct"/>
                <w:shd w:val="clear" w:color="000000" w:fill="auto"/>
                <w:vAlign w:val="center"/>
              </w:tcPr>
              <w:p>
                <w:pPr>
                  <w:tabs>
                    <w:tab w:val="left" w:pos="196"/>
                    <w:tab w:val="left" w:pos="426"/>
                  </w:tabs>
                  <w:snapToGrid w:val="0"/>
                  <w:jc w:val="right"/>
                  <w:rPr>
                    <w:szCs w:val="21"/>
                  </w:rPr>
                </w:pPr>
                <w:r>
                  <w:rPr>
                    <w:szCs w:val="21"/>
                  </w:rPr>
                  <w:t>15,668,764.03</w:t>
                </w:r>
              </w:p>
            </w:tc>
            <w:tc>
              <w:tcPr>
                <w:tcW w:w="475" w:type="pct"/>
                <w:shd w:val="clear" w:color="000000" w:fill="auto"/>
                <w:vAlign w:val="center"/>
              </w:tcPr>
              <w:p>
                <w:pPr>
                  <w:tabs>
                    <w:tab w:val="left" w:pos="196"/>
                    <w:tab w:val="left" w:pos="426"/>
                  </w:tabs>
                  <w:snapToGrid w:val="0"/>
                  <w:jc w:val="right"/>
                  <w:rPr>
                    <w:szCs w:val="21"/>
                  </w:rPr>
                </w:pPr>
                <w:r>
                  <w:t>8.54</w:t>
                </w:r>
              </w:p>
            </w:tc>
            <w:tc>
              <w:tcPr>
                <w:tcW w:w="896" w:type="pct"/>
                <w:shd w:val="clear" w:color="000000" w:fill="auto"/>
                <w:vAlign w:val="center"/>
              </w:tcPr>
              <w:p>
                <w:pPr>
                  <w:tabs>
                    <w:tab w:val="left" w:pos="196"/>
                    <w:tab w:val="left" w:pos="426"/>
                  </w:tabs>
                  <w:snapToGrid w:val="0"/>
                  <w:jc w:val="right"/>
                  <w:rPr>
                    <w:szCs w:val="21"/>
                  </w:rPr>
                </w:pPr>
                <w:r>
                  <w:t>167,747,131.15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3" w:type="pct"/>
                <w:shd w:val="clear" w:color="000000" w:fill="auto"/>
                <w:vAlign w:val="center"/>
              </w:tcPr>
              <w:p>
                <w:pPr>
                  <w:tabs>
                    <w:tab w:val="left" w:pos="196"/>
                    <w:tab w:val="left" w:pos="426"/>
                  </w:tabs>
                  <w:snapToGrid w:val="0"/>
                  <w:rPr>
                    <w:szCs w:val="21"/>
                  </w:rPr>
                </w:pPr>
                <w:r>
                  <w:rPr>
                    <w:szCs w:val="21"/>
                  </w:rPr>
                  <w:t>其中：低风险组合</w:t>
                </w:r>
              </w:p>
            </w:tc>
            <w:tc>
              <w:tcPr>
                <w:tcW w:w="896" w:type="pct"/>
                <w:shd w:val="clear" w:color="000000" w:fill="auto"/>
                <w:vAlign w:val="center"/>
              </w:tcPr>
              <w:p>
                <w:pPr>
                  <w:tabs>
                    <w:tab w:val="left" w:pos="196"/>
                    <w:tab w:val="left" w:pos="426"/>
                  </w:tabs>
                  <w:snapToGrid w:val="0"/>
                  <w:jc w:val="right"/>
                  <w:rPr>
                    <w:szCs w:val="21"/>
                  </w:rPr>
                </w:pPr>
                <w:r>
                  <w:rPr>
                    <w:szCs w:val="21"/>
                  </w:rPr>
                  <w:t>38,429,695.65</w:t>
                </w:r>
              </w:p>
            </w:tc>
            <w:tc>
              <w:tcPr>
                <w:tcW w:w="475" w:type="pct"/>
                <w:shd w:val="clear" w:color="000000" w:fill="auto"/>
                <w:vAlign w:val="center"/>
              </w:tcPr>
              <w:p>
                <w:pPr>
                  <w:tabs>
                    <w:tab w:val="left" w:pos="196"/>
                    <w:tab w:val="left" w:pos="426"/>
                  </w:tabs>
                  <w:snapToGrid w:val="0"/>
                  <w:jc w:val="right"/>
                  <w:rPr>
                    <w:szCs w:val="21"/>
                  </w:rPr>
                </w:pPr>
                <w:r>
                  <w:rPr>
                    <w:szCs w:val="21"/>
                  </w:rPr>
                  <w:t>6.31</w:t>
                </w:r>
              </w:p>
            </w:tc>
            <w:tc>
              <w:tcPr>
                <w:tcW w:w="884" w:type="pct"/>
                <w:shd w:val="clear" w:color="000000" w:fill="auto"/>
                <w:vAlign w:val="center"/>
              </w:tcPr>
              <w:p>
                <w:pPr>
                  <w:tabs>
                    <w:tab w:val="left" w:pos="196"/>
                    <w:tab w:val="left" w:pos="426"/>
                  </w:tabs>
                  <w:snapToGrid w:val="0"/>
                  <w:jc w:val="right"/>
                  <w:rPr>
                    <w:szCs w:val="21"/>
                  </w:rPr>
                </w:pPr>
              </w:p>
            </w:tc>
            <w:tc>
              <w:tcPr>
                <w:tcW w:w="475" w:type="pct"/>
                <w:shd w:val="clear" w:color="000000" w:fill="auto"/>
                <w:vAlign w:val="center"/>
              </w:tcPr>
              <w:p>
                <w:pPr>
                  <w:tabs>
                    <w:tab w:val="left" w:pos="196"/>
                    <w:tab w:val="left" w:pos="426"/>
                  </w:tabs>
                  <w:snapToGrid w:val="0"/>
                  <w:jc w:val="right"/>
                  <w:rPr>
                    <w:szCs w:val="21"/>
                  </w:rPr>
                </w:pPr>
              </w:p>
            </w:tc>
            <w:tc>
              <w:tcPr>
                <w:tcW w:w="896" w:type="pct"/>
                <w:shd w:val="clear" w:color="000000" w:fill="auto"/>
                <w:vAlign w:val="center"/>
              </w:tcPr>
              <w:p>
                <w:pPr>
                  <w:tabs>
                    <w:tab w:val="left" w:pos="196"/>
                    <w:tab w:val="left" w:pos="426"/>
                  </w:tabs>
                  <w:snapToGrid w:val="0"/>
                  <w:jc w:val="right"/>
                  <w:rPr>
                    <w:szCs w:val="21"/>
                  </w:rPr>
                </w:pPr>
                <w:r>
                  <w:rPr>
                    <w:szCs w:val="21"/>
                  </w:rPr>
                  <w:t>38,429,695.65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3" w:type="pct"/>
                <w:shd w:val="clear" w:color="000000" w:fill="auto"/>
                <w:vAlign w:val="center"/>
              </w:tcPr>
              <w:p>
                <w:pPr>
                  <w:tabs>
                    <w:tab w:val="left" w:pos="196"/>
                    <w:tab w:val="left" w:pos="426"/>
                  </w:tabs>
                  <w:snapToGrid w:val="0"/>
                  <w:rPr>
                    <w:szCs w:val="21"/>
                  </w:rPr>
                </w:pPr>
                <w:r>
                  <w:rPr>
                    <w:szCs w:val="21"/>
                  </w:rPr>
                  <w:t>账龄组合</w:t>
                </w:r>
              </w:p>
            </w:tc>
            <w:tc>
              <w:tcPr>
                <w:tcW w:w="896" w:type="pct"/>
                <w:shd w:val="clear" w:color="000000" w:fill="auto"/>
                <w:vAlign w:val="center"/>
              </w:tcPr>
              <w:p>
                <w:pPr>
                  <w:tabs>
                    <w:tab w:val="left" w:pos="196"/>
                    <w:tab w:val="left" w:pos="426"/>
                  </w:tabs>
                  <w:snapToGrid w:val="0"/>
                  <w:jc w:val="right"/>
                  <w:rPr>
                    <w:szCs w:val="21"/>
                  </w:rPr>
                </w:pPr>
                <w:r>
                  <w:t>144,986,199.53</w:t>
                </w:r>
              </w:p>
            </w:tc>
            <w:tc>
              <w:tcPr>
                <w:tcW w:w="475" w:type="pct"/>
                <w:shd w:val="clear" w:color="000000" w:fill="auto"/>
                <w:vAlign w:val="center"/>
              </w:tcPr>
              <w:p>
                <w:pPr>
                  <w:tabs>
                    <w:tab w:val="left" w:pos="196"/>
                    <w:tab w:val="left" w:pos="426"/>
                  </w:tabs>
                  <w:snapToGrid w:val="0"/>
                  <w:jc w:val="right"/>
                  <w:rPr>
                    <w:szCs w:val="21"/>
                  </w:rPr>
                </w:pPr>
                <w:r>
                  <w:t>23.82</w:t>
                </w:r>
              </w:p>
            </w:tc>
            <w:tc>
              <w:tcPr>
                <w:tcW w:w="884" w:type="pct"/>
                <w:shd w:val="clear" w:color="000000" w:fill="auto"/>
                <w:vAlign w:val="center"/>
              </w:tcPr>
              <w:p>
                <w:pPr>
                  <w:tabs>
                    <w:tab w:val="left" w:pos="196"/>
                    <w:tab w:val="left" w:pos="426"/>
                  </w:tabs>
                  <w:snapToGrid w:val="0"/>
                  <w:jc w:val="right"/>
                  <w:rPr>
                    <w:szCs w:val="21"/>
                  </w:rPr>
                </w:pPr>
                <w:r>
                  <w:t>15,668,764.03</w:t>
                </w:r>
              </w:p>
            </w:tc>
            <w:tc>
              <w:tcPr>
                <w:tcW w:w="475" w:type="pct"/>
                <w:shd w:val="clear" w:color="000000" w:fill="auto"/>
                <w:vAlign w:val="center"/>
              </w:tcPr>
              <w:p>
                <w:pPr>
                  <w:tabs>
                    <w:tab w:val="left" w:pos="196"/>
                    <w:tab w:val="left" w:pos="426"/>
                  </w:tabs>
                  <w:snapToGrid w:val="0"/>
                  <w:jc w:val="right"/>
                  <w:rPr>
                    <w:szCs w:val="21"/>
                  </w:rPr>
                </w:pPr>
                <w:r>
                  <w:t>10.81</w:t>
                </w:r>
              </w:p>
            </w:tc>
            <w:tc>
              <w:tcPr>
                <w:tcW w:w="896" w:type="pct"/>
                <w:shd w:val="clear" w:color="000000" w:fill="auto"/>
                <w:vAlign w:val="center"/>
              </w:tcPr>
              <w:p>
                <w:pPr>
                  <w:tabs>
                    <w:tab w:val="left" w:pos="196"/>
                    <w:tab w:val="left" w:pos="426"/>
                  </w:tabs>
                  <w:snapToGrid w:val="0"/>
                  <w:jc w:val="right"/>
                  <w:rPr>
                    <w:szCs w:val="21"/>
                  </w:rPr>
                </w:pPr>
                <w:r>
                  <w:t>129,317,435.50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73" w:type="pct"/>
                <w:shd w:val="clear" w:color="000000" w:fill="auto"/>
                <w:vAlign w:val="center"/>
              </w:tcPr>
              <w:p>
                <w:pPr>
                  <w:tabs>
                    <w:tab w:val="left" w:pos="196"/>
                    <w:tab w:val="left" w:pos="426"/>
                  </w:tabs>
                  <w:snapToGrid w:val="0"/>
                  <w:jc w:val="center"/>
                  <w:rPr>
                    <w:szCs w:val="21"/>
                  </w:rPr>
                </w:pPr>
                <w:r>
                  <w:rPr>
                    <w:szCs w:val="21"/>
                  </w:rPr>
                  <w:t>合计</w:t>
                </w:r>
              </w:p>
            </w:tc>
            <w:tc>
              <w:tcPr>
                <w:tcW w:w="896" w:type="pct"/>
                <w:shd w:val="clear" w:color="000000" w:fill="auto"/>
                <w:vAlign w:val="center"/>
              </w:tcPr>
              <w:p>
                <w:pPr>
                  <w:tabs>
                    <w:tab w:val="left" w:pos="196"/>
                    <w:tab w:val="left" w:pos="426"/>
                  </w:tabs>
                  <w:snapToGrid w:val="0"/>
                  <w:jc w:val="right"/>
                  <w:rPr>
                    <w:szCs w:val="21"/>
                  </w:rPr>
                </w:pPr>
                <w:r>
                  <w:t>608,835,845.18</w:t>
                </w:r>
              </w:p>
            </w:tc>
            <w:tc>
              <w:tcPr>
                <w:tcW w:w="475" w:type="pct"/>
                <w:shd w:val="clear" w:color="000000" w:fill="auto"/>
                <w:vAlign w:val="center"/>
              </w:tcPr>
              <w:p>
                <w:pPr>
                  <w:tabs>
                    <w:tab w:val="left" w:pos="196"/>
                    <w:tab w:val="left" w:pos="426"/>
                  </w:tabs>
                  <w:snapToGrid w:val="0"/>
                  <w:jc w:val="right"/>
                  <w:rPr>
                    <w:szCs w:val="21"/>
                  </w:rPr>
                </w:pPr>
                <w:r>
                  <w:t>100.00</w:t>
                </w:r>
              </w:p>
            </w:tc>
            <w:tc>
              <w:tcPr>
                <w:tcW w:w="884" w:type="pct"/>
                <w:shd w:val="clear" w:color="000000" w:fill="auto"/>
                <w:vAlign w:val="center"/>
              </w:tcPr>
              <w:p>
                <w:pPr>
                  <w:tabs>
                    <w:tab w:val="left" w:pos="196"/>
                    <w:tab w:val="left" w:pos="426"/>
                  </w:tabs>
                  <w:snapToGrid w:val="0"/>
                  <w:jc w:val="right"/>
                  <w:rPr>
                    <w:szCs w:val="21"/>
                  </w:rPr>
                </w:pPr>
                <w:r>
                  <w:t>289,764,961.03</w:t>
                </w:r>
              </w:p>
            </w:tc>
            <w:tc>
              <w:tcPr>
                <w:tcW w:w="475" w:type="pct"/>
                <w:shd w:val="clear" w:color="000000" w:fill="auto"/>
                <w:vAlign w:val="center"/>
              </w:tcPr>
              <w:p>
                <w:pPr>
                  <w:tabs>
                    <w:tab w:val="left" w:pos="196"/>
                    <w:tab w:val="left" w:pos="426"/>
                  </w:tabs>
                  <w:snapToGrid w:val="0"/>
                  <w:jc w:val="right"/>
                  <w:rPr>
                    <w:szCs w:val="21"/>
                  </w:rPr>
                </w:pPr>
                <w:r>
                  <w:t>47.59</w:t>
                </w:r>
              </w:p>
            </w:tc>
            <w:tc>
              <w:tcPr>
                <w:tcW w:w="896" w:type="pct"/>
                <w:shd w:val="clear" w:color="000000" w:fill="auto"/>
                <w:vAlign w:val="center"/>
              </w:tcPr>
              <w:p>
                <w:pPr>
                  <w:tabs>
                    <w:tab w:val="left" w:pos="196"/>
                    <w:tab w:val="left" w:pos="426"/>
                  </w:tabs>
                  <w:snapToGrid w:val="0"/>
                  <w:jc w:val="right"/>
                  <w:rPr>
                    <w:szCs w:val="21"/>
                  </w:rPr>
                </w:pPr>
                <w:r>
                  <w:t>319,070,884.15</w:t>
                </w:r>
              </w:p>
            </w:tc>
          </w:tr>
        </w:tbl>
        <w:p/>
        <w:p>
          <w:pPr>
            <w:pStyle w:val="281"/>
            <w:widowControl w:val="0"/>
            <w:tabs>
              <w:tab w:val="clear" w:pos="1273"/>
            </w:tabs>
            <w:spacing w:before="156" w:beforeLines="50" w:line="360" w:lineRule="auto"/>
            <w:ind w:left="0" w:leftChars="0" w:firstLine="420" w:firstLineChars="200"/>
            <w:rPr>
              <w:b w:val="0"/>
            </w:rPr>
          </w:pPr>
          <w:r>
            <w:rPr>
              <w:rFonts w:hint="eastAsia"/>
              <w:b w:val="0"/>
            </w:rPr>
            <w:t>续：</w:t>
          </w:r>
        </w:p>
        <w:tbl>
          <w:tblPr>
            <w:tblStyle w:val="36"/>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1885"/>
            <w:gridCol w:w="1896"/>
            <w:gridCol w:w="846"/>
            <w:gridCol w:w="1686"/>
            <w:gridCol w:w="741"/>
            <w:gridCol w:w="1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052" w:type="pct"/>
                <w:vMerge w:val="restart"/>
                <w:shd w:val="clear" w:color="000000" w:fill="auto"/>
                <w:vAlign w:val="center"/>
              </w:tcPr>
              <w:p>
                <w:pPr>
                  <w:widowControl w:val="0"/>
                  <w:tabs>
                    <w:tab w:val="left" w:pos="196"/>
                    <w:tab w:val="left" w:pos="426"/>
                  </w:tabs>
                  <w:snapToGrid w:val="0"/>
                  <w:jc w:val="center"/>
                  <w:rPr>
                    <w:szCs w:val="21"/>
                  </w:rPr>
                </w:pPr>
                <w:r>
                  <w:rPr>
                    <w:rFonts w:hint="eastAsia"/>
                    <w:szCs w:val="21"/>
                  </w:rPr>
                  <w:t>类别</w:t>
                </w:r>
              </w:p>
            </w:tc>
            <w:tc>
              <w:tcPr>
                <w:tcW w:w="3948" w:type="pct"/>
                <w:gridSpan w:val="5"/>
                <w:shd w:val="clear" w:color="000000" w:fill="auto"/>
                <w:vAlign w:val="center"/>
              </w:tcPr>
              <w:p>
                <w:pPr>
                  <w:widowControl w:val="0"/>
                  <w:tabs>
                    <w:tab w:val="left" w:pos="196"/>
                    <w:tab w:val="left" w:pos="426"/>
                  </w:tabs>
                  <w:snapToGrid w:val="0"/>
                  <w:jc w:val="center"/>
                  <w:rPr>
                    <w:szCs w:val="21"/>
                  </w:rPr>
                </w:pPr>
                <w:r>
                  <w:rPr>
                    <w:rFonts w:hint="eastAsia"/>
                    <w:szCs w:val="21"/>
                  </w:rPr>
                  <w:t>期初余额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052" w:type="pct"/>
                <w:vMerge w:val="continue"/>
                <w:shd w:val="clear" w:color="000000" w:fill="auto"/>
                <w:vAlign w:val="center"/>
              </w:tcPr>
              <w:p>
                <w:pPr>
                  <w:widowControl w:val="0"/>
                  <w:tabs>
                    <w:tab w:val="left" w:pos="196"/>
                    <w:tab w:val="left" w:pos="426"/>
                  </w:tabs>
                  <w:snapToGrid w:val="0"/>
                  <w:rPr>
                    <w:szCs w:val="21"/>
                  </w:rPr>
                </w:pPr>
              </w:p>
            </w:tc>
            <w:tc>
              <w:tcPr>
                <w:tcW w:w="1529" w:type="pct"/>
                <w:gridSpan w:val="2"/>
                <w:shd w:val="clear" w:color="000000" w:fill="auto"/>
                <w:vAlign w:val="center"/>
              </w:tcPr>
              <w:p>
                <w:pPr>
                  <w:widowControl w:val="0"/>
                  <w:tabs>
                    <w:tab w:val="left" w:pos="196"/>
                    <w:tab w:val="left" w:pos="426"/>
                  </w:tabs>
                  <w:snapToGrid w:val="0"/>
                  <w:jc w:val="center"/>
                  <w:rPr>
                    <w:szCs w:val="21"/>
                  </w:rPr>
                </w:pPr>
                <w:r>
                  <w:rPr>
                    <w:szCs w:val="21"/>
                  </w:rPr>
                  <w:t>账面余额</w:t>
                </w:r>
              </w:p>
            </w:tc>
            <w:tc>
              <w:tcPr>
                <w:tcW w:w="1353" w:type="pct"/>
                <w:gridSpan w:val="2"/>
                <w:shd w:val="clear" w:color="000000" w:fill="auto"/>
                <w:vAlign w:val="center"/>
              </w:tcPr>
              <w:p>
                <w:pPr>
                  <w:widowControl w:val="0"/>
                  <w:tabs>
                    <w:tab w:val="left" w:pos="196"/>
                    <w:tab w:val="left" w:pos="426"/>
                  </w:tabs>
                  <w:snapToGrid w:val="0"/>
                  <w:jc w:val="center"/>
                  <w:rPr>
                    <w:szCs w:val="21"/>
                  </w:rPr>
                </w:pPr>
                <w:r>
                  <w:rPr>
                    <w:szCs w:val="21"/>
                  </w:rPr>
                  <w:t>坏账准备</w:t>
                </w:r>
              </w:p>
            </w:tc>
            <w:tc>
              <w:tcPr>
                <w:tcW w:w="1066" w:type="pct"/>
                <w:vMerge w:val="restart"/>
                <w:shd w:val="clear" w:color="000000" w:fill="auto"/>
                <w:vAlign w:val="center"/>
              </w:tcPr>
              <w:p>
                <w:pPr>
                  <w:widowControl w:val="0"/>
                  <w:tabs>
                    <w:tab w:val="left" w:pos="196"/>
                    <w:tab w:val="left" w:pos="426"/>
                  </w:tabs>
                  <w:snapToGrid w:val="0"/>
                  <w:jc w:val="center"/>
                  <w:rPr>
                    <w:szCs w:val="21"/>
                  </w:rPr>
                </w:pPr>
                <w:r>
                  <w:rPr>
                    <w:szCs w:val="21"/>
                  </w:rPr>
                  <w:t>账面价值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052" w:type="pct"/>
                <w:vMerge w:val="continue"/>
                <w:shd w:val="clear" w:color="000000" w:fill="auto"/>
                <w:vAlign w:val="center"/>
              </w:tcPr>
              <w:p>
                <w:pPr>
                  <w:widowControl w:val="0"/>
                  <w:tabs>
                    <w:tab w:val="left" w:pos="196"/>
                    <w:tab w:val="left" w:pos="426"/>
                  </w:tabs>
                  <w:snapToGrid w:val="0"/>
                  <w:rPr>
                    <w:szCs w:val="21"/>
                  </w:rPr>
                </w:pPr>
              </w:p>
            </w:tc>
            <w:tc>
              <w:tcPr>
                <w:tcW w:w="1057" w:type="pct"/>
                <w:shd w:val="clear" w:color="000000" w:fill="auto"/>
                <w:vAlign w:val="center"/>
              </w:tcPr>
              <w:p>
                <w:pPr>
                  <w:widowControl w:val="0"/>
                  <w:tabs>
                    <w:tab w:val="left" w:pos="196"/>
                    <w:tab w:val="left" w:pos="426"/>
                  </w:tabs>
                  <w:snapToGrid w:val="0"/>
                  <w:jc w:val="center"/>
                  <w:rPr>
                    <w:szCs w:val="21"/>
                  </w:rPr>
                </w:pPr>
                <w:r>
                  <w:rPr>
                    <w:szCs w:val="21"/>
                  </w:rPr>
                  <w:t>金额</w:t>
                </w:r>
              </w:p>
            </w:tc>
            <w:tc>
              <w:tcPr>
                <w:tcW w:w="472" w:type="pct"/>
                <w:shd w:val="clear" w:color="000000" w:fill="auto"/>
                <w:vAlign w:val="center"/>
              </w:tcPr>
              <w:p>
                <w:pPr>
                  <w:widowControl w:val="0"/>
                  <w:tabs>
                    <w:tab w:val="left" w:pos="196"/>
                    <w:tab w:val="left" w:pos="426"/>
                  </w:tabs>
                  <w:snapToGrid w:val="0"/>
                  <w:ind w:left="-63" w:leftChars="-30" w:right="-63" w:rightChars="-30"/>
                  <w:jc w:val="center"/>
                  <w:rPr>
                    <w:szCs w:val="21"/>
                  </w:rPr>
                </w:pPr>
                <w:r>
                  <w:rPr>
                    <w:szCs w:val="21"/>
                  </w:rPr>
                  <w:t>比例（%）</w:t>
                </w:r>
              </w:p>
            </w:tc>
            <w:tc>
              <w:tcPr>
                <w:tcW w:w="940" w:type="pct"/>
                <w:shd w:val="clear" w:color="000000" w:fill="auto"/>
                <w:vAlign w:val="center"/>
              </w:tcPr>
              <w:p>
                <w:pPr>
                  <w:widowControl w:val="0"/>
                  <w:tabs>
                    <w:tab w:val="left" w:pos="196"/>
                    <w:tab w:val="left" w:pos="426"/>
                  </w:tabs>
                  <w:snapToGrid w:val="0"/>
                  <w:jc w:val="center"/>
                  <w:rPr>
                    <w:szCs w:val="21"/>
                  </w:rPr>
                </w:pPr>
                <w:r>
                  <w:rPr>
                    <w:szCs w:val="21"/>
                  </w:rPr>
                  <w:t>金额</w:t>
                </w:r>
              </w:p>
            </w:tc>
            <w:tc>
              <w:tcPr>
                <w:tcW w:w="413" w:type="pct"/>
                <w:shd w:val="clear" w:color="000000" w:fill="auto"/>
                <w:vAlign w:val="center"/>
              </w:tcPr>
              <w:p>
                <w:pPr>
                  <w:widowControl w:val="0"/>
                  <w:tabs>
                    <w:tab w:val="left" w:pos="196"/>
                    <w:tab w:val="left" w:pos="426"/>
                  </w:tabs>
                  <w:snapToGrid w:val="0"/>
                  <w:ind w:left="-63" w:leftChars="-30" w:right="-63" w:rightChars="-30"/>
                  <w:jc w:val="center"/>
                  <w:rPr>
                    <w:szCs w:val="21"/>
                  </w:rPr>
                </w:pPr>
                <w:r>
                  <w:rPr>
                    <w:szCs w:val="21"/>
                  </w:rPr>
                  <w:t>计提比例（%）</w:t>
                </w:r>
              </w:p>
            </w:tc>
            <w:tc>
              <w:tcPr>
                <w:tcW w:w="1066" w:type="pct"/>
                <w:vMerge w:val="continue"/>
                <w:shd w:val="clear" w:color="000000" w:fill="auto"/>
                <w:vAlign w:val="center"/>
              </w:tcPr>
              <w:p>
                <w:pPr>
                  <w:widowControl w:val="0"/>
                  <w:tabs>
                    <w:tab w:val="left" w:pos="196"/>
                    <w:tab w:val="left" w:pos="426"/>
                  </w:tabs>
                  <w:snapToGrid w:val="0"/>
                  <w:ind w:left="-63" w:leftChars="-30" w:right="-63" w:rightChars="-3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052" w:type="pct"/>
                <w:shd w:val="clear" w:color="000000" w:fill="auto"/>
                <w:vAlign w:val="center"/>
              </w:tcPr>
              <w:p>
                <w:pPr>
                  <w:widowControl w:val="0"/>
                  <w:tabs>
                    <w:tab w:val="left" w:pos="196"/>
                    <w:tab w:val="left" w:pos="426"/>
                  </w:tabs>
                  <w:snapToGrid w:val="0"/>
                  <w:rPr>
                    <w:szCs w:val="21"/>
                  </w:rPr>
                </w:pPr>
                <w:r>
                  <w:rPr>
                    <w:szCs w:val="21"/>
                  </w:rPr>
                  <w:t>单项计提预期信用损失的其他应收款</w:t>
                </w:r>
              </w:p>
            </w:tc>
            <w:tc>
              <w:tcPr>
                <w:tcW w:w="1057" w:type="pct"/>
                <w:shd w:val="clear" w:color="000000" w:fill="auto"/>
                <w:vAlign w:val="center"/>
              </w:tcPr>
              <w:p>
                <w:pPr>
                  <w:widowControl w:val="0"/>
                  <w:tabs>
                    <w:tab w:val="left" w:pos="196"/>
                    <w:tab w:val="left" w:pos="426"/>
                  </w:tabs>
                  <w:snapToGrid w:val="0"/>
                  <w:jc w:val="right"/>
                  <w:rPr>
                    <w:szCs w:val="21"/>
                  </w:rPr>
                </w:pPr>
                <w:r>
                  <w:rPr>
                    <w:szCs w:val="21"/>
                  </w:rPr>
                  <w:t>1,136,751,422.09</w:t>
                </w:r>
              </w:p>
            </w:tc>
            <w:tc>
              <w:tcPr>
                <w:tcW w:w="472" w:type="pct"/>
                <w:shd w:val="clear" w:color="000000" w:fill="auto"/>
                <w:vAlign w:val="center"/>
              </w:tcPr>
              <w:p>
                <w:pPr>
                  <w:widowControl w:val="0"/>
                  <w:tabs>
                    <w:tab w:val="left" w:pos="196"/>
                    <w:tab w:val="left" w:pos="426"/>
                  </w:tabs>
                  <w:snapToGrid w:val="0"/>
                  <w:jc w:val="right"/>
                  <w:rPr>
                    <w:szCs w:val="21"/>
                  </w:rPr>
                </w:pPr>
                <w:r>
                  <w:rPr>
                    <w:szCs w:val="21"/>
                  </w:rPr>
                  <w:t>86.29</w:t>
                </w:r>
              </w:p>
            </w:tc>
            <w:tc>
              <w:tcPr>
                <w:tcW w:w="940" w:type="pct"/>
                <w:shd w:val="clear" w:color="000000" w:fill="auto"/>
                <w:vAlign w:val="center"/>
              </w:tcPr>
              <w:p>
                <w:pPr>
                  <w:widowControl w:val="0"/>
                  <w:tabs>
                    <w:tab w:val="left" w:pos="196"/>
                    <w:tab w:val="left" w:pos="426"/>
                  </w:tabs>
                  <w:snapToGrid w:val="0"/>
                  <w:jc w:val="right"/>
                  <w:rPr>
                    <w:szCs w:val="21"/>
                  </w:rPr>
                </w:pPr>
                <w:r>
                  <w:rPr>
                    <w:szCs w:val="21"/>
                  </w:rPr>
                  <w:t>271,975,789.01</w:t>
                </w:r>
              </w:p>
            </w:tc>
            <w:tc>
              <w:tcPr>
                <w:tcW w:w="413" w:type="pct"/>
                <w:shd w:val="clear" w:color="000000" w:fill="auto"/>
                <w:vAlign w:val="center"/>
              </w:tcPr>
              <w:p>
                <w:pPr>
                  <w:widowControl w:val="0"/>
                  <w:tabs>
                    <w:tab w:val="left" w:pos="196"/>
                    <w:tab w:val="left" w:pos="426"/>
                  </w:tabs>
                  <w:snapToGrid w:val="0"/>
                  <w:jc w:val="right"/>
                  <w:rPr>
                    <w:szCs w:val="21"/>
                  </w:rPr>
                </w:pPr>
                <w:r>
                  <w:rPr>
                    <w:szCs w:val="21"/>
                  </w:rPr>
                  <w:t>23.93</w:t>
                </w:r>
              </w:p>
            </w:tc>
            <w:tc>
              <w:tcPr>
                <w:tcW w:w="1066" w:type="pct"/>
                <w:shd w:val="clear" w:color="000000" w:fill="auto"/>
                <w:vAlign w:val="center"/>
              </w:tcPr>
              <w:p>
                <w:pPr>
                  <w:widowControl w:val="0"/>
                  <w:tabs>
                    <w:tab w:val="left" w:pos="196"/>
                    <w:tab w:val="left" w:pos="426"/>
                  </w:tabs>
                  <w:snapToGrid w:val="0"/>
                  <w:jc w:val="right"/>
                  <w:rPr>
                    <w:szCs w:val="21"/>
                  </w:rPr>
                </w:pPr>
                <w:r>
                  <w:rPr>
                    <w:szCs w:val="21"/>
                  </w:rPr>
                  <w:t>864,775,633.08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052" w:type="pct"/>
                <w:shd w:val="clear" w:color="000000" w:fill="auto"/>
                <w:vAlign w:val="center"/>
              </w:tcPr>
              <w:p>
                <w:pPr>
                  <w:widowControl w:val="0"/>
                  <w:tabs>
                    <w:tab w:val="left" w:pos="196"/>
                    <w:tab w:val="left" w:pos="426"/>
                  </w:tabs>
                  <w:snapToGrid w:val="0"/>
                  <w:rPr>
                    <w:szCs w:val="21"/>
                  </w:rPr>
                </w:pPr>
                <w:r>
                  <w:rPr>
                    <w:szCs w:val="21"/>
                  </w:rPr>
                  <w:t>按组合计提预期信用损失的其他应收款</w:t>
                </w:r>
              </w:p>
            </w:tc>
            <w:tc>
              <w:tcPr>
                <w:tcW w:w="1057" w:type="pct"/>
                <w:shd w:val="clear" w:color="000000" w:fill="auto"/>
                <w:vAlign w:val="center"/>
              </w:tcPr>
              <w:p>
                <w:pPr>
                  <w:widowControl w:val="0"/>
                  <w:tabs>
                    <w:tab w:val="left" w:pos="196"/>
                    <w:tab w:val="left" w:pos="426"/>
                  </w:tabs>
                  <w:snapToGrid w:val="0"/>
                  <w:jc w:val="right"/>
                  <w:rPr>
                    <w:szCs w:val="21"/>
                  </w:rPr>
                </w:pPr>
                <w:r>
                  <w:rPr>
                    <w:szCs w:val="21"/>
                  </w:rPr>
                  <w:t>180,592,404.2</w:t>
                </w:r>
                <w:r>
                  <w:rPr>
                    <w:rFonts w:hint="eastAsia"/>
                    <w:szCs w:val="21"/>
                  </w:rPr>
                  <w:t>2</w:t>
                </w:r>
              </w:p>
            </w:tc>
            <w:tc>
              <w:tcPr>
                <w:tcW w:w="472" w:type="pct"/>
                <w:shd w:val="clear" w:color="000000" w:fill="auto"/>
                <w:vAlign w:val="center"/>
              </w:tcPr>
              <w:p>
                <w:pPr>
                  <w:widowControl w:val="0"/>
                  <w:tabs>
                    <w:tab w:val="left" w:pos="196"/>
                    <w:tab w:val="left" w:pos="426"/>
                  </w:tabs>
                  <w:snapToGrid w:val="0"/>
                  <w:jc w:val="right"/>
                  <w:rPr>
                    <w:szCs w:val="21"/>
                  </w:rPr>
                </w:pPr>
                <w:r>
                  <w:rPr>
                    <w:szCs w:val="21"/>
                  </w:rPr>
                  <w:t>13.71</w:t>
                </w:r>
              </w:p>
            </w:tc>
            <w:tc>
              <w:tcPr>
                <w:tcW w:w="940" w:type="pct"/>
                <w:shd w:val="clear" w:color="000000" w:fill="auto"/>
                <w:vAlign w:val="center"/>
              </w:tcPr>
              <w:p>
                <w:pPr>
                  <w:widowControl w:val="0"/>
                  <w:tabs>
                    <w:tab w:val="left" w:pos="196"/>
                    <w:tab w:val="left" w:pos="426"/>
                  </w:tabs>
                  <w:snapToGrid w:val="0"/>
                  <w:jc w:val="right"/>
                  <w:rPr>
                    <w:szCs w:val="21"/>
                  </w:rPr>
                </w:pPr>
                <w:r>
                  <w:rPr>
                    <w:szCs w:val="21"/>
                  </w:rPr>
                  <w:t>34,681,187.75</w:t>
                </w:r>
              </w:p>
            </w:tc>
            <w:tc>
              <w:tcPr>
                <w:tcW w:w="413" w:type="pct"/>
                <w:shd w:val="clear" w:color="000000" w:fill="auto"/>
                <w:vAlign w:val="center"/>
              </w:tcPr>
              <w:p>
                <w:pPr>
                  <w:widowControl w:val="0"/>
                  <w:tabs>
                    <w:tab w:val="left" w:pos="196"/>
                    <w:tab w:val="left" w:pos="426"/>
                  </w:tabs>
                  <w:snapToGrid w:val="0"/>
                  <w:jc w:val="right"/>
                  <w:rPr>
                    <w:szCs w:val="21"/>
                  </w:rPr>
                </w:pPr>
                <w:r>
                  <w:rPr>
                    <w:szCs w:val="21"/>
                  </w:rPr>
                  <w:t>19.20</w:t>
                </w:r>
              </w:p>
            </w:tc>
            <w:tc>
              <w:tcPr>
                <w:tcW w:w="1066" w:type="pct"/>
                <w:shd w:val="clear" w:color="000000" w:fill="auto"/>
                <w:vAlign w:val="center"/>
              </w:tcPr>
              <w:p>
                <w:pPr>
                  <w:widowControl w:val="0"/>
                  <w:tabs>
                    <w:tab w:val="left" w:pos="196"/>
                    <w:tab w:val="left" w:pos="426"/>
                  </w:tabs>
                  <w:snapToGrid w:val="0"/>
                  <w:jc w:val="right"/>
                  <w:rPr>
                    <w:szCs w:val="21"/>
                  </w:rPr>
                </w:pPr>
                <w:r>
                  <w:rPr>
                    <w:szCs w:val="21"/>
                  </w:rPr>
                  <w:t>145,911,216.4</w:t>
                </w:r>
                <w:r>
                  <w:rPr>
                    <w:rFonts w:hint="eastAsia"/>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052" w:type="pct"/>
                <w:shd w:val="clear" w:color="000000" w:fill="auto"/>
                <w:vAlign w:val="center"/>
              </w:tcPr>
              <w:p>
                <w:pPr>
                  <w:widowControl w:val="0"/>
                  <w:tabs>
                    <w:tab w:val="left" w:pos="196"/>
                    <w:tab w:val="left" w:pos="426"/>
                  </w:tabs>
                  <w:snapToGrid w:val="0"/>
                  <w:rPr>
                    <w:szCs w:val="21"/>
                  </w:rPr>
                </w:pPr>
                <w:r>
                  <w:rPr>
                    <w:szCs w:val="21"/>
                  </w:rPr>
                  <w:t>其中：低风险组合</w:t>
                </w:r>
              </w:p>
            </w:tc>
            <w:tc>
              <w:tcPr>
                <w:tcW w:w="1057" w:type="pct"/>
                <w:shd w:val="clear" w:color="000000" w:fill="auto"/>
                <w:vAlign w:val="center"/>
              </w:tcPr>
              <w:p>
                <w:pPr>
                  <w:widowControl w:val="0"/>
                  <w:tabs>
                    <w:tab w:val="left" w:pos="196"/>
                    <w:tab w:val="left" w:pos="426"/>
                  </w:tabs>
                  <w:snapToGrid w:val="0"/>
                  <w:jc w:val="right"/>
                  <w:rPr>
                    <w:szCs w:val="21"/>
                  </w:rPr>
                </w:pPr>
                <w:r>
                  <w:rPr>
                    <w:szCs w:val="21"/>
                  </w:rPr>
                  <w:t>29,462,074.53</w:t>
                </w:r>
              </w:p>
            </w:tc>
            <w:tc>
              <w:tcPr>
                <w:tcW w:w="472" w:type="pct"/>
                <w:shd w:val="clear" w:color="000000" w:fill="auto"/>
                <w:vAlign w:val="center"/>
              </w:tcPr>
              <w:p>
                <w:pPr>
                  <w:widowControl w:val="0"/>
                  <w:tabs>
                    <w:tab w:val="left" w:pos="196"/>
                    <w:tab w:val="left" w:pos="426"/>
                  </w:tabs>
                  <w:snapToGrid w:val="0"/>
                  <w:jc w:val="right"/>
                  <w:rPr>
                    <w:szCs w:val="21"/>
                  </w:rPr>
                </w:pPr>
                <w:r>
                  <w:rPr>
                    <w:szCs w:val="21"/>
                  </w:rPr>
                  <w:t>2.24</w:t>
                </w:r>
              </w:p>
            </w:tc>
            <w:tc>
              <w:tcPr>
                <w:tcW w:w="940" w:type="pct"/>
                <w:shd w:val="clear" w:color="000000" w:fill="auto"/>
                <w:vAlign w:val="center"/>
              </w:tcPr>
              <w:p>
                <w:pPr>
                  <w:widowControl w:val="0"/>
                  <w:tabs>
                    <w:tab w:val="left" w:pos="196"/>
                    <w:tab w:val="left" w:pos="426"/>
                  </w:tabs>
                  <w:snapToGrid w:val="0"/>
                  <w:jc w:val="right"/>
                  <w:rPr>
                    <w:szCs w:val="21"/>
                  </w:rPr>
                </w:pPr>
                <w:r>
                  <w:rPr>
                    <w:rFonts w:hint="eastAsia"/>
                    <w:szCs w:val="21"/>
                  </w:rPr>
                  <w:t>　</w:t>
                </w:r>
              </w:p>
            </w:tc>
            <w:tc>
              <w:tcPr>
                <w:tcW w:w="413" w:type="pct"/>
                <w:shd w:val="clear" w:color="000000" w:fill="auto"/>
                <w:vAlign w:val="center"/>
              </w:tcPr>
              <w:p>
                <w:pPr>
                  <w:widowControl w:val="0"/>
                  <w:tabs>
                    <w:tab w:val="left" w:pos="196"/>
                    <w:tab w:val="left" w:pos="426"/>
                  </w:tabs>
                  <w:snapToGrid w:val="0"/>
                  <w:jc w:val="right"/>
                  <w:rPr>
                    <w:szCs w:val="21"/>
                  </w:rPr>
                </w:pPr>
              </w:p>
            </w:tc>
            <w:tc>
              <w:tcPr>
                <w:tcW w:w="1066" w:type="pct"/>
                <w:shd w:val="clear" w:color="000000" w:fill="auto"/>
                <w:vAlign w:val="center"/>
              </w:tcPr>
              <w:p>
                <w:pPr>
                  <w:widowControl w:val="0"/>
                  <w:tabs>
                    <w:tab w:val="left" w:pos="196"/>
                    <w:tab w:val="left" w:pos="426"/>
                  </w:tabs>
                  <w:snapToGrid w:val="0"/>
                  <w:jc w:val="right"/>
                  <w:rPr>
                    <w:szCs w:val="21"/>
                  </w:rPr>
                </w:pPr>
                <w:r>
                  <w:rPr>
                    <w:szCs w:val="21"/>
                  </w:rPr>
                  <w:t>29,462,074.53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052" w:type="pct"/>
                <w:shd w:val="clear" w:color="000000" w:fill="auto"/>
                <w:vAlign w:val="center"/>
              </w:tcPr>
              <w:p>
                <w:pPr>
                  <w:widowControl w:val="0"/>
                  <w:tabs>
                    <w:tab w:val="left" w:pos="196"/>
                    <w:tab w:val="left" w:pos="426"/>
                  </w:tabs>
                  <w:snapToGrid w:val="0"/>
                  <w:rPr>
                    <w:szCs w:val="21"/>
                  </w:rPr>
                </w:pPr>
                <w:r>
                  <w:rPr>
                    <w:szCs w:val="21"/>
                  </w:rPr>
                  <w:t>账龄组合</w:t>
                </w:r>
              </w:p>
            </w:tc>
            <w:tc>
              <w:tcPr>
                <w:tcW w:w="1057" w:type="pct"/>
                <w:shd w:val="clear" w:color="000000" w:fill="auto"/>
                <w:vAlign w:val="center"/>
              </w:tcPr>
              <w:p>
                <w:pPr>
                  <w:widowControl w:val="0"/>
                  <w:tabs>
                    <w:tab w:val="left" w:pos="196"/>
                    <w:tab w:val="left" w:pos="426"/>
                  </w:tabs>
                  <w:snapToGrid w:val="0"/>
                  <w:jc w:val="right"/>
                  <w:rPr>
                    <w:szCs w:val="21"/>
                  </w:rPr>
                </w:pPr>
                <w:r>
                  <w:rPr>
                    <w:szCs w:val="21"/>
                  </w:rPr>
                  <w:t>151,130,329.6</w:t>
                </w:r>
                <w:r>
                  <w:rPr>
                    <w:rFonts w:hint="eastAsia"/>
                    <w:szCs w:val="21"/>
                  </w:rPr>
                  <w:t>9</w:t>
                </w:r>
              </w:p>
            </w:tc>
            <w:tc>
              <w:tcPr>
                <w:tcW w:w="472" w:type="pct"/>
                <w:shd w:val="clear" w:color="000000" w:fill="auto"/>
                <w:vAlign w:val="center"/>
              </w:tcPr>
              <w:p>
                <w:pPr>
                  <w:widowControl w:val="0"/>
                  <w:tabs>
                    <w:tab w:val="left" w:pos="196"/>
                    <w:tab w:val="left" w:pos="426"/>
                  </w:tabs>
                  <w:snapToGrid w:val="0"/>
                  <w:jc w:val="right"/>
                  <w:rPr>
                    <w:szCs w:val="21"/>
                  </w:rPr>
                </w:pPr>
                <w:r>
                  <w:rPr>
                    <w:szCs w:val="21"/>
                  </w:rPr>
                  <w:t>11.47</w:t>
                </w:r>
              </w:p>
            </w:tc>
            <w:tc>
              <w:tcPr>
                <w:tcW w:w="940" w:type="pct"/>
                <w:shd w:val="clear" w:color="000000" w:fill="auto"/>
                <w:vAlign w:val="center"/>
              </w:tcPr>
              <w:p>
                <w:pPr>
                  <w:widowControl w:val="0"/>
                  <w:tabs>
                    <w:tab w:val="left" w:pos="196"/>
                    <w:tab w:val="left" w:pos="426"/>
                  </w:tabs>
                  <w:snapToGrid w:val="0"/>
                  <w:jc w:val="right"/>
                  <w:rPr>
                    <w:szCs w:val="21"/>
                  </w:rPr>
                </w:pPr>
                <w:r>
                  <w:rPr>
                    <w:szCs w:val="21"/>
                  </w:rPr>
                  <w:t>34,681,187.75</w:t>
                </w:r>
              </w:p>
            </w:tc>
            <w:tc>
              <w:tcPr>
                <w:tcW w:w="413" w:type="pct"/>
                <w:shd w:val="clear" w:color="000000" w:fill="auto"/>
                <w:vAlign w:val="center"/>
              </w:tcPr>
              <w:p>
                <w:pPr>
                  <w:widowControl w:val="0"/>
                  <w:tabs>
                    <w:tab w:val="left" w:pos="196"/>
                    <w:tab w:val="left" w:pos="426"/>
                  </w:tabs>
                  <w:snapToGrid w:val="0"/>
                  <w:jc w:val="right"/>
                  <w:rPr>
                    <w:szCs w:val="21"/>
                  </w:rPr>
                </w:pPr>
                <w:r>
                  <w:rPr>
                    <w:szCs w:val="21"/>
                  </w:rPr>
                  <w:t>22.95</w:t>
                </w:r>
              </w:p>
            </w:tc>
            <w:tc>
              <w:tcPr>
                <w:tcW w:w="1066" w:type="pct"/>
                <w:shd w:val="clear" w:color="000000" w:fill="auto"/>
                <w:vAlign w:val="center"/>
              </w:tcPr>
              <w:p>
                <w:pPr>
                  <w:widowControl w:val="0"/>
                  <w:tabs>
                    <w:tab w:val="left" w:pos="196"/>
                    <w:tab w:val="left" w:pos="426"/>
                  </w:tabs>
                  <w:snapToGrid w:val="0"/>
                  <w:jc w:val="right"/>
                  <w:rPr>
                    <w:szCs w:val="21"/>
                  </w:rPr>
                </w:pPr>
                <w:r>
                  <w:rPr>
                    <w:szCs w:val="21"/>
                  </w:rPr>
                  <w:t>116,449,141.9</w:t>
                </w:r>
                <w:r>
                  <w:rPr>
                    <w:rFonts w:hint="eastAsia"/>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2" w:type="pct"/>
                <w:shd w:val="clear" w:color="000000" w:fill="auto"/>
                <w:vAlign w:val="center"/>
              </w:tcPr>
              <w:p>
                <w:pPr>
                  <w:widowControl w:val="0"/>
                  <w:tabs>
                    <w:tab w:val="left" w:pos="196"/>
                    <w:tab w:val="left" w:pos="426"/>
                  </w:tabs>
                  <w:snapToGrid w:val="0"/>
                  <w:jc w:val="center"/>
                  <w:rPr>
                    <w:szCs w:val="21"/>
                  </w:rPr>
                </w:pPr>
                <w:r>
                  <w:rPr>
                    <w:szCs w:val="21"/>
                  </w:rPr>
                  <w:t>合计</w:t>
                </w:r>
              </w:p>
            </w:tc>
            <w:tc>
              <w:tcPr>
                <w:tcW w:w="1057" w:type="pct"/>
                <w:shd w:val="clear" w:color="000000" w:fill="auto"/>
                <w:vAlign w:val="center"/>
              </w:tcPr>
              <w:p>
                <w:pPr>
                  <w:widowControl w:val="0"/>
                  <w:tabs>
                    <w:tab w:val="left" w:pos="196"/>
                    <w:tab w:val="left" w:pos="426"/>
                  </w:tabs>
                  <w:snapToGrid w:val="0"/>
                  <w:jc w:val="right"/>
                  <w:rPr>
                    <w:szCs w:val="21"/>
                  </w:rPr>
                </w:pPr>
                <w:r>
                  <w:rPr>
                    <w:szCs w:val="21"/>
                  </w:rPr>
                  <w:t>1,317,343,826.31</w:t>
                </w:r>
              </w:p>
            </w:tc>
            <w:tc>
              <w:tcPr>
                <w:tcW w:w="472" w:type="pct"/>
                <w:shd w:val="clear" w:color="000000" w:fill="auto"/>
                <w:vAlign w:val="center"/>
              </w:tcPr>
              <w:p>
                <w:pPr>
                  <w:widowControl w:val="0"/>
                  <w:tabs>
                    <w:tab w:val="left" w:pos="196"/>
                    <w:tab w:val="left" w:pos="426"/>
                  </w:tabs>
                  <w:snapToGrid w:val="0"/>
                  <w:jc w:val="right"/>
                  <w:rPr>
                    <w:szCs w:val="21"/>
                  </w:rPr>
                </w:pPr>
                <w:r>
                  <w:rPr>
                    <w:szCs w:val="21"/>
                  </w:rPr>
                  <w:t>100.00</w:t>
                </w:r>
              </w:p>
            </w:tc>
            <w:tc>
              <w:tcPr>
                <w:tcW w:w="940" w:type="pct"/>
                <w:shd w:val="clear" w:color="000000" w:fill="auto"/>
                <w:vAlign w:val="center"/>
              </w:tcPr>
              <w:p>
                <w:pPr>
                  <w:widowControl w:val="0"/>
                  <w:tabs>
                    <w:tab w:val="left" w:pos="196"/>
                    <w:tab w:val="left" w:pos="426"/>
                  </w:tabs>
                  <w:snapToGrid w:val="0"/>
                  <w:jc w:val="right"/>
                  <w:rPr>
                    <w:szCs w:val="21"/>
                  </w:rPr>
                </w:pPr>
                <w:r>
                  <w:rPr>
                    <w:szCs w:val="21"/>
                  </w:rPr>
                  <w:t>306,656,976.76</w:t>
                </w:r>
              </w:p>
            </w:tc>
            <w:tc>
              <w:tcPr>
                <w:tcW w:w="413" w:type="pct"/>
                <w:shd w:val="clear" w:color="000000" w:fill="auto"/>
                <w:vAlign w:val="center"/>
              </w:tcPr>
              <w:p>
                <w:pPr>
                  <w:widowControl w:val="0"/>
                  <w:tabs>
                    <w:tab w:val="left" w:pos="196"/>
                    <w:tab w:val="left" w:pos="426"/>
                  </w:tabs>
                  <w:snapToGrid w:val="0"/>
                  <w:jc w:val="right"/>
                  <w:rPr>
                    <w:szCs w:val="21"/>
                  </w:rPr>
                </w:pPr>
                <w:r>
                  <w:rPr>
                    <w:rFonts w:hint="eastAsia"/>
                    <w:szCs w:val="21"/>
                  </w:rPr>
                  <w:t>23.28</w:t>
                </w:r>
              </w:p>
            </w:tc>
            <w:tc>
              <w:tcPr>
                <w:tcW w:w="1066" w:type="pct"/>
                <w:shd w:val="clear" w:color="000000" w:fill="auto"/>
                <w:vAlign w:val="center"/>
              </w:tcPr>
              <w:p>
                <w:pPr>
                  <w:widowControl w:val="0"/>
                  <w:tabs>
                    <w:tab w:val="left" w:pos="196"/>
                    <w:tab w:val="left" w:pos="426"/>
                  </w:tabs>
                  <w:snapToGrid w:val="0"/>
                  <w:jc w:val="right"/>
                  <w:rPr>
                    <w:szCs w:val="21"/>
                  </w:rPr>
                </w:pPr>
                <w:r>
                  <w:rPr>
                    <w:szCs w:val="21"/>
                  </w:rPr>
                  <w:t>1,010,686,849.55</w:t>
                </w:r>
              </w:p>
            </w:tc>
          </w:tr>
        </w:tbl>
        <w:p>
          <w:pPr>
            <w:rPr>
              <w:szCs w:val="21"/>
            </w:rPr>
          </w:pPr>
        </w:p>
        <w:p>
          <w:pPr>
            <w:pStyle w:val="281"/>
            <w:widowControl w:val="0"/>
            <w:tabs>
              <w:tab w:val="clear" w:pos="1273"/>
            </w:tabs>
            <w:spacing w:before="156" w:beforeLines="50" w:line="360" w:lineRule="auto"/>
            <w:ind w:left="0" w:leftChars="0" w:firstLine="0" w:firstLineChars="0"/>
            <w:outlineLvl w:val="3"/>
          </w:pPr>
          <w:r>
            <w:rPr>
              <w:rFonts w:hint="eastAsia"/>
            </w:rPr>
            <w:t>2）单项计提预期信用损失</w:t>
          </w:r>
          <w:r>
            <w:t>的</w:t>
          </w:r>
          <w:r>
            <w:rPr>
              <w:rFonts w:hint="eastAsia"/>
            </w:rPr>
            <w:t>其他应收款情况</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5"/>
            <w:gridCol w:w="1686"/>
            <w:gridCol w:w="1686"/>
            <w:gridCol w:w="881"/>
            <w:gridCol w:w="1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000" w:type="pct"/>
                <w:gridSpan w:val="5"/>
                <w:vAlign w:val="center"/>
              </w:tcPr>
              <w:p>
                <w:pPr>
                  <w:widowControl w:val="0"/>
                  <w:tabs>
                    <w:tab w:val="left" w:pos="196"/>
                    <w:tab w:val="left" w:pos="426"/>
                  </w:tabs>
                  <w:snapToGrid w:val="0"/>
                  <w:jc w:val="right"/>
                  <w:rPr>
                    <w:rFonts w:asciiTheme="minorEastAsia" w:hAnsiTheme="minorEastAsia" w:eastAsiaTheme="minorEastAsia"/>
                    <w:szCs w:val="21"/>
                  </w:rPr>
                </w:pPr>
                <w:r>
                  <w:rPr>
                    <w:rFonts w:hint="eastAsia" w:asciiTheme="minorEastAsia" w:hAnsiTheme="minorEastAsia" w:eastAsiaTheme="minorEastAsia"/>
                    <w:szCs w:val="21"/>
                  </w:rPr>
                  <w:t>单位：元币种：人民币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85" w:type="pct"/>
                <w:vMerge w:val="restar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单位名称</w:t>
                </w:r>
              </w:p>
            </w:tc>
            <w:tc>
              <w:tcPr>
                <w:tcW w:w="3515" w:type="pct"/>
                <w:gridSpan w:val="4"/>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485" w:type="pct"/>
                <w:vMerge w:val="continue"/>
                <w:vAlign w:val="center"/>
              </w:tcPr>
              <w:p>
                <w:pPr>
                  <w:widowControl w:val="0"/>
                  <w:tabs>
                    <w:tab w:val="left" w:pos="196"/>
                    <w:tab w:val="left" w:pos="426"/>
                  </w:tabs>
                  <w:snapToGrid w:val="0"/>
                  <w:jc w:val="center"/>
                  <w:rPr>
                    <w:rFonts w:asciiTheme="minorEastAsia" w:hAnsiTheme="minorEastAsia" w:eastAsiaTheme="minorEastAsia"/>
                    <w:szCs w:val="21"/>
                  </w:rPr>
                </w:pPr>
              </w:p>
            </w:tc>
            <w:tc>
              <w:tcPr>
                <w:tcW w:w="983"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账面余额</w:t>
                </w:r>
              </w:p>
            </w:tc>
            <w:tc>
              <w:tcPr>
                <w:tcW w:w="857"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坏账准备</w:t>
                </w:r>
              </w:p>
            </w:tc>
            <w:tc>
              <w:tcPr>
                <w:tcW w:w="562"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计提比例（%）</w:t>
                </w:r>
              </w:p>
            </w:tc>
            <w:tc>
              <w:tcPr>
                <w:tcW w:w="1113"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计提理由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新能源汽车补贴款</w:t>
                </w:r>
              </w:p>
            </w:tc>
            <w:tc>
              <w:tcPr>
                <w:tcW w:w="983"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422,794,062.40</w:t>
                </w:r>
              </w:p>
            </w:tc>
            <w:tc>
              <w:tcPr>
                <w:tcW w:w="857"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271,470,309.40</w:t>
                </w:r>
              </w:p>
            </w:tc>
            <w:tc>
              <w:tcPr>
                <w:tcW w:w="562"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64.21</w:t>
                </w:r>
              </w:p>
            </w:tc>
            <w:tc>
              <w:tcPr>
                <w:tcW w:w="1113" w:type="pct"/>
                <w:vAlign w:val="center"/>
              </w:tcPr>
              <w:p>
                <w:pPr>
                  <w:widowControl w:val="0"/>
                  <w:tabs>
                    <w:tab w:val="left" w:pos="196"/>
                    <w:tab w:val="left" w:pos="426"/>
                  </w:tabs>
                  <w:snapToGrid w:val="0"/>
                  <w:rPr>
                    <w:rFonts w:asciiTheme="minorEastAsia" w:hAnsiTheme="minorEastAsia" w:eastAsiaTheme="minorEastAsia"/>
                    <w:szCs w:val="21"/>
                  </w:rPr>
                </w:pPr>
                <w:r>
                  <w:rPr>
                    <w:rFonts w:hint="eastAsia" w:asciiTheme="minorEastAsia" w:hAnsiTheme="minorEastAsia" w:eastAsiaTheme="minorEastAsia"/>
                    <w:szCs w:val="21"/>
                  </w:rPr>
                  <w:t>计提部分预计不能收回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重庆上游镁业有限公司</w:t>
                </w:r>
              </w:p>
            </w:tc>
            <w:tc>
              <w:tcPr>
                <w:tcW w:w="983"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1,657,569.28</w:t>
                </w:r>
              </w:p>
            </w:tc>
            <w:tc>
              <w:tcPr>
                <w:tcW w:w="857"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1,657,569.28</w:t>
                </w:r>
              </w:p>
            </w:tc>
            <w:tc>
              <w:tcPr>
                <w:tcW w:w="562"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00.00</w:t>
                </w:r>
              </w:p>
            </w:tc>
            <w:tc>
              <w:tcPr>
                <w:tcW w:w="1113" w:type="pct"/>
                <w:vAlign w:val="center"/>
              </w:tcPr>
              <w:p>
                <w:pPr>
                  <w:widowControl w:val="0"/>
                  <w:tabs>
                    <w:tab w:val="left" w:pos="196"/>
                    <w:tab w:val="left" w:pos="426"/>
                  </w:tabs>
                  <w:snapToGrid w:val="0"/>
                  <w:rPr>
                    <w:rFonts w:asciiTheme="minorEastAsia" w:hAnsiTheme="minorEastAsia" w:eastAsiaTheme="minorEastAsia"/>
                    <w:szCs w:val="21"/>
                  </w:rPr>
                </w:pPr>
                <w:r>
                  <w:rPr>
                    <w:rFonts w:hint="eastAsia" w:asciiTheme="minorEastAsia" w:hAnsiTheme="minorEastAsia" w:eastAsiaTheme="minorEastAsia"/>
                    <w:szCs w:val="21"/>
                  </w:rPr>
                  <w:t>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其他</w:t>
                </w:r>
              </w:p>
            </w:tc>
            <w:tc>
              <w:tcPr>
                <w:tcW w:w="983"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968,318.32</w:t>
                </w:r>
              </w:p>
            </w:tc>
            <w:tc>
              <w:tcPr>
                <w:tcW w:w="857"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968,318.32</w:t>
                </w:r>
              </w:p>
            </w:tc>
            <w:tc>
              <w:tcPr>
                <w:tcW w:w="562"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1</w:t>
                </w:r>
                <w:r>
                  <w:rPr>
                    <w:rFonts w:asciiTheme="minorEastAsia" w:hAnsiTheme="minorEastAsia" w:eastAsiaTheme="minorEastAsia"/>
                    <w:szCs w:val="21"/>
                  </w:rPr>
                  <w:t>00.00</w:t>
                </w:r>
              </w:p>
            </w:tc>
            <w:tc>
              <w:tcPr>
                <w:tcW w:w="1113" w:type="pct"/>
                <w:vAlign w:val="center"/>
              </w:tcPr>
              <w:p>
                <w:pPr>
                  <w:widowControl w:val="0"/>
                  <w:tabs>
                    <w:tab w:val="left" w:pos="196"/>
                    <w:tab w:val="left" w:pos="426"/>
                  </w:tabs>
                  <w:snapToGrid w:val="0"/>
                  <w:rPr>
                    <w:rFonts w:asciiTheme="minorEastAsia" w:hAnsiTheme="minorEastAsia" w:eastAsiaTheme="minorEastAsia"/>
                    <w:szCs w:val="21"/>
                  </w:rPr>
                </w:pPr>
                <w:r>
                  <w:rPr>
                    <w:rFonts w:hint="eastAsia" w:asciiTheme="minorEastAsia" w:hAnsiTheme="minorEastAsia" w:eastAsiaTheme="minorEastAsia"/>
                    <w:szCs w:val="21"/>
                  </w:rPr>
                  <w:t>无法收回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85"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983"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425,419,950.00</w:t>
                </w:r>
              </w:p>
            </w:tc>
            <w:tc>
              <w:tcPr>
                <w:tcW w:w="857" w:type="pct"/>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274,096,197.00</w:t>
                </w:r>
              </w:p>
            </w:tc>
            <w:tc>
              <w:tcPr>
                <w:tcW w:w="562" w:type="pct"/>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64.43</w:t>
                </w:r>
              </w:p>
            </w:tc>
            <w:tc>
              <w:tcPr>
                <w:tcW w:w="1113" w:type="pct"/>
                <w:vAlign w:val="center"/>
              </w:tcPr>
              <w:p>
                <w:pPr>
                  <w:widowControl w:val="0"/>
                  <w:tabs>
                    <w:tab w:val="left" w:pos="196"/>
                    <w:tab w:val="left" w:pos="426"/>
                  </w:tabs>
                  <w:snapToGrid w:val="0"/>
                  <w:rPr>
                    <w:rFonts w:asciiTheme="minorEastAsia" w:hAnsiTheme="minorEastAsia" w:eastAsiaTheme="minorEastAsia"/>
                    <w:szCs w:val="21"/>
                  </w:rPr>
                </w:pPr>
              </w:p>
            </w:tc>
          </w:tr>
        </w:tbl>
        <w:p>
          <w:pPr>
            <w:rPr>
              <w:szCs w:val="21"/>
            </w:rPr>
          </w:pPr>
        </w:p>
        <w:p>
          <w:pPr>
            <w:pStyle w:val="281"/>
            <w:widowControl w:val="0"/>
            <w:numPr>
              <w:ilvl w:val="0"/>
              <w:numId w:val="82"/>
            </w:numPr>
            <w:tabs>
              <w:tab w:val="clear" w:pos="1273"/>
            </w:tabs>
            <w:spacing w:before="156" w:beforeLines="50" w:line="360" w:lineRule="auto"/>
            <w:ind w:leftChars="0" w:firstLineChars="0"/>
            <w:outlineLvl w:val="3"/>
          </w:pPr>
          <w:r>
            <w:rPr>
              <w:rFonts w:hint="eastAsia"/>
            </w:rPr>
            <w:t>按组合计提预期信用损失的其他应收款</w:t>
          </w:r>
        </w:p>
        <w:p>
          <w:pPr>
            <w:pStyle w:val="284"/>
            <w:widowControl w:val="0"/>
            <w:tabs>
              <w:tab w:val="left" w:pos="196"/>
              <w:tab w:val="left" w:pos="426"/>
            </w:tabs>
            <w:spacing w:line="360" w:lineRule="auto"/>
            <w:ind w:left="0" w:leftChars="0"/>
            <w:rPr>
              <w:b/>
            </w:rPr>
          </w:pPr>
          <w:r>
            <w:rPr>
              <w:rFonts w:hint="eastAsia"/>
              <w:b/>
            </w:rPr>
            <w:t>a.账龄组合</w:t>
          </w:r>
        </w:p>
        <w:p>
          <w:pPr>
            <w:pStyle w:val="284"/>
            <w:widowControl w:val="0"/>
            <w:tabs>
              <w:tab w:val="left" w:pos="196"/>
              <w:tab w:val="left" w:pos="426"/>
            </w:tabs>
            <w:spacing w:line="360" w:lineRule="auto"/>
            <w:ind w:left="360" w:leftChars="0"/>
            <w:jc w:val="right"/>
          </w:pPr>
          <w:r>
            <w:rPr>
              <w:rFonts w:hint="eastAsia"/>
            </w:rPr>
            <w:t>单位：元  币种：人民币</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2558"/>
            <w:gridCol w:w="1990"/>
            <w:gridCol w:w="1990"/>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restart"/>
                <w:shd w:val="clear" w:color="000000" w:fill="auto"/>
                <w:vAlign w:val="center"/>
              </w:tcPr>
              <w:p>
                <w:pPr>
                  <w:widowControl w:val="0"/>
                  <w:tabs>
                    <w:tab w:val="left" w:pos="196"/>
                    <w:tab w:val="left" w:pos="426"/>
                  </w:tabs>
                  <w:snapToGrid w:val="0"/>
                  <w:jc w:val="center"/>
                  <w:rPr>
                    <w:szCs w:val="21"/>
                  </w:rPr>
                </w:pPr>
                <w:r>
                  <w:rPr>
                    <w:szCs w:val="21"/>
                  </w:rPr>
                  <w:t>账龄</w:t>
                </w:r>
              </w:p>
            </w:tc>
            <w:tc>
              <w:tcPr>
                <w:tcW w:w="3500" w:type="pct"/>
                <w:gridSpan w:val="3"/>
                <w:shd w:val="clear" w:color="000000" w:fill="auto"/>
                <w:vAlign w:val="center"/>
              </w:tcPr>
              <w:p>
                <w:pPr>
                  <w:widowControl w:val="0"/>
                  <w:tabs>
                    <w:tab w:val="left" w:pos="196"/>
                    <w:tab w:val="left" w:pos="426"/>
                  </w:tabs>
                  <w:snapToGrid w:val="0"/>
                  <w:jc w:val="center"/>
                  <w:rPr>
                    <w:szCs w:val="21"/>
                  </w:rPr>
                </w:pPr>
                <w:r>
                  <w:rPr>
                    <w:rFonts w:hint="eastAsia"/>
                    <w:szCs w:val="21"/>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continue"/>
                <w:shd w:val="clear" w:color="000000" w:fill="auto"/>
                <w:vAlign w:val="center"/>
              </w:tcPr>
              <w:p>
                <w:pPr>
                  <w:widowControl w:val="0"/>
                  <w:tabs>
                    <w:tab w:val="left" w:pos="196"/>
                    <w:tab w:val="left" w:pos="426"/>
                  </w:tabs>
                  <w:snapToGrid w:val="0"/>
                  <w:rPr>
                    <w:szCs w:val="21"/>
                  </w:rPr>
                </w:pPr>
              </w:p>
            </w:tc>
            <w:tc>
              <w:tcPr>
                <w:tcW w:w="1167" w:type="pct"/>
                <w:shd w:val="clear" w:color="000000" w:fill="auto"/>
                <w:vAlign w:val="center"/>
              </w:tcPr>
              <w:p>
                <w:pPr>
                  <w:widowControl w:val="0"/>
                  <w:tabs>
                    <w:tab w:val="left" w:pos="196"/>
                    <w:tab w:val="left" w:pos="426"/>
                  </w:tabs>
                  <w:snapToGrid w:val="0"/>
                  <w:jc w:val="center"/>
                  <w:rPr>
                    <w:szCs w:val="21"/>
                  </w:rPr>
                </w:pPr>
                <w:r>
                  <w:rPr>
                    <w:rFonts w:hint="eastAsia"/>
                    <w:szCs w:val="21"/>
                  </w:rPr>
                  <w:t>账面余额</w:t>
                </w:r>
              </w:p>
            </w:tc>
            <w:tc>
              <w:tcPr>
                <w:tcW w:w="1167" w:type="pct"/>
                <w:shd w:val="clear" w:color="000000" w:fill="auto"/>
                <w:vAlign w:val="center"/>
              </w:tcPr>
              <w:p>
                <w:pPr>
                  <w:widowControl w:val="0"/>
                  <w:tabs>
                    <w:tab w:val="left" w:pos="196"/>
                    <w:tab w:val="left" w:pos="426"/>
                  </w:tabs>
                  <w:snapToGrid w:val="0"/>
                  <w:ind w:left="-63" w:leftChars="-30" w:right="-63" w:rightChars="-30"/>
                  <w:jc w:val="center"/>
                  <w:rPr>
                    <w:szCs w:val="21"/>
                  </w:rPr>
                </w:pPr>
                <w:r>
                  <w:rPr>
                    <w:szCs w:val="21"/>
                  </w:rPr>
                  <w:t>坏账准备</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计提比例（%）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0－6个月</w:t>
                </w:r>
              </w:p>
            </w:tc>
            <w:tc>
              <w:tcPr>
                <w:tcW w:w="1167" w:type="pct"/>
                <w:shd w:val="clear" w:color="000000" w:fill="auto"/>
                <w:vAlign w:val="center"/>
              </w:tcPr>
              <w:p>
                <w:pPr>
                  <w:widowControl w:val="0"/>
                  <w:tabs>
                    <w:tab w:val="left" w:pos="196"/>
                    <w:tab w:val="left" w:pos="426"/>
                  </w:tabs>
                  <w:snapToGrid w:val="0"/>
                  <w:jc w:val="right"/>
                  <w:rPr>
                    <w:szCs w:val="21"/>
                  </w:rPr>
                </w:pPr>
                <w:r>
                  <w:rPr>
                    <w:szCs w:val="21"/>
                  </w:rPr>
                  <w:t>91,702,684.91</w:t>
                </w:r>
              </w:p>
            </w:tc>
            <w:tc>
              <w:tcPr>
                <w:tcW w:w="1167" w:type="pct"/>
                <w:shd w:val="clear" w:color="000000" w:fill="auto"/>
                <w:vAlign w:val="center"/>
              </w:tcPr>
              <w:p>
                <w:pPr>
                  <w:widowControl w:val="0"/>
                  <w:tabs>
                    <w:tab w:val="left" w:pos="196"/>
                    <w:tab w:val="left" w:pos="426"/>
                  </w:tabs>
                  <w:snapToGrid w:val="0"/>
                  <w:jc w:val="right"/>
                  <w:rPr>
                    <w:szCs w:val="21"/>
                  </w:rPr>
                </w:pPr>
              </w:p>
            </w:tc>
            <w:tc>
              <w:tcPr>
                <w:tcW w:w="1166" w:type="pct"/>
                <w:shd w:val="clear" w:color="000000" w:fill="auto"/>
                <w:vAlign w:val="center"/>
              </w:tcPr>
              <w:p>
                <w:pPr>
                  <w:widowControl w:val="0"/>
                  <w:tabs>
                    <w:tab w:val="left" w:pos="196"/>
                    <w:tab w:val="left" w:pos="426"/>
                  </w:tabs>
                  <w:snapToGrid w:val="0"/>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rFonts w:hint="eastAsia"/>
                    <w:szCs w:val="21"/>
                  </w:rPr>
                  <w:t>6</w:t>
                </w:r>
                <w:r>
                  <w:rPr>
                    <w:szCs w:val="21"/>
                  </w:rPr>
                  <w:t>－12个月</w:t>
                </w:r>
              </w:p>
            </w:tc>
            <w:tc>
              <w:tcPr>
                <w:tcW w:w="1167" w:type="pct"/>
                <w:shd w:val="clear" w:color="000000" w:fill="auto"/>
                <w:vAlign w:val="center"/>
              </w:tcPr>
              <w:p>
                <w:pPr>
                  <w:widowControl w:val="0"/>
                  <w:tabs>
                    <w:tab w:val="left" w:pos="196"/>
                    <w:tab w:val="left" w:pos="426"/>
                  </w:tabs>
                  <w:snapToGrid w:val="0"/>
                  <w:jc w:val="right"/>
                  <w:rPr>
                    <w:szCs w:val="21"/>
                  </w:rPr>
                </w:pPr>
                <w:r>
                  <w:rPr>
                    <w:szCs w:val="21"/>
                  </w:rPr>
                  <w:t>664,406.10</w:t>
                </w:r>
              </w:p>
            </w:tc>
            <w:tc>
              <w:tcPr>
                <w:tcW w:w="1167" w:type="pct"/>
                <w:shd w:val="clear" w:color="000000" w:fill="auto"/>
                <w:vAlign w:val="center"/>
              </w:tcPr>
              <w:p>
                <w:pPr>
                  <w:widowControl w:val="0"/>
                  <w:tabs>
                    <w:tab w:val="left" w:pos="196"/>
                    <w:tab w:val="left" w:pos="426"/>
                  </w:tabs>
                  <w:snapToGrid w:val="0"/>
                  <w:jc w:val="right"/>
                  <w:rPr>
                    <w:szCs w:val="21"/>
                  </w:rPr>
                </w:pPr>
                <w:r>
                  <w:rPr>
                    <w:szCs w:val="21"/>
                  </w:rPr>
                  <w:t>33,220.32</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1－2年</w:t>
                </w:r>
              </w:p>
            </w:tc>
            <w:tc>
              <w:tcPr>
                <w:tcW w:w="1167" w:type="pct"/>
                <w:shd w:val="clear" w:color="000000" w:fill="auto"/>
                <w:vAlign w:val="center"/>
              </w:tcPr>
              <w:p>
                <w:pPr>
                  <w:widowControl w:val="0"/>
                  <w:tabs>
                    <w:tab w:val="left" w:pos="196"/>
                    <w:tab w:val="left" w:pos="426"/>
                  </w:tabs>
                  <w:snapToGrid w:val="0"/>
                  <w:jc w:val="right"/>
                  <w:rPr>
                    <w:szCs w:val="21"/>
                  </w:rPr>
                </w:pPr>
                <w:r>
                  <w:rPr>
                    <w:szCs w:val="21"/>
                  </w:rPr>
                  <w:t>28,405,154.92</w:t>
                </w:r>
              </w:p>
            </w:tc>
            <w:tc>
              <w:tcPr>
                <w:tcW w:w="1167" w:type="pct"/>
                <w:shd w:val="clear" w:color="000000" w:fill="auto"/>
                <w:vAlign w:val="center"/>
              </w:tcPr>
              <w:p>
                <w:pPr>
                  <w:widowControl w:val="0"/>
                  <w:tabs>
                    <w:tab w:val="left" w:pos="196"/>
                    <w:tab w:val="left" w:pos="426"/>
                  </w:tabs>
                  <w:snapToGrid w:val="0"/>
                  <w:jc w:val="right"/>
                  <w:rPr>
                    <w:szCs w:val="21"/>
                  </w:rPr>
                </w:pPr>
                <w:r>
                  <w:rPr>
                    <w:szCs w:val="21"/>
                  </w:rPr>
                  <w:t>2,840,515.49</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2－3年</w:t>
                </w:r>
              </w:p>
            </w:tc>
            <w:tc>
              <w:tcPr>
                <w:tcW w:w="1167" w:type="pct"/>
                <w:shd w:val="clear" w:color="000000" w:fill="auto"/>
                <w:vAlign w:val="center"/>
              </w:tcPr>
              <w:p>
                <w:pPr>
                  <w:widowControl w:val="0"/>
                  <w:tabs>
                    <w:tab w:val="left" w:pos="196"/>
                    <w:tab w:val="left" w:pos="426"/>
                  </w:tabs>
                  <w:snapToGrid w:val="0"/>
                  <w:jc w:val="right"/>
                  <w:rPr>
                    <w:szCs w:val="21"/>
                  </w:rPr>
                </w:pPr>
                <w:r>
                  <w:rPr>
                    <w:szCs w:val="21"/>
                  </w:rPr>
                  <w:t>2,290,133.21</w:t>
                </w:r>
              </w:p>
            </w:tc>
            <w:tc>
              <w:tcPr>
                <w:tcW w:w="1167" w:type="pct"/>
                <w:shd w:val="clear" w:color="000000" w:fill="auto"/>
                <w:vAlign w:val="center"/>
              </w:tcPr>
              <w:p>
                <w:pPr>
                  <w:widowControl w:val="0"/>
                  <w:tabs>
                    <w:tab w:val="left" w:pos="196"/>
                    <w:tab w:val="left" w:pos="426"/>
                  </w:tabs>
                  <w:snapToGrid w:val="0"/>
                  <w:jc w:val="right"/>
                  <w:rPr>
                    <w:szCs w:val="21"/>
                  </w:rPr>
                </w:pPr>
                <w:r>
                  <w:rPr>
                    <w:szCs w:val="21"/>
                  </w:rPr>
                  <w:t>687,039.98</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3－4年</w:t>
                </w:r>
              </w:p>
            </w:tc>
            <w:tc>
              <w:tcPr>
                <w:tcW w:w="1167" w:type="pct"/>
                <w:shd w:val="clear" w:color="000000" w:fill="auto"/>
                <w:vAlign w:val="center"/>
              </w:tcPr>
              <w:p>
                <w:pPr>
                  <w:widowControl w:val="0"/>
                  <w:tabs>
                    <w:tab w:val="left" w:pos="196"/>
                    <w:tab w:val="left" w:pos="426"/>
                  </w:tabs>
                  <w:snapToGrid w:val="0"/>
                  <w:jc w:val="right"/>
                  <w:rPr>
                    <w:szCs w:val="21"/>
                  </w:rPr>
                </w:pPr>
                <w:r>
                  <w:rPr>
                    <w:szCs w:val="21"/>
                  </w:rPr>
                  <w:t>19,477,880.12</w:t>
                </w:r>
              </w:p>
            </w:tc>
            <w:tc>
              <w:tcPr>
                <w:tcW w:w="1167" w:type="pct"/>
                <w:shd w:val="clear" w:color="000000" w:fill="auto"/>
                <w:vAlign w:val="center"/>
              </w:tcPr>
              <w:p>
                <w:pPr>
                  <w:widowControl w:val="0"/>
                  <w:tabs>
                    <w:tab w:val="left" w:pos="196"/>
                    <w:tab w:val="left" w:pos="426"/>
                  </w:tabs>
                  <w:snapToGrid w:val="0"/>
                  <w:jc w:val="right"/>
                  <w:rPr>
                    <w:szCs w:val="21"/>
                  </w:rPr>
                </w:pPr>
                <w:r>
                  <w:rPr>
                    <w:szCs w:val="21"/>
                  </w:rPr>
                  <w:t>9,738,940.09</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4－5年</w:t>
                </w:r>
              </w:p>
            </w:tc>
            <w:tc>
              <w:tcPr>
                <w:tcW w:w="1167" w:type="pct"/>
                <w:shd w:val="clear" w:color="000000" w:fill="auto"/>
                <w:vAlign w:val="center"/>
              </w:tcPr>
              <w:p>
                <w:pPr>
                  <w:widowControl w:val="0"/>
                  <w:tabs>
                    <w:tab w:val="left" w:pos="196"/>
                    <w:tab w:val="left" w:pos="426"/>
                  </w:tabs>
                  <w:snapToGrid w:val="0"/>
                  <w:jc w:val="right"/>
                  <w:rPr>
                    <w:szCs w:val="21"/>
                  </w:rPr>
                </w:pPr>
                <w:r>
                  <w:rPr>
                    <w:szCs w:val="21"/>
                  </w:rPr>
                  <w:t>384,460.58</w:t>
                </w:r>
              </w:p>
            </w:tc>
            <w:tc>
              <w:tcPr>
                <w:tcW w:w="1167" w:type="pct"/>
                <w:shd w:val="clear" w:color="000000" w:fill="auto"/>
                <w:vAlign w:val="center"/>
              </w:tcPr>
              <w:p>
                <w:pPr>
                  <w:widowControl w:val="0"/>
                  <w:tabs>
                    <w:tab w:val="left" w:pos="196"/>
                    <w:tab w:val="left" w:pos="426"/>
                  </w:tabs>
                  <w:snapToGrid w:val="0"/>
                  <w:jc w:val="right"/>
                  <w:rPr>
                    <w:szCs w:val="21"/>
                  </w:rPr>
                </w:pPr>
                <w:r>
                  <w:rPr>
                    <w:szCs w:val="21"/>
                  </w:rPr>
                  <w:t>307,568.46</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5年以上</w:t>
                </w:r>
              </w:p>
            </w:tc>
            <w:tc>
              <w:tcPr>
                <w:tcW w:w="1167" w:type="pct"/>
                <w:shd w:val="clear" w:color="000000" w:fill="auto"/>
                <w:vAlign w:val="center"/>
              </w:tcPr>
              <w:p>
                <w:pPr>
                  <w:widowControl w:val="0"/>
                  <w:tabs>
                    <w:tab w:val="left" w:pos="196"/>
                    <w:tab w:val="left" w:pos="426"/>
                  </w:tabs>
                  <w:snapToGrid w:val="0"/>
                  <w:jc w:val="right"/>
                  <w:rPr>
                    <w:szCs w:val="21"/>
                  </w:rPr>
                </w:pPr>
                <w:r>
                  <w:rPr>
                    <w:szCs w:val="21"/>
                  </w:rPr>
                  <w:t>2,061,479.69</w:t>
                </w:r>
              </w:p>
            </w:tc>
            <w:tc>
              <w:tcPr>
                <w:tcW w:w="1167" w:type="pct"/>
                <w:shd w:val="clear" w:color="000000" w:fill="auto"/>
                <w:vAlign w:val="center"/>
              </w:tcPr>
              <w:p>
                <w:pPr>
                  <w:widowControl w:val="0"/>
                  <w:tabs>
                    <w:tab w:val="left" w:pos="196"/>
                    <w:tab w:val="left" w:pos="426"/>
                  </w:tabs>
                  <w:snapToGrid w:val="0"/>
                  <w:jc w:val="right"/>
                  <w:rPr>
                    <w:szCs w:val="21"/>
                  </w:rPr>
                </w:pPr>
                <w:r>
                  <w:rPr>
                    <w:szCs w:val="21"/>
                  </w:rPr>
                  <w:t>2,061,479.69</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合计</w:t>
                </w:r>
              </w:p>
            </w:tc>
            <w:tc>
              <w:tcPr>
                <w:tcW w:w="1167" w:type="pct"/>
                <w:shd w:val="clear" w:color="000000" w:fill="auto"/>
                <w:vAlign w:val="center"/>
              </w:tcPr>
              <w:p>
                <w:pPr>
                  <w:widowControl w:val="0"/>
                  <w:tabs>
                    <w:tab w:val="left" w:pos="196"/>
                    <w:tab w:val="left" w:pos="426"/>
                  </w:tabs>
                  <w:snapToGrid w:val="0"/>
                  <w:jc w:val="right"/>
                  <w:rPr>
                    <w:szCs w:val="21"/>
                  </w:rPr>
                </w:pPr>
                <w:r>
                  <w:rPr>
                    <w:szCs w:val="21"/>
                  </w:rPr>
                  <w:t>144,986,199.53</w:t>
                </w:r>
              </w:p>
            </w:tc>
            <w:tc>
              <w:tcPr>
                <w:tcW w:w="1167" w:type="pct"/>
                <w:shd w:val="clear" w:color="000000" w:fill="auto"/>
                <w:vAlign w:val="center"/>
              </w:tcPr>
              <w:p>
                <w:pPr>
                  <w:widowControl w:val="0"/>
                  <w:tabs>
                    <w:tab w:val="left" w:pos="196"/>
                    <w:tab w:val="left" w:pos="426"/>
                  </w:tabs>
                  <w:snapToGrid w:val="0"/>
                  <w:jc w:val="right"/>
                  <w:rPr>
                    <w:szCs w:val="21"/>
                  </w:rPr>
                </w:pPr>
                <w:r>
                  <w:rPr>
                    <w:szCs w:val="21"/>
                  </w:rPr>
                  <w:t>15,668,764.03</w:t>
                </w:r>
              </w:p>
            </w:tc>
            <w:tc>
              <w:tcPr>
                <w:tcW w:w="1166" w:type="pct"/>
                <w:shd w:val="clear" w:color="000000" w:fill="auto"/>
                <w:vAlign w:val="center"/>
              </w:tcPr>
              <w:p>
                <w:pPr>
                  <w:widowControl w:val="0"/>
                  <w:tabs>
                    <w:tab w:val="left" w:pos="196"/>
                    <w:tab w:val="left" w:pos="426"/>
                  </w:tabs>
                  <w:snapToGrid w:val="0"/>
                  <w:jc w:val="center"/>
                  <w:rPr>
                    <w:szCs w:val="21"/>
                  </w:rPr>
                </w:pPr>
                <w:r>
                  <w:rPr>
                    <w:szCs w:val="21"/>
                  </w:rPr>
                  <w:t>10.81</w:t>
                </w:r>
              </w:p>
            </w:tc>
          </w:tr>
        </w:tbl>
        <w:p>
          <w:pPr>
            <w:pStyle w:val="284"/>
            <w:widowControl w:val="0"/>
            <w:tabs>
              <w:tab w:val="left" w:pos="196"/>
              <w:tab w:val="left" w:pos="426"/>
            </w:tabs>
            <w:spacing w:before="156" w:beforeLines="50" w:line="360" w:lineRule="auto"/>
            <w:ind w:left="0" w:leftChars="0"/>
            <w:rPr>
              <w:b/>
            </w:rPr>
          </w:pPr>
          <w:r>
            <w:rPr>
              <w:rFonts w:hint="eastAsia"/>
              <w:b/>
            </w:rPr>
            <w:t>b.低风险组合</w:t>
          </w:r>
        </w:p>
        <w:p>
          <w:pPr>
            <w:pStyle w:val="284"/>
            <w:widowControl w:val="0"/>
            <w:tabs>
              <w:tab w:val="left" w:pos="196"/>
              <w:tab w:val="left" w:pos="426"/>
            </w:tabs>
            <w:spacing w:before="156" w:beforeLines="50" w:line="360" w:lineRule="auto"/>
            <w:ind w:left="0" w:leftChars="0"/>
            <w:jc w:val="right"/>
            <w:rPr>
              <w:b/>
            </w:rPr>
          </w:pPr>
          <w:r>
            <w:rPr>
              <w:rFonts w:hint="eastAsia"/>
            </w:rPr>
            <w:t>单位：元  币种：人民币</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2558"/>
            <w:gridCol w:w="1990"/>
            <w:gridCol w:w="1990"/>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restart"/>
                <w:shd w:val="clear" w:color="000000" w:fill="auto"/>
                <w:vAlign w:val="center"/>
              </w:tcPr>
              <w:p>
                <w:pPr>
                  <w:widowControl w:val="0"/>
                  <w:tabs>
                    <w:tab w:val="left" w:pos="196"/>
                    <w:tab w:val="left" w:pos="426"/>
                  </w:tabs>
                  <w:snapToGrid w:val="0"/>
                  <w:jc w:val="center"/>
                  <w:rPr>
                    <w:szCs w:val="21"/>
                  </w:rPr>
                </w:pPr>
                <w:r>
                  <w:rPr>
                    <w:rFonts w:hint="eastAsia"/>
                    <w:szCs w:val="21"/>
                  </w:rPr>
                  <w:t>组合名称</w:t>
                </w:r>
              </w:p>
            </w:tc>
            <w:tc>
              <w:tcPr>
                <w:tcW w:w="3500" w:type="pct"/>
                <w:gridSpan w:val="3"/>
                <w:shd w:val="clear" w:color="000000" w:fill="auto"/>
                <w:vAlign w:val="center"/>
              </w:tcPr>
              <w:p>
                <w:pPr>
                  <w:widowControl w:val="0"/>
                  <w:tabs>
                    <w:tab w:val="left" w:pos="196"/>
                    <w:tab w:val="left" w:pos="426"/>
                  </w:tabs>
                  <w:snapToGrid w:val="0"/>
                  <w:jc w:val="center"/>
                  <w:rPr>
                    <w:szCs w:val="21"/>
                  </w:rPr>
                </w:pPr>
                <w:r>
                  <w:rPr>
                    <w:rFonts w:hint="eastAsia"/>
                    <w:szCs w:val="21"/>
                  </w:rPr>
                  <w:t>期末余额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continue"/>
                <w:shd w:val="clear" w:color="000000" w:fill="auto"/>
                <w:vAlign w:val="center"/>
              </w:tcPr>
              <w:p>
                <w:pPr>
                  <w:widowControl w:val="0"/>
                  <w:tabs>
                    <w:tab w:val="left" w:pos="196"/>
                    <w:tab w:val="left" w:pos="426"/>
                  </w:tabs>
                  <w:snapToGrid w:val="0"/>
                  <w:rPr>
                    <w:szCs w:val="21"/>
                  </w:rPr>
                </w:pPr>
              </w:p>
            </w:tc>
            <w:tc>
              <w:tcPr>
                <w:tcW w:w="1167" w:type="pct"/>
                <w:shd w:val="clear" w:color="000000" w:fill="auto"/>
                <w:vAlign w:val="center"/>
              </w:tcPr>
              <w:p>
                <w:pPr>
                  <w:widowControl w:val="0"/>
                  <w:tabs>
                    <w:tab w:val="left" w:pos="196"/>
                    <w:tab w:val="left" w:pos="426"/>
                  </w:tabs>
                  <w:snapToGrid w:val="0"/>
                  <w:jc w:val="center"/>
                  <w:rPr>
                    <w:szCs w:val="21"/>
                  </w:rPr>
                </w:pPr>
                <w:r>
                  <w:rPr>
                    <w:rFonts w:hint="eastAsia"/>
                    <w:szCs w:val="21"/>
                  </w:rPr>
                  <w:t>账面余额</w:t>
                </w:r>
              </w:p>
            </w:tc>
            <w:tc>
              <w:tcPr>
                <w:tcW w:w="1167" w:type="pct"/>
                <w:shd w:val="clear" w:color="000000" w:fill="auto"/>
                <w:vAlign w:val="center"/>
              </w:tcPr>
              <w:p>
                <w:pPr>
                  <w:widowControl w:val="0"/>
                  <w:tabs>
                    <w:tab w:val="left" w:pos="196"/>
                    <w:tab w:val="left" w:pos="426"/>
                  </w:tabs>
                  <w:snapToGrid w:val="0"/>
                  <w:ind w:left="-63" w:leftChars="-30" w:right="-63" w:rightChars="-30"/>
                  <w:jc w:val="center"/>
                  <w:rPr>
                    <w:szCs w:val="21"/>
                  </w:rPr>
                </w:pPr>
                <w:r>
                  <w:rPr>
                    <w:szCs w:val="21"/>
                  </w:rPr>
                  <w:t>坏账准备</w:t>
                </w:r>
              </w:p>
            </w:tc>
            <w:tc>
              <w:tcPr>
                <w:tcW w:w="1167" w:type="pct"/>
                <w:shd w:val="clear" w:color="000000" w:fill="auto"/>
                <w:vAlign w:val="center"/>
              </w:tcPr>
              <w:p>
                <w:pPr>
                  <w:widowControl w:val="0"/>
                  <w:tabs>
                    <w:tab w:val="left" w:pos="196"/>
                    <w:tab w:val="left" w:pos="426"/>
                  </w:tabs>
                  <w:snapToGrid w:val="0"/>
                  <w:jc w:val="center"/>
                  <w:rPr>
                    <w:szCs w:val="21"/>
                  </w:rPr>
                </w:pPr>
                <w:r>
                  <w:rPr>
                    <w:szCs w:val="21"/>
                  </w:rPr>
                  <w:t>计提比例（%）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rFonts w:hint="eastAsia"/>
                    <w:szCs w:val="21"/>
                  </w:rPr>
                  <w:t>低风险组合</w:t>
                </w:r>
              </w:p>
            </w:tc>
            <w:tc>
              <w:tcPr>
                <w:tcW w:w="1167" w:type="pct"/>
                <w:shd w:val="clear" w:color="000000" w:fill="auto"/>
                <w:vAlign w:val="center"/>
              </w:tcPr>
              <w:p>
                <w:pPr>
                  <w:widowControl w:val="0"/>
                  <w:tabs>
                    <w:tab w:val="left" w:pos="196"/>
                    <w:tab w:val="left" w:pos="426"/>
                  </w:tabs>
                  <w:snapToGrid w:val="0"/>
                  <w:jc w:val="right"/>
                  <w:rPr>
                    <w:szCs w:val="21"/>
                  </w:rPr>
                </w:pPr>
                <w:r>
                  <w:rPr>
                    <w:szCs w:val="21"/>
                  </w:rPr>
                  <w:t>38,429,695.65</w:t>
                </w:r>
              </w:p>
            </w:tc>
            <w:tc>
              <w:tcPr>
                <w:tcW w:w="1167" w:type="pct"/>
                <w:shd w:val="clear" w:color="000000" w:fill="auto"/>
                <w:vAlign w:val="center"/>
              </w:tcPr>
              <w:p>
                <w:pPr>
                  <w:widowControl w:val="0"/>
                  <w:tabs>
                    <w:tab w:val="left" w:pos="196"/>
                    <w:tab w:val="left" w:pos="426"/>
                  </w:tabs>
                  <w:snapToGrid w:val="0"/>
                  <w:jc w:val="right"/>
                  <w:rPr>
                    <w:szCs w:val="21"/>
                  </w:rPr>
                </w:pPr>
              </w:p>
            </w:tc>
            <w:tc>
              <w:tcPr>
                <w:tcW w:w="1167" w:type="pct"/>
                <w:shd w:val="clear" w:color="000000" w:fill="auto"/>
                <w:vAlign w:val="center"/>
              </w:tcPr>
              <w:p>
                <w:pPr>
                  <w:widowControl w:val="0"/>
                  <w:tabs>
                    <w:tab w:val="left" w:pos="196"/>
                    <w:tab w:val="left" w:pos="426"/>
                  </w:tabs>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szCs w:val="21"/>
                  </w:rPr>
                </w:pPr>
                <w:r>
                  <w:rPr>
                    <w:szCs w:val="21"/>
                  </w:rPr>
                  <w:t>合计</w:t>
                </w:r>
              </w:p>
            </w:tc>
            <w:tc>
              <w:tcPr>
                <w:tcW w:w="1167" w:type="pct"/>
                <w:shd w:val="clear" w:color="000000" w:fill="auto"/>
                <w:vAlign w:val="center"/>
              </w:tcPr>
              <w:p>
                <w:pPr>
                  <w:widowControl w:val="0"/>
                  <w:tabs>
                    <w:tab w:val="left" w:pos="196"/>
                    <w:tab w:val="left" w:pos="426"/>
                  </w:tabs>
                  <w:snapToGrid w:val="0"/>
                  <w:jc w:val="right"/>
                  <w:rPr>
                    <w:szCs w:val="21"/>
                  </w:rPr>
                </w:pPr>
                <w:r>
                  <w:rPr>
                    <w:szCs w:val="21"/>
                  </w:rPr>
                  <w:t>38,429,695.65</w:t>
                </w:r>
              </w:p>
            </w:tc>
            <w:tc>
              <w:tcPr>
                <w:tcW w:w="1167" w:type="pct"/>
                <w:shd w:val="clear" w:color="000000" w:fill="auto"/>
                <w:vAlign w:val="center"/>
              </w:tcPr>
              <w:p>
                <w:pPr>
                  <w:widowControl w:val="0"/>
                  <w:tabs>
                    <w:tab w:val="left" w:pos="196"/>
                    <w:tab w:val="left" w:pos="426"/>
                  </w:tabs>
                  <w:snapToGrid w:val="0"/>
                  <w:jc w:val="right"/>
                  <w:rPr>
                    <w:szCs w:val="21"/>
                  </w:rPr>
                </w:pPr>
              </w:p>
            </w:tc>
            <w:tc>
              <w:tcPr>
                <w:tcW w:w="1167" w:type="pct"/>
                <w:shd w:val="clear" w:color="000000" w:fill="auto"/>
                <w:vAlign w:val="center"/>
              </w:tcPr>
              <w:p>
                <w:pPr>
                  <w:widowControl w:val="0"/>
                  <w:tabs>
                    <w:tab w:val="left" w:pos="196"/>
                    <w:tab w:val="left" w:pos="426"/>
                  </w:tabs>
                  <w:snapToGrid w:val="0"/>
                  <w:jc w:val="center"/>
                  <w:rPr>
                    <w:szCs w:val="21"/>
                  </w:rPr>
                </w:pPr>
              </w:p>
            </w:tc>
          </w:tr>
        </w:tbl>
        <w:p/>
        <w:p>
          <w:pPr>
            <w:pStyle w:val="250"/>
            <w:spacing w:line="360" w:lineRule="auto"/>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368753225"/>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pPr>
        </w:p>
      </w:sdtContent>
    </w:sdt>
    <w:bookmarkEnd w:id="157"/>
    <w:sdt>
      <w:sdtPr>
        <w:alias w:val="模块:本期坏账准备计提金额以及评估金融工具的信用风险是否显著增加的采用依据"/>
        <w:tag w:val="_SEC_45844149369c46558d6ab8922854ba5c"/>
        <w:id w:val="1901402250"/>
        <w:lock w:val="sdtLocked"/>
        <w:placeholder>
          <w:docPart w:val="GBC22222222222222222222222222222"/>
        </w:placeholder>
      </w:sdtPr>
      <w:sdtContent>
        <w:p>
          <w:pPr>
            <w:spacing w:line="360" w:lineRule="auto"/>
          </w:pPr>
          <w:bookmarkStart w:id="158" w:name="_Hlk534806817"/>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1631308018"/>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58"/>
    <w:sdt>
      <w:sdtPr>
        <w:rPr>
          <w:rFonts w:hint="eastAsia" w:ascii="宋体" w:hAnsi="宋体" w:eastAsia="宋体" w:cs="宋体"/>
          <w:b w:val="0"/>
          <w:bCs w:val="0"/>
          <w:kern w:val="0"/>
          <w:szCs w:val="24"/>
        </w:rPr>
        <w:alias w:val="模块:其他应收款坏账准备的情况"/>
        <w:tag w:val="_SEC_a0703d114f284b949a0f05190dd2265b"/>
        <w:id w:val="-121757752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1"/>
            </w:numPr>
            <w:ind w:left="426" w:hanging="426"/>
          </w:pPr>
          <w:bookmarkStart w:id="159" w:name="_Hlk532831394"/>
          <w:r>
            <w:rPr>
              <w:rFonts w:hint="eastAsia"/>
            </w:rPr>
            <w:t>坏账准备的情况</w:t>
          </w:r>
        </w:p>
        <w:sdt>
          <w:sdtPr>
            <w:alias w:val="是否适用：其他应收款坏账准备[双击切换]"/>
            <w:tag w:val="_GBC_524ff4c8c6e549ef8e2bf00ca72ddbb6"/>
            <w:id w:val="-156325005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ind w:left="1260"/>
            <w:jc w:val="right"/>
            <w:rPr>
              <w:szCs w:val="21"/>
            </w:rPr>
          </w:pPr>
          <w:r>
            <w:rPr>
              <w:rFonts w:hint="eastAsia"/>
              <w:szCs w:val="21"/>
            </w:rPr>
            <w:t>单位：</w:t>
          </w:r>
          <w:sdt>
            <w:sdtPr>
              <w:rPr>
                <w:rFonts w:hint="eastAsia"/>
                <w:szCs w:val="21"/>
              </w:rPr>
              <w:alias w:val="单位：其他应收款坏账准备"/>
              <w:tag w:val="_GBC_a1cc48852f8047719c9f4b9326a997e3"/>
              <w:id w:val="164624154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其他应收款坏账准备"/>
              <w:tag w:val="_GBC_cc05d2791f5f4983a0b6c04ec0989295"/>
              <w:id w:val="201394760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690" w:type="pct"/>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165"/>
            <w:gridCol w:w="1486"/>
            <w:gridCol w:w="1486"/>
            <w:gridCol w:w="1390"/>
            <w:gridCol w:w="1306"/>
            <w:gridCol w:w="1396"/>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26385dc5e422410c8676e4fee82120cb"/>
                <w:id w:val="-2042897155"/>
                <w:lock w:val="sdtLocked"/>
              </w:sdtPr>
              <w:sdtContent>
                <w:tc>
                  <w:tcPr>
                    <w:tcW w:w="600" w:type="pct"/>
                    <w:vMerge w:val="restart"/>
                    <w:shd w:val="clear" w:color="auto" w:fill="FFFFFF"/>
                    <w:vAlign w:val="center"/>
                  </w:tcPr>
                  <w:p>
                    <w:pPr>
                      <w:jc w:val="center"/>
                    </w:pPr>
                    <w:r>
                      <w:t>类别</w:t>
                    </w:r>
                  </w:p>
                </w:tc>
              </w:sdtContent>
            </w:sdt>
            <w:sdt>
              <w:sdtPr>
                <w:tag w:val="_PLD_325dd74545cb4f67921ea1cc7ed20a2b"/>
                <w:id w:val="864952916"/>
                <w:lock w:val="sdtLocked"/>
              </w:sdtPr>
              <w:sdtContent>
                <w:tc>
                  <w:tcPr>
                    <w:tcW w:w="765" w:type="pct"/>
                    <w:vMerge w:val="restart"/>
                    <w:shd w:val="clear" w:color="auto" w:fill="FFFFFF"/>
                    <w:vAlign w:val="center"/>
                  </w:tcPr>
                  <w:p>
                    <w:pPr>
                      <w:jc w:val="center"/>
                    </w:pPr>
                    <w:r>
                      <w:t>期初余额</w:t>
                    </w:r>
                  </w:p>
                </w:tc>
              </w:sdtContent>
            </w:sdt>
            <w:sdt>
              <w:sdtPr>
                <w:tag w:val="_PLD_d513696ccf0b46ccb4ea6d2ef23dbbd2"/>
                <w:id w:val="1061206660"/>
                <w:lock w:val="sdtLocked"/>
              </w:sdtPr>
              <w:sdtContent>
                <w:tc>
                  <w:tcPr>
                    <w:tcW w:w="2871" w:type="pct"/>
                    <w:gridSpan w:val="4"/>
                    <w:shd w:val="clear" w:color="auto" w:fill="FFFFFF"/>
                    <w:vAlign w:val="center"/>
                  </w:tcPr>
                  <w:p>
                    <w:pPr>
                      <w:jc w:val="center"/>
                    </w:pPr>
                    <w:r>
                      <w:rPr>
                        <w:rFonts w:hint="eastAsia"/>
                      </w:rPr>
                      <w:t>本期变动</w:t>
                    </w:r>
                    <w:r>
                      <w:t>金额</w:t>
                    </w:r>
                  </w:p>
                </w:tc>
              </w:sdtContent>
            </w:sdt>
            <w:sdt>
              <w:sdtPr>
                <w:tag w:val="_PLD_20b48d7d53584edf917ab5d4207d6a9c"/>
                <w:id w:val="-1304150838"/>
                <w:lock w:val="sdtLocked"/>
              </w:sdtPr>
              <w:sdtContent>
                <w:tc>
                  <w:tcPr>
                    <w:tcW w:w="765"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00" w:type="pct"/>
                <w:vMerge w:val="continue"/>
                <w:shd w:val="clear" w:color="auto" w:fill="FFFFFF"/>
              </w:tcPr>
              <w:p>
                <w:pPr>
                  <w:jc w:val="center"/>
                </w:pPr>
              </w:p>
            </w:tc>
            <w:tc>
              <w:tcPr>
                <w:tcW w:w="765" w:type="pct"/>
                <w:vMerge w:val="continue"/>
                <w:shd w:val="clear" w:color="auto" w:fill="FFFFFF"/>
              </w:tcPr>
              <w:p>
                <w:pPr>
                  <w:jc w:val="center"/>
                </w:pPr>
              </w:p>
            </w:tc>
            <w:sdt>
              <w:sdtPr>
                <w:tag w:val="_PLD_97824acb5c834e9fbe6cf8e4b6cac761"/>
                <w:id w:val="1668982199"/>
                <w:lock w:val="sdtLocked"/>
              </w:sdtPr>
              <w:sdtContent>
                <w:tc>
                  <w:tcPr>
                    <w:tcW w:w="765" w:type="pct"/>
                    <w:shd w:val="clear" w:color="auto" w:fill="FFFFFF"/>
                    <w:vAlign w:val="center"/>
                  </w:tcPr>
                  <w:p>
                    <w:pPr>
                      <w:jc w:val="center"/>
                    </w:pPr>
                    <w:r>
                      <w:t>计提</w:t>
                    </w:r>
                  </w:p>
                </w:tc>
              </w:sdtContent>
            </w:sdt>
            <w:sdt>
              <w:sdtPr>
                <w:tag w:val="_PLD_233002cee9bc4108842b58a08731b243"/>
                <w:id w:val="-1290897918"/>
                <w:lock w:val="sdtLocked"/>
              </w:sdtPr>
              <w:sdtContent>
                <w:tc>
                  <w:tcPr>
                    <w:tcW w:w="716" w:type="pct"/>
                    <w:shd w:val="clear" w:color="auto" w:fill="FFFFFF"/>
                    <w:vAlign w:val="center"/>
                  </w:tcPr>
                  <w:p>
                    <w:pPr>
                      <w:jc w:val="center"/>
                    </w:pPr>
                    <w:r>
                      <w:rPr>
                        <w:rFonts w:hint="eastAsia"/>
                      </w:rPr>
                      <w:t>收回或转回</w:t>
                    </w:r>
                  </w:p>
                </w:tc>
              </w:sdtContent>
            </w:sdt>
            <w:sdt>
              <w:sdtPr>
                <w:tag w:val="_PLD_6bcdf2328a584128aba90aa75e33c767"/>
                <w:id w:val="-1898348836"/>
                <w:lock w:val="sdtLocked"/>
              </w:sdtPr>
              <w:sdtContent>
                <w:tc>
                  <w:tcPr>
                    <w:tcW w:w="672" w:type="pct"/>
                    <w:shd w:val="clear" w:color="auto" w:fill="FFFFFF"/>
                    <w:vAlign w:val="center"/>
                  </w:tcPr>
                  <w:p>
                    <w:pPr>
                      <w:jc w:val="center"/>
                    </w:pPr>
                    <w:r>
                      <w:rPr>
                        <w:rFonts w:hint="eastAsia"/>
                      </w:rPr>
                      <w:t>转销或核销</w:t>
                    </w:r>
                  </w:p>
                </w:tc>
              </w:sdtContent>
            </w:sdt>
            <w:tc>
              <w:tcPr>
                <w:tcW w:w="718" w:type="pct"/>
                <w:shd w:val="clear" w:color="auto" w:fill="FFFFFF"/>
                <w:vAlign w:val="center"/>
              </w:tcPr>
              <w:sdt>
                <w:sdtPr>
                  <w:rPr>
                    <w:rFonts w:hint="eastAsia"/>
                  </w:rPr>
                  <w:tag w:val="_PLD_da684cd2e7cd4d42baf40bc9d95a0ce8"/>
                  <w:id w:val="737755060"/>
                  <w:lock w:val="sdtLocked"/>
                </w:sdtPr>
                <w:sdtEndPr>
                  <w:rPr>
                    <w:rFonts w:hint="eastAsia"/>
                  </w:rPr>
                </w:sdtEndPr>
                <w:sdtContent>
                  <w:p>
                    <w:pPr>
                      <w:jc w:val="center"/>
                    </w:pPr>
                    <w:r>
                      <w:rPr>
                        <w:rFonts w:hint="eastAsia"/>
                      </w:rPr>
                      <w:t>其他变动</w:t>
                    </w:r>
                  </w:p>
                </w:sdtContent>
              </w:sdt>
            </w:tc>
            <w:tc>
              <w:tcPr>
                <w:tcW w:w="765" w:type="pct"/>
                <w:vMerge w:val="continue"/>
                <w:shd w:val="clear" w:color="auto" w:fill="FFFFFF"/>
              </w:tcPr>
              <w:p>
                <w:pPr>
                  <w:jc w:val="right"/>
                </w:pPr>
              </w:p>
            </w:tc>
          </w:tr>
          <w:sdt>
            <w:sdtPr>
              <w:rPr>
                <w:sz w:val="18"/>
                <w:szCs w:val="18"/>
              </w:rPr>
              <w:alias w:val="其他应收款坏账准备明细"/>
              <w:tag w:val="_TUP_898ef92c5aee4c66a24cb0c6c9c83bec"/>
              <w:id w:val="-200642794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00" w:type="pct"/>
                    <w:shd w:val="clear" w:color="auto" w:fill="auto"/>
                  </w:tcPr>
                  <w:p>
                    <w:pPr>
                      <w:rPr>
                        <w:sz w:val="18"/>
                        <w:szCs w:val="18"/>
                      </w:rPr>
                    </w:pPr>
                    <w:r>
                      <w:rPr>
                        <w:sz w:val="18"/>
                        <w:szCs w:val="18"/>
                      </w:rPr>
                      <w:t>单项计提预期信用损失的其他应收款</w:t>
                    </w:r>
                  </w:p>
                </w:tc>
                <w:tc>
                  <w:tcPr>
                    <w:tcW w:w="765" w:type="pct"/>
                    <w:shd w:val="clear" w:color="auto" w:fill="auto"/>
                    <w:vAlign w:val="center"/>
                  </w:tcPr>
                  <w:p>
                    <w:pPr>
                      <w:jc w:val="right"/>
                      <w:rPr>
                        <w:sz w:val="18"/>
                        <w:szCs w:val="18"/>
                      </w:rPr>
                    </w:pPr>
                    <w:r>
                      <w:rPr>
                        <w:sz w:val="18"/>
                        <w:szCs w:val="18"/>
                      </w:rPr>
                      <w:t>271,975,789.01</w:t>
                    </w:r>
                  </w:p>
                </w:tc>
                <w:tc>
                  <w:tcPr>
                    <w:tcW w:w="765" w:type="pct"/>
                    <w:shd w:val="clear" w:color="auto" w:fill="auto"/>
                    <w:vAlign w:val="center"/>
                  </w:tcPr>
                  <w:p>
                    <w:pPr>
                      <w:jc w:val="right"/>
                      <w:rPr>
                        <w:sz w:val="18"/>
                        <w:szCs w:val="18"/>
                      </w:rPr>
                    </w:pPr>
                    <w:r>
                      <w:rPr>
                        <w:sz w:val="18"/>
                        <w:szCs w:val="18"/>
                      </w:rPr>
                      <w:t>4,890,805.25</w:t>
                    </w:r>
                  </w:p>
                </w:tc>
                <w:tc>
                  <w:tcPr>
                    <w:tcW w:w="716" w:type="pct"/>
                    <w:shd w:val="clear" w:color="auto" w:fill="auto"/>
                    <w:vAlign w:val="center"/>
                  </w:tcPr>
                  <w:p>
                    <w:pPr>
                      <w:jc w:val="right"/>
                      <w:rPr>
                        <w:sz w:val="18"/>
                        <w:szCs w:val="18"/>
                      </w:rPr>
                    </w:pPr>
                  </w:p>
                </w:tc>
                <w:tc>
                  <w:tcPr>
                    <w:tcW w:w="672" w:type="pct"/>
                    <w:vAlign w:val="center"/>
                  </w:tcPr>
                  <w:p>
                    <w:pPr>
                      <w:jc w:val="right"/>
                      <w:rPr>
                        <w:sz w:val="18"/>
                        <w:szCs w:val="18"/>
                      </w:rPr>
                    </w:pPr>
                    <w:r>
                      <w:rPr>
                        <w:sz w:val="18"/>
                        <w:szCs w:val="18"/>
                      </w:rPr>
                      <w:t>4,062,178.44</w:t>
                    </w:r>
                  </w:p>
                </w:tc>
                <w:tc>
                  <w:tcPr>
                    <w:tcW w:w="718" w:type="pct"/>
                    <w:vAlign w:val="center"/>
                  </w:tcPr>
                  <w:p>
                    <w:pPr>
                      <w:jc w:val="right"/>
                      <w:rPr>
                        <w:sz w:val="18"/>
                        <w:szCs w:val="18"/>
                      </w:rPr>
                    </w:pPr>
                    <w:r>
                      <w:rPr>
                        <w:rFonts w:hint="eastAsia"/>
                        <w:sz w:val="18"/>
                        <w:szCs w:val="18"/>
                      </w:rPr>
                      <w:t>-</w:t>
                    </w:r>
                    <w:r>
                      <w:rPr>
                        <w:sz w:val="18"/>
                        <w:szCs w:val="18"/>
                      </w:rPr>
                      <w:t>1,291,781.18</w:t>
                    </w:r>
                  </w:p>
                </w:tc>
                <w:tc>
                  <w:tcPr>
                    <w:tcW w:w="765" w:type="pct"/>
                    <w:shd w:val="clear" w:color="auto" w:fill="auto"/>
                    <w:vAlign w:val="center"/>
                  </w:tcPr>
                  <w:p>
                    <w:pPr>
                      <w:jc w:val="right"/>
                      <w:rPr>
                        <w:sz w:val="18"/>
                        <w:szCs w:val="18"/>
                      </w:rPr>
                    </w:pPr>
                    <w:r>
                      <w:rPr>
                        <w:sz w:val="18"/>
                        <w:szCs w:val="18"/>
                      </w:rPr>
                      <w:t>274,096,197</w:t>
                    </w:r>
                  </w:p>
                </w:tc>
              </w:tr>
            </w:sdtContent>
          </w:sdt>
          <w:sdt>
            <w:sdtPr>
              <w:rPr>
                <w:sz w:val="18"/>
                <w:szCs w:val="18"/>
              </w:rPr>
              <w:alias w:val="其他应收款坏账准备明细"/>
              <w:tag w:val="_TUP_898ef92c5aee4c66a24cb0c6c9c83bec"/>
              <w:id w:val="1908183770"/>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00" w:type="pct"/>
                    <w:shd w:val="clear" w:color="auto" w:fill="auto"/>
                  </w:tcPr>
                  <w:p>
                    <w:pPr>
                      <w:rPr>
                        <w:sz w:val="18"/>
                        <w:szCs w:val="18"/>
                      </w:rPr>
                    </w:pPr>
                    <w:r>
                      <w:rPr>
                        <w:sz w:val="18"/>
                        <w:szCs w:val="18"/>
                      </w:rPr>
                      <w:t>按组合计提预期信用损失的其他应收款</w:t>
                    </w:r>
                  </w:p>
                </w:tc>
                <w:tc>
                  <w:tcPr>
                    <w:tcW w:w="765" w:type="pct"/>
                    <w:shd w:val="clear" w:color="auto" w:fill="auto"/>
                    <w:vAlign w:val="center"/>
                  </w:tcPr>
                  <w:p>
                    <w:pPr>
                      <w:jc w:val="right"/>
                      <w:rPr>
                        <w:sz w:val="18"/>
                        <w:szCs w:val="18"/>
                      </w:rPr>
                    </w:pPr>
                  </w:p>
                </w:tc>
                <w:tc>
                  <w:tcPr>
                    <w:tcW w:w="765" w:type="pct"/>
                    <w:shd w:val="clear" w:color="auto" w:fill="auto"/>
                    <w:vAlign w:val="center"/>
                  </w:tcPr>
                  <w:p>
                    <w:pPr>
                      <w:jc w:val="right"/>
                      <w:rPr>
                        <w:sz w:val="18"/>
                        <w:szCs w:val="18"/>
                      </w:rPr>
                    </w:pPr>
                  </w:p>
                </w:tc>
                <w:tc>
                  <w:tcPr>
                    <w:tcW w:w="716" w:type="pct"/>
                    <w:shd w:val="clear" w:color="auto" w:fill="auto"/>
                    <w:vAlign w:val="center"/>
                  </w:tcPr>
                  <w:p>
                    <w:pPr>
                      <w:jc w:val="right"/>
                      <w:rPr>
                        <w:sz w:val="18"/>
                        <w:szCs w:val="18"/>
                      </w:rPr>
                    </w:pPr>
                  </w:p>
                </w:tc>
                <w:tc>
                  <w:tcPr>
                    <w:tcW w:w="672" w:type="pct"/>
                    <w:vAlign w:val="center"/>
                  </w:tcPr>
                  <w:p>
                    <w:pPr>
                      <w:jc w:val="right"/>
                      <w:rPr>
                        <w:sz w:val="18"/>
                        <w:szCs w:val="18"/>
                      </w:rPr>
                    </w:pPr>
                  </w:p>
                </w:tc>
                <w:tc>
                  <w:tcPr>
                    <w:tcW w:w="718" w:type="pct"/>
                    <w:vAlign w:val="center"/>
                  </w:tcPr>
                  <w:p>
                    <w:pPr>
                      <w:jc w:val="right"/>
                      <w:rPr>
                        <w:sz w:val="18"/>
                        <w:szCs w:val="18"/>
                      </w:rPr>
                    </w:pPr>
                  </w:p>
                </w:tc>
                <w:tc>
                  <w:tcPr>
                    <w:tcW w:w="765" w:type="pct"/>
                    <w:shd w:val="clear" w:color="auto" w:fill="auto"/>
                    <w:vAlign w:val="center"/>
                  </w:tcPr>
                  <w:p>
                    <w:pPr>
                      <w:jc w:val="right"/>
                      <w:rPr>
                        <w:sz w:val="18"/>
                        <w:szCs w:val="18"/>
                      </w:rPr>
                    </w:pPr>
                  </w:p>
                </w:tc>
              </w:tr>
            </w:sdtContent>
          </w:sdt>
          <w:sdt>
            <w:sdtPr>
              <w:rPr>
                <w:sz w:val="18"/>
                <w:szCs w:val="18"/>
              </w:rPr>
              <w:alias w:val="其他应收款坏账准备明细"/>
              <w:tag w:val="_TUP_898ef92c5aee4c66a24cb0c6c9c83bec"/>
              <w:id w:val="49222026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00" w:type="pct"/>
                    <w:shd w:val="clear" w:color="auto" w:fill="auto"/>
                  </w:tcPr>
                  <w:p>
                    <w:pPr>
                      <w:rPr>
                        <w:sz w:val="18"/>
                        <w:szCs w:val="18"/>
                      </w:rPr>
                    </w:pPr>
                    <w:r>
                      <w:rPr>
                        <w:sz w:val="18"/>
                        <w:szCs w:val="18"/>
                      </w:rPr>
                      <w:t>其中：低风险组合</w:t>
                    </w:r>
                  </w:p>
                </w:tc>
                <w:tc>
                  <w:tcPr>
                    <w:tcW w:w="765" w:type="pct"/>
                    <w:shd w:val="clear" w:color="auto" w:fill="auto"/>
                    <w:vAlign w:val="center"/>
                  </w:tcPr>
                  <w:p>
                    <w:pPr>
                      <w:jc w:val="right"/>
                      <w:rPr>
                        <w:sz w:val="18"/>
                        <w:szCs w:val="18"/>
                      </w:rPr>
                    </w:pPr>
                  </w:p>
                </w:tc>
                <w:tc>
                  <w:tcPr>
                    <w:tcW w:w="765" w:type="pct"/>
                    <w:shd w:val="clear" w:color="auto" w:fill="auto"/>
                    <w:vAlign w:val="center"/>
                  </w:tcPr>
                  <w:p>
                    <w:pPr>
                      <w:jc w:val="right"/>
                      <w:rPr>
                        <w:sz w:val="18"/>
                        <w:szCs w:val="18"/>
                      </w:rPr>
                    </w:pPr>
                  </w:p>
                </w:tc>
                <w:tc>
                  <w:tcPr>
                    <w:tcW w:w="716" w:type="pct"/>
                    <w:shd w:val="clear" w:color="auto" w:fill="auto"/>
                    <w:vAlign w:val="center"/>
                  </w:tcPr>
                  <w:p>
                    <w:pPr>
                      <w:jc w:val="right"/>
                      <w:rPr>
                        <w:sz w:val="18"/>
                        <w:szCs w:val="18"/>
                      </w:rPr>
                    </w:pPr>
                  </w:p>
                </w:tc>
                <w:tc>
                  <w:tcPr>
                    <w:tcW w:w="672" w:type="pct"/>
                    <w:vAlign w:val="center"/>
                  </w:tcPr>
                  <w:p>
                    <w:pPr>
                      <w:jc w:val="right"/>
                      <w:rPr>
                        <w:sz w:val="18"/>
                        <w:szCs w:val="18"/>
                      </w:rPr>
                    </w:pPr>
                  </w:p>
                </w:tc>
                <w:tc>
                  <w:tcPr>
                    <w:tcW w:w="718" w:type="pct"/>
                    <w:vAlign w:val="center"/>
                  </w:tcPr>
                  <w:p>
                    <w:pPr>
                      <w:jc w:val="right"/>
                      <w:rPr>
                        <w:sz w:val="18"/>
                        <w:szCs w:val="18"/>
                      </w:rPr>
                    </w:pPr>
                  </w:p>
                </w:tc>
                <w:tc>
                  <w:tcPr>
                    <w:tcW w:w="765" w:type="pct"/>
                    <w:shd w:val="clear" w:color="auto" w:fill="auto"/>
                    <w:vAlign w:val="center"/>
                  </w:tcPr>
                  <w:p>
                    <w:pPr>
                      <w:jc w:val="right"/>
                      <w:rPr>
                        <w:sz w:val="18"/>
                        <w:szCs w:val="18"/>
                      </w:rPr>
                    </w:pPr>
                  </w:p>
                </w:tc>
              </w:tr>
            </w:sdtContent>
          </w:sdt>
          <w:sdt>
            <w:sdtPr>
              <w:rPr>
                <w:sz w:val="18"/>
                <w:szCs w:val="18"/>
              </w:rPr>
              <w:alias w:val="其他应收款坏账准备明细"/>
              <w:tag w:val="_TUP_898ef92c5aee4c66a24cb0c6c9c83bec"/>
              <w:id w:val="120667234"/>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600" w:type="pct"/>
                    <w:shd w:val="clear" w:color="auto" w:fill="auto"/>
                  </w:tcPr>
                  <w:p>
                    <w:pPr>
                      <w:rPr>
                        <w:sz w:val="18"/>
                        <w:szCs w:val="18"/>
                      </w:rPr>
                    </w:pPr>
                    <w:r>
                      <w:rPr>
                        <w:rFonts w:hint="eastAsia"/>
                        <w:sz w:val="18"/>
                        <w:szCs w:val="18"/>
                      </w:rPr>
                      <w:t>其中：</w:t>
                    </w:r>
                    <w:r>
                      <w:rPr>
                        <w:sz w:val="18"/>
                        <w:szCs w:val="18"/>
                      </w:rPr>
                      <w:t>账龄组合</w:t>
                    </w:r>
                  </w:p>
                </w:tc>
                <w:tc>
                  <w:tcPr>
                    <w:tcW w:w="765" w:type="pct"/>
                    <w:shd w:val="clear" w:color="auto" w:fill="auto"/>
                    <w:vAlign w:val="center"/>
                  </w:tcPr>
                  <w:p>
                    <w:pPr>
                      <w:jc w:val="right"/>
                      <w:rPr>
                        <w:sz w:val="18"/>
                        <w:szCs w:val="18"/>
                      </w:rPr>
                    </w:pPr>
                    <w:r>
                      <w:rPr>
                        <w:sz w:val="18"/>
                        <w:szCs w:val="18"/>
                      </w:rPr>
                      <w:t>34,681,187.75</w:t>
                    </w:r>
                  </w:p>
                </w:tc>
                <w:tc>
                  <w:tcPr>
                    <w:tcW w:w="765" w:type="pct"/>
                    <w:shd w:val="clear" w:color="auto" w:fill="auto"/>
                    <w:vAlign w:val="center"/>
                  </w:tcPr>
                  <w:p>
                    <w:pPr>
                      <w:jc w:val="right"/>
                      <w:rPr>
                        <w:sz w:val="18"/>
                        <w:szCs w:val="18"/>
                      </w:rPr>
                    </w:pPr>
                    <w:r>
                      <w:rPr>
                        <w:sz w:val="18"/>
                        <w:szCs w:val="18"/>
                      </w:rPr>
                      <w:t>-17,803,783.63</w:t>
                    </w:r>
                  </w:p>
                </w:tc>
                <w:tc>
                  <w:tcPr>
                    <w:tcW w:w="716" w:type="pct"/>
                    <w:shd w:val="clear" w:color="auto" w:fill="auto"/>
                    <w:vAlign w:val="center"/>
                  </w:tcPr>
                  <w:p>
                    <w:pPr>
                      <w:jc w:val="right"/>
                      <w:rPr>
                        <w:sz w:val="18"/>
                        <w:szCs w:val="18"/>
                      </w:rPr>
                    </w:pPr>
                    <w:r>
                      <w:rPr>
                        <w:sz w:val="18"/>
                        <w:szCs w:val="18"/>
                      </w:rPr>
                      <w:t>171,904.00</w:t>
                    </w:r>
                  </w:p>
                </w:tc>
                <w:tc>
                  <w:tcPr>
                    <w:tcW w:w="672" w:type="pct"/>
                    <w:vAlign w:val="center"/>
                  </w:tcPr>
                  <w:p>
                    <w:pPr>
                      <w:jc w:val="right"/>
                      <w:rPr>
                        <w:sz w:val="18"/>
                        <w:szCs w:val="18"/>
                      </w:rPr>
                    </w:pPr>
                    <w:r>
                      <w:rPr>
                        <w:sz w:val="18"/>
                        <w:szCs w:val="18"/>
                      </w:rPr>
                      <w:t>88,762.91</w:t>
                    </w:r>
                  </w:p>
                </w:tc>
                <w:tc>
                  <w:tcPr>
                    <w:tcW w:w="718" w:type="pct"/>
                    <w:vAlign w:val="center"/>
                  </w:tcPr>
                  <w:p>
                    <w:pPr>
                      <w:jc w:val="right"/>
                      <w:rPr>
                        <w:sz w:val="18"/>
                        <w:szCs w:val="18"/>
                      </w:rPr>
                    </w:pPr>
                    <w:r>
                      <w:rPr>
                        <w:sz w:val="18"/>
                        <w:szCs w:val="18"/>
                      </w:rPr>
                      <w:t>1,291,781.18</w:t>
                    </w:r>
                  </w:p>
                </w:tc>
                <w:tc>
                  <w:tcPr>
                    <w:tcW w:w="765" w:type="pct"/>
                    <w:shd w:val="clear" w:color="auto" w:fill="auto"/>
                    <w:vAlign w:val="center"/>
                  </w:tcPr>
                  <w:p>
                    <w:pPr>
                      <w:jc w:val="right"/>
                      <w:rPr>
                        <w:sz w:val="18"/>
                        <w:szCs w:val="18"/>
                      </w:rPr>
                    </w:pPr>
                    <w:r>
                      <w:rPr>
                        <w:sz w:val="18"/>
                        <w:szCs w:val="18"/>
                      </w:rPr>
                      <w:t>15,668,764.03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sz w:val="18"/>
                  <w:szCs w:val="18"/>
                </w:rPr>
                <w:tag w:val="_PLD_d4d6ba6e1c7b40ac88b36bf9df11b1dd"/>
                <w:id w:val="-722060567"/>
                <w:lock w:val="sdtLocked"/>
              </w:sdtPr>
              <w:sdtEndPr>
                <w:rPr>
                  <w:sz w:val="18"/>
                  <w:szCs w:val="18"/>
                </w:rPr>
              </w:sdtEndPr>
              <w:sdtContent>
                <w:tc>
                  <w:tcPr>
                    <w:tcW w:w="600" w:type="pct"/>
                    <w:shd w:val="clear" w:color="auto" w:fill="auto"/>
                  </w:tcPr>
                  <w:p>
                    <w:pPr>
                      <w:jc w:val="center"/>
                      <w:rPr>
                        <w:sz w:val="18"/>
                        <w:szCs w:val="18"/>
                      </w:rPr>
                    </w:pPr>
                    <w:r>
                      <w:rPr>
                        <w:rFonts w:hint="eastAsia"/>
                        <w:sz w:val="18"/>
                        <w:szCs w:val="18"/>
                      </w:rPr>
                      <w:t>合计</w:t>
                    </w:r>
                  </w:p>
                </w:tc>
              </w:sdtContent>
            </w:sdt>
            <w:tc>
              <w:tcPr>
                <w:tcW w:w="765" w:type="pct"/>
                <w:shd w:val="clear" w:color="auto" w:fill="auto"/>
                <w:vAlign w:val="center"/>
              </w:tcPr>
              <w:p>
                <w:pPr>
                  <w:jc w:val="right"/>
                  <w:rPr>
                    <w:sz w:val="18"/>
                    <w:szCs w:val="18"/>
                  </w:rPr>
                </w:pPr>
                <w:r>
                  <w:rPr>
                    <w:sz w:val="18"/>
                    <w:szCs w:val="18"/>
                  </w:rPr>
                  <w:t>306,656,976.76</w:t>
                </w:r>
              </w:p>
            </w:tc>
            <w:tc>
              <w:tcPr>
                <w:tcW w:w="765" w:type="pct"/>
                <w:shd w:val="clear" w:color="auto" w:fill="auto"/>
                <w:vAlign w:val="center"/>
              </w:tcPr>
              <w:p>
                <w:pPr>
                  <w:jc w:val="right"/>
                  <w:rPr>
                    <w:sz w:val="18"/>
                    <w:szCs w:val="18"/>
                  </w:rPr>
                </w:pPr>
                <w:r>
                  <w:rPr>
                    <w:sz w:val="18"/>
                    <w:szCs w:val="18"/>
                  </w:rPr>
                  <w:t>-12,912,978.38</w:t>
                </w:r>
              </w:p>
            </w:tc>
            <w:tc>
              <w:tcPr>
                <w:tcW w:w="716" w:type="pct"/>
                <w:shd w:val="clear" w:color="auto" w:fill="auto"/>
                <w:vAlign w:val="center"/>
              </w:tcPr>
              <w:p>
                <w:pPr>
                  <w:jc w:val="right"/>
                  <w:rPr>
                    <w:sz w:val="18"/>
                    <w:szCs w:val="18"/>
                  </w:rPr>
                </w:pPr>
                <w:r>
                  <w:rPr>
                    <w:sz w:val="18"/>
                    <w:szCs w:val="18"/>
                  </w:rPr>
                  <w:t>171,904.00</w:t>
                </w:r>
              </w:p>
            </w:tc>
            <w:tc>
              <w:tcPr>
                <w:tcW w:w="672" w:type="pct"/>
                <w:vAlign w:val="center"/>
              </w:tcPr>
              <w:p>
                <w:pPr>
                  <w:jc w:val="right"/>
                  <w:rPr>
                    <w:sz w:val="18"/>
                    <w:szCs w:val="18"/>
                  </w:rPr>
                </w:pPr>
                <w:r>
                  <w:rPr>
                    <w:sz w:val="18"/>
                    <w:szCs w:val="18"/>
                  </w:rPr>
                  <w:t>4,150,941.35</w:t>
                </w:r>
              </w:p>
            </w:tc>
            <w:tc>
              <w:tcPr>
                <w:tcW w:w="718" w:type="pct"/>
                <w:vAlign w:val="center"/>
              </w:tcPr>
              <w:p>
                <w:pPr>
                  <w:jc w:val="right"/>
                  <w:rPr>
                    <w:sz w:val="18"/>
                    <w:szCs w:val="18"/>
                  </w:rPr>
                </w:pPr>
              </w:p>
            </w:tc>
            <w:tc>
              <w:tcPr>
                <w:tcW w:w="765" w:type="pct"/>
                <w:shd w:val="clear" w:color="auto" w:fill="auto"/>
                <w:vAlign w:val="center"/>
              </w:tcPr>
              <w:p>
                <w:pPr>
                  <w:jc w:val="right"/>
                  <w:rPr>
                    <w:sz w:val="18"/>
                    <w:szCs w:val="18"/>
                  </w:rPr>
                </w:pPr>
                <w:r>
                  <w:rPr>
                    <w:sz w:val="18"/>
                    <w:szCs w:val="18"/>
                  </w:rPr>
                  <w:t>289,764,961.03</w:t>
                </w:r>
              </w:p>
            </w:tc>
          </w:tr>
        </w:tbl>
        <w:p/>
        <w:p>
          <w:r>
            <w:rPr>
              <w:rFonts w:hint="eastAsia"/>
            </w:rPr>
            <w:t>其中本期坏账准备转回或收回金额重要的：</w:t>
          </w:r>
        </w:p>
        <w:sdt>
          <w:sdtPr>
            <w:alias w:val="是否适用：其中本期其他应收账款坏账准备收回或转回金额重要的[双击切换]"/>
            <w:tag w:val="_GBC_c99a80b9a36440d7b9ed3ce899868361"/>
            <w:id w:val="1839274772"/>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highlight w:val="yellow"/>
            </w:rPr>
          </w:pPr>
          <w:r>
            <w:rPr>
              <w:rFonts w:hint="eastAsia"/>
            </w:rPr>
            <w:t>单位：</w:t>
          </w:r>
          <w:sdt>
            <w:sdtPr>
              <w:rPr>
                <w:rFonts w:hint="eastAsia"/>
              </w:rPr>
              <w:alias w:val="单位：转回或收回情况"/>
              <w:tag w:val="_GBC_206e2464a87e49dd9881dfe70d30de84"/>
              <w:id w:val="42847526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转回或收回情况"/>
              <w:tag w:val="_GBC_5113f9a0b3014522b0927f028d13d928"/>
              <w:id w:val="54170999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2879"/>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d5ac29cbba49d6af983ab883828e9c"/>
                <w:id w:val="-941840691"/>
                <w:lock w:val="sdtLocked"/>
              </w:sdtPr>
              <w:sdtContent>
                <w:tc>
                  <w:tcPr>
                    <w:tcW w:w="1625" w:type="pct"/>
                    <w:vAlign w:val="center"/>
                  </w:tcPr>
                  <w:p>
                    <w:pPr>
                      <w:jc w:val="center"/>
                      <w:rPr>
                        <w:szCs w:val="21"/>
                      </w:rPr>
                    </w:pPr>
                    <w:r>
                      <w:rPr>
                        <w:rFonts w:hint="eastAsia"/>
                        <w:szCs w:val="21"/>
                      </w:rPr>
                      <w:t>单位名称</w:t>
                    </w:r>
                  </w:p>
                </w:tc>
              </w:sdtContent>
            </w:sdt>
            <w:sdt>
              <w:sdtPr>
                <w:tag w:val="_PLD_546780df9a1144639e1b11b19d8acb69"/>
                <w:id w:val="1810820071"/>
                <w:lock w:val="sdtLocked"/>
              </w:sdtPr>
              <w:sdtContent>
                <w:tc>
                  <w:tcPr>
                    <w:tcW w:w="1688" w:type="pct"/>
                    <w:vAlign w:val="center"/>
                  </w:tcPr>
                  <w:p>
                    <w:pPr>
                      <w:jc w:val="center"/>
                      <w:rPr>
                        <w:szCs w:val="21"/>
                      </w:rPr>
                    </w:pPr>
                    <w:r>
                      <w:rPr>
                        <w:rFonts w:hint="eastAsia"/>
                        <w:szCs w:val="21"/>
                      </w:rPr>
                      <w:t>转回或收回金额</w:t>
                    </w:r>
                  </w:p>
                </w:tc>
              </w:sdtContent>
            </w:sdt>
            <w:sdt>
              <w:sdtPr>
                <w:tag w:val="_PLD_0398c6791f0e487fadeb486f8a5c54c2"/>
                <w:id w:val="1653713405"/>
                <w:lock w:val="sdtLocked"/>
              </w:sdtPr>
              <w:sdtContent>
                <w:tc>
                  <w:tcPr>
                    <w:tcW w:w="1687" w:type="pct"/>
                    <w:vAlign w:val="center"/>
                  </w:tcPr>
                  <w:p>
                    <w:pPr>
                      <w:jc w:val="center"/>
                      <w:rPr>
                        <w:szCs w:val="21"/>
                      </w:rPr>
                    </w:pPr>
                    <w:r>
                      <w:rPr>
                        <w:rFonts w:hint="eastAsia"/>
                        <w:szCs w:val="21"/>
                      </w:rPr>
                      <w:t>收回方式</w:t>
                    </w:r>
                  </w:p>
                </w:tc>
              </w:sdtContent>
            </w:sdt>
          </w:tr>
          <w:sdt>
            <w:sdtPr>
              <w:rPr>
                <w:szCs w:val="21"/>
              </w:rPr>
              <w:alias w:val="转回或收回的其他应收账款明细"/>
              <w:tag w:val="_TUP_43fa19774108478aa405cb53bb68e28a"/>
              <w:id w:val="-157658026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25" w:type="pct"/>
                  </w:tcPr>
                  <w:p>
                    <w:pPr>
                      <w:jc w:val="center"/>
                      <w:rPr>
                        <w:szCs w:val="21"/>
                      </w:rPr>
                    </w:pPr>
                    <w:r>
                      <w:rPr>
                        <w:rFonts w:hint="eastAsia"/>
                        <w:szCs w:val="21"/>
                      </w:rPr>
                      <w:t>客户六</w:t>
                    </w:r>
                  </w:p>
                </w:tc>
                <w:tc>
                  <w:tcPr>
                    <w:tcW w:w="1688" w:type="pct"/>
                  </w:tcPr>
                  <w:p>
                    <w:pPr>
                      <w:jc w:val="center"/>
                      <w:rPr>
                        <w:szCs w:val="21"/>
                      </w:rPr>
                    </w:pPr>
                    <w:r>
                      <w:rPr>
                        <w:szCs w:val="21"/>
                      </w:rPr>
                      <w:t>171,904.00</w:t>
                    </w:r>
                  </w:p>
                </w:tc>
                <w:tc>
                  <w:tcPr>
                    <w:tcW w:w="1687" w:type="pct"/>
                  </w:tcPr>
                  <w:p>
                    <w:pPr>
                      <w:jc w:val="center"/>
                      <w:rPr>
                        <w:szCs w:val="21"/>
                      </w:rPr>
                    </w:pPr>
                    <w:r>
                      <w:rPr>
                        <w:rFonts w:hint="eastAsia"/>
                        <w:szCs w:val="21"/>
                      </w:rPr>
                      <w:t>银行存款</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fbed27684ad42f794d8563fd40cc424"/>
                <w:id w:val="1750227109"/>
                <w:lock w:val="sdtLocked"/>
              </w:sdtPr>
              <w:sdtContent>
                <w:tc>
                  <w:tcPr>
                    <w:tcW w:w="1625" w:type="pct"/>
                    <w:vAlign w:val="center"/>
                  </w:tcPr>
                  <w:p>
                    <w:pPr>
                      <w:jc w:val="center"/>
                      <w:rPr>
                        <w:szCs w:val="21"/>
                      </w:rPr>
                    </w:pPr>
                    <w:r>
                      <w:rPr>
                        <w:szCs w:val="21"/>
                      </w:rPr>
                      <w:t>合计</w:t>
                    </w:r>
                  </w:p>
                </w:tc>
              </w:sdtContent>
            </w:sdt>
            <w:tc>
              <w:tcPr>
                <w:tcW w:w="1688" w:type="pct"/>
              </w:tcPr>
              <w:p>
                <w:pPr>
                  <w:jc w:val="center"/>
                  <w:rPr>
                    <w:szCs w:val="21"/>
                  </w:rPr>
                </w:pPr>
                <w:r>
                  <w:rPr>
                    <w:szCs w:val="21"/>
                  </w:rPr>
                  <w:t>171,904.00</w:t>
                </w:r>
              </w:p>
            </w:tc>
            <w:tc>
              <w:tcPr>
                <w:tcW w:w="1687" w:type="pct"/>
              </w:tcPr>
              <w:p>
                <w:pPr>
                  <w:jc w:val="center"/>
                  <w:rPr>
                    <w:szCs w:val="21"/>
                  </w:rPr>
                </w:pPr>
                <w:r>
                  <w:rPr>
                    <w:rFonts w:hint="eastAsia"/>
                    <w:szCs w:val="21"/>
                  </w:rPr>
                  <w:t>/</w:t>
                </w:r>
              </w:p>
            </w:tc>
          </w:tr>
        </w:tbl>
        <w:p/>
        <w:p/>
      </w:sdtContent>
    </w:sdt>
    <w:bookmarkEnd w:id="159"/>
    <w:sdt>
      <w:sdtPr>
        <w:rPr>
          <w:rFonts w:hint="eastAsia" w:eastAsia="宋体" w:cs="宋体" w:asciiTheme="minorHAnsi" w:hAnsiTheme="minorHAnsi"/>
          <w:b w:val="0"/>
          <w:bCs w:val="0"/>
          <w:kern w:val="0"/>
          <w:szCs w:val="22"/>
        </w:rPr>
        <w:alias w:val="模块:本报告期实际核销的其他应收款情况"/>
        <w:tag w:val="_SEC_41a6e023af3e46b9a7c491c4e27287af"/>
        <w:id w:val="-855954499"/>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214"/>
            <w:numPr>
              <w:ilvl w:val="3"/>
              <w:numId w:val="81"/>
            </w:numPr>
            <w:ind w:left="426" w:hanging="426"/>
          </w:pPr>
          <w:r>
            <w:rPr>
              <w:rFonts w:hint="eastAsia"/>
            </w:rPr>
            <w:t>本期实际核销的其他应收款情况</w:t>
          </w:r>
        </w:p>
        <w:sdt>
          <w:sdtPr>
            <w:alias w:val="是否适用：本期实际核销的其他应收款情况[双击切换]"/>
            <w:tag w:val="_GBC_2ce86125d6b94b148fa674141e6497b1"/>
            <w:id w:val="138490251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5836917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15122577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1" w:type="dxa"/>
              <w:bottom w:w="0" w:type="dxa"/>
              <w:right w:w="31" w:type="dxa"/>
            </w:tblCellMar>
          </w:tblPr>
          <w:tblGrid>
            <w:gridCol w:w="4170"/>
            <w:gridCol w:w="4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37dfaf7051a145ae922646054d926a0e"/>
                <w:id w:val="-1494022249"/>
                <w:lock w:val="sdtLocked"/>
              </w:sdtPr>
              <w:sdtContent>
                <w:tc>
                  <w:tcPr>
                    <w:tcW w:w="2490" w:type="pct"/>
                  </w:tcPr>
                  <w:p>
                    <w:pPr>
                      <w:ind w:right="73"/>
                      <w:jc w:val="center"/>
                      <w:rPr>
                        <w:szCs w:val="21"/>
                      </w:rPr>
                    </w:pPr>
                    <w:r>
                      <w:rPr>
                        <w:rFonts w:hint="eastAsia"/>
                        <w:szCs w:val="21"/>
                      </w:rPr>
                      <w:t>项目</w:t>
                    </w:r>
                  </w:p>
                </w:tc>
              </w:sdtContent>
            </w:sdt>
            <w:sdt>
              <w:sdtPr>
                <w:tag w:val="_PLD_57b56183aec749d9a0e8479977704a0b"/>
                <w:id w:val="-2114126974"/>
                <w:lock w:val="sdtLocked"/>
              </w:sdtPr>
              <w:sdtContent>
                <w:tc>
                  <w:tcPr>
                    <w:tcW w:w="2510" w:type="pct"/>
                  </w:tcPr>
                  <w:p>
                    <w:pPr>
                      <w:ind w:right="73"/>
                      <w:jc w:val="center"/>
                      <w:rPr>
                        <w:szCs w:val="21"/>
                      </w:rPr>
                    </w:pPr>
                    <w:r>
                      <w:rPr>
                        <w:rFonts w:hint="eastAsia"/>
                        <w:szCs w:val="21"/>
                      </w:rPr>
                      <w:t>核销金额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1" w:type="dxa"/>
                <w:bottom w:w="0" w:type="dxa"/>
                <w:right w:w="31" w:type="dxa"/>
              </w:tblCellMar>
            </w:tblPrEx>
            <w:trPr>
              <w:cantSplit/>
            </w:trPr>
            <w:sdt>
              <w:sdtPr>
                <w:tag w:val="_PLD_df14342767154a19a45acd79974daeeb"/>
                <w:id w:val="196980557"/>
                <w:lock w:val="sdtLocked"/>
              </w:sdtPr>
              <w:sdtContent>
                <w:tc>
                  <w:tcPr>
                    <w:tcW w:w="2490" w:type="pct"/>
                  </w:tcPr>
                  <w:p>
                    <w:pPr>
                      <w:ind w:right="73"/>
                      <w:jc w:val="center"/>
                      <w:rPr>
                        <w:szCs w:val="21"/>
                      </w:rPr>
                    </w:pPr>
                    <w:r>
                      <w:rPr>
                        <w:rFonts w:hint="eastAsia"/>
                        <w:szCs w:val="21"/>
                      </w:rPr>
                      <w:t>实际核销的其他应收款</w:t>
                    </w:r>
                  </w:p>
                </w:tc>
              </w:sdtContent>
            </w:sdt>
            <w:tc>
              <w:tcPr>
                <w:tcW w:w="2510" w:type="pct"/>
              </w:tcPr>
              <w:p>
                <w:pPr>
                  <w:ind w:right="73"/>
                  <w:jc w:val="center"/>
                  <w:rPr>
                    <w:szCs w:val="21"/>
                  </w:rPr>
                </w:pPr>
                <w:r>
                  <w:rPr>
                    <w:szCs w:val="21"/>
                  </w:rPr>
                  <w:t>4,150,941.35</w:t>
                </w:r>
              </w:p>
            </w:tc>
          </w:tr>
        </w:tbl>
        <w:p>
          <w:pPr>
            <w:rPr>
              <w:szCs w:val="21"/>
            </w:rPr>
          </w:pPr>
        </w:p>
        <w:p>
          <w:pPr>
            <w:rPr>
              <w:szCs w:val="21"/>
            </w:rPr>
          </w:pPr>
          <w:r>
            <w:rPr>
              <w:rFonts w:hint="eastAsia"/>
              <w:szCs w:val="21"/>
            </w:rPr>
            <w:t>其中重要的其他应收款核销情况：</w:t>
          </w:r>
        </w:p>
        <w:sdt>
          <w:sdtPr>
            <w:rPr>
              <w:szCs w:val="21"/>
            </w:rPr>
            <w:alias w:val="是否适用：其中重要的其他应收款核销情况[双击切换]"/>
            <w:tag w:val="_GBC_6f3b8f9a05dc4f2082e4ad20a1930006"/>
            <w:id w:val="201248525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b/>
              <w:bCs/>
              <w:szCs w:val="21"/>
            </w:rPr>
          </w:pPr>
          <w:r>
            <w:rPr>
              <w:rFonts w:hint="eastAsia"/>
              <w:szCs w:val="21"/>
            </w:rPr>
            <w:t>其他应收款核销说明：</w:t>
          </w:r>
        </w:p>
        <w:sdt>
          <w:sdtPr>
            <w:rPr>
              <w:szCs w:val="21"/>
            </w:rPr>
            <w:alias w:val="是否适用：其他应收款冲销坏帐明细的说明[双击切换]"/>
            <w:tag w:val="_GBC_c894606830c4440ba090ef98078b372b"/>
            <w:id w:val="-1838993968"/>
            <w:lock w:val="sdtLocked"/>
            <w:placeholder>
              <w:docPart w:val="GBC22222222222222222222222222222"/>
            </w:placeholder>
          </w:sdtPr>
          <w:sdtEndPr>
            <w:rPr>
              <w:szCs w:val="21"/>
            </w:rPr>
          </w:sdtEndPr>
          <w:sdtContent>
            <w:p>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sdtContent>
    </w:sdt>
    <w:sdt>
      <w:sdtPr>
        <w:rPr>
          <w:rFonts w:hint="eastAsia" w:ascii="宋体" w:hAnsi="宋体" w:eastAsia="宋体" w:cs="宋体"/>
          <w:b w:val="0"/>
          <w:bCs w:val="0"/>
          <w:kern w:val="0"/>
          <w:szCs w:val="24"/>
        </w:rPr>
        <w:alias w:val="模块:按欠款方归集的期末余额其中前五名的其他应收款单位情况"/>
        <w:tag w:val="_SEC_5bc3cdcc54c14afd8dfbd379ebf214df"/>
        <w:id w:val="177020301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1"/>
            </w:numPr>
            <w:ind w:left="426" w:hanging="426"/>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35168890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其他应收账款前五名欠款情况"/>
              <w:tag w:val="_GBC_06f7a71e039445228d80a5741df4c4f7"/>
              <w:id w:val="17788315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0058203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674"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7"/>
            <w:gridCol w:w="1078"/>
            <w:gridCol w:w="1760"/>
            <w:gridCol w:w="2845"/>
            <w:gridCol w:w="1261"/>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30fc2dc8886472699c892f0395ab05e"/>
                <w:id w:val="-1923473983"/>
                <w:lock w:val="sdtLocked"/>
              </w:sdtPr>
              <w:sdtContent>
                <w:tc>
                  <w:tcPr>
                    <w:tcW w:w="541" w:type="pct"/>
                    <w:vAlign w:val="center"/>
                  </w:tcPr>
                  <w:p>
                    <w:pPr>
                      <w:ind w:right="105"/>
                      <w:jc w:val="center"/>
                      <w:rPr>
                        <w:szCs w:val="21"/>
                      </w:rPr>
                    </w:pPr>
                    <w:r>
                      <w:rPr>
                        <w:rFonts w:hint="eastAsia"/>
                        <w:szCs w:val="21"/>
                      </w:rPr>
                      <w:t>单位名称</w:t>
                    </w:r>
                  </w:p>
                </w:tc>
              </w:sdtContent>
            </w:sdt>
            <w:sdt>
              <w:sdtPr>
                <w:tag w:val="_PLD_44129b8132114de2a4d33c4acb8af98f"/>
                <w:id w:val="-1146815710"/>
                <w:lock w:val="sdtLocked"/>
              </w:sdtPr>
              <w:sdtContent>
                <w:tc>
                  <w:tcPr>
                    <w:tcW w:w="557" w:type="pct"/>
                    <w:vAlign w:val="center"/>
                  </w:tcPr>
                  <w:p>
                    <w:pPr>
                      <w:ind w:right="73"/>
                      <w:jc w:val="center"/>
                      <w:rPr>
                        <w:szCs w:val="21"/>
                      </w:rPr>
                    </w:pPr>
                    <w:r>
                      <w:rPr>
                        <w:rFonts w:hint="eastAsia"/>
                        <w:szCs w:val="21"/>
                      </w:rPr>
                      <w:t>款项的性质</w:t>
                    </w:r>
                  </w:p>
                </w:tc>
              </w:sdtContent>
            </w:sdt>
            <w:sdt>
              <w:sdtPr>
                <w:tag w:val="_PLD_1bc905abb4bf4c679b9fbe0a7587d651"/>
                <w:id w:val="-1111898520"/>
                <w:lock w:val="sdtLocked"/>
              </w:sdtPr>
              <w:sdtContent>
                <w:tc>
                  <w:tcPr>
                    <w:tcW w:w="909" w:type="pct"/>
                    <w:vAlign w:val="center"/>
                  </w:tcPr>
                  <w:p>
                    <w:pPr>
                      <w:ind w:right="73"/>
                      <w:jc w:val="center"/>
                      <w:rPr>
                        <w:szCs w:val="21"/>
                      </w:rPr>
                    </w:pPr>
                    <w:r>
                      <w:rPr>
                        <w:rFonts w:hint="eastAsia"/>
                        <w:szCs w:val="21"/>
                      </w:rPr>
                      <w:t>期末余额</w:t>
                    </w:r>
                  </w:p>
                </w:tc>
              </w:sdtContent>
            </w:sdt>
            <w:sdt>
              <w:sdtPr>
                <w:tag w:val="_PLD_d9231de346f74815b1bc7c82527b1ef5"/>
                <w:id w:val="-468044104"/>
                <w:lock w:val="sdtLocked"/>
              </w:sdtPr>
              <w:sdtContent>
                <w:tc>
                  <w:tcPr>
                    <w:tcW w:w="1469" w:type="pct"/>
                    <w:vAlign w:val="center"/>
                  </w:tcPr>
                  <w:p>
                    <w:pPr>
                      <w:ind w:right="73"/>
                      <w:jc w:val="center"/>
                      <w:rPr>
                        <w:szCs w:val="21"/>
                      </w:rPr>
                    </w:pPr>
                    <w:r>
                      <w:rPr>
                        <w:rFonts w:hint="eastAsia"/>
                        <w:szCs w:val="21"/>
                      </w:rPr>
                      <w:t>账龄</w:t>
                    </w:r>
                  </w:p>
                </w:tc>
              </w:sdtContent>
            </w:sdt>
            <w:sdt>
              <w:sdtPr>
                <w:tag w:val="_PLD_055b75c0a3cf450e995ac7e13fdc0c08"/>
                <w:id w:val="404946"/>
                <w:lock w:val="sdtLocked"/>
              </w:sdtPr>
              <w:sdtContent>
                <w:tc>
                  <w:tcPr>
                    <w:tcW w:w="651" w:type="pct"/>
                    <w:vAlign w:val="center"/>
                  </w:tcPr>
                  <w:p>
                    <w:pPr>
                      <w:jc w:val="center"/>
                      <w:rPr>
                        <w:szCs w:val="21"/>
                      </w:rPr>
                    </w:pPr>
                    <w:r>
                      <w:rPr>
                        <w:rFonts w:hint="eastAsia"/>
                        <w:szCs w:val="21"/>
                      </w:rPr>
                      <w:t>占其他应收款期末余额合计数的比例(</w:t>
                    </w:r>
                    <w:r>
                      <w:rPr>
                        <w:szCs w:val="21"/>
                      </w:rPr>
                      <w:t>%)</w:t>
                    </w:r>
                  </w:p>
                </w:tc>
              </w:sdtContent>
            </w:sdt>
            <w:sdt>
              <w:sdtPr>
                <w:tag w:val="_PLD_a7951a260c094fc8b8b64f2d1e6a933e"/>
                <w:id w:val="376363390"/>
                <w:lock w:val="sdtLocked"/>
              </w:sdtPr>
              <w:sdtContent>
                <w:tc>
                  <w:tcPr>
                    <w:tcW w:w="871" w:type="pct"/>
                    <w:vAlign w:val="center"/>
                  </w:tcPr>
                  <w:p>
                    <w:pPr>
                      <w:jc w:val="center"/>
                      <w:rPr>
                        <w:szCs w:val="21"/>
                      </w:rPr>
                    </w:pPr>
                    <w:r>
                      <w:rPr>
                        <w:rFonts w:hint="eastAsia"/>
                        <w:szCs w:val="21"/>
                      </w:rPr>
                      <w:t>坏账准备</w:t>
                    </w:r>
                  </w:p>
                  <w:p>
                    <w:pPr>
                      <w:jc w:val="center"/>
                      <w:rPr>
                        <w:szCs w:val="21"/>
                      </w:rPr>
                    </w:pPr>
                    <w:r>
                      <w:rPr>
                        <w:rFonts w:hint="eastAsia"/>
                        <w:szCs w:val="21"/>
                      </w:rPr>
                      <w:t>期末余额</w:t>
                    </w:r>
                  </w:p>
                </w:tc>
              </w:sdtContent>
            </w:sdt>
          </w:tr>
          <w:sdt>
            <w:sdtPr>
              <w:rPr>
                <w:rFonts w:hint="eastAsia"/>
                <w:szCs w:val="21"/>
              </w:rPr>
              <w:alias w:val="其他应收款欠款户"/>
              <w:tag w:val="_TUP_c8d734adc8624e66860d3c0f01d5cb6b"/>
              <w:id w:val="250480224"/>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pPr>
                      <w:ind w:right="105"/>
                      <w:jc w:val="both"/>
                      <w:rPr>
                        <w:szCs w:val="21"/>
                      </w:rPr>
                    </w:pPr>
                    <w:r>
                      <w:rPr>
                        <w:rFonts w:hint="eastAsia"/>
                      </w:rPr>
                      <w:t>重庆市财政局</w:t>
                    </w:r>
                  </w:p>
                </w:tc>
                <w:tc>
                  <w:tcPr>
                    <w:tcW w:w="557" w:type="pct"/>
                    <w:vAlign w:val="center"/>
                  </w:tcPr>
                  <w:p>
                    <w:pPr>
                      <w:ind w:right="73"/>
                      <w:jc w:val="both"/>
                      <w:rPr>
                        <w:szCs w:val="21"/>
                      </w:rPr>
                    </w:pPr>
                    <w:r>
                      <w:t>新能源汽车补贴款</w:t>
                    </w:r>
                  </w:p>
                </w:tc>
                <w:tc>
                  <w:tcPr>
                    <w:tcW w:w="909" w:type="pct"/>
                    <w:vAlign w:val="center"/>
                  </w:tcPr>
                  <w:p>
                    <w:pPr>
                      <w:ind w:right="73"/>
                      <w:jc w:val="right"/>
                      <w:rPr>
                        <w:szCs w:val="21"/>
                      </w:rPr>
                    </w:pPr>
                    <w:r>
                      <w:t>422,794,062.40</w:t>
                    </w:r>
                  </w:p>
                </w:tc>
                <w:tc>
                  <w:tcPr>
                    <w:tcW w:w="1469" w:type="pct"/>
                    <w:vAlign w:val="center"/>
                  </w:tcPr>
                  <w:p>
                    <w:pPr>
                      <w:ind w:right="73"/>
                      <w:jc w:val="both"/>
                    </w:pPr>
                    <w:r>
                      <w:t>0-6个月</w:t>
                    </w:r>
                    <w:r>
                      <w:rPr>
                        <w:rFonts w:hint="eastAsia"/>
                      </w:rPr>
                      <w:t xml:space="preserve"> </w:t>
                    </w:r>
                    <w:r>
                      <w:t>48,478,500.00</w:t>
                    </w:r>
                  </w:p>
                  <w:p>
                    <w:pPr>
                      <w:ind w:right="73"/>
                      <w:jc w:val="both"/>
                    </w:pPr>
                    <w:r>
                      <w:t>1-2年</w:t>
                    </w:r>
                    <w:r>
                      <w:rPr>
                        <w:rFonts w:hint="eastAsia"/>
                      </w:rPr>
                      <w:t xml:space="preserve"> </w:t>
                    </w:r>
                    <w:r>
                      <w:t>14,067,100.00</w:t>
                    </w:r>
                  </w:p>
                  <w:p>
                    <w:pPr>
                      <w:ind w:right="73"/>
                      <w:jc w:val="both"/>
                    </w:pPr>
                    <w:r>
                      <w:t>2-3年</w:t>
                    </w:r>
                    <w:r>
                      <w:rPr>
                        <w:rFonts w:hint="eastAsia"/>
                      </w:rPr>
                      <w:t xml:space="preserve"> </w:t>
                    </w:r>
                    <w:r>
                      <w:t>17,492,274.40</w:t>
                    </w:r>
                  </w:p>
                  <w:p>
                    <w:pPr>
                      <w:ind w:right="73"/>
                      <w:jc w:val="both"/>
                    </w:pPr>
                    <w:r>
                      <w:t>3-4年</w:t>
                    </w:r>
                    <w:r>
                      <w:rPr>
                        <w:rFonts w:hint="eastAsia"/>
                      </w:rPr>
                      <w:t xml:space="preserve"> </w:t>
                    </w:r>
                    <w:r>
                      <w:t>281,776,788.00</w:t>
                    </w:r>
                  </w:p>
                  <w:p>
                    <w:pPr>
                      <w:ind w:right="73"/>
                      <w:jc w:val="both"/>
                    </w:pPr>
                    <w:r>
                      <w:t>4-5年</w:t>
                    </w:r>
                    <w:r>
                      <w:rPr>
                        <w:rFonts w:hint="eastAsia"/>
                      </w:rPr>
                      <w:t xml:space="preserve"> </w:t>
                    </w:r>
                    <w:r>
                      <w:t>52,149,600.00</w:t>
                    </w:r>
                  </w:p>
                  <w:p>
                    <w:pPr>
                      <w:ind w:right="73"/>
                      <w:jc w:val="both"/>
                      <w:rPr>
                        <w:szCs w:val="21"/>
                      </w:rPr>
                    </w:pPr>
                    <w:r>
                      <w:t>5年以上</w:t>
                    </w:r>
                    <w:r>
                      <w:rPr>
                        <w:rFonts w:hint="eastAsia"/>
                      </w:rPr>
                      <w:t xml:space="preserve"> </w:t>
                    </w:r>
                    <w:r>
                      <w:t>8,829,800.00</w:t>
                    </w:r>
                  </w:p>
                </w:tc>
                <w:tc>
                  <w:tcPr>
                    <w:tcW w:w="651" w:type="pct"/>
                    <w:vAlign w:val="center"/>
                  </w:tcPr>
                  <w:p>
                    <w:pPr>
                      <w:jc w:val="right"/>
                      <w:rPr>
                        <w:szCs w:val="21"/>
                      </w:rPr>
                    </w:pPr>
                    <w:r>
                      <w:rPr>
                        <w:rFonts w:hint="eastAsia"/>
                      </w:rPr>
                      <w:t>69.44</w:t>
                    </w:r>
                  </w:p>
                </w:tc>
                <w:tc>
                  <w:tcPr>
                    <w:tcW w:w="871" w:type="pct"/>
                    <w:vAlign w:val="center"/>
                  </w:tcPr>
                  <w:p>
                    <w:pPr>
                      <w:jc w:val="right"/>
                      <w:rPr>
                        <w:szCs w:val="21"/>
                      </w:rPr>
                    </w:pPr>
                    <w:r>
                      <w:t>271,470,309.40</w:t>
                    </w:r>
                  </w:p>
                </w:tc>
              </w:tr>
            </w:sdtContent>
          </w:sdt>
          <w:sdt>
            <w:sdtPr>
              <w:rPr>
                <w:rFonts w:hint="eastAsia"/>
                <w:szCs w:val="21"/>
              </w:rPr>
              <w:alias w:val="其他应收款欠款户"/>
              <w:tag w:val="_TUP_c8d734adc8624e66860d3c0f01d5cb6b"/>
              <w:id w:val="-530418231"/>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pPr>
                      <w:ind w:right="105"/>
                      <w:jc w:val="both"/>
                      <w:rPr>
                        <w:szCs w:val="21"/>
                      </w:rPr>
                    </w:pPr>
                    <w:r>
                      <w:rPr>
                        <w:rFonts w:hint="eastAsia"/>
                      </w:rPr>
                      <w:t>力帆融资租赁（上海）有限公司</w:t>
                    </w:r>
                  </w:p>
                </w:tc>
                <w:tc>
                  <w:tcPr>
                    <w:tcW w:w="557" w:type="pct"/>
                    <w:vAlign w:val="center"/>
                  </w:tcPr>
                  <w:p>
                    <w:pPr>
                      <w:ind w:right="73"/>
                      <w:jc w:val="both"/>
                      <w:rPr>
                        <w:szCs w:val="21"/>
                      </w:rPr>
                    </w:pPr>
                    <w:r>
                      <w:t>往来款</w:t>
                    </w:r>
                  </w:p>
                </w:tc>
                <w:tc>
                  <w:tcPr>
                    <w:tcW w:w="909" w:type="pct"/>
                    <w:vAlign w:val="center"/>
                  </w:tcPr>
                  <w:p>
                    <w:pPr>
                      <w:ind w:right="73"/>
                      <w:jc w:val="right"/>
                      <w:rPr>
                        <w:szCs w:val="21"/>
                      </w:rPr>
                    </w:pPr>
                    <w:r>
                      <w:t>71,359,997.64</w:t>
                    </w:r>
                  </w:p>
                </w:tc>
                <w:tc>
                  <w:tcPr>
                    <w:tcW w:w="1469" w:type="pct"/>
                    <w:vAlign w:val="center"/>
                  </w:tcPr>
                  <w:p>
                    <w:pPr>
                      <w:ind w:right="73"/>
                      <w:jc w:val="both"/>
                      <w:rPr>
                        <w:szCs w:val="21"/>
                      </w:rPr>
                    </w:pPr>
                    <w:r>
                      <w:t>0-6个月</w:t>
                    </w:r>
                  </w:p>
                </w:tc>
                <w:tc>
                  <w:tcPr>
                    <w:tcW w:w="651" w:type="pct"/>
                    <w:vAlign w:val="center"/>
                  </w:tcPr>
                  <w:p>
                    <w:pPr>
                      <w:jc w:val="right"/>
                      <w:rPr>
                        <w:sz w:val="24"/>
                      </w:rPr>
                    </w:pPr>
                    <w:r>
                      <w:t>11.72</w:t>
                    </w:r>
                  </w:p>
                </w:tc>
                <w:tc>
                  <w:tcPr>
                    <w:tcW w:w="871" w:type="pct"/>
                    <w:vAlign w:val="center"/>
                  </w:tcPr>
                  <w:p>
                    <w:pPr>
                      <w:jc w:val="right"/>
                      <w:rPr>
                        <w:szCs w:val="21"/>
                      </w:rPr>
                    </w:pPr>
                  </w:p>
                </w:tc>
              </w:tr>
            </w:sdtContent>
          </w:sdt>
          <w:sdt>
            <w:sdtPr>
              <w:rPr>
                <w:rFonts w:hint="eastAsia"/>
                <w:szCs w:val="21"/>
              </w:rPr>
              <w:alias w:val="其他应收款欠款户"/>
              <w:tag w:val="_TUP_c8d734adc8624e66860d3c0f01d5cb6b"/>
              <w:id w:val="223418399"/>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pPr>
                      <w:ind w:right="105"/>
                      <w:jc w:val="both"/>
                      <w:rPr>
                        <w:szCs w:val="21"/>
                      </w:rPr>
                    </w:pPr>
                    <w:r>
                      <w:rPr>
                        <w:rFonts w:hint="eastAsia"/>
                      </w:rPr>
                      <w:t>重庆市沙坪坝区国家税务局</w:t>
                    </w:r>
                  </w:p>
                </w:tc>
                <w:tc>
                  <w:tcPr>
                    <w:tcW w:w="557" w:type="pct"/>
                    <w:vAlign w:val="center"/>
                  </w:tcPr>
                  <w:p>
                    <w:pPr>
                      <w:ind w:right="73"/>
                      <w:jc w:val="both"/>
                      <w:rPr>
                        <w:szCs w:val="21"/>
                      </w:rPr>
                    </w:pPr>
                    <w:r>
                      <w:t>出口退税款</w:t>
                    </w:r>
                  </w:p>
                </w:tc>
                <w:tc>
                  <w:tcPr>
                    <w:tcW w:w="909" w:type="pct"/>
                    <w:vAlign w:val="center"/>
                  </w:tcPr>
                  <w:p>
                    <w:pPr>
                      <w:ind w:right="73"/>
                      <w:jc w:val="right"/>
                      <w:rPr>
                        <w:szCs w:val="21"/>
                      </w:rPr>
                    </w:pPr>
                    <w:r>
                      <w:t>32,502,625.18</w:t>
                    </w:r>
                  </w:p>
                </w:tc>
                <w:tc>
                  <w:tcPr>
                    <w:tcW w:w="1469" w:type="pct"/>
                    <w:vAlign w:val="center"/>
                  </w:tcPr>
                  <w:p>
                    <w:pPr>
                      <w:ind w:right="73"/>
                      <w:jc w:val="both"/>
                    </w:pPr>
                    <w:r>
                      <w:t>0-6个月</w:t>
                    </w:r>
                    <w:r>
                      <w:rPr>
                        <w:rFonts w:hint="eastAsia"/>
                      </w:rPr>
                      <w:t xml:space="preserve"> </w:t>
                    </w:r>
                    <w:r>
                      <w:t>32,484,934.65</w:t>
                    </w:r>
                  </w:p>
                  <w:p>
                    <w:pPr>
                      <w:ind w:right="73"/>
                      <w:jc w:val="both"/>
                      <w:rPr>
                        <w:szCs w:val="21"/>
                      </w:rPr>
                    </w:pPr>
                    <w:r>
                      <w:t>1-2年</w:t>
                    </w:r>
                    <w:r>
                      <w:rPr>
                        <w:rFonts w:hint="eastAsia"/>
                      </w:rPr>
                      <w:t xml:space="preserve"> </w:t>
                    </w:r>
                    <w:r>
                      <w:t>17,690.53</w:t>
                    </w:r>
                  </w:p>
                </w:tc>
                <w:tc>
                  <w:tcPr>
                    <w:tcW w:w="651" w:type="pct"/>
                    <w:vAlign w:val="center"/>
                  </w:tcPr>
                  <w:p>
                    <w:pPr>
                      <w:jc w:val="right"/>
                      <w:rPr>
                        <w:sz w:val="24"/>
                      </w:rPr>
                    </w:pPr>
                    <w:r>
                      <w:t>5.34</w:t>
                    </w:r>
                  </w:p>
                </w:tc>
                <w:tc>
                  <w:tcPr>
                    <w:tcW w:w="871" w:type="pct"/>
                    <w:vAlign w:val="center"/>
                  </w:tcPr>
                  <w:p>
                    <w:pPr>
                      <w:jc w:val="right"/>
                      <w:rPr>
                        <w:szCs w:val="21"/>
                      </w:rPr>
                    </w:pPr>
                  </w:p>
                </w:tc>
              </w:tr>
            </w:sdtContent>
          </w:sdt>
          <w:sdt>
            <w:sdtPr>
              <w:rPr>
                <w:rFonts w:hint="eastAsia"/>
                <w:szCs w:val="21"/>
              </w:rPr>
              <w:alias w:val="其他应收款欠款户"/>
              <w:tag w:val="_TUP_c8d734adc8624e66860d3c0f01d5cb6b"/>
              <w:id w:val="-1397740208"/>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pPr>
                      <w:ind w:right="105"/>
                      <w:jc w:val="both"/>
                      <w:rPr>
                        <w:szCs w:val="21"/>
                      </w:rPr>
                    </w:pPr>
                    <w:r>
                      <w:rPr>
                        <w:rFonts w:hint="eastAsia"/>
                      </w:rPr>
                      <w:t>重庆力帆控股有限公司</w:t>
                    </w:r>
                  </w:p>
                </w:tc>
                <w:tc>
                  <w:tcPr>
                    <w:tcW w:w="557" w:type="pct"/>
                    <w:vAlign w:val="center"/>
                  </w:tcPr>
                  <w:p>
                    <w:pPr>
                      <w:ind w:right="73"/>
                      <w:jc w:val="both"/>
                      <w:rPr>
                        <w:szCs w:val="21"/>
                      </w:rPr>
                    </w:pPr>
                    <w:r>
                      <w:t>往来款</w:t>
                    </w:r>
                  </w:p>
                </w:tc>
                <w:tc>
                  <w:tcPr>
                    <w:tcW w:w="909" w:type="pct"/>
                    <w:vAlign w:val="center"/>
                  </w:tcPr>
                  <w:p>
                    <w:pPr>
                      <w:ind w:right="73"/>
                      <w:jc w:val="right"/>
                      <w:rPr>
                        <w:szCs w:val="21"/>
                      </w:rPr>
                    </w:pPr>
                    <w:r>
                      <w:t>9,035,355.56</w:t>
                    </w:r>
                  </w:p>
                </w:tc>
                <w:tc>
                  <w:tcPr>
                    <w:tcW w:w="1469" w:type="pct"/>
                    <w:vAlign w:val="center"/>
                  </w:tcPr>
                  <w:p>
                    <w:pPr>
                      <w:ind w:right="73"/>
                      <w:jc w:val="both"/>
                      <w:rPr>
                        <w:szCs w:val="21"/>
                      </w:rPr>
                    </w:pPr>
                    <w:r>
                      <w:t>0-6个月</w:t>
                    </w:r>
                  </w:p>
                </w:tc>
                <w:tc>
                  <w:tcPr>
                    <w:tcW w:w="651" w:type="pct"/>
                    <w:vAlign w:val="center"/>
                  </w:tcPr>
                  <w:p>
                    <w:pPr>
                      <w:jc w:val="right"/>
                      <w:rPr>
                        <w:sz w:val="24"/>
                      </w:rPr>
                    </w:pPr>
                    <w:r>
                      <w:t>1.48</w:t>
                    </w:r>
                  </w:p>
                </w:tc>
                <w:tc>
                  <w:tcPr>
                    <w:tcW w:w="871" w:type="pct"/>
                    <w:vAlign w:val="center"/>
                  </w:tcPr>
                  <w:p>
                    <w:pPr>
                      <w:jc w:val="right"/>
                      <w:rPr>
                        <w:szCs w:val="21"/>
                      </w:rPr>
                    </w:pPr>
                  </w:p>
                </w:tc>
              </w:tr>
            </w:sdtContent>
          </w:sdt>
          <w:sdt>
            <w:sdtPr>
              <w:rPr>
                <w:rFonts w:hint="eastAsia"/>
                <w:szCs w:val="21"/>
              </w:rPr>
              <w:alias w:val="其他应收款欠款户"/>
              <w:tag w:val="_TUP_c8d734adc8624e66860d3c0f01d5cb6b"/>
              <w:id w:val="-1382929282"/>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41" w:type="pct"/>
                    <w:vAlign w:val="center"/>
                  </w:tcPr>
                  <w:p>
                    <w:pPr>
                      <w:ind w:right="105"/>
                      <w:jc w:val="both"/>
                      <w:rPr>
                        <w:szCs w:val="21"/>
                      </w:rPr>
                    </w:pPr>
                    <w:r>
                      <w:rPr>
                        <w:rFonts w:hint="eastAsia"/>
                      </w:rPr>
                      <w:t>四川宏达爆破工程有限公司</w:t>
                    </w:r>
                  </w:p>
                </w:tc>
                <w:tc>
                  <w:tcPr>
                    <w:tcW w:w="557" w:type="pct"/>
                    <w:vAlign w:val="center"/>
                  </w:tcPr>
                  <w:p>
                    <w:pPr>
                      <w:ind w:right="73"/>
                      <w:jc w:val="both"/>
                      <w:rPr>
                        <w:szCs w:val="21"/>
                      </w:rPr>
                    </w:pPr>
                    <w:r>
                      <w:t>往来款</w:t>
                    </w:r>
                  </w:p>
                </w:tc>
                <w:tc>
                  <w:tcPr>
                    <w:tcW w:w="909" w:type="pct"/>
                    <w:vAlign w:val="center"/>
                  </w:tcPr>
                  <w:p>
                    <w:pPr>
                      <w:ind w:right="73"/>
                      <w:jc w:val="right"/>
                      <w:rPr>
                        <w:szCs w:val="21"/>
                      </w:rPr>
                    </w:pPr>
                    <w:r>
                      <w:t>7,315,693.73</w:t>
                    </w:r>
                  </w:p>
                </w:tc>
                <w:tc>
                  <w:tcPr>
                    <w:tcW w:w="1469" w:type="pct"/>
                    <w:vAlign w:val="center"/>
                  </w:tcPr>
                  <w:p>
                    <w:pPr>
                      <w:ind w:right="73"/>
                      <w:jc w:val="both"/>
                      <w:rPr>
                        <w:szCs w:val="21"/>
                      </w:rPr>
                    </w:pPr>
                    <w:r>
                      <w:t>0-6个月</w:t>
                    </w:r>
                  </w:p>
                </w:tc>
                <w:tc>
                  <w:tcPr>
                    <w:tcW w:w="651" w:type="pct"/>
                    <w:vAlign w:val="center"/>
                  </w:tcPr>
                  <w:p>
                    <w:pPr>
                      <w:jc w:val="right"/>
                      <w:rPr>
                        <w:sz w:val="24"/>
                      </w:rPr>
                    </w:pPr>
                    <w:r>
                      <w:t>1.20</w:t>
                    </w:r>
                  </w:p>
                </w:tc>
                <w:tc>
                  <w:tcPr>
                    <w:tcW w:w="871" w:type="pct"/>
                    <w:vAlign w:val="center"/>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4deb9938e6642aa874e012c75286fee"/>
                <w:id w:val="847365886"/>
                <w:lock w:val="sdtLocked"/>
              </w:sdtPr>
              <w:sdtContent>
                <w:tc>
                  <w:tcPr>
                    <w:tcW w:w="541" w:type="pct"/>
                    <w:vAlign w:val="center"/>
                  </w:tcPr>
                  <w:p>
                    <w:pPr>
                      <w:ind w:right="105"/>
                      <w:jc w:val="both"/>
                      <w:rPr>
                        <w:szCs w:val="21"/>
                      </w:rPr>
                    </w:pPr>
                    <w:r>
                      <w:rPr>
                        <w:rFonts w:hint="eastAsia"/>
                        <w:szCs w:val="21"/>
                      </w:rPr>
                      <w:t>合计</w:t>
                    </w:r>
                  </w:p>
                </w:tc>
              </w:sdtContent>
            </w:sdt>
            <w:tc>
              <w:tcPr>
                <w:tcW w:w="557" w:type="pct"/>
                <w:vAlign w:val="center"/>
              </w:tcPr>
              <w:p>
                <w:pPr>
                  <w:ind w:right="73"/>
                  <w:jc w:val="both"/>
                  <w:rPr>
                    <w:szCs w:val="21"/>
                  </w:rPr>
                </w:pPr>
              </w:p>
            </w:tc>
            <w:tc>
              <w:tcPr>
                <w:tcW w:w="909" w:type="pct"/>
                <w:vAlign w:val="center"/>
              </w:tcPr>
              <w:p>
                <w:pPr>
                  <w:jc w:val="right"/>
                  <w:rPr>
                    <w:sz w:val="24"/>
                  </w:rPr>
                </w:pPr>
                <w:r>
                  <w:t>543,007,734.51</w:t>
                </w:r>
              </w:p>
            </w:tc>
            <w:tc>
              <w:tcPr>
                <w:tcW w:w="1469" w:type="pct"/>
                <w:vAlign w:val="center"/>
              </w:tcPr>
              <w:p>
                <w:pPr>
                  <w:jc w:val="both"/>
                  <w:rPr>
                    <w:sz w:val="24"/>
                  </w:rPr>
                </w:pPr>
              </w:p>
            </w:tc>
            <w:tc>
              <w:tcPr>
                <w:tcW w:w="651" w:type="pct"/>
                <w:vAlign w:val="center"/>
              </w:tcPr>
              <w:p>
                <w:pPr>
                  <w:jc w:val="right"/>
                  <w:rPr>
                    <w:sz w:val="24"/>
                  </w:rPr>
                </w:pPr>
                <w:r>
                  <w:t>89.18</w:t>
                </w:r>
              </w:p>
            </w:tc>
            <w:tc>
              <w:tcPr>
                <w:tcW w:w="871" w:type="pct"/>
                <w:vAlign w:val="center"/>
              </w:tcPr>
              <w:p>
                <w:pPr>
                  <w:jc w:val="right"/>
                  <w:rPr>
                    <w:szCs w:val="21"/>
                  </w:rPr>
                </w:pPr>
                <w:r>
                  <w:rPr>
                    <w:szCs w:val="21"/>
                  </w:rPr>
                  <w:t>271,470,309.40</w:t>
                </w:r>
              </w:p>
            </w:tc>
          </w:tr>
        </w:tbl>
        <w:p>
          <w:pPr>
            <w:snapToGrid w:val="0"/>
            <w:spacing w:line="240" w:lineRule="atLeast"/>
          </w:pPr>
        </w:p>
      </w:sdtContent>
    </w:sdt>
    <w:sdt>
      <w:sdtPr>
        <w:rPr>
          <w:rFonts w:hint="eastAsia" w:ascii="宋体" w:hAnsi="宋体" w:eastAsia="宋体" w:cs="宋体"/>
          <w:b w:val="0"/>
          <w:bCs w:val="0"/>
          <w:kern w:val="0"/>
          <w:szCs w:val="24"/>
        </w:rPr>
        <w:alias w:val="模块:按应收金额确认的政府补助"/>
        <w:tag w:val="_SEC_7f884e5815904873b956a469c8376ddc"/>
        <w:id w:val="1311140165"/>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81"/>
            </w:numPr>
            <w:ind w:left="426" w:hanging="426"/>
          </w:pPr>
          <w:r>
            <w:rPr>
              <w:rFonts w:hint="eastAsia"/>
            </w:rPr>
            <w:t>涉及政府补助的应收款项</w:t>
          </w:r>
        </w:p>
        <w:sdt>
          <w:sdtPr>
            <w:alias w:val="是否适用：涉及政府补助的应收款项[双击切换]"/>
            <w:tag w:val="_GBC_827b87f85d804f17ad2db9164b31e41a"/>
            <w:id w:val="-194283420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rFonts w:ascii="Times New Roman" w:hAnsi="Times New Roman"/>
            </w:rPr>
          </w:pPr>
        </w:p>
      </w:sdtContent>
    </w:sdt>
    <w:sdt>
      <w:sdtPr>
        <w:rPr>
          <w:rFonts w:ascii="Times New Roman" w:hAnsi="Times New Roman" w:eastAsia="宋体" w:cs="宋体"/>
          <w:b w:val="0"/>
          <w:bCs w:val="0"/>
          <w:kern w:val="0"/>
          <w:szCs w:val="24"/>
        </w:rPr>
        <w:alias w:val="模块:因金融资产转移而终止确认的其他应收款"/>
        <w:tag w:val="_SEC_b4e92d47ce454acbba1241413cf48897"/>
        <w:id w:val="-2046368495"/>
        <w:lock w:val="sdtLocked"/>
        <w:placeholder>
          <w:docPart w:val="GBC22222222222222222222222222222"/>
        </w:placeholder>
      </w:sdtPr>
      <w:sdtEndPr>
        <w:rPr>
          <w:rFonts w:ascii="Times New Roman" w:hAnsi="Times New Roman" w:eastAsia="宋体" w:cs="宋体"/>
          <w:b w:val="0"/>
          <w:bCs w:val="0"/>
          <w:kern w:val="0"/>
          <w:szCs w:val="24"/>
        </w:rPr>
      </w:sdtEndPr>
      <w:sdtContent>
        <w:p>
          <w:pPr>
            <w:pStyle w:val="214"/>
            <w:numPr>
              <w:ilvl w:val="3"/>
              <w:numId w:val="81"/>
            </w:numPr>
            <w:ind w:left="426" w:hanging="426"/>
          </w:pPr>
          <w:r>
            <w:rPr>
              <w:rFonts w:hint="eastAsia"/>
            </w:rPr>
            <w:t>因金融资产转移而终止确认的其他应收款</w:t>
          </w:r>
        </w:p>
        <w:sdt>
          <w:sdtPr>
            <w:rPr>
              <w:rFonts w:hint="eastAsia"/>
              <w:szCs w:val="21"/>
            </w:rPr>
            <w:alias w:val="是否适用：因金融资产转移而终止确认的其他应收款[双击切换]"/>
            <w:tag w:val="_GBC_2356c87f6afd4bf2abba2685572831dc"/>
            <w:id w:val="-861124381"/>
            <w:lock w:val="sdtLocked"/>
            <w:placeholder>
              <w:docPart w:val="GBC22222222222222222222222222222"/>
            </w:placeholder>
          </w:sdtPr>
          <w:sdtEndPr>
            <w:rPr>
              <w:rFonts w:hint="eastAsia"/>
              <w:szCs w:val="21"/>
            </w:rPr>
          </w:sdtEndPr>
          <w:sdtContent>
            <w:p>
              <w:pPr>
                <w:ind w:right="57"/>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Times New Roman" w:hAnsi="Times New Roman" w:eastAsia="宋体" w:cs="宋体"/>
          <w:b w:val="0"/>
          <w:bCs w:val="0"/>
          <w:kern w:val="0"/>
          <w:szCs w:val="24"/>
        </w:rPr>
        <w:alias w:val="模块:转移其他应收款且继续涉入形成的资产、负债金额的说明"/>
        <w:tag w:val="_SEC_92e24bbe4f564b40858a76aac5222baf"/>
        <w:id w:val="-383176335"/>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81"/>
            </w:numPr>
            <w:ind w:left="426" w:hanging="426"/>
          </w:pPr>
          <w:r>
            <w:rPr>
              <w:rFonts w:hint="eastAsia"/>
            </w:rPr>
            <w:t>转移其他应收款且继续涉入形成的资产、负债的金额</w:t>
          </w:r>
        </w:p>
        <w:sdt>
          <w:sdtPr>
            <w:rPr>
              <w:rFonts w:hint="eastAsia"/>
              <w:szCs w:val="21"/>
            </w:rPr>
            <w:alias w:val="是否适用：转移其他应收款且继续涉入形成的资产、负债的金额[双击切换]"/>
            <w:tag w:val="_GBC_6da3b3dd704e45689d462a159df53651"/>
            <w:id w:val="69466272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Times New Roman" w:hAnsi="Times New Roman"/>
          <w:b/>
          <w:bCs/>
        </w:rPr>
        <w:alias w:val="模块:其他应收款其他说明"/>
        <w:tag w:val="_SEC_ca3c9a9eec87490e8f1dd55c9f575f92"/>
        <w:id w:val="-671034010"/>
        <w:lock w:val="sdtLocked"/>
        <w:placeholder>
          <w:docPart w:val="GBC22222222222222222222222222222"/>
        </w:placeholder>
      </w:sdtPr>
      <w:sdtEndPr>
        <w:rPr>
          <w:rFonts w:hint="eastAsia" w:ascii="Times New Roman" w:hAnsi="Times New Roman"/>
          <w:b w:val="0"/>
          <w:bCs w:val="0"/>
        </w:rPr>
      </w:sdtEndPr>
      <w:sdtContent>
        <w:p>
          <w:r>
            <w:rPr>
              <w:rFonts w:hint="eastAsia"/>
            </w:rPr>
            <w:t>其他</w:t>
          </w:r>
          <w:r>
            <w:t>说明：</w:t>
          </w:r>
        </w:p>
        <w:sdt>
          <w:sdtPr>
            <w:rPr>
              <w:rFonts w:hint="eastAsia"/>
              <w:szCs w:val="21"/>
            </w:rPr>
            <w:alias w:val="是否适用：其他应收款的其他说明[双击切换]"/>
            <w:tag w:val="_GBC_f19370687b664bbeafd6d2809311f81e"/>
            <w:id w:val="22165291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213"/>
        <w:numPr>
          <w:ilvl w:val="0"/>
          <w:numId w:val="77"/>
        </w:numPr>
      </w:pPr>
      <w:r>
        <w:rPr>
          <w:rFonts w:hint="eastAsia"/>
        </w:rPr>
        <w:t>存货</w:t>
      </w:r>
    </w:p>
    <w:sdt>
      <w:sdtPr>
        <w:rPr>
          <w:rFonts w:hint="eastAsia" w:eastAsia="宋体" w:cs="宋体" w:asciiTheme="minorHAnsi" w:hAnsiTheme="minorHAnsi"/>
          <w:b w:val="0"/>
          <w:bCs w:val="0"/>
          <w:kern w:val="0"/>
          <w:szCs w:val="22"/>
        </w:rPr>
        <w:alias w:val="模块:存货分类 "/>
        <w:tag w:val="_SEC_db208c50ef2347fc8318ac3ce516f8f3"/>
        <w:id w:val="230816990"/>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3"/>
            </w:numPr>
            <w:ind w:left="426" w:hanging="426"/>
          </w:pPr>
          <w:bookmarkStart w:id="160" w:name="_Hlk24116366"/>
          <w:bookmarkStart w:id="161" w:name="_Hlk532992451"/>
          <w:r>
            <w:rPr>
              <w:rFonts w:hint="eastAsia"/>
            </w:rPr>
            <w:t>存货分类</w:t>
          </w:r>
        </w:p>
        <w:sdt>
          <w:sdtPr>
            <w:alias w:val="是否适用：存货分类[双击切换]"/>
            <w:tag w:val="_GBC_357bbe1b1f034d20ba175209243f1121"/>
            <w:id w:val="25617873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存货分类"/>
              <w:tag w:val="_GBC_d8d041ff281d42b2825673de12d9cf99"/>
              <w:id w:val="-122837397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20987448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p>
          <w:pPr>
            <w:rPr>
              <w:szCs w:val="21"/>
            </w:rPr>
          </w:pPr>
        </w:p>
        <w:tbl>
          <w:tblPr>
            <w:tblStyle w:val="110"/>
            <w:tblW w:w="6485" w:type="pct"/>
            <w:tblInd w:w="-13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703"/>
            <w:gridCol w:w="1560"/>
            <w:gridCol w:w="1703"/>
            <w:gridCol w:w="1699"/>
            <w:gridCol w:w="1562"/>
            <w:gridCol w:w="1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7ef81863f9f475b86b8ee43ac7e9274"/>
                <w:id w:val="1822381764"/>
                <w:lock w:val="sdtLocked"/>
              </w:sdtPr>
              <w:sdtContent>
                <w:tc>
                  <w:tcPr>
                    <w:tcW w:w="513" w:type="pct"/>
                    <w:vMerge w:val="restart"/>
                    <w:vAlign w:val="center"/>
                  </w:tcPr>
                  <w:p>
                    <w:pPr>
                      <w:jc w:val="center"/>
                      <w:rPr>
                        <w:szCs w:val="21"/>
                      </w:rPr>
                    </w:pPr>
                    <w:r>
                      <w:rPr>
                        <w:rFonts w:hint="eastAsia"/>
                        <w:szCs w:val="21"/>
                      </w:rPr>
                      <w:t>项目</w:t>
                    </w:r>
                  </w:p>
                </w:tc>
              </w:sdtContent>
            </w:sdt>
            <w:sdt>
              <w:sdtPr>
                <w:tag w:val="_PLD_68fbd4316a69442d924038f565882f99"/>
                <w:id w:val="-420718108"/>
                <w:lock w:val="sdtLocked"/>
              </w:sdtPr>
              <w:sdtContent>
                <w:tc>
                  <w:tcPr>
                    <w:tcW w:w="2245" w:type="pct"/>
                    <w:gridSpan w:val="3"/>
                    <w:vAlign w:val="center"/>
                  </w:tcPr>
                  <w:p>
                    <w:pPr>
                      <w:jc w:val="center"/>
                      <w:rPr>
                        <w:szCs w:val="21"/>
                      </w:rPr>
                    </w:pPr>
                    <w:r>
                      <w:rPr>
                        <w:rFonts w:hint="eastAsia"/>
                        <w:szCs w:val="21"/>
                      </w:rPr>
                      <w:t>期末余额</w:t>
                    </w:r>
                  </w:p>
                </w:tc>
              </w:sdtContent>
            </w:sdt>
            <w:sdt>
              <w:sdtPr>
                <w:tag w:val="_PLD_39f6313de32c45ce95b6a2ef18238d4a"/>
                <w:id w:val="-917552001"/>
                <w:lock w:val="sdtLocked"/>
              </w:sdtPr>
              <w:sdtContent>
                <w:tc>
                  <w:tcPr>
                    <w:tcW w:w="2243" w:type="pct"/>
                    <w:gridSpan w:val="3"/>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vMerge w:val="continue"/>
              </w:tcPr>
              <w:p>
                <w:pPr>
                  <w:ind w:right="5"/>
                  <w:jc w:val="center"/>
                  <w:rPr>
                    <w:szCs w:val="21"/>
                  </w:rPr>
                </w:pPr>
              </w:p>
            </w:tc>
            <w:sdt>
              <w:sdtPr>
                <w:tag w:val="_PLD_73436d894fc444d5b519a3b75a689324"/>
                <w:id w:val="-49314371"/>
                <w:lock w:val="sdtLocked"/>
              </w:sdtPr>
              <w:sdtContent>
                <w:tc>
                  <w:tcPr>
                    <w:tcW w:w="770" w:type="pct"/>
                    <w:vAlign w:val="center"/>
                  </w:tcPr>
                  <w:p>
                    <w:pPr>
                      <w:ind w:right="5"/>
                      <w:jc w:val="center"/>
                      <w:rPr>
                        <w:szCs w:val="21"/>
                      </w:rPr>
                    </w:pPr>
                    <w:r>
                      <w:rPr>
                        <w:rFonts w:hint="eastAsia"/>
                        <w:szCs w:val="21"/>
                      </w:rPr>
                      <w:t>账面余额</w:t>
                    </w:r>
                  </w:p>
                </w:tc>
              </w:sdtContent>
            </w:sdt>
            <w:tc>
              <w:tcPr>
                <w:tcW w:w="705" w:type="pct"/>
                <w:vAlign w:val="center"/>
              </w:tcPr>
              <w:p>
                <w:pPr>
                  <w:ind w:right="5"/>
                  <w:jc w:val="center"/>
                  <w:rPr>
                    <w:szCs w:val="21"/>
                  </w:rPr>
                </w:pPr>
                <w:sdt>
                  <w:sdtPr>
                    <w:tag w:val="_PLD_09cd496fa8624ad4a9538b5b209e6d5a"/>
                    <w:id w:val="-26572186"/>
                    <w:lock w:val="sdtLocked"/>
                  </w:sdtPr>
                  <w:sdtContent>
                    <w:r>
                      <w:rPr>
                        <w:rFonts w:hint="eastAsia"/>
                        <w:szCs w:val="21"/>
                      </w:rPr>
                      <w:t>存货跌价准备</w:t>
                    </w:r>
                    <w:r>
                      <w:rPr>
                        <w:szCs w:val="21"/>
                      </w:rPr>
                      <w:t>/合同履约成本减值准备</w:t>
                    </w:r>
                  </w:sdtContent>
                </w:sdt>
              </w:p>
            </w:tc>
            <w:sdt>
              <w:sdtPr>
                <w:tag w:val="_PLD_2c7532c412cf491899c310ef9902157e"/>
                <w:id w:val="-792216590"/>
                <w:lock w:val="sdtLocked"/>
              </w:sdtPr>
              <w:sdtContent>
                <w:tc>
                  <w:tcPr>
                    <w:tcW w:w="770" w:type="pct"/>
                    <w:vAlign w:val="center"/>
                  </w:tcPr>
                  <w:p>
                    <w:pPr>
                      <w:ind w:right="5"/>
                      <w:jc w:val="center"/>
                      <w:rPr>
                        <w:szCs w:val="21"/>
                      </w:rPr>
                    </w:pPr>
                    <w:r>
                      <w:rPr>
                        <w:rFonts w:hint="eastAsia"/>
                        <w:szCs w:val="21"/>
                      </w:rPr>
                      <w:t>账面价值</w:t>
                    </w:r>
                  </w:p>
                </w:tc>
              </w:sdtContent>
            </w:sdt>
            <w:sdt>
              <w:sdtPr>
                <w:tag w:val="_PLD_6c2924a6d3da466f96c5c2e2f2d81de1"/>
                <w:id w:val="-1878452612"/>
                <w:lock w:val="sdtLocked"/>
              </w:sdtPr>
              <w:sdtContent>
                <w:tc>
                  <w:tcPr>
                    <w:tcW w:w="768" w:type="pct"/>
                    <w:vAlign w:val="center"/>
                  </w:tcPr>
                  <w:p>
                    <w:pPr>
                      <w:ind w:right="5"/>
                      <w:jc w:val="center"/>
                      <w:rPr>
                        <w:szCs w:val="21"/>
                      </w:rPr>
                    </w:pPr>
                    <w:r>
                      <w:rPr>
                        <w:rFonts w:hint="eastAsia"/>
                        <w:szCs w:val="21"/>
                      </w:rPr>
                      <w:t>账面余额</w:t>
                    </w:r>
                  </w:p>
                </w:tc>
              </w:sdtContent>
            </w:sdt>
            <w:tc>
              <w:tcPr>
                <w:tcW w:w="706" w:type="pct"/>
                <w:vAlign w:val="center"/>
              </w:tcPr>
              <w:p>
                <w:pPr>
                  <w:ind w:right="5"/>
                  <w:jc w:val="center"/>
                  <w:rPr>
                    <w:szCs w:val="21"/>
                  </w:rPr>
                </w:pPr>
                <w:sdt>
                  <w:sdtPr>
                    <w:tag w:val="_PLD_e5df78ba36d146dfb7eedab7ddd98031"/>
                    <w:id w:val="-740789686"/>
                    <w:lock w:val="sdtLocked"/>
                  </w:sdtPr>
                  <w:sdtContent>
                    <w:r>
                      <w:rPr>
                        <w:rFonts w:hint="eastAsia"/>
                      </w:rPr>
                      <w:t>存货跌价准备</w:t>
                    </w:r>
                    <w:r>
                      <w:rPr>
                        <w:szCs w:val="21"/>
                      </w:rPr>
                      <w:t>/合同履约成本减值准备</w:t>
                    </w:r>
                  </w:sdtContent>
                </w:sdt>
              </w:p>
            </w:tc>
            <w:sdt>
              <w:sdtPr>
                <w:tag w:val="_PLD_ba07e513b5504e03b2dcef7d8421fa16"/>
                <w:id w:val="-588771896"/>
                <w:lock w:val="sdtLocked"/>
              </w:sdtPr>
              <w:sdtContent>
                <w:tc>
                  <w:tcPr>
                    <w:tcW w:w="769" w:type="pct"/>
                    <w:vAlign w:val="center"/>
                  </w:tcPr>
                  <w:p>
                    <w:pPr>
                      <w:ind w:right="5"/>
                      <w:jc w:val="center"/>
                      <w:rPr>
                        <w:szCs w:val="21"/>
                      </w:rPr>
                    </w:pPr>
                    <w:r>
                      <w:rPr>
                        <w:rFonts w:hint="eastAsia"/>
                        <w:szCs w:val="21"/>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hint="eastAsia" w:asciiTheme="minorEastAsia" w:hAnsiTheme="minorEastAsia" w:eastAsiaTheme="minorEastAsia"/>
                    <w:sz w:val="18"/>
                    <w:szCs w:val="18"/>
                  </w:rPr>
                  <w:t>原材料</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365,636,973.20</w:t>
                </w:r>
              </w:p>
            </w:tc>
            <w:tc>
              <w:tcPr>
                <w:tcW w:w="705"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179,616,698.05</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186,020,275.15</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383,585,184.98</w:t>
                </w:r>
              </w:p>
            </w:tc>
            <w:tc>
              <w:tcPr>
                <w:tcW w:w="706"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196,853,058.12</w:t>
                </w: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186,732,126.86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hint="eastAsia" w:asciiTheme="minorEastAsia" w:hAnsiTheme="minorEastAsia" w:eastAsiaTheme="minorEastAsia"/>
                    <w:sz w:val="18"/>
                    <w:szCs w:val="18"/>
                  </w:rPr>
                  <w:t>在产品</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193,107,006.78</w:t>
                </w:r>
              </w:p>
            </w:tc>
            <w:tc>
              <w:tcPr>
                <w:tcW w:w="705"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142,924,989.37</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50,182,017.41</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174,360,345.76</w:t>
                </w:r>
              </w:p>
            </w:tc>
            <w:tc>
              <w:tcPr>
                <w:tcW w:w="706"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143,652,702.82</w:t>
                </w: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30,707,642.94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hint="eastAsia" w:asciiTheme="minorEastAsia" w:hAnsiTheme="minorEastAsia" w:eastAsiaTheme="minorEastAsia"/>
                    <w:sz w:val="18"/>
                    <w:szCs w:val="18"/>
                  </w:rPr>
                  <w:t>库存商品</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327,481,522.60</w:t>
                </w:r>
              </w:p>
            </w:tc>
            <w:tc>
              <w:tcPr>
                <w:tcW w:w="705"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81,186,779.24</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246,294,743.36</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387,290,193.82</w:t>
                </w:r>
              </w:p>
            </w:tc>
            <w:tc>
              <w:tcPr>
                <w:tcW w:w="706"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166,551,626.17</w:t>
                </w: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220,738,567.65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autoSpaceDE w:val="0"/>
                  <w:autoSpaceDN w:val="0"/>
                  <w:adjustRightInd w:val="0"/>
                  <w:rPr>
                    <w:rFonts w:asciiTheme="minorEastAsia" w:hAnsiTheme="minorEastAsia" w:eastAsiaTheme="minorEastAsia"/>
                    <w:sz w:val="18"/>
                    <w:szCs w:val="18"/>
                  </w:rPr>
                </w:pPr>
                <w:r>
                  <w:rPr>
                    <w:rFonts w:hint="eastAsia" w:asciiTheme="minorEastAsia" w:hAnsiTheme="minorEastAsia" w:eastAsiaTheme="minorEastAsia"/>
                    <w:sz w:val="18"/>
                    <w:szCs w:val="18"/>
                  </w:rPr>
                  <w:t>周转材料</w:t>
                </w:r>
              </w:p>
            </w:tc>
            <w:tc>
              <w:tcPr>
                <w:tcW w:w="770" w:type="pct"/>
                <w:vAlign w:val="center"/>
              </w:tcPr>
              <w:p>
                <w:pPr>
                  <w:jc w:val="right"/>
                  <w:rPr>
                    <w:rFonts w:asciiTheme="minorEastAsia" w:hAnsiTheme="minorEastAsia" w:eastAsiaTheme="minorEastAsia"/>
                    <w:sz w:val="18"/>
                    <w:szCs w:val="18"/>
                  </w:rPr>
                </w:pPr>
              </w:p>
            </w:tc>
            <w:tc>
              <w:tcPr>
                <w:tcW w:w="705" w:type="pct"/>
                <w:vAlign w:val="center"/>
              </w:tcPr>
              <w:p>
                <w:pPr>
                  <w:jc w:val="right"/>
                  <w:rPr>
                    <w:rFonts w:asciiTheme="minorEastAsia" w:hAnsiTheme="minorEastAsia" w:eastAsiaTheme="minorEastAsia"/>
                    <w:sz w:val="18"/>
                    <w:szCs w:val="18"/>
                  </w:rPr>
                </w:pPr>
              </w:p>
            </w:tc>
            <w:tc>
              <w:tcPr>
                <w:tcW w:w="770" w:type="pct"/>
                <w:vAlign w:val="center"/>
              </w:tcPr>
              <w:p>
                <w:pPr>
                  <w:jc w:val="right"/>
                  <w:rPr>
                    <w:rFonts w:asciiTheme="minorEastAsia" w:hAnsiTheme="minorEastAsia" w:eastAsiaTheme="minorEastAsia"/>
                    <w:sz w:val="18"/>
                    <w:szCs w:val="18"/>
                  </w:rPr>
                </w:pPr>
              </w:p>
            </w:tc>
            <w:tc>
              <w:tcPr>
                <w:tcW w:w="768" w:type="pct"/>
                <w:vAlign w:val="center"/>
              </w:tcPr>
              <w:p>
                <w:pPr>
                  <w:ind w:right="5"/>
                  <w:jc w:val="right"/>
                  <w:rPr>
                    <w:rFonts w:asciiTheme="minorEastAsia" w:hAnsiTheme="minorEastAsia" w:eastAsiaTheme="minorEastAsia"/>
                    <w:sz w:val="18"/>
                    <w:szCs w:val="18"/>
                  </w:rPr>
                </w:pPr>
              </w:p>
            </w:tc>
            <w:tc>
              <w:tcPr>
                <w:tcW w:w="706" w:type="pct"/>
                <w:vAlign w:val="center"/>
              </w:tcPr>
              <w:p>
                <w:pPr>
                  <w:ind w:right="5"/>
                  <w:jc w:val="right"/>
                  <w:rPr>
                    <w:rFonts w:asciiTheme="minorEastAsia" w:hAnsiTheme="minorEastAsia" w:eastAsiaTheme="minorEastAsia"/>
                    <w:sz w:val="18"/>
                    <w:szCs w:val="18"/>
                  </w:rPr>
                </w:pPr>
              </w:p>
            </w:tc>
            <w:tc>
              <w:tcPr>
                <w:tcW w:w="769" w:type="pct"/>
                <w:vAlign w:val="center"/>
              </w:tcPr>
              <w:p>
                <w:pPr>
                  <w:ind w:right="5"/>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autoSpaceDE w:val="0"/>
                  <w:autoSpaceDN w:val="0"/>
                  <w:adjustRightInd w:val="0"/>
                  <w:rPr>
                    <w:rFonts w:asciiTheme="minorEastAsia" w:hAnsiTheme="minorEastAsia" w:eastAsiaTheme="minorEastAsia"/>
                    <w:sz w:val="18"/>
                    <w:szCs w:val="18"/>
                  </w:rPr>
                </w:pPr>
                <w:r>
                  <w:rPr>
                    <w:rFonts w:hint="eastAsia" w:asciiTheme="minorEastAsia" w:hAnsiTheme="minorEastAsia" w:eastAsiaTheme="minorEastAsia"/>
                    <w:sz w:val="18"/>
                    <w:szCs w:val="18"/>
                  </w:rPr>
                  <w:t>消耗性生物资产</w:t>
                </w:r>
              </w:p>
            </w:tc>
            <w:tc>
              <w:tcPr>
                <w:tcW w:w="770" w:type="pct"/>
                <w:vAlign w:val="center"/>
              </w:tcPr>
              <w:p>
                <w:pPr>
                  <w:jc w:val="right"/>
                  <w:rPr>
                    <w:rFonts w:asciiTheme="minorEastAsia" w:hAnsiTheme="minorEastAsia" w:eastAsiaTheme="minorEastAsia"/>
                    <w:sz w:val="18"/>
                    <w:szCs w:val="18"/>
                  </w:rPr>
                </w:pPr>
              </w:p>
            </w:tc>
            <w:tc>
              <w:tcPr>
                <w:tcW w:w="705" w:type="pct"/>
                <w:vAlign w:val="center"/>
              </w:tcPr>
              <w:p>
                <w:pPr>
                  <w:jc w:val="right"/>
                  <w:rPr>
                    <w:rFonts w:asciiTheme="minorEastAsia" w:hAnsiTheme="minorEastAsia" w:eastAsiaTheme="minorEastAsia"/>
                    <w:sz w:val="18"/>
                    <w:szCs w:val="18"/>
                  </w:rPr>
                </w:pPr>
              </w:p>
            </w:tc>
            <w:tc>
              <w:tcPr>
                <w:tcW w:w="770" w:type="pct"/>
                <w:vAlign w:val="center"/>
              </w:tcPr>
              <w:p>
                <w:pPr>
                  <w:jc w:val="right"/>
                  <w:rPr>
                    <w:rFonts w:asciiTheme="minorEastAsia" w:hAnsiTheme="minorEastAsia" w:eastAsiaTheme="minorEastAsia"/>
                    <w:sz w:val="18"/>
                    <w:szCs w:val="18"/>
                  </w:rPr>
                </w:pPr>
              </w:p>
            </w:tc>
            <w:tc>
              <w:tcPr>
                <w:tcW w:w="768" w:type="pct"/>
                <w:vAlign w:val="center"/>
              </w:tcPr>
              <w:p>
                <w:pPr>
                  <w:ind w:right="5"/>
                  <w:jc w:val="right"/>
                  <w:rPr>
                    <w:rFonts w:asciiTheme="minorEastAsia" w:hAnsiTheme="minorEastAsia" w:eastAsiaTheme="minorEastAsia"/>
                    <w:sz w:val="18"/>
                    <w:szCs w:val="18"/>
                  </w:rPr>
                </w:pPr>
              </w:p>
            </w:tc>
            <w:tc>
              <w:tcPr>
                <w:tcW w:w="706" w:type="pct"/>
                <w:vAlign w:val="center"/>
              </w:tcPr>
              <w:p>
                <w:pPr>
                  <w:ind w:right="5"/>
                  <w:jc w:val="right"/>
                  <w:rPr>
                    <w:rFonts w:asciiTheme="minorEastAsia" w:hAnsiTheme="minorEastAsia" w:eastAsiaTheme="minorEastAsia"/>
                    <w:sz w:val="18"/>
                    <w:szCs w:val="18"/>
                  </w:rPr>
                </w:pPr>
              </w:p>
            </w:tc>
            <w:tc>
              <w:tcPr>
                <w:tcW w:w="769" w:type="pct"/>
                <w:vAlign w:val="center"/>
              </w:tcPr>
              <w:p>
                <w:pPr>
                  <w:ind w:right="5"/>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autoSpaceDE w:val="0"/>
                  <w:autoSpaceDN w:val="0"/>
                  <w:adjustRightInd w:val="0"/>
                  <w:rPr>
                    <w:rFonts w:asciiTheme="minorEastAsia" w:hAnsiTheme="minorEastAsia" w:eastAsiaTheme="minorEastAsia"/>
                    <w:sz w:val="18"/>
                    <w:szCs w:val="18"/>
                  </w:rPr>
                </w:pPr>
                <w:r>
                  <w:rPr>
                    <w:rFonts w:hint="eastAsia" w:asciiTheme="minorEastAsia" w:hAnsiTheme="minorEastAsia" w:eastAsiaTheme="minorEastAsia"/>
                    <w:sz w:val="18"/>
                    <w:szCs w:val="18"/>
                  </w:rPr>
                  <w:t>合同履约成本</w:t>
                </w:r>
              </w:p>
            </w:tc>
            <w:tc>
              <w:tcPr>
                <w:tcW w:w="770" w:type="pct"/>
                <w:vAlign w:val="center"/>
              </w:tcPr>
              <w:p>
                <w:pPr>
                  <w:ind w:right="5"/>
                  <w:jc w:val="right"/>
                  <w:rPr>
                    <w:rFonts w:asciiTheme="minorEastAsia" w:hAnsiTheme="minorEastAsia" w:eastAsiaTheme="minorEastAsia"/>
                    <w:sz w:val="18"/>
                    <w:szCs w:val="18"/>
                  </w:rPr>
                </w:pPr>
              </w:p>
            </w:tc>
            <w:tc>
              <w:tcPr>
                <w:tcW w:w="705" w:type="pct"/>
                <w:vAlign w:val="center"/>
              </w:tcPr>
              <w:p>
                <w:pPr>
                  <w:ind w:right="5"/>
                  <w:jc w:val="right"/>
                  <w:rPr>
                    <w:rFonts w:asciiTheme="minorEastAsia" w:hAnsiTheme="minorEastAsia" w:eastAsiaTheme="minorEastAsia"/>
                    <w:sz w:val="18"/>
                    <w:szCs w:val="18"/>
                  </w:rPr>
                </w:pPr>
              </w:p>
            </w:tc>
            <w:tc>
              <w:tcPr>
                <w:tcW w:w="770" w:type="pct"/>
                <w:vAlign w:val="center"/>
              </w:tcPr>
              <w:p>
                <w:pPr>
                  <w:ind w:right="5"/>
                  <w:jc w:val="right"/>
                  <w:rPr>
                    <w:rFonts w:asciiTheme="minorEastAsia" w:hAnsiTheme="minorEastAsia" w:eastAsiaTheme="minorEastAsia"/>
                    <w:sz w:val="18"/>
                    <w:szCs w:val="18"/>
                  </w:rPr>
                </w:pPr>
              </w:p>
            </w:tc>
            <w:tc>
              <w:tcPr>
                <w:tcW w:w="768" w:type="pct"/>
                <w:vAlign w:val="center"/>
              </w:tcPr>
              <w:p>
                <w:pPr>
                  <w:ind w:right="5"/>
                  <w:jc w:val="right"/>
                  <w:rPr>
                    <w:rFonts w:asciiTheme="minorEastAsia" w:hAnsiTheme="minorEastAsia" w:eastAsiaTheme="minorEastAsia"/>
                    <w:sz w:val="18"/>
                    <w:szCs w:val="18"/>
                  </w:rPr>
                </w:pPr>
              </w:p>
            </w:tc>
            <w:tc>
              <w:tcPr>
                <w:tcW w:w="706" w:type="pct"/>
                <w:vAlign w:val="center"/>
              </w:tcPr>
              <w:p>
                <w:pPr>
                  <w:ind w:right="5"/>
                  <w:jc w:val="right"/>
                  <w:rPr>
                    <w:rFonts w:asciiTheme="minorEastAsia" w:hAnsiTheme="minorEastAsia" w:eastAsiaTheme="minorEastAsia"/>
                    <w:sz w:val="18"/>
                    <w:szCs w:val="18"/>
                  </w:rPr>
                </w:pPr>
              </w:p>
            </w:tc>
            <w:tc>
              <w:tcPr>
                <w:tcW w:w="769" w:type="pct"/>
                <w:vAlign w:val="center"/>
              </w:tcPr>
              <w:p>
                <w:pPr>
                  <w:ind w:right="5"/>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asciiTheme="minorEastAsia" w:hAnsiTheme="minorEastAsia" w:eastAsiaTheme="minorEastAsia"/>
                    <w:sz w:val="18"/>
                    <w:szCs w:val="18"/>
                  </w:rPr>
                  <w:t>低值易耗品</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147,113.00</w:t>
                </w:r>
              </w:p>
            </w:tc>
            <w:tc>
              <w:tcPr>
                <w:tcW w:w="705"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80,605.22</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66,507.78</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65,561.82</w:t>
                </w:r>
              </w:p>
            </w:tc>
            <w:tc>
              <w:tcPr>
                <w:tcW w:w="706"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65,561.82</w:t>
                </w:r>
              </w:p>
            </w:tc>
            <w:tc>
              <w:tcPr>
                <w:tcW w:w="769" w:type="pct"/>
                <w:vAlign w:val="center"/>
              </w:tcPr>
              <w:p>
                <w:pPr>
                  <w:ind w:right="5"/>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asciiTheme="minorEastAsia" w:hAnsiTheme="minorEastAsia" w:eastAsiaTheme="minorEastAsia"/>
                    <w:sz w:val="18"/>
                    <w:szCs w:val="18"/>
                  </w:rPr>
                  <w:t>委托加工物资</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3,381,969.38</w:t>
                </w:r>
              </w:p>
            </w:tc>
            <w:tc>
              <w:tcPr>
                <w:tcW w:w="705"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234,180.47</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3,147,788.91</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3,871,979.59</w:t>
                </w:r>
              </w:p>
            </w:tc>
            <w:tc>
              <w:tcPr>
                <w:tcW w:w="706" w:type="pct"/>
                <w:vAlign w:val="center"/>
              </w:tcPr>
              <w:p>
                <w:pPr>
                  <w:jc w:val="right"/>
                  <w:rPr>
                    <w:rFonts w:asciiTheme="minorEastAsia" w:hAnsiTheme="minorEastAsia" w:eastAsiaTheme="minorEastAsia"/>
                    <w:sz w:val="18"/>
                    <w:szCs w:val="18"/>
                  </w:rPr>
                </w:pP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3,871,979.59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asciiTheme="minorEastAsia" w:hAnsiTheme="minorEastAsia" w:eastAsiaTheme="minorEastAsia"/>
                    <w:sz w:val="18"/>
                    <w:szCs w:val="18"/>
                  </w:rPr>
                  <w:t>发出商品</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15,229,153.34</w:t>
                </w:r>
              </w:p>
            </w:tc>
            <w:tc>
              <w:tcPr>
                <w:tcW w:w="705"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 </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15,229,153.34</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22,435,805.50</w:t>
                </w:r>
              </w:p>
            </w:tc>
            <w:tc>
              <w:tcPr>
                <w:tcW w:w="706"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5,422,181.30</w:t>
                </w: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17,013,624.20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rPr>
                    <w:rFonts w:asciiTheme="minorEastAsia" w:hAnsiTheme="minorEastAsia" w:eastAsiaTheme="minorEastAsia"/>
                    <w:sz w:val="18"/>
                    <w:szCs w:val="18"/>
                  </w:rPr>
                </w:pPr>
                <w:r>
                  <w:rPr>
                    <w:rFonts w:asciiTheme="minorEastAsia" w:hAnsiTheme="minorEastAsia" w:eastAsiaTheme="minorEastAsia"/>
                    <w:sz w:val="18"/>
                    <w:szCs w:val="18"/>
                  </w:rPr>
                  <w:t>开发成本</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1,696,278,446.42</w:t>
                </w:r>
              </w:p>
            </w:tc>
            <w:tc>
              <w:tcPr>
                <w:tcW w:w="705"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 </w:t>
                </w:r>
              </w:p>
            </w:tc>
            <w:tc>
              <w:tcPr>
                <w:tcW w:w="770" w:type="pct"/>
                <w:vAlign w:val="center"/>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1,696,278,446.42</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2,235,542,977.10</w:t>
                </w:r>
              </w:p>
            </w:tc>
            <w:tc>
              <w:tcPr>
                <w:tcW w:w="706" w:type="pct"/>
                <w:vAlign w:val="center"/>
              </w:tcPr>
              <w:p>
                <w:pPr>
                  <w:jc w:val="right"/>
                  <w:rPr>
                    <w:rFonts w:asciiTheme="minorEastAsia" w:hAnsiTheme="minorEastAsia" w:eastAsiaTheme="minorEastAsia"/>
                    <w:sz w:val="18"/>
                    <w:szCs w:val="18"/>
                  </w:rPr>
                </w:pP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2,235,542,977.10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13" w:type="pct"/>
              </w:tcPr>
              <w:p>
                <w:pPr>
                  <w:ind w:right="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2,601,262,184.72</w:t>
                </w:r>
              </w:p>
            </w:tc>
            <w:tc>
              <w:tcPr>
                <w:tcW w:w="705"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404,043,252.35</w:t>
                </w:r>
              </w:p>
            </w:tc>
            <w:tc>
              <w:tcPr>
                <w:tcW w:w="770"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2,197,218,932.37</w:t>
                </w:r>
              </w:p>
            </w:tc>
            <w:tc>
              <w:tcPr>
                <w:tcW w:w="768"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3,207,152,048.57</w:t>
                </w:r>
              </w:p>
            </w:tc>
            <w:tc>
              <w:tcPr>
                <w:tcW w:w="706"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512,545,130.23</w:t>
                </w:r>
              </w:p>
            </w:tc>
            <w:tc>
              <w:tcPr>
                <w:tcW w:w="769"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2,694,606,918.34</w:t>
                </w:r>
              </w:p>
            </w:tc>
          </w:tr>
        </w:tbl>
        <w:p>
          <w:pPr>
            <w:rPr>
              <w:szCs w:val="21"/>
            </w:rPr>
          </w:pPr>
        </w:p>
      </w:sdtContent>
    </w:sdt>
    <w:bookmarkEnd w:id="160"/>
    <w:bookmarkEnd w:id="161"/>
    <w:sdt>
      <w:sdtPr>
        <w:rPr>
          <w:rFonts w:hint="eastAsia" w:ascii="宋体" w:hAnsi="宋体" w:eastAsia="宋体" w:cs="宋体"/>
          <w:b w:val="0"/>
          <w:bCs w:val="0"/>
          <w:kern w:val="0"/>
          <w:szCs w:val="24"/>
        </w:rPr>
        <w:alias w:val="模块:存货跌价准备"/>
        <w:tag w:val="_SEC_f5d204839da647b4984ba81ca9593f3b"/>
        <w:id w:val="-1521997219"/>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sdt>
          <w:sdtPr>
            <w:rPr>
              <w:b w:val="0"/>
              <w:bCs w:val="0"/>
            </w:rPr>
            <w:tag w:val="_PLD_b03e65bc536a43eab5570263a106c71d"/>
            <w:id w:val="1371495294"/>
            <w:lock w:val="sdtLocked"/>
            <w:placeholder>
              <w:docPart w:val="GBC22222222222222222222222222222"/>
            </w:placeholder>
          </w:sdtPr>
          <w:sdtEndPr>
            <w:rPr>
              <w:b w:val="0"/>
              <w:bCs w:val="0"/>
            </w:rPr>
          </w:sdtEndPr>
          <w:sdtContent>
            <w:p>
              <w:pPr>
                <w:pStyle w:val="214"/>
                <w:numPr>
                  <w:ilvl w:val="3"/>
                  <w:numId w:val="83"/>
                </w:numPr>
                <w:ind w:left="426" w:hanging="426"/>
                <w:rPr>
                  <w:b w:val="0"/>
                  <w:bCs w:val="0"/>
                </w:rPr>
              </w:pPr>
              <w:r>
                <w:t>存货跌价准备及合同履约成本减值准备</w:t>
              </w:r>
            </w:p>
          </w:sdtContent>
        </w:sdt>
        <w:sdt>
          <w:sdtPr>
            <w:alias w:val="是否适用：存货跌价准备[双击切换]"/>
            <w:tag w:val="_GBC_c61866b530ae491eb21bee1edd36619e"/>
            <w:id w:val="143562497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存货跌价准备"/>
              <w:tag w:val="_GBC_2d3e3a5e2ff44ef3bbef756054f246f3"/>
              <w:id w:val="21453835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2406349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735"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560"/>
            <w:gridCol w:w="1417"/>
            <w:gridCol w:w="1126"/>
            <w:gridCol w:w="1427"/>
            <w:gridCol w:w="1125"/>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sdt>
              <w:sdtPr>
                <w:rPr>
                  <w:rFonts w:asciiTheme="minorEastAsia" w:hAnsiTheme="minorEastAsia" w:eastAsiaTheme="minorEastAsia"/>
                  <w:sz w:val="18"/>
                  <w:szCs w:val="18"/>
                </w:rPr>
                <w:tag w:val="_PLD_4ac7cc4fa4994c1db43ed3b367defc13"/>
                <w:id w:val="-111749849"/>
                <w:lock w:val="sdtLocked"/>
              </w:sdtPr>
              <w:sdtEndPr>
                <w:rPr>
                  <w:rFonts w:asciiTheme="minorEastAsia" w:hAnsiTheme="minorEastAsia" w:eastAsiaTheme="minorEastAsia"/>
                  <w:sz w:val="18"/>
                  <w:szCs w:val="18"/>
                </w:rPr>
              </w:sdtEndPr>
              <w:sdtContent>
                <w:tc>
                  <w:tcPr>
                    <w:tcW w:w="79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asciiTheme="minorEastAsia" w:hAnsiTheme="minorEastAsia" w:eastAsiaTheme="minorEastAsia"/>
                  <w:sz w:val="18"/>
                  <w:szCs w:val="18"/>
                </w:rPr>
                <w:tag w:val="_PLD_7a2e758257864908b13bf89a561f9b5a"/>
                <w:id w:val="-1891562999"/>
                <w:lock w:val="sdtLocked"/>
              </w:sdtPr>
              <w:sdtEndPr>
                <w:rPr>
                  <w:rFonts w:asciiTheme="minorEastAsia" w:hAnsiTheme="minorEastAsia" w:eastAsiaTheme="minorEastAsia"/>
                  <w:sz w:val="18"/>
                  <w:szCs w:val="18"/>
                </w:rPr>
              </w:sdtEndPr>
              <w:sdtContent>
                <w:tc>
                  <w:tcPr>
                    <w:tcW w:w="797"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期初余额</w:t>
                    </w:r>
                  </w:p>
                </w:tc>
              </w:sdtContent>
            </w:sdt>
            <w:sdt>
              <w:sdtPr>
                <w:rPr>
                  <w:rFonts w:asciiTheme="minorEastAsia" w:hAnsiTheme="minorEastAsia" w:eastAsiaTheme="minorEastAsia"/>
                  <w:sz w:val="18"/>
                  <w:szCs w:val="18"/>
                </w:rPr>
                <w:tag w:val="_PLD_d95d27d30a6440b5ba0d3798473f422e"/>
                <w:id w:val="948665748"/>
                <w:lock w:val="sdtLocked"/>
              </w:sdtPr>
              <w:sdtEndPr>
                <w:rPr>
                  <w:rFonts w:asciiTheme="minorEastAsia" w:hAnsiTheme="minorEastAsia" w:eastAsiaTheme="minorEastAsia"/>
                  <w:sz w:val="18"/>
                  <w:szCs w:val="18"/>
                </w:rPr>
              </w:sdtEndPr>
              <w:sdtContent>
                <w:tc>
                  <w:tcPr>
                    <w:tcW w:w="1299" w:type="pct"/>
                    <w:gridSpan w:val="2"/>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本期增加金额</w:t>
                    </w:r>
                  </w:p>
                </w:tc>
              </w:sdtContent>
            </w:sdt>
            <w:sdt>
              <w:sdtPr>
                <w:rPr>
                  <w:rFonts w:asciiTheme="minorEastAsia" w:hAnsiTheme="minorEastAsia" w:eastAsiaTheme="minorEastAsia"/>
                  <w:sz w:val="18"/>
                  <w:szCs w:val="18"/>
                </w:rPr>
                <w:tag w:val="_PLD_cb7d37811bf944e4a7bb31b4366efaeb"/>
                <w:id w:val="-481775240"/>
                <w:lock w:val="sdtLocked"/>
              </w:sdtPr>
              <w:sdtEndPr>
                <w:rPr>
                  <w:rFonts w:asciiTheme="minorEastAsia" w:hAnsiTheme="minorEastAsia" w:eastAsiaTheme="minorEastAsia"/>
                  <w:sz w:val="18"/>
                  <w:szCs w:val="18"/>
                </w:rPr>
              </w:sdtEndPr>
              <w:sdtContent>
                <w:tc>
                  <w:tcPr>
                    <w:tcW w:w="1304" w:type="pct"/>
                    <w:gridSpan w:val="2"/>
                    <w:tcBorders>
                      <w:top w:val="single" w:color="auto" w:sz="4" w:space="0"/>
                      <w:left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本期减少金额</w:t>
                    </w:r>
                  </w:p>
                </w:tc>
              </w:sdtContent>
            </w:sdt>
            <w:sdt>
              <w:sdtPr>
                <w:rPr>
                  <w:rFonts w:asciiTheme="minorEastAsia" w:hAnsiTheme="minorEastAsia" w:eastAsiaTheme="minorEastAsia"/>
                  <w:sz w:val="18"/>
                  <w:szCs w:val="18"/>
                </w:rPr>
                <w:tag w:val="_PLD_b2523ee7f028451790c9f2ef6e216a59"/>
                <w:id w:val="-1625220485"/>
                <w:lock w:val="sdtLocked"/>
              </w:sdtPr>
              <w:sdtEndPr>
                <w:rPr>
                  <w:rFonts w:asciiTheme="minorEastAsia" w:hAnsiTheme="minorEastAsia" w:eastAsiaTheme="minorEastAsia"/>
                  <w:sz w:val="18"/>
                  <w:szCs w:val="18"/>
                </w:rPr>
              </w:sdtEndPr>
              <w:sdtContent>
                <w:tc>
                  <w:tcPr>
                    <w:tcW w:w="801" w:type="pct"/>
                    <w:vMerge w:val="restar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797" w:type="pct"/>
                <w:vMerge w:val="continue"/>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p>
            </w:tc>
            <w:tc>
              <w:tcPr>
                <w:tcW w:w="797" w:type="pct"/>
                <w:vMerge w:val="continue"/>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16a8dea59b924b23a28ea45988190955"/>
                <w:id w:val="481736924"/>
                <w:lock w:val="sdtLocked"/>
              </w:sdtPr>
              <w:sdtEndPr>
                <w:rPr>
                  <w:rFonts w:asciiTheme="minorEastAsia" w:hAnsiTheme="minorEastAsia" w:eastAsiaTheme="minorEastAsia"/>
                  <w:sz w:val="18"/>
                  <w:szCs w:val="18"/>
                </w:rPr>
              </w:sdtEndPr>
              <w:sdtContent>
                <w:tc>
                  <w:tcPr>
                    <w:tcW w:w="724"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计提</w:t>
                    </w:r>
                  </w:p>
                </w:tc>
              </w:sdtContent>
            </w:sdt>
            <w:sdt>
              <w:sdtPr>
                <w:rPr>
                  <w:rFonts w:asciiTheme="minorEastAsia" w:hAnsiTheme="minorEastAsia" w:eastAsiaTheme="minorEastAsia"/>
                  <w:sz w:val="18"/>
                  <w:szCs w:val="18"/>
                </w:rPr>
                <w:tag w:val="_PLD_621a418b64e54315a5981611a5504791"/>
                <w:id w:val="1157876122"/>
                <w:lock w:val="sdtLocked"/>
              </w:sdtPr>
              <w:sdtEndPr>
                <w:rPr>
                  <w:rFonts w:asciiTheme="minorEastAsia" w:hAnsiTheme="minorEastAsia" w:eastAsiaTheme="minorEastAsia"/>
                  <w:sz w:val="18"/>
                  <w:szCs w:val="18"/>
                </w:rPr>
              </w:sdtEndPr>
              <w:sdtContent>
                <w:tc>
                  <w:tcPr>
                    <w:tcW w:w="575" w:type="pct"/>
                    <w:tcBorders>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sdt>
              <w:sdtPr>
                <w:rPr>
                  <w:rFonts w:asciiTheme="minorEastAsia" w:hAnsiTheme="minorEastAsia" w:eastAsiaTheme="minorEastAsia"/>
                  <w:sz w:val="18"/>
                  <w:szCs w:val="18"/>
                </w:rPr>
                <w:tag w:val="_PLD_1928b16982a747c59a563fa4d086d9fc"/>
                <w:id w:val="1878277617"/>
                <w:lock w:val="sdtLocked"/>
              </w:sdtPr>
              <w:sdtEndPr>
                <w:rPr>
                  <w:rFonts w:asciiTheme="minorEastAsia" w:hAnsiTheme="minorEastAsia" w:eastAsiaTheme="minorEastAsia"/>
                  <w:sz w:val="18"/>
                  <w:szCs w:val="18"/>
                </w:rPr>
              </w:sdtEndPr>
              <w:sdtContent>
                <w:tc>
                  <w:tcPr>
                    <w:tcW w:w="72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转回或转销</w:t>
                    </w:r>
                  </w:p>
                </w:tc>
              </w:sdtContent>
            </w:sdt>
            <w:sdt>
              <w:sdtPr>
                <w:rPr>
                  <w:rFonts w:asciiTheme="minorEastAsia" w:hAnsiTheme="minorEastAsia" w:eastAsiaTheme="minorEastAsia"/>
                  <w:sz w:val="18"/>
                  <w:szCs w:val="18"/>
                </w:rPr>
                <w:tag w:val="_PLD_1472e7afb261461b8468e1969b080fd5"/>
                <w:id w:val="-2002499036"/>
                <w:lock w:val="sdtLocked"/>
              </w:sdtPr>
              <w:sdtEndPr>
                <w:rPr>
                  <w:rFonts w:asciiTheme="minorEastAsia" w:hAnsiTheme="minorEastAsia" w:eastAsiaTheme="minorEastAsia"/>
                  <w:sz w:val="18"/>
                  <w:szCs w:val="18"/>
                </w:rPr>
              </w:sdtEndPr>
              <w:sdtContent>
                <w:tc>
                  <w:tcPr>
                    <w:tcW w:w="575"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80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原材料</w:t>
                </w:r>
              </w:p>
            </w:tc>
            <w:tc>
              <w:tcPr>
                <w:tcW w:w="79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196,853,058.12</w:t>
                </w:r>
              </w:p>
            </w:tc>
            <w:tc>
              <w:tcPr>
                <w:tcW w:w="72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6,373,458.59</w:t>
                </w: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23,609,818.66</w:t>
                </w:r>
              </w:p>
            </w:tc>
            <w:tc>
              <w:tcPr>
                <w:tcW w:w="575"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179,616,698.05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在产品</w:t>
                </w:r>
              </w:p>
            </w:tc>
            <w:tc>
              <w:tcPr>
                <w:tcW w:w="79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143,652,702.82</w:t>
                </w:r>
              </w:p>
            </w:tc>
            <w:tc>
              <w:tcPr>
                <w:tcW w:w="72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23,136.87</w:t>
                </w: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750,850.32</w:t>
                </w:r>
              </w:p>
            </w:tc>
            <w:tc>
              <w:tcPr>
                <w:tcW w:w="575" w:type="pct"/>
                <w:tcBorders>
                  <w:top w:val="single" w:color="auto" w:sz="4" w:space="0"/>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142,924,989.37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库存商品</w:t>
                </w:r>
              </w:p>
            </w:tc>
            <w:tc>
              <w:tcPr>
                <w:tcW w:w="797"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166,551,626.17</w:t>
                </w:r>
              </w:p>
            </w:tc>
            <w:tc>
              <w:tcPr>
                <w:tcW w:w="72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2,901,170.20</w:t>
                </w: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88,266,017.13</w:t>
                </w:r>
              </w:p>
            </w:tc>
            <w:tc>
              <w:tcPr>
                <w:tcW w:w="575" w:type="pct"/>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81,186,779.24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周转材料</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消耗性生物资产</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合同履约成本</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低值易耗品</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65,561.82</w:t>
                </w: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54,860.51</w:t>
                </w: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39,817.11</w:t>
                </w:r>
              </w:p>
            </w:tc>
            <w:tc>
              <w:tcPr>
                <w:tcW w:w="575" w:type="pct"/>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80,605.22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委托加工物资</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　</w:t>
                </w: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234,180.47</w:t>
                </w: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575" w:type="pct"/>
                <w:tcBorders>
                  <w:left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234,180.47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发出商品</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5,422,181.30</w:t>
                </w: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5,422,181.30</w:t>
                </w:r>
              </w:p>
            </w:tc>
            <w:tc>
              <w:tcPr>
                <w:tcW w:w="575" w:type="pct"/>
                <w:tcBorders>
                  <w:left w:val="single" w:color="auto" w:sz="4" w:space="0"/>
                  <w:right w:val="single" w:color="auto" w:sz="4" w:space="0"/>
                </w:tcBorders>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97" w:type="pct"/>
                <w:tcBorders>
                  <w:top w:val="single" w:color="auto" w:sz="4" w:space="0"/>
                  <w:left w:val="single" w:color="auto" w:sz="4" w:space="0"/>
                  <w:bottom w:val="single" w:color="auto" w:sz="4" w:space="0"/>
                  <w:right w:val="single" w:color="auto" w:sz="4" w:space="0"/>
                </w:tcBorders>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tc>
              <w:tcPr>
                <w:tcW w:w="797"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512,545,130.23</w:t>
                </w:r>
              </w:p>
            </w:tc>
            <w:tc>
              <w:tcPr>
                <w:tcW w:w="724"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9,586,806.64</w:t>
                </w:r>
              </w:p>
            </w:tc>
            <w:tc>
              <w:tcPr>
                <w:tcW w:w="575"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72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118,088,684.52</w:t>
                </w:r>
              </w:p>
            </w:tc>
            <w:tc>
              <w:tcPr>
                <w:tcW w:w="575" w:type="pct"/>
                <w:tcBorders>
                  <w:left w:val="single" w:color="auto" w:sz="4" w:space="0"/>
                  <w:bottom w:val="single" w:color="auto" w:sz="4" w:space="0"/>
                  <w:right w:val="single" w:color="auto" w:sz="4" w:space="0"/>
                </w:tcBorders>
              </w:tcPr>
              <w:p>
                <w:pPr>
                  <w:jc w:val="right"/>
                  <w:rPr>
                    <w:rFonts w:asciiTheme="minorEastAsia" w:hAnsiTheme="minorEastAsia" w:eastAsiaTheme="minorEastAsia"/>
                    <w:sz w:val="18"/>
                    <w:szCs w:val="18"/>
                  </w:rPr>
                </w:pPr>
              </w:p>
            </w:tc>
            <w:tc>
              <w:tcPr>
                <w:tcW w:w="801" w:type="pct"/>
                <w:tcBorders>
                  <w:top w:val="single" w:color="auto" w:sz="4" w:space="0"/>
                  <w:left w:val="single" w:color="auto" w:sz="4" w:space="0"/>
                  <w:bottom w:val="single" w:color="auto" w:sz="4" w:space="0"/>
                  <w:right w:val="single" w:color="auto" w:sz="4" w:space="0"/>
                </w:tcBorders>
              </w:tcPr>
              <w:p>
                <w:pPr>
                  <w:ind w:right="5"/>
                  <w:jc w:val="right"/>
                  <w:rPr>
                    <w:rFonts w:asciiTheme="minorEastAsia" w:hAnsiTheme="minorEastAsia" w:eastAsiaTheme="minorEastAsia"/>
                    <w:sz w:val="18"/>
                    <w:szCs w:val="18"/>
                  </w:rPr>
                </w:pPr>
                <w:r>
                  <w:rPr>
                    <w:rFonts w:asciiTheme="minorEastAsia" w:hAnsiTheme="minorEastAsia" w:eastAsiaTheme="minorEastAsia"/>
                    <w:sz w:val="18"/>
                    <w:szCs w:val="18"/>
                  </w:rPr>
                  <w:t>404,043,252.35</w:t>
                </w:r>
              </w:p>
            </w:tc>
          </w:tr>
        </w:tbl>
        <w:p/>
      </w:sdtContent>
    </w:sdt>
    <w:sdt>
      <w:sdtPr>
        <w:rPr>
          <w:rFonts w:hint="eastAsia" w:ascii="宋体" w:hAnsi="宋体" w:eastAsia="宋体" w:cs="宋体"/>
          <w:b w:val="0"/>
          <w:bCs w:val="0"/>
          <w:kern w:val="0"/>
          <w:szCs w:val="24"/>
        </w:rPr>
        <w:alias w:val="模块:存货期末余额含有借款费用资本化金额的说明"/>
        <w:tag w:val="_SEC_d2aec934b2134662ac27a795f9f8441b"/>
        <w:id w:val="-1176103319"/>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214"/>
            <w:numPr>
              <w:ilvl w:val="3"/>
              <w:numId w:val="83"/>
            </w:numPr>
            <w:ind w:left="426" w:hanging="426"/>
          </w:pPr>
          <w:r>
            <w:rPr>
              <w:rFonts w:hint="eastAsia"/>
            </w:rPr>
            <w:t>存货期末余额含有借款费用资本化金额的说明</w:t>
          </w:r>
        </w:p>
        <w:sdt>
          <w:sdtPr>
            <w:rPr>
              <w:rFonts w:hint="eastAsia"/>
            </w:rPr>
            <w:alias w:val="是否适用：存货期末余额含有借款费用资本化金额的说明[双击切换]"/>
            <w:tag w:val="_GBC_ff19f47f98f34678926b471a6f0d6b3f"/>
            <w:id w:val="-1851485113"/>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eastAsia="宋体" w:cs="宋体"/>
          <w:b w:val="0"/>
          <w:bCs w:val="0"/>
          <w:kern w:val="0"/>
          <w:szCs w:val="24"/>
        </w:rPr>
        <w:alias w:val="模块:合同履约成本本期摊销金额的说明"/>
        <w:tag w:val="_SEC_4d5b81a46b124a7fbda36ca1f8fc6761"/>
        <w:id w:val="-1224440947"/>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3"/>
              <w:numId w:val="83"/>
            </w:numPr>
            <w:ind w:left="426" w:hanging="426"/>
          </w:pPr>
          <w:r>
            <w:rPr>
              <w:rFonts w:hint="eastAsia"/>
            </w:rPr>
            <w:t>合同履约成本本期摊销金额的说明</w:t>
          </w:r>
        </w:p>
        <w:sdt>
          <w:sdtPr>
            <w:alias w:val="是否适用：合同履约成本本期摊销金额的说明[双击切换]"/>
            <w:tag w:val="_GBC_7532d5a15e3d45fa8d69ad2921659b13"/>
            <w:id w:val="20985942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rPr>
        <w:alias w:val="模块:存货其他说明"/>
        <w:tag w:val="_SEC_68a62211b3d64c9c8661fa3d3a6d8409"/>
        <w:id w:val="-671648222"/>
        <w:lock w:val="sdtLocked"/>
        <w:placeholder>
          <w:docPart w:val="GBC22222222222222222222222222222"/>
        </w:placeholder>
      </w:sdtPr>
      <w:sdtEndPr>
        <w:rPr>
          <w:rFonts w:hint="eastAsia" w:ascii="Times New Roman" w:hAnsi="Times New Roman"/>
        </w:rPr>
      </w:sdtEndPr>
      <w:sdtContent>
        <w:p>
          <w:r>
            <w:rPr>
              <w:rFonts w:hint="eastAsia"/>
            </w:rPr>
            <w:t>其他说明</w:t>
          </w:r>
        </w:p>
        <w:sdt>
          <w:sdtPr>
            <w:rPr>
              <w:rFonts w:hint="eastAsia"/>
            </w:rPr>
            <w:alias w:val="是否适用：建造合同形成的已完工未结算资产的其他说明[双击切换]"/>
            <w:tag w:val="_GBC_441099179b66496e99c8de04f24782ad"/>
            <w:id w:val="235367886"/>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cs="宋体"/>
              <w:b w:val="0"/>
              <w:bCs w:val="0"/>
              <w:kern w:val="0"/>
              <w:szCs w:val="24"/>
            </w:rPr>
            <w:alias w:val="建造合同形成的已完工未结算资产的其他说明"/>
            <w:tag w:val="_GBC_ad567d0ec9e34520b2f4ffefcd20c285"/>
            <w:id w:val="-190758674"/>
            <w:lock w:val="sdtLocked"/>
          </w:sdtPr>
          <w:sdtEndPr>
            <w:rPr>
              <w:rFonts w:hint="eastAsia" w:cs="宋体"/>
              <w:b w:val="0"/>
              <w:bCs w:val="0"/>
              <w:kern w:val="0"/>
              <w:szCs w:val="24"/>
            </w:rPr>
          </w:sdtEndPr>
          <w:sdtContent>
            <w:p>
              <w:pPr>
                <w:pStyle w:val="281"/>
                <w:widowControl w:val="0"/>
                <w:tabs>
                  <w:tab w:val="clear" w:pos="1273"/>
                </w:tabs>
                <w:spacing w:before="156" w:beforeLines="50" w:after="100" w:afterAutospacing="1" w:line="200" w:lineRule="exact"/>
                <w:ind w:left="0" w:leftChars="0" w:firstLine="0" w:firstLineChars="0"/>
                <w:outlineLvl w:val="3"/>
                <w:rPr>
                  <w:rFonts w:cs="宋体"/>
                  <w:bCs w:val="0"/>
                  <w:kern w:val="0"/>
                  <w:szCs w:val="24"/>
                </w:rPr>
              </w:pPr>
              <w:r>
                <w:rPr>
                  <w:rFonts w:hint="eastAsia" w:cs="宋体"/>
                  <w:bCs w:val="0"/>
                  <w:kern w:val="0"/>
                  <w:szCs w:val="24"/>
                </w:rPr>
                <w:t>开发成本</w:t>
              </w:r>
            </w:p>
            <w:p>
              <w:pPr>
                <w:jc w:val="right"/>
              </w:pPr>
              <w:r>
                <w:rPr>
                  <w:rFonts w:hint="eastAsia"/>
                </w:rPr>
                <w:t>单位：元  币种：人民币</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323"/>
                <w:gridCol w:w="1465"/>
                <w:gridCol w:w="189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12"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项目名称</w:t>
                    </w:r>
                  </w:p>
                </w:tc>
                <w:tc>
                  <w:tcPr>
                    <w:tcW w:w="845"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开工时间</w:t>
                    </w:r>
                  </w:p>
                </w:tc>
                <w:tc>
                  <w:tcPr>
                    <w:tcW w:w="928" w:type="pct"/>
                    <w:shd w:val="clear" w:color="auto" w:fill="auto"/>
                    <w:vAlign w:val="center"/>
                  </w:tcPr>
                  <w:p>
                    <w:pPr>
                      <w:tabs>
                        <w:tab w:val="left" w:pos="196"/>
                        <w:tab w:val="left" w:pos="426"/>
                      </w:tabs>
                      <w:snapToGrid w:val="0"/>
                      <w:ind w:left="-63" w:leftChars="-30" w:right="-63" w:rightChars="-30"/>
                      <w:jc w:val="center"/>
                      <w:rPr>
                        <w:rFonts w:asciiTheme="minorEastAsia" w:hAnsiTheme="minorEastAsia" w:eastAsiaTheme="minorEastAsia"/>
                        <w:szCs w:val="21"/>
                      </w:rPr>
                    </w:pPr>
                    <w:r>
                      <w:rPr>
                        <w:rFonts w:asciiTheme="minorEastAsia" w:hAnsiTheme="minorEastAsia" w:eastAsiaTheme="minorEastAsia"/>
                        <w:szCs w:val="21"/>
                      </w:rPr>
                      <w:t>预计竣工时间</w:t>
                    </w:r>
                  </w:p>
                </w:tc>
                <w:tc>
                  <w:tcPr>
                    <w:tcW w:w="918"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期初余额</w:t>
                    </w:r>
                  </w:p>
                </w:tc>
                <w:tc>
                  <w:tcPr>
                    <w:tcW w:w="1097"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rPr>
                      <w:t>力帆红星广场</w:t>
                    </w:r>
                  </w:p>
                </w:tc>
                <w:tc>
                  <w:tcPr>
                    <w:tcW w:w="845"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2013-10-18</w:t>
                    </w:r>
                  </w:p>
                </w:tc>
                <w:tc>
                  <w:tcPr>
                    <w:tcW w:w="928"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202</w:t>
                    </w:r>
                    <w:r>
                      <w:rPr>
                        <w:rFonts w:asciiTheme="minorEastAsia" w:hAnsiTheme="minorEastAsia" w:eastAsiaTheme="minorEastAsia"/>
                        <w:szCs w:val="21"/>
                      </w:rPr>
                      <w:t>2</w:t>
                    </w:r>
                    <w:r>
                      <w:rPr>
                        <w:rFonts w:hint="eastAsia" w:asciiTheme="minorEastAsia" w:hAnsiTheme="minorEastAsia" w:eastAsiaTheme="minorEastAsia"/>
                        <w:szCs w:val="21"/>
                      </w:rPr>
                      <w:t>年1</w:t>
                    </w:r>
                    <w:r>
                      <w:rPr>
                        <w:rFonts w:asciiTheme="minorEastAsia" w:hAnsiTheme="minorEastAsia" w:eastAsiaTheme="minorEastAsia"/>
                        <w:szCs w:val="21"/>
                      </w:rPr>
                      <w:t>2</w:t>
                    </w:r>
                    <w:r>
                      <w:rPr>
                        <w:rFonts w:hint="eastAsia" w:asciiTheme="minorEastAsia" w:hAnsiTheme="minorEastAsia" w:eastAsiaTheme="minorEastAsia"/>
                        <w:szCs w:val="21"/>
                      </w:rPr>
                      <w:t>月</w:t>
                    </w:r>
                  </w:p>
                </w:tc>
                <w:tc>
                  <w:tcPr>
                    <w:tcW w:w="918" w:type="pct"/>
                    <w:shd w:val="clear" w:color="auto" w:fill="auto"/>
                    <w:vAlign w:val="center"/>
                  </w:tcPr>
                  <w:p>
                    <w:pPr>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2,235,542,977.10</w:t>
                    </w:r>
                  </w:p>
                </w:tc>
                <w:tc>
                  <w:tcPr>
                    <w:tcW w:w="1097" w:type="pct"/>
                    <w:shd w:val="clear" w:color="auto" w:fill="auto"/>
                    <w:vAlign w:val="center"/>
                  </w:tcPr>
                  <w:p>
                    <w:pPr>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1,696,278,446.42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2" w:type="pct"/>
                    <w:shd w:val="clear" w:color="auto" w:fill="auto"/>
                    <w:vAlign w:val="center"/>
                  </w:tcPr>
                  <w:p>
                    <w:pPr>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845" w:type="pct"/>
                    <w:shd w:val="clear" w:color="auto" w:fill="auto"/>
                    <w:vAlign w:val="center"/>
                  </w:tcPr>
                  <w:p>
                    <w:pPr>
                      <w:tabs>
                        <w:tab w:val="left" w:pos="196"/>
                        <w:tab w:val="left" w:pos="426"/>
                      </w:tabs>
                      <w:snapToGrid w:val="0"/>
                      <w:rPr>
                        <w:rFonts w:asciiTheme="minorEastAsia" w:hAnsiTheme="minorEastAsia" w:eastAsiaTheme="minorEastAsia"/>
                        <w:szCs w:val="21"/>
                      </w:rPr>
                    </w:pPr>
                  </w:p>
                </w:tc>
                <w:tc>
                  <w:tcPr>
                    <w:tcW w:w="928" w:type="pct"/>
                    <w:shd w:val="clear" w:color="auto" w:fill="auto"/>
                    <w:vAlign w:val="center"/>
                  </w:tcPr>
                  <w:p>
                    <w:pPr>
                      <w:tabs>
                        <w:tab w:val="left" w:pos="196"/>
                        <w:tab w:val="left" w:pos="426"/>
                      </w:tabs>
                      <w:snapToGrid w:val="0"/>
                      <w:rPr>
                        <w:rFonts w:asciiTheme="minorEastAsia" w:hAnsiTheme="minorEastAsia" w:eastAsiaTheme="minorEastAsia"/>
                        <w:szCs w:val="21"/>
                      </w:rPr>
                    </w:pPr>
                  </w:p>
                </w:tc>
                <w:tc>
                  <w:tcPr>
                    <w:tcW w:w="918" w:type="pct"/>
                    <w:shd w:val="clear" w:color="auto" w:fill="auto"/>
                    <w:vAlign w:val="center"/>
                  </w:tcPr>
                  <w:p>
                    <w:pPr>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rPr>
                      <w:t>2,235,542,977.10</w:t>
                    </w:r>
                  </w:p>
                </w:tc>
                <w:tc>
                  <w:tcPr>
                    <w:tcW w:w="1097" w:type="pct"/>
                    <w:shd w:val="clear" w:color="auto" w:fill="auto"/>
                    <w:vAlign w:val="center"/>
                  </w:tcPr>
                  <w:p>
                    <w:pPr>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1,696,278,446.42</w:t>
                    </w:r>
                  </w:p>
                </w:tc>
              </w:tr>
            </w:tbl>
            <w:p/>
          </w:sdtContent>
        </w:sdt>
      </w:sdtContent>
    </w:sdt>
    <w:sdt>
      <w:sdtPr>
        <w:rPr>
          <w:rFonts w:hint="eastAsia" w:ascii="宋体" w:hAnsi="宋体" w:cs="宋体"/>
          <w:b w:val="0"/>
          <w:bCs w:val="0"/>
          <w:kern w:val="0"/>
          <w:szCs w:val="24"/>
        </w:rPr>
        <w:alias w:val="模块:合同资产情况"/>
        <w:tag w:val="_SEC_815287361ca746f4be20e0fedf7c209d"/>
        <w:id w:val="1437101188"/>
        <w:lock w:val="sdtLocked"/>
        <w:placeholder>
          <w:docPart w:val="GBC22222222222222222222222222222"/>
        </w:placeholder>
      </w:sdtPr>
      <w:sdtEndPr>
        <w:rPr>
          <w:rFonts w:hint="eastAsia" w:ascii="宋体" w:hAnsi="宋体" w:cs="宋体"/>
          <w:b w:val="0"/>
          <w:bCs w:val="0"/>
          <w:kern w:val="0"/>
          <w:szCs w:val="24"/>
        </w:rPr>
      </w:sdtEndPr>
      <w:sdtContent>
        <w:p>
          <w:pPr>
            <w:pStyle w:val="213"/>
            <w:numPr>
              <w:ilvl w:val="0"/>
              <w:numId w:val="77"/>
            </w:numPr>
            <w:tabs>
              <w:tab w:val="left" w:pos="504"/>
            </w:tabs>
          </w:pPr>
          <w:bookmarkStart w:id="162" w:name="_Hlk533409560"/>
          <w:r>
            <w:rPr>
              <w:rFonts w:hint="eastAsia"/>
            </w:rPr>
            <w:t>合同资产</w:t>
          </w:r>
        </w:p>
        <w:p>
          <w:pPr>
            <w:pStyle w:val="214"/>
            <w:numPr>
              <w:ilvl w:val="3"/>
              <w:numId w:val="84"/>
            </w:numPr>
            <w:ind w:left="426" w:hanging="426"/>
          </w:pPr>
          <w:bookmarkStart w:id="163" w:name="_Hlk532992678"/>
          <w:r>
            <w:rPr>
              <w:rFonts w:hint="eastAsia"/>
            </w:rPr>
            <w:t>合同资产情况</w:t>
          </w:r>
        </w:p>
        <w:sdt>
          <w:sdtPr>
            <w:alias w:val="是否适用：合同资产情况[双击切换]"/>
            <w:tag w:val="_GBC_71da29cd2c0f4ec4a2849d6760e0ec90"/>
            <w:id w:val="154625867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2"/>
    <w:bookmarkEnd w:id="163"/>
    <w:sdt>
      <w:sdtPr>
        <w:rPr>
          <w:rFonts w:hint="eastAsia" w:ascii="宋体" w:hAnsi="宋体" w:eastAsia="宋体" w:cs="宋体"/>
          <w:b w:val="0"/>
          <w:bCs w:val="0"/>
          <w:kern w:val="0"/>
          <w:szCs w:val="24"/>
        </w:rPr>
        <w:alias w:val="模块:报告期内账面价值发生重大变动的金额和原因"/>
        <w:tag w:val="_SEC_c92b1cbb8a324c50a897bfb29d008812"/>
        <w:id w:val="-278421683"/>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3"/>
              <w:numId w:val="84"/>
            </w:numPr>
            <w:ind w:left="426" w:hanging="426"/>
          </w:pPr>
          <w:bookmarkStart w:id="164" w:name="_Hlk532993169"/>
          <w:r>
            <w:rPr>
              <w:rFonts w:hint="eastAsia"/>
            </w:rPr>
            <w:t>报告期内账面价值发生重大变动的金额和原因</w:t>
          </w:r>
        </w:p>
        <w:sdt>
          <w:sdtPr>
            <w:rPr>
              <w:szCs w:val="21"/>
            </w:rPr>
            <w:alias w:val="是否适用：合同资产账面价值发生重大变动[双击切换]"/>
            <w:tag w:val="_GBC_d707053a57f34cbab810279b617bfcc7"/>
            <w:id w:val="1590508102"/>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64"/>
    <w:sdt>
      <w:sdtPr>
        <w:rPr>
          <w:rFonts w:hint="eastAsia" w:ascii="宋体" w:hAnsi="宋体" w:eastAsia="宋体" w:cs="宋体"/>
          <w:b w:val="0"/>
          <w:bCs w:val="0"/>
          <w:kern w:val="0"/>
          <w:szCs w:val="21"/>
        </w:rPr>
        <w:alias w:val="模块:本期合同资产计提减值准备情况"/>
        <w:tag w:val="_SEC_5ad264313cea4d8a8ec9ff73b52c45f4"/>
        <w:id w:val="-1096545295"/>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3"/>
              <w:numId w:val="84"/>
            </w:numPr>
            <w:ind w:left="426" w:hanging="426"/>
            <w:rPr>
              <w:szCs w:val="21"/>
            </w:rPr>
          </w:pPr>
          <w:bookmarkStart w:id="165" w:name="_Hlk533847869"/>
          <w:r>
            <w:rPr>
              <w:rFonts w:hint="eastAsia"/>
              <w:szCs w:val="21"/>
            </w:rPr>
            <w:t>本期合同资产计提减值准备情况</w:t>
          </w:r>
        </w:p>
        <w:sdt>
          <w:sdtPr>
            <w:rPr>
              <w:szCs w:val="21"/>
            </w:rPr>
            <w:alias w:val="是否适用：合同资产减值准备[双击切换]"/>
            <w:tag w:val="_GBC_7a32a2cf2788460d8c760b8ac21cef48"/>
            <w:id w:val="-1428497151"/>
            <w:lock w:val="sdtLocked"/>
            <w:placeholder>
              <w:docPart w:val="GBC22222222222222222222222222222"/>
            </w:placeholder>
          </w:sdtPr>
          <w:sdtEndPr>
            <w:rPr>
              <w:szCs w:val="21"/>
            </w:rPr>
          </w:sdtEndPr>
          <w:sdtContent>
            <w:p>
              <w:pPr>
                <w:autoSpaceDE w:val="0"/>
                <w:autoSpaceDN w:val="0"/>
                <w:adjustRightInd w:val="0"/>
                <w:ind w:right="105" w:rightChars="50"/>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autoSpaceDE w:val="0"/>
            <w:autoSpaceDN w:val="0"/>
            <w:adjustRightInd w:val="0"/>
            <w:ind w:right="105" w:rightChars="50"/>
            <w:rPr>
              <w:szCs w:val="21"/>
            </w:rPr>
          </w:pPr>
          <w:r>
            <w:rPr>
              <w:rFonts w:hint="eastAsia"/>
              <w:szCs w:val="21"/>
            </w:rPr>
            <w:t>如按预期信用损失一般模型计提坏账准备，请参照其他应收款披露：</w:t>
          </w:r>
        </w:p>
        <w:p>
          <w:pPr>
            <w:autoSpaceDE w:val="0"/>
            <w:autoSpaceDN w:val="0"/>
            <w:adjustRightInd w:val="0"/>
            <w:ind w:right="105" w:rightChars="50"/>
            <w:rPr>
              <w:szCs w:val="21"/>
            </w:rPr>
          </w:pPr>
          <w:sdt>
            <w:sdtPr>
              <w:rPr>
                <w:szCs w:val="21"/>
              </w:rPr>
              <w:alias w:val="是否适用：合同资产按一般预计信用损失模型计提坏账[双击切换]"/>
              <w:tag w:val="_GBC_fd4eb6ea21ba4cfcb06df32dcdb0abfb"/>
              <w:id w:val="-348264554"/>
              <w:lock w:val="sdtLocked"/>
              <w:placeholder>
                <w:docPart w:val="GBC22222222222222222222222222222"/>
              </w:placeholder>
            </w:sdtPr>
            <w:sdtEndPr>
              <w:rPr>
                <w:szCs w:val="21"/>
              </w:rPr>
            </w:sdtEndPr>
            <w:sdtContent>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autoSpaceDE w:val="0"/>
            <w:autoSpaceDN w:val="0"/>
            <w:adjustRightInd w:val="0"/>
            <w:ind w:right="105" w:rightChars="50"/>
            <w:rPr>
              <w:szCs w:val="21"/>
            </w:rPr>
          </w:pPr>
        </w:p>
      </w:sdtContent>
    </w:sdt>
    <w:bookmarkEnd w:id="165"/>
    <w:sdt>
      <w:sdtPr>
        <w:rPr>
          <w:rFonts w:hint="eastAsia"/>
          <w:szCs w:val="21"/>
        </w:rPr>
        <w:alias w:val="模块:合同资产其他说明"/>
        <w:tag w:val="_SEC_258cf02a2dfe4d43b5c502f3869566d2"/>
        <w:id w:val="51969549"/>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rPr>
              <w:szCs w:val="21"/>
            </w:rPr>
            <w:alias w:val="是否适用：合同资产其他说明[双击切换]"/>
            <w:tag w:val="_GBC_92ce0006559b479d93e7dbde6e8efca4"/>
            <w:id w:val="1634520508"/>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ascii="宋体" w:hAnsi="宋体" w:cs="宋体"/>
          <w:b w:val="0"/>
          <w:bCs w:val="0"/>
          <w:kern w:val="0"/>
          <w:szCs w:val="24"/>
        </w:rPr>
        <w:alias w:val="模块:"/>
        <w:tag w:val="_SEC_b6937eac78c94ad8b39ce1ee1104d8c4"/>
        <w:id w:val="1593977190"/>
        <w:lock w:val="sdtLocked"/>
        <w:placeholder>
          <w:docPart w:val="GBC22222222222222222222222222222"/>
        </w:placeholder>
      </w:sdtPr>
      <w:sdtEndPr>
        <w:rPr>
          <w:rFonts w:ascii="宋体" w:hAnsi="宋体" w:cs="宋体"/>
          <w:b w:val="0"/>
          <w:bCs w:val="0"/>
          <w:kern w:val="0"/>
          <w:szCs w:val="24"/>
        </w:rPr>
      </w:sdtEndPr>
      <w:sdtContent>
        <w:p>
          <w:pPr>
            <w:pStyle w:val="213"/>
            <w:numPr>
              <w:ilvl w:val="0"/>
              <w:numId w:val="77"/>
            </w:numPr>
            <w:tabs>
              <w:tab w:val="left" w:pos="504"/>
            </w:tabs>
          </w:pPr>
          <w:bookmarkStart w:id="166" w:name="_Hlk24380621"/>
          <w:r>
            <w:rPr>
              <w:rFonts w:hint="eastAsia"/>
            </w:rPr>
            <w:t>持有待售资产</w:t>
          </w:r>
        </w:p>
        <w:sdt>
          <w:sdtPr>
            <w:alias w:val="是否适用：划分为持有待售的资产[双击切换]"/>
            <w:tag w:val="_GBC_78f2c13384374d8eb0edd5d62d86bc52"/>
            <w:id w:val="-126368402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66"/>
    <w:sdt>
      <w:sdtPr>
        <w:rPr>
          <w:rFonts w:hint="eastAsia" w:ascii="宋体" w:hAnsi="宋体" w:cs="宋体"/>
          <w:b w:val="0"/>
          <w:bCs w:val="0"/>
          <w:kern w:val="0"/>
          <w:szCs w:val="24"/>
        </w:rPr>
        <w:alias w:val="模块:一年内到期的非流动资产"/>
        <w:tag w:val="_SEC_96b35c860772417291874bfe65770128"/>
        <w:id w:val="797656829"/>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pPr>
          <w:r>
            <w:rPr>
              <w:rFonts w:hint="eastAsia"/>
            </w:rPr>
            <w:t>一年内到期的非流动资产</w:t>
          </w:r>
        </w:p>
        <w:sdt>
          <w:sdtPr>
            <w:alias w:val="是否适用：一年内到期的非流动资产[双击切换]"/>
            <w:tag w:val="_GBC_ed2c28c8d4014bbb85fa424cc20fe6d7"/>
            <w:id w:val="185861856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期末重要的债权投资"/>
        <w:tag w:val="_SEC_cb1f0c52ccb6441287eb043720aaedbf"/>
        <w:id w:val="-1576433394"/>
        <w:lock w:val="sdtLocked"/>
        <w:placeholder>
          <w:docPart w:val="GBC22222222222222222222222222222"/>
        </w:placeholder>
      </w:sdtPr>
      <w:sdtEndPr>
        <w:rPr>
          <w:rFonts w:hint="default"/>
        </w:rPr>
      </w:sdtEndPr>
      <w:sdtContent>
        <w:p>
          <w:pPr>
            <w:ind w:right="210"/>
          </w:pPr>
          <w:r>
            <w:rPr>
              <w:rFonts w:hint="eastAsia"/>
            </w:rPr>
            <w:t>期末重要的债权投资和其他债权投资：</w:t>
          </w:r>
        </w:p>
        <w:sdt>
          <w:sdtPr>
            <w:alias w:val="是否适用：一年内到期的非流动资产中重要的债权投资[双击切换]"/>
            <w:tag w:val="_GBC_0d470517aa78473bb3de8fe6fa7eda38"/>
            <w:id w:val="-1235007661"/>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rPr>
        <w:alias w:val="模块:一年内到期的非流动资产其他说明"/>
        <w:tag w:val="_SEC_5007efc3f00c4111a777e47f97d502e5"/>
        <w:id w:val="940660"/>
        <w:lock w:val="sdtLocked"/>
        <w:placeholder>
          <w:docPart w:val="GBC22222222222222222222222222222"/>
        </w:placeholder>
      </w:sdtPr>
      <w:sdtEndPr>
        <w:rPr>
          <w:rFonts w:hint="default"/>
        </w:rPr>
      </w:sdtEndPr>
      <w:sdtContent>
        <w:p>
          <w:pPr>
            <w:ind w:right="210"/>
            <w:rPr>
              <w:szCs w:val="21"/>
            </w:rPr>
          </w:pPr>
          <w:r>
            <w:rPr>
              <w:rFonts w:hint="eastAsia"/>
            </w:rPr>
            <w:t>其他</w:t>
          </w:r>
          <w:r>
            <w:rPr>
              <w:rFonts w:hint="eastAsia"/>
              <w:szCs w:val="21"/>
            </w:rPr>
            <w:t>说明</w:t>
          </w:r>
        </w:p>
        <w:sdt>
          <w:sdtPr>
            <w:alias w:val="一年内到期的非流动资产其他说明"/>
            <w:tag w:val="_GBC_aebddb0e62fa4ec48ab98b4bc4575935"/>
            <w:id w:val="1188640824"/>
            <w:lock w:val="sdtLocked"/>
            <w:placeholder>
              <w:docPart w:val="GBC22222222222222222222222222222"/>
            </w:placeholder>
          </w:sdtPr>
          <w:sdtContent>
            <w:p>
              <w:pPr>
                <w:ind w:right="210"/>
              </w:pPr>
              <w:r>
                <w:rPr>
                  <w:rFonts w:hint="eastAsia"/>
                </w:rPr>
                <w:t>无</w:t>
              </w:r>
            </w:p>
          </w:sdtContent>
        </w:sdt>
        <w:p>
          <w:pPr>
            <w:ind w:right="210"/>
          </w:pPr>
        </w:p>
      </w:sdtContent>
    </w:sdt>
    <w:sdt>
      <w:sdtPr>
        <w:rPr>
          <w:rFonts w:hint="eastAsia" w:ascii="宋体" w:hAnsi="宋体" w:cs="宋体"/>
          <w:b w:val="0"/>
          <w:bCs w:val="0"/>
          <w:kern w:val="0"/>
          <w:szCs w:val="24"/>
        </w:rPr>
        <w:alias w:val="模块:其他流动资产"/>
        <w:tag w:val="_SEC_76a189d16ac5453184dfe42bd0fa9e73"/>
        <w:id w:val="-2083439738"/>
        <w:lock w:val="sdtLocked"/>
        <w:placeholder>
          <w:docPart w:val="GBC22222222222222222222222222222"/>
        </w:placeholder>
      </w:sdtPr>
      <w:sdtEndPr>
        <w:rPr>
          <w:rFonts w:hint="eastAsia" w:ascii="宋体" w:hAnsi="宋体" w:cs="宋体"/>
          <w:b w:val="0"/>
          <w:bCs w:val="0"/>
          <w:kern w:val="0"/>
          <w:szCs w:val="24"/>
        </w:rPr>
      </w:sdtEndPr>
      <w:sdtContent>
        <w:p>
          <w:pPr>
            <w:pStyle w:val="213"/>
            <w:numPr>
              <w:ilvl w:val="0"/>
              <w:numId w:val="77"/>
            </w:numPr>
            <w:tabs>
              <w:tab w:val="left" w:pos="504"/>
            </w:tabs>
          </w:pPr>
          <w:bookmarkStart w:id="167" w:name="_Hlk533609053"/>
          <w:r>
            <w:rPr>
              <w:rFonts w:hint="eastAsia"/>
            </w:rPr>
            <w:t>其他流动资产</w:t>
          </w:r>
        </w:p>
        <w:sdt>
          <w:sdtPr>
            <w:alias w:val="是否适用：其他流动资产[双击切换]"/>
            <w:tag w:val="_GBC_49fe7514f24d4f7fbf009ae51ff98d5a"/>
            <w:id w:val="195427483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其他流动资产"/>
              <w:tag w:val="_GBC_8aa27294471c4172ba97de2c15d029c6"/>
              <w:id w:val="-1620447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其他流动资产"/>
              <w:tag w:val="_GBC_8e1e40ac44704231aa91fcfbbccbd924"/>
              <w:id w:val="10054096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7"/>
            <w:gridCol w:w="2749"/>
            <w:gridCol w:w="2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4f889fb3794268b1f04c9534377486"/>
                <w:id w:val="-1962415771"/>
                <w:lock w:val="sdtLocked"/>
              </w:sdtPr>
              <w:sdtContent>
                <w:tc>
                  <w:tcPr>
                    <w:tcW w:w="1816" w:type="pct"/>
                    <w:shd w:val="clear" w:color="auto" w:fill="auto"/>
                    <w:vAlign w:val="center"/>
                  </w:tcPr>
                  <w:p>
                    <w:pPr>
                      <w:jc w:val="center"/>
                      <w:rPr>
                        <w:szCs w:val="21"/>
                      </w:rPr>
                    </w:pPr>
                    <w:r>
                      <w:rPr>
                        <w:rFonts w:hint="eastAsia"/>
                        <w:szCs w:val="21"/>
                      </w:rPr>
                      <w:t>项目</w:t>
                    </w:r>
                  </w:p>
                </w:tc>
              </w:sdtContent>
            </w:sdt>
            <w:sdt>
              <w:sdtPr>
                <w:tag w:val="_PLD_97b9b7e912e14a06b24f532e76914900"/>
                <w:id w:val="661512658"/>
                <w:lock w:val="sdtLocked"/>
              </w:sdtPr>
              <w:sdtContent>
                <w:tc>
                  <w:tcPr>
                    <w:tcW w:w="1612" w:type="pct"/>
                    <w:shd w:val="clear" w:color="auto" w:fill="auto"/>
                    <w:vAlign w:val="center"/>
                  </w:tcPr>
                  <w:p>
                    <w:pPr>
                      <w:jc w:val="center"/>
                      <w:rPr>
                        <w:szCs w:val="21"/>
                      </w:rPr>
                    </w:pPr>
                    <w:r>
                      <w:rPr>
                        <w:rFonts w:hint="eastAsia"/>
                        <w:szCs w:val="21"/>
                      </w:rPr>
                      <w:t>期末余额</w:t>
                    </w:r>
                  </w:p>
                </w:tc>
              </w:sdtContent>
            </w:sdt>
            <w:sdt>
              <w:sdtPr>
                <w:tag w:val="_PLD_c02c94d4c7614f3cadd2972514fb87f4"/>
                <w:id w:val="-1606794236"/>
                <w:lock w:val="sdtLocked"/>
              </w:sdtPr>
              <w:sdtContent>
                <w:tc>
                  <w:tcPr>
                    <w:tcW w:w="1572" w:type="pct"/>
                    <w:shd w:val="clear" w:color="auto" w:fill="auto"/>
                    <w:vAlign w:val="center"/>
                  </w:tcPr>
                  <w:p>
                    <w:pPr>
                      <w:jc w:val="center"/>
                      <w:rPr>
                        <w:szCs w:val="21"/>
                      </w:rPr>
                    </w:pPr>
                    <w:r>
                      <w:rPr>
                        <w:rFonts w:hint="eastAsia"/>
                        <w:szCs w:val="21"/>
                      </w:rPr>
                      <w:t>期初余额</w:t>
                    </w:r>
                  </w:p>
                </w:tc>
              </w:sdtContent>
            </w:sdt>
          </w:tr>
          <w:sdt>
            <w:sdtPr>
              <w:rPr>
                <w:rFonts w:hint="eastAsia"/>
                <w:szCs w:val="21"/>
              </w:rPr>
              <w:alias w:val="其他流动资产明细"/>
              <w:tag w:val="_TUP_03a79c0b3d284671976e8b90399a3019"/>
              <w:id w:val="95992603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jc w:val="center"/>
                      <w:rPr>
                        <w:szCs w:val="21"/>
                      </w:rPr>
                    </w:pPr>
                    <w:r>
                      <w:t>预缴企业所得税</w:t>
                    </w:r>
                  </w:p>
                </w:tc>
                <w:tc>
                  <w:tcPr>
                    <w:tcW w:w="1612" w:type="pct"/>
                    <w:shd w:val="clear" w:color="auto" w:fill="auto"/>
                  </w:tcPr>
                  <w:p>
                    <w:pPr>
                      <w:snapToGrid w:val="0"/>
                      <w:jc w:val="right"/>
                      <w:rPr>
                        <w:szCs w:val="21"/>
                      </w:rPr>
                    </w:pPr>
                    <w:r>
                      <w:t>222,431.54</w:t>
                    </w:r>
                  </w:p>
                </w:tc>
                <w:tc>
                  <w:tcPr>
                    <w:tcW w:w="1572" w:type="pct"/>
                    <w:shd w:val="clear" w:color="auto" w:fill="auto"/>
                  </w:tcPr>
                  <w:p>
                    <w:pPr>
                      <w:snapToGrid w:val="0"/>
                      <w:jc w:val="right"/>
                      <w:rPr>
                        <w:szCs w:val="21"/>
                      </w:rPr>
                    </w:pPr>
                    <w:r>
                      <w:t>580,859.72</w:t>
                    </w:r>
                  </w:p>
                </w:tc>
              </w:tr>
            </w:sdtContent>
          </w:sdt>
          <w:sdt>
            <w:sdtPr>
              <w:rPr>
                <w:rFonts w:hint="eastAsia"/>
                <w:szCs w:val="21"/>
              </w:rPr>
              <w:alias w:val="其他流动资产明细"/>
              <w:tag w:val="_TUP_03a79c0b3d284671976e8b90399a3019"/>
              <w:id w:val="129565034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jc w:val="center"/>
                      <w:rPr>
                        <w:szCs w:val="21"/>
                      </w:rPr>
                    </w:pPr>
                    <w:r>
                      <w:t>待抵扣待认证增值税进项税</w:t>
                    </w:r>
                  </w:p>
                </w:tc>
                <w:tc>
                  <w:tcPr>
                    <w:tcW w:w="1612" w:type="pct"/>
                    <w:shd w:val="clear" w:color="auto" w:fill="auto"/>
                  </w:tcPr>
                  <w:p>
                    <w:pPr>
                      <w:snapToGrid w:val="0"/>
                      <w:jc w:val="right"/>
                      <w:rPr>
                        <w:szCs w:val="21"/>
                      </w:rPr>
                    </w:pPr>
                    <w:r>
                      <w:t>410,474,482.04</w:t>
                    </w:r>
                  </w:p>
                </w:tc>
                <w:tc>
                  <w:tcPr>
                    <w:tcW w:w="1572" w:type="pct"/>
                    <w:shd w:val="clear" w:color="auto" w:fill="auto"/>
                  </w:tcPr>
                  <w:p>
                    <w:pPr>
                      <w:snapToGrid w:val="0"/>
                      <w:jc w:val="right"/>
                      <w:rPr>
                        <w:szCs w:val="21"/>
                      </w:rPr>
                    </w:pPr>
                    <w:r>
                      <w:t>441,790,444.77</w:t>
                    </w:r>
                  </w:p>
                </w:tc>
              </w:tr>
            </w:sdtContent>
          </w:sdt>
          <w:sdt>
            <w:sdtPr>
              <w:rPr>
                <w:rFonts w:hint="eastAsia"/>
                <w:szCs w:val="21"/>
              </w:rPr>
              <w:alias w:val="其他流动资产明细"/>
              <w:tag w:val="_TUP_03a79c0b3d284671976e8b90399a3019"/>
              <w:id w:val="-60596446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pct"/>
                    <w:shd w:val="clear" w:color="auto" w:fill="auto"/>
                  </w:tcPr>
                  <w:p>
                    <w:pPr>
                      <w:snapToGrid w:val="0"/>
                      <w:ind w:left="-107" w:leftChars="-51"/>
                      <w:jc w:val="center"/>
                      <w:rPr>
                        <w:szCs w:val="21"/>
                      </w:rPr>
                    </w:pPr>
                    <w:r>
                      <w:t>其他</w:t>
                    </w:r>
                  </w:p>
                </w:tc>
                <w:tc>
                  <w:tcPr>
                    <w:tcW w:w="1612" w:type="pct"/>
                    <w:shd w:val="clear" w:color="auto" w:fill="auto"/>
                  </w:tcPr>
                  <w:p>
                    <w:pPr>
                      <w:snapToGrid w:val="0"/>
                      <w:jc w:val="right"/>
                      <w:rPr>
                        <w:szCs w:val="21"/>
                      </w:rPr>
                    </w:pPr>
                    <w:r>
                      <w:t>15,113,717.77</w:t>
                    </w:r>
                  </w:p>
                </w:tc>
                <w:tc>
                  <w:tcPr>
                    <w:tcW w:w="1572" w:type="pct"/>
                    <w:shd w:val="clear" w:color="auto" w:fill="auto"/>
                  </w:tcPr>
                  <w:p>
                    <w:pPr>
                      <w:snapToGrid w:val="0"/>
                      <w:jc w:val="right"/>
                      <w:rPr>
                        <w:szCs w:val="21"/>
                      </w:rPr>
                    </w:pPr>
                    <w:r>
                      <w:t>20,468,292.66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465e07d25cf4e809cbdbfd02cac01c7"/>
                <w:id w:val="1256021373"/>
                <w:lock w:val="sdtLocked"/>
              </w:sdtPr>
              <w:sdtContent>
                <w:tc>
                  <w:tcPr>
                    <w:tcW w:w="1816" w:type="pct"/>
                    <w:shd w:val="clear" w:color="auto" w:fill="auto"/>
                    <w:vAlign w:val="center"/>
                  </w:tcPr>
                  <w:p>
                    <w:pPr>
                      <w:snapToGrid w:val="0"/>
                      <w:ind w:left="-107" w:leftChars="-51"/>
                      <w:jc w:val="center"/>
                      <w:rPr>
                        <w:szCs w:val="21"/>
                      </w:rPr>
                    </w:pPr>
                    <w:r>
                      <w:rPr>
                        <w:rFonts w:hint="eastAsia"/>
                        <w:szCs w:val="21"/>
                      </w:rPr>
                      <w:t>合计</w:t>
                    </w:r>
                  </w:p>
                </w:tc>
              </w:sdtContent>
            </w:sdt>
            <w:tc>
              <w:tcPr>
                <w:tcW w:w="1612" w:type="pct"/>
                <w:shd w:val="clear" w:color="auto" w:fill="auto"/>
                <w:vAlign w:val="center"/>
              </w:tcPr>
              <w:p>
                <w:pPr>
                  <w:jc w:val="right"/>
                  <w:rPr>
                    <w:sz w:val="24"/>
                  </w:rPr>
                </w:pPr>
                <w:r>
                  <w:t>425,810,631.35</w:t>
                </w:r>
              </w:p>
            </w:tc>
            <w:tc>
              <w:tcPr>
                <w:tcW w:w="1572" w:type="pct"/>
                <w:shd w:val="clear" w:color="auto" w:fill="auto"/>
                <w:vAlign w:val="center"/>
              </w:tcPr>
              <w:p>
                <w:pPr>
                  <w:jc w:val="right"/>
                  <w:rPr>
                    <w:sz w:val="24"/>
                  </w:rPr>
                </w:pPr>
                <w:r>
                  <w:t>462,839,597.15</w:t>
                </w:r>
              </w:p>
            </w:tc>
          </w:tr>
        </w:tbl>
        <w:p/>
        <w:p>
          <w:r>
            <w:rPr>
              <w:rFonts w:hint="eastAsia"/>
            </w:rPr>
            <w:t>其他说明</w:t>
          </w:r>
        </w:p>
        <w:sdt>
          <w:sdtPr>
            <w:rPr>
              <w:rFonts w:hint="eastAsia"/>
            </w:rPr>
            <w:alias w:val="其他流动资产说明"/>
            <w:tag w:val="_GBC_6b66243025624716a85c25ca534f7d52"/>
            <w:id w:val="-526559097"/>
            <w:lock w:val="sdtLocked"/>
            <w:placeholder>
              <w:docPart w:val="GBC22222222222222222222222222222"/>
            </w:placeholder>
          </w:sdtPr>
          <w:sdtEndPr>
            <w:rPr>
              <w:rFonts w:hint="eastAsia"/>
            </w:rPr>
          </w:sdtEndPr>
          <w:sdtContent>
            <w:p>
              <w:r>
                <w:rPr>
                  <w:rFonts w:hint="eastAsia"/>
                </w:rPr>
                <w:t>无</w:t>
              </w:r>
            </w:p>
          </w:sdtContent>
        </w:sdt>
        <w:p/>
      </w:sdtContent>
    </w:sdt>
    <w:bookmarkEnd w:id="167"/>
    <w:sdt>
      <w:sdtPr>
        <w:rPr>
          <w:rFonts w:hint="eastAsia" w:ascii="宋体" w:hAnsi="宋体" w:cs="宋体"/>
          <w:b w:val="0"/>
          <w:bCs w:val="0"/>
          <w:kern w:val="0"/>
          <w:szCs w:val="24"/>
        </w:rPr>
        <w:alias w:val="模块:债权投资情况"/>
        <w:tag w:val="_SEC_14d51d39f7d5436a8f41f898c206e930"/>
        <w:id w:val="1363321115"/>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tabs>
              <w:tab w:val="left" w:pos="504"/>
            </w:tabs>
          </w:pPr>
          <w:bookmarkStart w:id="168" w:name="_Hlk533409588"/>
          <w:r>
            <w:rPr>
              <w:rFonts w:hint="eastAsia"/>
            </w:rPr>
            <w:t>债权投资</w:t>
          </w:r>
        </w:p>
        <w:p>
          <w:pPr>
            <w:pStyle w:val="214"/>
            <w:numPr>
              <w:ilvl w:val="3"/>
              <w:numId w:val="85"/>
            </w:numPr>
            <w:ind w:left="426" w:hanging="426"/>
          </w:pPr>
          <w:bookmarkStart w:id="169" w:name="_Hlk532993723"/>
          <w:r>
            <w:rPr>
              <w:rFonts w:hint="eastAsia"/>
            </w:rPr>
            <w:t>债权投资情况</w:t>
          </w:r>
        </w:p>
        <w:sdt>
          <w:sdtPr>
            <w:alias w:val="是否适用：以摊余成本计量的长期债权投资[双击切换]"/>
            <w:tag w:val="_GBC_dbc7f90615cc46578228904cb4aa1cff"/>
            <w:id w:val="-632568067"/>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重要的债权投资"/>
        <w:tag w:val="_SEC_9590e8ecc5d3406198e45c28b530ea74"/>
        <w:id w:val="-159924379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5"/>
            </w:numPr>
            <w:ind w:left="426" w:hanging="426"/>
          </w:pPr>
          <w:bookmarkStart w:id="170" w:name="_Hlk532994191"/>
          <w:r>
            <w:rPr>
              <w:rFonts w:hint="eastAsia"/>
            </w:rPr>
            <w:t>期末重要的债权投资</w:t>
          </w:r>
        </w:p>
        <w:sdt>
          <w:sdtPr>
            <w:alias w:val="是否适用：重要的债权投资[双击切换]"/>
            <w:tag w:val="_GBC_ca6db275ff8944c2900ec34693d6ebf6"/>
            <w:id w:val="-419333165"/>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68"/>
    <w:bookmarkEnd w:id="169"/>
    <w:bookmarkEnd w:id="170"/>
    <w:sdt>
      <w:sdtPr>
        <w:rPr>
          <w:rFonts w:hint="eastAsia" w:ascii="宋体" w:hAnsi="宋体" w:eastAsia="宋体" w:cs="宋体"/>
          <w:b w:val="0"/>
          <w:bCs w:val="0"/>
          <w:kern w:val="0"/>
          <w:szCs w:val="24"/>
        </w:rPr>
        <w:alias w:val="模块:减值准备计提情况"/>
        <w:tag w:val="_SEC_5933b4ff0aa1441d91a30454dd600143"/>
        <w:id w:val="-744568724"/>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5"/>
            </w:numPr>
            <w:ind w:left="426" w:hanging="426"/>
          </w:pPr>
          <w:bookmarkStart w:id="171" w:name="_Hlk533872317"/>
          <w:r>
            <w:rPr>
              <w:rFonts w:hint="eastAsia" w:ascii="宋体" w:hAnsi="宋体" w:eastAsia="宋体" w:cs="宋体"/>
              <w:bCs w:val="0"/>
              <w:kern w:val="0"/>
              <w:szCs w:val="24"/>
            </w:rPr>
            <w:t>减值准备计提情况</w:t>
          </w:r>
        </w:p>
        <w:sdt>
          <w:sdtPr>
            <w:alias w:val="是否适用：债权投资减值准备调节表[双击切换]"/>
            <w:tag w:val="_GBC_686136d6dd874d559865e7aa5dd1a835"/>
            <w:id w:val="-104482763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rPr>
              <w:szCs w:val="21"/>
            </w:rPr>
          </w:pPr>
        </w:p>
      </w:sdtContent>
    </w:sdt>
    <w:bookmarkEnd w:id="171"/>
    <w:sdt>
      <w:sdtPr>
        <w:rPr>
          <w:rFonts w:hint="eastAsia" w:ascii="宋体" w:hAnsi="宋体" w:cs="宋体"/>
          <w:b/>
          <w:bCs/>
          <w:kern w:val="0"/>
          <w:szCs w:val="24"/>
        </w:rPr>
        <w:alias w:val="模块:本期减值准备计提金额以及评估金融工具的信用风险是否显著增加的采用依据"/>
        <w:tag w:val="_SEC_040e62d42619437596c68d45a7cf057c"/>
        <w:id w:val="1834481350"/>
        <w:lock w:val="sdtLocked"/>
        <w:placeholder>
          <w:docPart w:val="GBC22222222222222222222222222222"/>
        </w:placeholder>
      </w:sdtPr>
      <w:sdtEndPr>
        <w:rPr>
          <w:rFonts w:hint="default" w:ascii="宋体" w:hAnsi="宋体" w:cs="宋体"/>
          <w:b w:val="0"/>
          <w:bCs w:val="0"/>
          <w:kern w:val="0"/>
          <w:szCs w:val="24"/>
        </w:rPr>
      </w:sdtEndPr>
      <w:sdtContent>
        <w:p>
          <w:pPr>
            <w:pStyle w:val="250"/>
          </w:pPr>
          <w:r>
            <w:rPr>
              <w:rFonts w:hint="eastAsia"/>
            </w:rPr>
            <w:t>本</w:t>
          </w:r>
          <w:r>
            <w:t>期减</w:t>
          </w:r>
          <w:r>
            <w:rPr>
              <w:rFonts w:hint="eastAsia"/>
            </w:rPr>
            <w:t>值</w:t>
          </w:r>
          <w:r>
            <w:t>准备计提金额以及评估金融工具的</w:t>
          </w:r>
          <w:r>
            <w:rPr>
              <w:rFonts w:hint="eastAsia"/>
            </w:rPr>
            <w:t>信用风险是否显著增加的采用依据</w:t>
          </w:r>
        </w:p>
        <w:sdt>
          <w:sdtPr>
            <w:rPr>
              <w:szCs w:val="21"/>
            </w:rPr>
            <w:alias w:val="是否适用：债权投资减值准备计提金额以及评估金融工具的信用风险显著增加的采用依据[双击切换]"/>
            <w:tag w:val="_GBC_799f699e556f4272acd7681b17e4ede5"/>
            <w:id w:val="1284392432"/>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szCs w:val="21"/>
        </w:rPr>
        <w:alias w:val="模块:债券投资其他说明"/>
        <w:tag w:val="_SEC_81d8c27b48964e40adc85851e95f5fe8"/>
        <w:id w:val="-1741012103"/>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alias w:val="是否适用：债权投资其他说明[双击切换]"/>
            <w:tag w:val="_GBC_17cf4c675aec4f36816c24c079df205c"/>
            <w:id w:val="1884748758"/>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sdt>
      <w:sdtPr>
        <w:rPr>
          <w:rFonts w:hint="eastAsia" w:ascii="宋体" w:hAnsi="宋体" w:cs="宋体"/>
          <w:b w:val="0"/>
          <w:bCs w:val="0"/>
          <w:kern w:val="0"/>
          <w:szCs w:val="24"/>
        </w:rPr>
        <w:alias w:val="模块:其他债权投资情况"/>
        <w:tag w:val="_SEC_45dbf962086b4d8eb08561c0bbb52ee7"/>
        <w:id w:val="1531072870"/>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pPr>
          <w:r>
            <w:rPr>
              <w:rFonts w:hint="eastAsia"/>
            </w:rPr>
            <w:t>其他债权投资</w:t>
          </w:r>
        </w:p>
        <w:p>
          <w:pPr>
            <w:pStyle w:val="214"/>
            <w:numPr>
              <w:ilvl w:val="3"/>
              <w:numId w:val="86"/>
            </w:numPr>
            <w:ind w:left="426" w:hanging="426"/>
          </w:pPr>
          <w:r>
            <w:rPr>
              <w:rFonts w:hint="eastAsia"/>
            </w:rPr>
            <w:t>其他债权投资情况</w:t>
          </w:r>
        </w:p>
        <w:sdt>
          <w:sdtPr>
            <w:alias w:val="是否适用：其他债权投资情况[双击切换]"/>
            <w:tag w:val="_GBC_23599130a9db43be881f1fb4a46d3b7e"/>
            <w:id w:val="-1168089975"/>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期末重要的其他债权投资"/>
        <w:tag w:val="_SEC_44eeb7a9a2664cfb8bc2bf6709356388"/>
        <w:id w:val="-97907345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6"/>
            </w:numPr>
            <w:ind w:left="426" w:hanging="426"/>
          </w:pPr>
          <w:bookmarkStart w:id="172" w:name="_Hlk533848078"/>
          <w:r>
            <w:rPr>
              <w:rFonts w:hint="eastAsia"/>
            </w:rPr>
            <w:t>期末重要的其他债权投资</w:t>
          </w:r>
        </w:p>
        <w:sdt>
          <w:sdtPr>
            <w:alias w:val="是否适用：重要的其他债权投资[双击切换]"/>
            <w:tag w:val="_GBC_bb82f40f19284b2489199fbaa477b35c"/>
            <w:id w:val="87278493"/>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72"/>
    <w:sdt>
      <w:sdtPr>
        <w:rPr>
          <w:rFonts w:hint="eastAsia" w:ascii="宋体" w:hAnsi="宋体" w:eastAsia="宋体" w:cs="宋体"/>
          <w:b w:val="0"/>
          <w:bCs w:val="0"/>
          <w:kern w:val="0"/>
          <w:szCs w:val="24"/>
        </w:rPr>
        <w:alias w:val="模块:减值准备计提情况"/>
        <w:tag w:val="_SEC_43c61e1bfcad49d9a2d7d8b43d392735"/>
        <w:id w:val="1123967526"/>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6"/>
            </w:numPr>
            <w:ind w:left="426" w:hanging="426"/>
          </w:pPr>
          <w:bookmarkStart w:id="173" w:name="_Hlk533872678"/>
          <w:r>
            <w:rPr>
              <w:rFonts w:hint="eastAsia" w:ascii="宋体" w:hAnsi="宋体" w:eastAsia="宋体" w:cs="宋体"/>
              <w:bCs w:val="0"/>
              <w:kern w:val="0"/>
              <w:szCs w:val="24"/>
            </w:rPr>
            <w:t>减值准备计提情况</w:t>
          </w:r>
        </w:p>
        <w:sdt>
          <w:sdtPr>
            <w:alias w:val="是否适用：其他债权投资减值准备调节表[双击切换]"/>
            <w:tag w:val="_GBC_4fb0e145a1004885abb87d20ed68a2ed"/>
            <w:id w:val="-186628556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173"/>
    <w:sdt>
      <w:sdtPr>
        <w:rPr>
          <w:rFonts w:hint="eastAsia" w:ascii="宋体" w:hAnsi="宋体" w:cs="宋体"/>
          <w:b/>
          <w:bCs/>
          <w:kern w:val="0"/>
          <w:szCs w:val="24"/>
        </w:rPr>
        <w:alias w:val="模块:本期减值准备计提金额以及评估金融工具的信用风险是否显著增加的..."/>
        <w:tag w:val="_SEC_dd9ad0da12d84bd799c60de7b6243679"/>
        <w:id w:val="1934161460"/>
        <w:lock w:val="sdtLocked"/>
        <w:placeholder>
          <w:docPart w:val="GBC22222222222222222222222222222"/>
        </w:placeholder>
      </w:sdtPr>
      <w:sdtEndPr>
        <w:rPr>
          <w:rFonts w:hint="default" w:ascii="宋体" w:hAnsi="宋体" w:cs="宋体"/>
          <w:b w:val="0"/>
          <w:bCs w:val="0"/>
          <w:kern w:val="0"/>
          <w:szCs w:val="24"/>
        </w:rPr>
      </w:sdtEndPr>
      <w:sdtContent>
        <w:p>
          <w:pPr>
            <w:pStyle w:val="250"/>
          </w:pPr>
          <w:bookmarkStart w:id="174" w:name="_Hlk53384807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1278634328"/>
            <w:lock w:val="sdtLocked"/>
            <w:placeholder>
              <w:docPart w:val="GBC22222222222222222222222222222"/>
            </w:placeholder>
          </w:sdtPr>
          <w:sdtContent>
            <w:p>
              <w:pPr>
                <w:ind w:right="210"/>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right="210"/>
          </w:pPr>
        </w:p>
      </w:sdtContent>
    </w:sdt>
    <w:bookmarkEnd w:id="174"/>
    <w:sdt>
      <w:sdtPr>
        <w:rPr>
          <w:rFonts w:hint="eastAsia"/>
        </w:rPr>
        <w:alias w:val="模块:其他债权投资其他说明"/>
        <w:tag w:val="_SEC_dc2e57efff8f4436957f51feebac7226"/>
        <w:id w:val="813380550"/>
        <w:lock w:val="sdtLocked"/>
        <w:placeholder>
          <w:docPart w:val="GBC22222222222222222222222222222"/>
        </w:placeholder>
      </w:sdtPr>
      <w:sdtEndPr>
        <w:rPr>
          <w:rFonts w:hint="default"/>
        </w:rPr>
      </w:sdtEndPr>
      <w:sdtContent>
        <w:p>
          <w:bookmarkStart w:id="175" w:name="_Hlk533848097"/>
          <w:r>
            <w:rPr>
              <w:rFonts w:hint="eastAsia"/>
            </w:rPr>
            <w:t>其他说明：</w:t>
          </w:r>
          <w:bookmarkEnd w:id="175"/>
        </w:p>
        <w:sdt>
          <w:sdtPr>
            <w:alias w:val="是否适用：其他债权投资其他说明[双击切换]"/>
            <w:tag w:val="_GBC_ce8084fd599f45febc44624db662adaa"/>
            <w:id w:val="-196919239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p>
      <w:pPr>
        <w:pStyle w:val="213"/>
        <w:numPr>
          <w:ilvl w:val="0"/>
          <w:numId w:val="77"/>
        </w:numPr>
        <w:tabs>
          <w:tab w:val="left" w:pos="504"/>
        </w:tabs>
        <w:rPr>
          <w:rFonts w:ascii="宋体" w:hAnsi="宋体"/>
          <w:szCs w:val="21"/>
        </w:rPr>
      </w:pPr>
      <w:r>
        <w:rPr>
          <w:rFonts w:hint="eastAsia" w:ascii="宋体" w:hAnsi="宋体"/>
          <w:szCs w:val="21"/>
        </w:rPr>
        <w:t>长期应收款</w:t>
      </w:r>
    </w:p>
    <w:sdt>
      <w:sdtPr>
        <w:rPr>
          <w:rFonts w:hint="eastAsia" w:ascii="宋体" w:hAnsi="宋体" w:eastAsia="宋体" w:cs="宋体"/>
          <w:b w:val="0"/>
          <w:bCs w:val="0"/>
          <w:kern w:val="0"/>
          <w:szCs w:val="24"/>
        </w:rPr>
        <w:alias w:val="模块:长期应收款"/>
        <w:tag w:val="_SEC_03910fcb1d7b4c9e888090eddf49d0f5"/>
        <w:id w:val="238225127"/>
        <w:lock w:val="sdtLocked"/>
        <w:placeholder>
          <w:docPart w:val="GBC22222222222222222222222222222"/>
        </w:placeholder>
      </w:sdtPr>
      <w:sdtEndPr>
        <w:rPr>
          <w:rFonts w:hint="default" w:ascii="宋体" w:hAnsi="宋体" w:eastAsia="宋体" w:cs="宋体"/>
          <w:b w:val="0"/>
          <w:bCs w:val="0"/>
          <w:color w:val="FF0000"/>
          <w:kern w:val="0"/>
          <w:szCs w:val="21"/>
        </w:rPr>
      </w:sdtEndPr>
      <w:sdtContent>
        <w:p>
          <w:pPr>
            <w:pStyle w:val="214"/>
            <w:numPr>
              <w:ilvl w:val="3"/>
              <w:numId w:val="87"/>
            </w:numPr>
            <w:ind w:left="426" w:hanging="426"/>
          </w:pPr>
          <w:r>
            <w:rPr>
              <w:rFonts w:hint="eastAsia"/>
            </w:rPr>
            <w:t>长期应收款情况</w:t>
          </w:r>
        </w:p>
        <w:sdt>
          <w:sdtPr>
            <w:alias w:val="是否适用：长期应收款情况[双击切换]"/>
            <w:tag w:val="_GBC_0c54e576828240c482e58c8a9f7cd173"/>
            <w:id w:val="1893764262"/>
            <w:lock w:val="sdtLocked"/>
            <w:placeholder>
              <w:docPart w:val="GBC22222222222222222222222222222"/>
            </w:placeholder>
          </w:sdtPr>
          <w:sdtContent>
            <w:p>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1"/>
        </w:rPr>
        <w:alias w:val="模块:按减值计提方法分类披露"/>
        <w:tag w:val="_SEC_e3a77e97bfdc4d80b28798b16620a97a"/>
        <w:id w:val="-2134251170"/>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3"/>
              <w:numId w:val="87"/>
            </w:numPr>
            <w:ind w:left="426" w:hanging="426"/>
            <w:rPr>
              <w:szCs w:val="21"/>
            </w:rPr>
          </w:pPr>
          <w:bookmarkStart w:id="176" w:name="_Hlk533872428"/>
          <w:r>
            <w:rPr>
              <w:rFonts w:hint="eastAsia" w:ascii="宋体" w:hAnsi="宋体" w:eastAsia="宋体" w:cs="宋体"/>
              <w:bCs w:val="0"/>
              <w:kern w:val="0"/>
              <w:szCs w:val="21"/>
            </w:rPr>
            <w:t>坏账准备计提情况</w:t>
          </w:r>
        </w:p>
        <w:sdt>
          <w:sdtPr>
            <w:alias w:val="是否适用：长期应收款坏账准备调节表[双击切换]"/>
            <w:tag w:val="_GBC_83c414b79fa243258be4f4c6998e475c"/>
            <w:id w:val="36657333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bookmarkEnd w:id="176"/>
    <w:sdt>
      <w:sdtPr>
        <w:rPr>
          <w:rFonts w:hint="eastAsia" w:ascii="宋体" w:hAnsi="宋体" w:cs="宋体"/>
          <w:b/>
          <w:bCs/>
          <w:kern w:val="0"/>
          <w:szCs w:val="24"/>
        </w:rPr>
        <w:alias w:val="模块:本期坏账准备计提金额以及评估金融工具的信用风险是否显著增加的..."/>
        <w:tag w:val="_SEC_cac91801a7df45b898da28991af8099b"/>
        <w:id w:val="-1756589992"/>
        <w:lock w:val="sdtLocked"/>
        <w:placeholder>
          <w:docPart w:val="GBC22222222222222222222222222222"/>
        </w:placeholder>
      </w:sdtPr>
      <w:sdtEndPr>
        <w:rPr>
          <w:rFonts w:hint="default" w:ascii="宋体" w:hAnsi="宋体" w:cs="宋体"/>
          <w:b w:val="0"/>
          <w:bCs w:val="0"/>
          <w:kern w:val="0"/>
          <w:szCs w:val="21"/>
        </w:rPr>
      </w:sdtEndPr>
      <w:sdtContent>
        <w:p>
          <w:pPr>
            <w:pStyle w:val="250"/>
          </w:pPr>
          <w:r>
            <w:rPr>
              <w:rFonts w:hint="eastAsia"/>
            </w:rPr>
            <w:t>本期坏账准备计提金额以及评估金融工具的信用风险是否显著增加的采用依据</w:t>
          </w:r>
        </w:p>
        <w:sdt>
          <w:sdtPr>
            <w:rPr>
              <w:szCs w:val="21"/>
            </w:rPr>
            <w:alias w:val="是否适用：长期应收款坏账准备计提金额以及评估金融工具的信用风险显著增加的采用依据[双击切换]"/>
            <w:tag w:val="_GBC_ceed52ae8ff44f9ca03fb80cb11f18fc"/>
            <w:id w:val="96070083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eastAsia="宋体" w:cs="宋体"/>
          <w:b w:val="0"/>
          <w:bCs w:val="0"/>
          <w:kern w:val="0"/>
          <w:szCs w:val="24"/>
        </w:rPr>
        <w:alias w:val="模块:因金融资产转移而终止确认的长期应收款"/>
        <w:tag w:val="_SEC_c0276803b0764169b1c7aa5897007892"/>
        <w:id w:val="73181243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87"/>
            </w:numPr>
            <w:ind w:left="426" w:hanging="426"/>
          </w:pPr>
          <w:r>
            <w:rPr>
              <w:rFonts w:hint="eastAsia"/>
            </w:rPr>
            <w:t>因金融资产转移而终止确认的长期应收款</w:t>
          </w:r>
        </w:p>
        <w:sdt>
          <w:sdtPr>
            <w:rPr>
              <w:rFonts w:hint="eastAsia"/>
              <w:szCs w:val="21"/>
            </w:rPr>
            <w:alias w:val="是否适用：因金融资产转移而终止确认的长期应收款[双击切换]"/>
            <w:tag w:val="_GBC_c0cc1b0fa63a42388ec14f0e562c85ce"/>
            <w:id w:val="-23925310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eastAsia="宋体" w:cs="宋体"/>
          <w:b w:val="0"/>
          <w:bCs w:val="0"/>
          <w:kern w:val="0"/>
          <w:szCs w:val="24"/>
        </w:rPr>
        <w:alias w:val="模块:转移长期应收款且继续涉入形成的资产、负债金额"/>
        <w:tag w:val="_SEC_89a60922f7cb457c9329be8065df91e2"/>
        <w:id w:val="-1044135151"/>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3"/>
              <w:numId w:val="87"/>
            </w:numPr>
            <w:ind w:left="426" w:hanging="426"/>
          </w:pPr>
          <w:r>
            <w:rPr>
              <w:rFonts w:hint="eastAsia"/>
            </w:rPr>
            <w:t>转移长期应收款且继续涉入形成的资产、负债金额</w:t>
          </w:r>
        </w:p>
        <w:sdt>
          <w:sdtPr>
            <w:rPr>
              <w:rFonts w:hint="eastAsia"/>
            </w:rPr>
            <w:alias w:val="是否适用：转移长期应收款且继续涉入形成的资产、负债金额[双击切换]"/>
            <w:tag w:val="_GBC_b65043ea15084e829077a8e4973ebd74"/>
            <w:id w:val="1580397292"/>
            <w:lock w:val="sdtLocked"/>
            <w:placeholder>
              <w:docPart w:val="GBC22222222222222222222222222222"/>
            </w:placeholder>
          </w:sdtPr>
          <w:sdtEndPr>
            <w:rPr>
              <w:rFonts w:hint="eastAsia"/>
            </w:rPr>
          </w:sdtEnd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szCs w:val="21"/>
        </w:rPr>
        <w:alias w:val="模块:长期应收款的其他说明"/>
        <w:tag w:val="_SEC_2121861ee4514c94a9ddd15a509ae12d"/>
        <w:id w:val="1219784230"/>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szCs w:val="21"/>
            </w:rPr>
            <w:alias w:val="是否适用：长期应收款的其他说明[双击切换]"/>
            <w:tag w:val="_GBC_374ef9a861254142b9ef8519d87eb5ac"/>
            <w:id w:val="-81371639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rPr>
          <w:rFonts w:cs="Times New Roman"/>
          <w:b/>
          <w:bCs/>
          <w:kern w:val="2"/>
          <w:szCs w:val="21"/>
        </w:rPr>
      </w:pPr>
      <w:r>
        <w:rPr>
          <w:szCs w:val="21"/>
        </w:rPr>
        <w:br w:type="page"/>
      </w:r>
    </w:p>
    <w:p>
      <w:pPr>
        <w:pStyle w:val="213"/>
        <w:numPr>
          <w:ilvl w:val="0"/>
          <w:numId w:val="77"/>
        </w:numPr>
        <w:tabs>
          <w:tab w:val="left" w:pos="504"/>
        </w:tabs>
        <w:rPr>
          <w:rFonts w:ascii="宋体" w:hAnsi="宋体"/>
          <w:szCs w:val="21"/>
        </w:rPr>
        <w:sectPr>
          <w:headerReference r:id="rId5" w:type="default"/>
          <w:pgSz w:w="11906" w:h="16838"/>
          <w:pgMar w:top="1724" w:right="1797" w:bottom="1440" w:left="1797" w:header="851" w:footer="992" w:gutter="0"/>
          <w:cols w:space="720" w:num="1"/>
          <w:docGrid w:type="linesAndChars" w:linePitch="312" w:charSpace="0"/>
        </w:sectPr>
      </w:pPr>
    </w:p>
    <w:p>
      <w:pPr>
        <w:pStyle w:val="213"/>
        <w:numPr>
          <w:ilvl w:val="0"/>
          <w:numId w:val="77"/>
        </w:numPr>
        <w:tabs>
          <w:tab w:val="left" w:pos="504"/>
        </w:tabs>
        <w:rPr>
          <w:rFonts w:ascii="宋体" w:hAnsi="宋体"/>
          <w:szCs w:val="21"/>
        </w:rPr>
      </w:pPr>
      <w:r>
        <w:rPr>
          <w:rFonts w:hint="eastAsia" w:ascii="宋体" w:hAnsi="宋体"/>
          <w:szCs w:val="21"/>
        </w:rPr>
        <w:t>长期股权投资</w:t>
      </w:r>
    </w:p>
    <w:p>
      <w:sdt>
        <w:sdtPr>
          <w:rPr>
            <w:rFonts w:hint="eastAsia"/>
          </w:rPr>
          <w:alias w:val="是否适用：长期股权投资[双击切换]"/>
          <w:tag w:val="_GBC_94e2c461d3d34280a0a5f1e908656d3e"/>
          <w:id w:val="61540900"/>
          <w:lock w:val="sdtContentLocked"/>
          <w:placeholder>
            <w:docPart w:val="GBC22222222222222222222222222222"/>
          </w:placeholder>
        </w:sdtPr>
        <w:sdtEndPr>
          <w:rPr>
            <w:rFonts w:hint="eastAsia"/>
          </w:rPr>
        </w:sdtEnd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szCs w:val="21"/>
        </w:rPr>
        <w:alias w:val="模块:长期股权投资"/>
        <w:tag w:val="_SEC_07adbbba1b734992ad3a62949a0cb211"/>
        <w:id w:val="188496002"/>
        <w:lock w:val="sdtLocked"/>
        <w:placeholder>
          <w:docPart w:val="GBC22222222222222222222222222222"/>
        </w:placeholder>
      </w:sdtPr>
      <w:sdtEndPr>
        <w:rPr>
          <w:rFonts w:hint="eastAsia"/>
          <w:szCs w:val="21"/>
        </w:rPr>
      </w:sdtEndPr>
      <w:sdtContent>
        <w:p>
          <w:pPr>
            <w:jc w:val="right"/>
            <w:rPr>
              <w:szCs w:val="21"/>
            </w:rPr>
          </w:pPr>
          <w:r>
            <w:rPr>
              <w:rFonts w:hint="eastAsia"/>
              <w:szCs w:val="21"/>
            </w:rPr>
            <w:t>单位：</w:t>
          </w:r>
          <w:sdt>
            <w:sdtPr>
              <w:rPr>
                <w:rFonts w:hint="eastAsia"/>
                <w:szCs w:val="21"/>
              </w:rPr>
              <w:alias w:val="单位：财务附注：长期股权投资"/>
              <w:tag w:val="_GBC_9ef1128bd666425898c1d0386f4940f0"/>
              <w:id w:val="165579401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98182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511"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1421"/>
            <w:gridCol w:w="848"/>
            <w:gridCol w:w="1127"/>
            <w:gridCol w:w="1277"/>
            <w:gridCol w:w="1277"/>
            <w:gridCol w:w="1277"/>
            <w:gridCol w:w="1277"/>
            <w:gridCol w:w="1277"/>
            <w:gridCol w:w="867"/>
            <w:gridCol w:w="1418"/>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8"/>
                  <w:szCs w:val="18"/>
                </w:rPr>
                <w:tag w:val="_PLD_904000e8ce384d4988e09c22d5f8f725"/>
                <w:id w:val="-835688646"/>
                <w:lock w:val="sdtLocked"/>
              </w:sdtPr>
              <w:sdtEndPr>
                <w:rPr>
                  <w:rFonts w:asciiTheme="minorEastAsia" w:hAnsiTheme="minorEastAsia" w:eastAsiaTheme="minorEastAsia"/>
                  <w:sz w:val="18"/>
                  <w:szCs w:val="18"/>
                </w:rPr>
              </w:sdtEndPr>
              <w:sdtContent>
                <w:tc>
                  <w:tcPr>
                    <w:tcW w:w="553"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被投资单位</w:t>
                    </w:r>
                  </w:p>
                </w:tc>
              </w:sdtContent>
            </w:sdt>
            <w:sdt>
              <w:sdtPr>
                <w:rPr>
                  <w:rFonts w:asciiTheme="minorEastAsia" w:hAnsiTheme="minorEastAsia" w:eastAsiaTheme="minorEastAsia"/>
                  <w:sz w:val="18"/>
                  <w:szCs w:val="18"/>
                </w:rPr>
                <w:tag w:val="_PLD_2325481f20324f949b4d5af7cfe3ea45"/>
                <w:id w:val="-2147343589"/>
                <w:lock w:val="sdtLocked"/>
              </w:sdtPr>
              <w:sdtEndPr>
                <w:rPr>
                  <w:rFonts w:asciiTheme="minorEastAsia" w:hAnsiTheme="minorEastAsia" w:eastAsiaTheme="minorEastAsia"/>
                  <w:sz w:val="18"/>
                  <w:szCs w:val="18"/>
                </w:rPr>
              </w:sdtEndPr>
              <w:sdtContent>
                <w:tc>
                  <w:tcPr>
                    <w:tcW w:w="464"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期初</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余额</w:t>
                    </w:r>
                  </w:p>
                </w:tc>
              </w:sdtContent>
            </w:sdt>
            <w:sdt>
              <w:sdtPr>
                <w:rPr>
                  <w:rFonts w:asciiTheme="minorEastAsia" w:hAnsiTheme="minorEastAsia" w:eastAsiaTheme="minorEastAsia"/>
                  <w:sz w:val="18"/>
                  <w:szCs w:val="18"/>
                </w:rPr>
                <w:tag w:val="_PLD_62e0836260734d34965d8070b1a6f2dd"/>
                <w:id w:val="328024890"/>
                <w:lock w:val="sdtLocked"/>
              </w:sdtPr>
              <w:sdtEndPr>
                <w:rPr>
                  <w:rFonts w:asciiTheme="minorEastAsia" w:hAnsiTheme="minorEastAsia" w:eastAsiaTheme="minorEastAsia"/>
                  <w:sz w:val="18"/>
                  <w:szCs w:val="18"/>
                </w:rPr>
              </w:sdtEndPr>
              <w:sdtContent>
                <w:tc>
                  <w:tcPr>
                    <w:tcW w:w="3013"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本期增减变动</w:t>
                    </w:r>
                  </w:p>
                </w:tc>
              </w:sdtContent>
            </w:sdt>
            <w:sdt>
              <w:sdtPr>
                <w:rPr>
                  <w:rFonts w:asciiTheme="minorEastAsia" w:hAnsiTheme="minorEastAsia" w:eastAsiaTheme="minorEastAsia"/>
                  <w:sz w:val="18"/>
                  <w:szCs w:val="18"/>
                </w:rPr>
                <w:tag w:val="_PLD_7b9429fc29b64f4c83eea02ed0cad7ba"/>
                <w:id w:val="1665434004"/>
                <w:lock w:val="sdtLocked"/>
              </w:sdtPr>
              <w:sdtEndPr>
                <w:rPr>
                  <w:rFonts w:asciiTheme="minorEastAsia" w:hAnsiTheme="minorEastAsia" w:eastAsiaTheme="minorEastAsia"/>
                  <w:sz w:val="18"/>
                  <w:szCs w:val="18"/>
                </w:rPr>
              </w:sdtEndPr>
              <w:sdtContent>
                <w:tc>
                  <w:tcPr>
                    <w:tcW w:w="463"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期末</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余额</w:t>
                    </w:r>
                  </w:p>
                </w:tc>
              </w:sdtContent>
            </w:sdt>
            <w:sdt>
              <w:sdtPr>
                <w:rPr>
                  <w:rFonts w:asciiTheme="minorEastAsia" w:hAnsiTheme="minorEastAsia" w:eastAsiaTheme="minorEastAsia"/>
                  <w:sz w:val="18"/>
                  <w:szCs w:val="18"/>
                </w:rPr>
                <w:tag w:val="_PLD_79298dc466f54a239357520005d5d0d6"/>
                <w:id w:val="1934322662"/>
                <w:lock w:val="sdtLocked"/>
              </w:sdtPr>
              <w:sdtEndPr>
                <w:rPr>
                  <w:rFonts w:asciiTheme="minorEastAsia" w:hAnsiTheme="minorEastAsia" w:eastAsiaTheme="minorEastAsia"/>
                  <w:sz w:val="18"/>
                  <w:szCs w:val="18"/>
                </w:rPr>
              </w:sdtEndPr>
              <w:sdtContent>
                <w:tc>
                  <w:tcPr>
                    <w:tcW w:w="507" w:type="pct"/>
                    <w:vMerge w:val="restart"/>
                    <w:tcBorders>
                      <w:top w:val="single" w:color="auto" w:sz="4" w:space="0"/>
                      <w:left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vMerge w:val="continue"/>
                <w:tcBorders>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p>
            </w:tc>
            <w:tc>
              <w:tcPr>
                <w:tcW w:w="464" w:type="pct"/>
                <w:vMerge w:val="continue"/>
                <w:tcBorders>
                  <w:left w:val="single" w:color="auto" w:sz="4" w:space="0"/>
                  <w:bottom w:val="single" w:color="auto" w:sz="4" w:space="0"/>
                  <w:right w:val="single" w:color="auto" w:sz="4" w:space="0"/>
                </w:tcBorders>
                <w:shd w:val="clear" w:color="auto" w:fill="auto"/>
              </w:tcPr>
              <w:p>
                <w:pPr>
                  <w:jc w:val="center"/>
                  <w:rPr>
                    <w:rFonts w:asciiTheme="minorEastAsia" w:hAnsiTheme="minorEastAsia" w:eastAsiaTheme="minorEastAsia"/>
                    <w:sz w:val="18"/>
                    <w:szCs w:val="18"/>
                  </w:rPr>
                </w:pPr>
              </w:p>
            </w:tc>
            <w:sdt>
              <w:sdtPr>
                <w:rPr>
                  <w:rFonts w:asciiTheme="minorEastAsia" w:hAnsiTheme="minorEastAsia" w:eastAsiaTheme="minorEastAsia"/>
                  <w:sz w:val="18"/>
                  <w:szCs w:val="18"/>
                </w:rPr>
                <w:tag w:val="_PLD_32174384d8204c80ab4f8eb2ee1b7c00"/>
                <w:id w:val="-1051690345"/>
                <w:lock w:val="sdtLocked"/>
              </w:sdtPr>
              <w:sdtEndPr>
                <w:rPr>
                  <w:rFonts w:asciiTheme="minorEastAsia" w:hAnsiTheme="minorEastAsia" w:eastAsiaTheme="minorEastAsia"/>
                  <w:sz w:val="18"/>
                  <w:szCs w:val="18"/>
                </w:rPr>
              </w:sdtEndPr>
              <w:sdtContent>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追加</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投资</w:t>
                    </w:r>
                  </w:p>
                </w:tc>
              </w:sdtContent>
            </w:sdt>
            <w:sdt>
              <w:sdtPr>
                <w:rPr>
                  <w:rFonts w:asciiTheme="minorEastAsia" w:hAnsiTheme="minorEastAsia" w:eastAsiaTheme="minorEastAsia"/>
                  <w:sz w:val="18"/>
                  <w:szCs w:val="18"/>
                </w:rPr>
                <w:tag w:val="_PLD_095046b604db44b8b22c0d62f18b7d7b"/>
                <w:id w:val="1105471213"/>
                <w:lock w:val="sdtLocked"/>
              </w:sdtPr>
              <w:sdtEndPr>
                <w:rPr>
                  <w:rFonts w:asciiTheme="minorEastAsia" w:hAnsiTheme="minorEastAsia" w:eastAsiaTheme="minorEastAsia"/>
                  <w:sz w:val="18"/>
                  <w:szCs w:val="18"/>
                </w:rPr>
              </w:sdtEndPr>
              <w:sdtContent>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减少</w:t>
                    </w:r>
                  </w:p>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投资</w:t>
                    </w:r>
                  </w:p>
                </w:tc>
              </w:sdtContent>
            </w:sdt>
            <w:sdt>
              <w:sdtPr>
                <w:rPr>
                  <w:rFonts w:asciiTheme="minorEastAsia" w:hAnsiTheme="minorEastAsia" w:eastAsiaTheme="minorEastAsia"/>
                  <w:sz w:val="18"/>
                  <w:szCs w:val="18"/>
                </w:rPr>
                <w:tag w:val="_PLD_6b1aa2f12a4b43c9acfdfe03af1b69b5"/>
                <w:id w:val="-1621759411"/>
                <w:lock w:val="sdtLocked"/>
              </w:sdtPr>
              <w:sdtEndPr>
                <w:rPr>
                  <w:rFonts w:asciiTheme="minorEastAsia" w:hAnsiTheme="minorEastAsia" w:eastAsiaTheme="minorEastAsia"/>
                  <w:sz w:val="18"/>
                  <w:szCs w:val="18"/>
                </w:rPr>
              </w:sdtEndPr>
              <w:sdtContent>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权益法下确认的投资损益</w:t>
                    </w:r>
                  </w:p>
                </w:tc>
              </w:sdtContent>
            </w:sdt>
            <w:sdt>
              <w:sdtPr>
                <w:rPr>
                  <w:rFonts w:asciiTheme="minorEastAsia" w:hAnsiTheme="minorEastAsia" w:eastAsiaTheme="minorEastAsia"/>
                  <w:sz w:val="18"/>
                  <w:szCs w:val="18"/>
                </w:rPr>
                <w:tag w:val="_PLD_7843f54d0d14415a8d81c3e768bcd483"/>
                <w:id w:val="-216826396"/>
                <w:lock w:val="sdtLocked"/>
              </w:sdtPr>
              <w:sdtEndPr>
                <w:rPr>
                  <w:rFonts w:asciiTheme="minorEastAsia" w:hAnsiTheme="minorEastAsia" w:eastAsiaTheme="minorEastAsia"/>
                  <w:sz w:val="18"/>
                  <w:szCs w:val="18"/>
                </w:rPr>
              </w:sdtEndPr>
              <w:sdtContent>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其他综合收益调整</w:t>
                    </w:r>
                  </w:p>
                </w:tc>
              </w:sdtContent>
            </w:sdt>
            <w:sdt>
              <w:sdtPr>
                <w:rPr>
                  <w:rFonts w:asciiTheme="minorEastAsia" w:hAnsiTheme="minorEastAsia" w:eastAsiaTheme="minorEastAsia"/>
                  <w:sz w:val="18"/>
                  <w:szCs w:val="18"/>
                </w:rPr>
                <w:tag w:val="_PLD_dd698127723b4ea0815eca9ac49240a1"/>
                <w:id w:val="-394203573"/>
                <w:lock w:val="sdtLocked"/>
              </w:sdtPr>
              <w:sdtEndPr>
                <w:rPr>
                  <w:rFonts w:asciiTheme="minorEastAsia" w:hAnsiTheme="minorEastAsia" w:eastAsiaTheme="minorEastAsia"/>
                  <w:sz w:val="18"/>
                  <w:szCs w:val="18"/>
                </w:rPr>
              </w:sdtEndPr>
              <w:sdtContent>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其他权益变动</w:t>
                    </w:r>
                  </w:p>
                </w:tc>
              </w:sdtContent>
            </w:sdt>
            <w:sdt>
              <w:sdtPr>
                <w:rPr>
                  <w:rFonts w:asciiTheme="minorEastAsia" w:hAnsiTheme="minorEastAsia" w:eastAsiaTheme="minorEastAsia"/>
                  <w:sz w:val="18"/>
                  <w:szCs w:val="18"/>
                </w:rPr>
                <w:tag w:val="_PLD_6d37a876ad014b7ba59d452d3d7f5f15"/>
                <w:id w:val="669455874"/>
                <w:lock w:val="sdtLocked"/>
              </w:sdtPr>
              <w:sdtEndPr>
                <w:rPr>
                  <w:rFonts w:asciiTheme="minorEastAsia" w:hAnsiTheme="minorEastAsia" w:eastAsiaTheme="minorEastAsia"/>
                  <w:sz w:val="18"/>
                  <w:szCs w:val="18"/>
                </w:rPr>
              </w:sdtEndPr>
              <w:sdtContent>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宣告发放现金股利或利润</w:t>
                    </w:r>
                  </w:p>
                </w:tc>
              </w:sdtContent>
            </w:sdt>
            <w:sdt>
              <w:sdtPr>
                <w:rPr>
                  <w:rFonts w:asciiTheme="minorEastAsia" w:hAnsiTheme="minorEastAsia" w:eastAsiaTheme="minorEastAsia"/>
                  <w:sz w:val="18"/>
                  <w:szCs w:val="18"/>
                </w:rPr>
                <w:tag w:val="_PLD_050d96d5e62f42b9bb4f13a2ca047503"/>
                <w:id w:val="-2067253134"/>
                <w:lock w:val="sdtLocked"/>
              </w:sdtPr>
              <w:sdtEndPr>
                <w:rPr>
                  <w:rFonts w:asciiTheme="minorEastAsia" w:hAnsiTheme="minorEastAsia" w:eastAsiaTheme="minorEastAsia"/>
                  <w:sz w:val="18"/>
                  <w:szCs w:val="18"/>
                </w:rPr>
              </w:sdtEndPr>
              <w:sdtContent>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计提减值准备</w:t>
                    </w:r>
                  </w:p>
                </w:tc>
              </w:sdtContent>
            </w:sdt>
            <w:sdt>
              <w:sdtPr>
                <w:rPr>
                  <w:rFonts w:asciiTheme="minorEastAsia" w:hAnsiTheme="minorEastAsia" w:eastAsiaTheme="minorEastAsia"/>
                  <w:sz w:val="18"/>
                  <w:szCs w:val="18"/>
                </w:rPr>
                <w:tag w:val="_PLD_add111e25b4543c48121d495919f2030"/>
                <w:id w:val="-1041512176"/>
                <w:lock w:val="sdtLocked"/>
              </w:sdtPr>
              <w:sdtEndPr>
                <w:rPr>
                  <w:rFonts w:asciiTheme="minorEastAsia" w:hAnsiTheme="minorEastAsia" w:eastAsiaTheme="minorEastAsia"/>
                  <w:sz w:val="18"/>
                  <w:szCs w:val="18"/>
                </w:rPr>
              </w:sdtEndPr>
              <w:sdtContent>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其他</w:t>
                    </w:r>
                  </w:p>
                </w:tc>
              </w:sdtContent>
            </w:sdt>
            <w:tc>
              <w:tcPr>
                <w:tcW w:w="463"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p>
            </w:tc>
            <w:tc>
              <w:tcPr>
                <w:tcW w:w="507" w:type="pct"/>
                <w:vMerge w:val="continue"/>
                <w:tcBorders>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35b755e14b594e4c91e0b7c9ecb32e60"/>
                <w:id w:val="-476758342"/>
                <w:lock w:val="sdtLocked"/>
              </w:sdtPr>
              <w:sdtEndPr>
                <w:rPr>
                  <w:rFonts w:asciiTheme="minorEastAsia" w:hAnsiTheme="minorEastAsia" w:eastAsiaTheme="minorEastAsia"/>
                  <w:sz w:val="15"/>
                  <w:szCs w:val="15"/>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一、合营企业</w:t>
                    </w:r>
                  </w:p>
                </w:tc>
              </w:sdtContent>
            </w:sdt>
          </w:tr>
          <w:sdt>
            <w:sdtPr>
              <w:rPr>
                <w:rFonts w:asciiTheme="minorEastAsia" w:hAnsiTheme="minorEastAsia" w:eastAsiaTheme="minorEastAsia"/>
                <w:sz w:val="15"/>
                <w:szCs w:val="15"/>
              </w:rPr>
              <w:alias w:val="合营企业投资信息明细"/>
              <w:tag w:val="_TUP_c75e58945b574362871fd5ee9d3f2706"/>
              <w:id w:val="-945223089"/>
              <w:lock w:val="sdtLocked"/>
            </w:sdtPr>
            <w:sdtEndPr>
              <w:rPr>
                <w:rFonts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p>
                </w:tc>
                <w:tc>
                  <w:tcPr>
                    <w:tcW w:w="46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2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50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95bd2e13c884c579b2866f1b3e0ad4a"/>
                <w:id w:val="646558125"/>
                <w:lock w:val="sdtLocked"/>
              </w:sdtPr>
              <w:sdtEndPr>
                <w:rPr>
                  <w:rFonts w:asciiTheme="minorEastAsia" w:hAnsiTheme="minorEastAsia" w:eastAsiaTheme="minorEastAsia"/>
                  <w:sz w:val="15"/>
                  <w:szCs w:val="15"/>
                </w:rPr>
              </w:sdtEndPr>
              <w:sdtContent>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小计</w:t>
                    </w:r>
                  </w:p>
                </w:tc>
              </w:sdtContent>
            </w:sdt>
            <w:tc>
              <w:tcPr>
                <w:tcW w:w="464"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27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c>
              <w:tcPr>
                <w:tcW w:w="507" w:type="pct"/>
                <w:tcBorders>
                  <w:top w:val="single" w:color="auto" w:sz="4" w:space="0"/>
                  <w:left w:val="single" w:color="auto" w:sz="4" w:space="0"/>
                  <w:bottom w:val="single" w:color="auto" w:sz="4" w:space="0"/>
                  <w:right w:val="single" w:color="auto" w:sz="4" w:space="0"/>
                </w:tcBorders>
                <w:shd w:val="clear" w:color="auto" w:fill="auto"/>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2c448562bca04f23a9ec97848768cd82"/>
                <w:id w:val="-1713566672"/>
                <w:lock w:val="sdtLocked"/>
              </w:sdtPr>
              <w:sdtEndPr>
                <w:rPr>
                  <w:rFonts w:asciiTheme="minorEastAsia" w:hAnsiTheme="minorEastAsia" w:eastAsiaTheme="minorEastAsia"/>
                  <w:sz w:val="15"/>
                  <w:szCs w:val="15"/>
                </w:rPr>
              </w:sdtEnd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二、联营企业</w:t>
                    </w:r>
                  </w:p>
                </w:tc>
              </w:sdtContent>
            </w:sdt>
          </w:tr>
          <w:sdt>
            <w:sdtPr>
              <w:rPr>
                <w:rFonts w:hint="eastAsia" w:asciiTheme="minorEastAsia" w:hAnsiTheme="minorEastAsia" w:eastAsiaTheme="minorEastAsia"/>
                <w:sz w:val="15"/>
                <w:szCs w:val="15"/>
              </w:rPr>
              <w:alias w:val="联营企业投资信息明细"/>
              <w:tag w:val="_TUP_9536e771f46d491bae43945d896c883f"/>
              <w:id w:val="-544446792"/>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山东恒宇新能源有限公司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83,387,762.99</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83,387,762.99</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83,387,762.99</w:t>
                    </w:r>
                  </w:p>
                </w:tc>
              </w:tr>
            </w:sdtContent>
          </w:sdt>
          <w:sdt>
            <w:sdtPr>
              <w:rPr>
                <w:rFonts w:hint="eastAsia" w:asciiTheme="minorEastAsia" w:hAnsiTheme="minorEastAsia" w:eastAsiaTheme="minorEastAsia"/>
                <w:sz w:val="15"/>
                <w:szCs w:val="15"/>
              </w:rPr>
              <w:alias w:val="联营企业投资信息明细"/>
              <w:tag w:val="_TUP_9536e771f46d491bae43945d896c883f"/>
              <w:id w:val="-9455698"/>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重庆银行股份有限公司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3,543,581,117.66</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370,939,042.74</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26,204,694.23</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-17,554,512.57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109,967,461.65</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3,813,202,880.41</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r>
            </w:sdtContent>
          </w:sdt>
          <w:sdt>
            <w:sdtPr>
              <w:rPr>
                <w:rFonts w:hint="eastAsia" w:asciiTheme="minorEastAsia" w:hAnsiTheme="minorEastAsia" w:eastAsiaTheme="minorEastAsia"/>
                <w:sz w:val="15"/>
                <w:szCs w:val="15"/>
              </w:rPr>
              <w:alias w:val="联营企业投资信息明细"/>
              <w:tag w:val="_TUP_9536e771f46d491bae43945d896c883f"/>
              <w:id w:val="11188927"/>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重庆力帆财务有限公司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1,500,341,698.60</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-61,876,542.72</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1,438,465,155.88</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1,404,263,267.23</w:t>
                    </w:r>
                  </w:p>
                </w:tc>
              </w:tr>
            </w:sdtContent>
          </w:sdt>
          <w:sdt>
            <w:sdtPr>
              <w:rPr>
                <w:rFonts w:hint="eastAsia" w:asciiTheme="minorEastAsia" w:hAnsiTheme="minorEastAsia" w:eastAsiaTheme="minorEastAsia"/>
                <w:sz w:val="15"/>
                <w:szCs w:val="15"/>
              </w:rPr>
              <w:alias w:val="联营企业投资信息明细"/>
              <w:tag w:val="_TUP_9536e771f46d491bae43945d896c883f"/>
              <w:id w:val="-1845540783"/>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力帆融资租赁（上海）有限公司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223,520,033.65</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-54,477,881.47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169,042,152.18</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r>
            </w:sdtContent>
          </w:sdt>
          <w:sdt>
            <w:sdtPr>
              <w:rPr>
                <w:rFonts w:hint="eastAsia" w:asciiTheme="minorEastAsia" w:hAnsiTheme="minorEastAsia" w:eastAsiaTheme="minorEastAsia"/>
                <w:sz w:val="15"/>
                <w:szCs w:val="15"/>
              </w:rPr>
              <w:alias w:val="联营企业投资信息明细"/>
              <w:tag w:val="_TUP_9536e771f46d491bae43945d896c883f"/>
              <w:id w:val="-1824881587"/>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张家港保税区国际汽车城有限公司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51,856,238.37</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777,674.88</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52,633,913.25</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r>
            </w:sdtContent>
          </w:sdt>
          <w:sdt>
            <w:sdtPr>
              <w:rPr>
                <w:rFonts w:hint="eastAsia" w:asciiTheme="minorEastAsia" w:hAnsiTheme="minorEastAsia" w:eastAsiaTheme="minorEastAsia"/>
                <w:sz w:val="15"/>
                <w:szCs w:val="15"/>
              </w:rPr>
              <w:alias w:val="联营企业投资信息明细"/>
              <w:tag w:val="_TUP_9536e771f46d491bae43945d896c883f"/>
              <w:id w:val="-433600852"/>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新能源汽车产业发展（重庆）有限公司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36,235,121.38</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567,171.01</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36,802,292.39</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r>
            </w:sdtContent>
          </w:sdt>
          <w:sdt>
            <w:sdtPr>
              <w:rPr>
                <w:rFonts w:hint="eastAsia" w:asciiTheme="minorEastAsia" w:hAnsiTheme="minorEastAsia" w:eastAsiaTheme="minorEastAsia"/>
                <w:sz w:val="15"/>
                <w:szCs w:val="15"/>
              </w:rPr>
              <w:alias w:val="联营企业投资信息明细"/>
              <w:tag w:val="_TUP_9536e771f46d491bae43945d896c883f"/>
              <w:id w:val="643396031"/>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济源济康新能源汽车有限公司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3,402,200.47</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3,402,200.47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r>
            </w:sdtContent>
          </w:sdt>
          <w:sdt>
            <w:sdtPr>
              <w:rPr>
                <w:rFonts w:hint="eastAsia" w:asciiTheme="minorEastAsia" w:hAnsiTheme="minorEastAsia" w:eastAsiaTheme="minorEastAsia"/>
                <w:sz w:val="15"/>
                <w:szCs w:val="15"/>
              </w:rPr>
              <w:alias w:val="联营企业投资信息明细"/>
              <w:tag w:val="_TUP_9536e771f46d491bae43945d896c883f"/>
              <w:id w:val="260731500"/>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长嘉（深圳）管理咨询有限公司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15,363,149.82</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-2,755,711.11</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12,607,438.71</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12,607,438.71</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12,607,438.71</w:t>
                    </w:r>
                  </w:p>
                </w:tc>
              </w:tr>
            </w:sdtContent>
          </w:sdt>
          <w:sdt>
            <w:sdtPr>
              <w:rPr>
                <w:rFonts w:hint="eastAsia" w:asciiTheme="minorEastAsia" w:hAnsiTheme="minorEastAsia" w:eastAsiaTheme="minorEastAsia"/>
                <w:sz w:val="15"/>
                <w:szCs w:val="15"/>
              </w:rPr>
              <w:alias w:val="联营企业投资信息明细"/>
              <w:tag w:val="_TUP_9536e771f46d491bae43945d896c883f"/>
              <w:id w:val="-431282100"/>
              <w:lock w:val="sdtLocked"/>
            </w:sdtPr>
            <w:sdtEndPr>
              <w:rPr>
                <w:rFonts w:hint="default"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asciiTheme="minorEastAsia" w:hAnsiTheme="minorEastAsia" w:eastAsiaTheme="minorEastAsia"/>
                        <w:sz w:val="15"/>
                        <w:szCs w:val="15"/>
                      </w:rPr>
                      <w:t>重庆新能源汽车融资租赁有限公司</w:t>
                    </w:r>
                  </w:p>
                </w:tc>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66,388,229.20</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66,388,229.20</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66,388,229.20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1d10d53c021416d9099f27f6145f507"/>
                <w:id w:val="1079648458"/>
                <w:lock w:val="sdtLocked"/>
              </w:sdtPr>
              <w:sdtEndPr>
                <w:rPr>
                  <w:rFonts w:asciiTheme="minorEastAsia" w:hAnsiTheme="minorEastAsia" w:eastAsiaTheme="minorEastAsia"/>
                  <w:sz w:val="15"/>
                  <w:szCs w:val="15"/>
                </w:rPr>
              </w:sdtEndPr>
              <w:sdtContent>
                <w:tc>
                  <w:tcPr>
                    <w:tcW w:w="553" w:type="pct"/>
                    <w:tcBorders>
                      <w:top w:val="single" w:color="auto" w:sz="4" w:space="0"/>
                      <w:left w:val="single" w:color="auto" w:sz="4" w:space="0"/>
                      <w:bottom w:val="single" w:color="auto" w:sz="4" w:space="0"/>
                      <w:right w:val="single" w:color="auto" w:sz="4" w:space="0"/>
                    </w:tcBorders>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小计</w:t>
                    </w:r>
                  </w:p>
                </w:tc>
              </w:sdtContent>
            </w:sdt>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5,524,075,552.14</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3,402,200.47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253,173,753.33</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26,204,694.23</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-17,554,512.57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109,967,461.65</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12,607,438.71</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5,672,529,825.01</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1,566,646,698.13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e1b492ac76a6486cbdda41e1180ee125"/>
                <w:id w:val="750239355"/>
                <w:lock w:val="sdtLocked"/>
              </w:sdtPr>
              <w:sdtEndPr>
                <w:rPr>
                  <w:rFonts w:asciiTheme="minorEastAsia" w:hAnsiTheme="minorEastAsia" w:eastAsiaTheme="minorEastAsia"/>
                  <w:sz w:val="15"/>
                  <w:szCs w:val="15"/>
                </w:rPr>
              </w:sdtEndPr>
              <w:sdtContent>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合计</w:t>
                    </w:r>
                  </w:p>
                </w:tc>
              </w:sdtContent>
            </w:sdt>
            <w:tc>
              <w:tcPr>
                <w:tcW w:w="46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5,524,075,552.14</w:t>
                </w:r>
              </w:p>
            </w:tc>
            <w:tc>
              <w:tcPr>
                <w:tcW w:w="2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3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3,402,200.47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253,173,753.33</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26,204,694.23</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-17,554,512.57</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109,967,461.65</w:t>
                </w:r>
              </w:p>
            </w:tc>
            <w:tc>
              <w:tcPr>
                <w:tcW w:w="41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12,607,438.71</w:t>
                </w:r>
              </w:p>
            </w:tc>
            <w:tc>
              <w:tcPr>
                <w:tcW w:w="28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p>
            </w:tc>
            <w:tc>
              <w:tcPr>
                <w:tcW w:w="46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5,672,529,825.01</w:t>
                </w:r>
              </w:p>
            </w:tc>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1,566,646,698.13</w:t>
                </w:r>
              </w:p>
            </w:tc>
          </w:tr>
        </w:tbl>
        <w:p>
          <w:pPr>
            <w:pStyle w:val="283"/>
            <w:widowControl w:val="0"/>
            <w:tabs>
              <w:tab w:val="clear" w:pos="714"/>
            </w:tabs>
            <w:spacing w:before="120" w:beforeLines="50" w:line="360" w:lineRule="auto"/>
            <w:ind w:left="0" w:firstLine="420" w:firstLineChars="200"/>
            <w:jc w:val="both"/>
            <w:outlineLvl w:val="9"/>
            <w:rPr>
              <w:b w:val="0"/>
            </w:rPr>
          </w:pPr>
          <w:r>
            <w:rPr>
              <w:rFonts w:hint="eastAsia"/>
              <w:b w:val="0"/>
            </w:rPr>
            <w:t>注：本期本公司联营企业重庆银行股份有限公司因发行A股导致本期享有的净资产份额发生变化，减少</w:t>
          </w:r>
          <w:r>
            <w:rPr>
              <w:b w:val="0"/>
            </w:rPr>
            <w:t>18,083,310.65</w:t>
          </w:r>
          <w:r>
            <w:rPr>
              <w:rFonts w:hint="eastAsia"/>
              <w:b w:val="0"/>
            </w:rPr>
            <w:t>元。</w:t>
          </w:r>
        </w:p>
        <w:p>
          <w:pPr>
            <w:snapToGrid w:val="0"/>
            <w:spacing w:line="240" w:lineRule="atLeast"/>
            <w:rPr>
              <w:szCs w:val="21"/>
            </w:rPr>
          </w:pPr>
          <w:r>
            <w:rPr>
              <w:rFonts w:hint="eastAsia"/>
              <w:szCs w:val="21"/>
            </w:rPr>
            <w:t>其他说明</w:t>
          </w:r>
        </w:p>
        <w:sdt>
          <w:sdtPr>
            <w:rPr>
              <w:rFonts w:hint="eastAsia"/>
              <w:szCs w:val="21"/>
            </w:rPr>
            <w:tag w:val="_SEC_3a311bd4f3f14e4ea06367dc28b85743"/>
            <w:id w:val="-1107038238"/>
            <w:lock w:val="sdtLocked"/>
            <w:placeholder>
              <w:docPart w:val="GBC22222222222222222222222222222"/>
            </w:placeholder>
          </w:sdtPr>
          <w:sdtEndPr>
            <w:rPr>
              <w:rFonts w:hint="default"/>
              <w:szCs w:val="21"/>
            </w:rPr>
          </w:sdtEndPr>
          <w:sdtContent>
            <w:sdt>
              <w:sdtPr>
                <w:rPr>
                  <w:szCs w:val="21"/>
                </w:rPr>
                <w:alias w:val="长期股票投资的说明"/>
                <w:tag w:val="_GBC_4023b747651f4831814ee17f68bb62d6"/>
                <w:id w:val="-834229222"/>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p>
              <w:pPr>
                <w:rPr>
                  <w:szCs w:val="21"/>
                </w:rPr>
              </w:pPr>
              <w:r>
                <w:rPr>
                  <w:szCs w:val="21"/>
                </w:rPr>
                <w:br w:type="page"/>
              </w:r>
            </w:p>
            <w:p>
              <w:pPr>
                <w:snapToGrid w:val="0"/>
                <w:spacing w:line="240" w:lineRule="atLeast"/>
                <w:rPr>
                  <w:szCs w:val="21"/>
                </w:rPr>
                <w:sectPr>
                  <w:pgSz w:w="16838" w:h="11906" w:orient="landscape"/>
                  <w:pgMar w:top="1797" w:right="1724" w:bottom="1797" w:left="1440" w:header="851" w:footer="992" w:gutter="0"/>
                  <w:cols w:space="720" w:num="1"/>
                  <w:docGrid w:linePitch="312" w:charSpace="0"/>
                </w:sectPr>
              </w:pPr>
            </w:p>
            <w:p>
              <w:pPr>
                <w:snapToGrid w:val="0"/>
                <w:spacing w:line="240" w:lineRule="atLeast"/>
                <w:rPr>
                  <w:szCs w:val="21"/>
                </w:rPr>
              </w:pPr>
            </w:p>
          </w:sdtContent>
        </w:sdt>
      </w:sdtContent>
    </w:sdt>
    <w:sdt>
      <w:sdtPr>
        <w:rPr>
          <w:rFonts w:hint="eastAsia"/>
          <w:b w:val="0"/>
          <w:bCs w:val="0"/>
          <w:szCs w:val="21"/>
        </w:rPr>
        <w:alias w:val="模块:其他权益工具投资情况"/>
        <w:tag w:val="_SEC_28824f064b6848578824ba80aeb4ac54"/>
        <w:id w:val="1117265032"/>
        <w:lock w:val="sdtLocked"/>
        <w:placeholder>
          <w:docPart w:val="GBC22222222222222222222222222222"/>
        </w:placeholder>
      </w:sdtPr>
      <w:sdtEndPr>
        <w:rPr>
          <w:rFonts w:hint="default"/>
          <w:b w:val="0"/>
          <w:bCs w:val="0"/>
          <w:szCs w:val="22"/>
        </w:rPr>
      </w:sdtEndPr>
      <w:sdtContent>
        <w:p>
          <w:pPr>
            <w:pStyle w:val="213"/>
            <w:numPr>
              <w:ilvl w:val="0"/>
              <w:numId w:val="77"/>
            </w:numPr>
            <w:tabs>
              <w:tab w:val="left" w:pos="504"/>
            </w:tabs>
            <w:rPr>
              <w:szCs w:val="21"/>
            </w:rPr>
          </w:pPr>
          <w:bookmarkStart w:id="177" w:name="_Hlk533409702"/>
          <w:r>
            <w:rPr>
              <w:rFonts w:hint="eastAsia"/>
              <w:szCs w:val="21"/>
            </w:rPr>
            <w:t>其他权益工具投资</w:t>
          </w:r>
        </w:p>
        <w:p>
          <w:pPr>
            <w:pStyle w:val="214"/>
            <w:numPr>
              <w:ilvl w:val="3"/>
              <w:numId w:val="88"/>
            </w:numPr>
            <w:ind w:left="426" w:hanging="426"/>
          </w:pPr>
          <w:bookmarkStart w:id="178" w:name="_Hlk532994936"/>
          <w:r>
            <w:rPr>
              <w:rFonts w:hint="eastAsia"/>
            </w:rPr>
            <w:t>其他权益工具投资情况</w:t>
          </w:r>
        </w:p>
        <w:sdt>
          <w:sdtPr>
            <w:alias w:val="是否适用：其他权益工具投资情况[双击切换]"/>
            <w:tag w:val="_GBC_d086d5c38ce84090b98eac90481c97aa"/>
            <w:id w:val="40951268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left="5880" w:right="105"/>
            <w:jc w:val="right"/>
            <w:rPr>
              <w:szCs w:val="21"/>
            </w:rPr>
          </w:pPr>
          <w:r>
            <w:rPr>
              <w:rFonts w:hint="eastAsia"/>
              <w:szCs w:val="21"/>
            </w:rPr>
            <w:t>单位：</w:t>
          </w:r>
          <w:sdt>
            <w:sdtPr>
              <w:rPr>
                <w:rFonts w:hint="eastAsia"/>
                <w:szCs w:val="21"/>
              </w:rPr>
              <w:alias w:val="单位：其他权益工具投资情况"/>
              <w:tag w:val="_GBC_afada4c07d144e589675aeac548ff1d0"/>
              <w:id w:val="-6815057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权益工具投资情况"/>
              <w:tag w:val="_GBC_b0fd0da2e6914f91b6f9923463f182a5"/>
              <w:id w:val="-4506214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177"/>
        <w:bookmarkEnd w:id="178"/>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440"/>
            <w:gridCol w:w="2533"/>
            <w:gridCol w:w="25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61c0544752ba493aaf375242547dccc6"/>
                <w:id w:val="-774867431"/>
                <w:lock w:val="sdtLocked"/>
              </w:sdtPr>
              <w:sdtContent>
                <w:tc>
                  <w:tcPr>
                    <w:tcW w:w="2017" w:type="pct"/>
                    <w:shd w:val="clear" w:color="auto" w:fill="auto"/>
                    <w:vAlign w:val="center"/>
                  </w:tcPr>
                  <w:p>
                    <w:pPr>
                      <w:jc w:val="center"/>
                      <w:rPr>
                        <w:szCs w:val="21"/>
                      </w:rPr>
                    </w:pPr>
                    <w:r>
                      <w:rPr>
                        <w:rFonts w:hint="eastAsia"/>
                        <w:szCs w:val="21"/>
                      </w:rPr>
                      <w:t>项目</w:t>
                    </w:r>
                  </w:p>
                </w:tc>
              </w:sdtContent>
            </w:sdt>
            <w:sdt>
              <w:sdtPr>
                <w:tag w:val="_PLD_af37ba7740d949a3a0293ffb3c90c81e"/>
                <w:id w:val="90358271"/>
                <w:lock w:val="sdtLocked"/>
              </w:sdtPr>
              <w:sdtContent>
                <w:tc>
                  <w:tcPr>
                    <w:tcW w:w="1485" w:type="pct"/>
                    <w:tcBorders>
                      <w:bottom w:val="single" w:color="auto" w:sz="6" w:space="0"/>
                    </w:tcBorders>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158bc18d839846e78ca4a9687f119e16"/>
                <w:id w:val="-1049837467"/>
                <w:lock w:val="sdtLocked"/>
              </w:sdtPr>
              <w:sdtContent>
                <w:tc>
                  <w:tcPr>
                    <w:tcW w:w="149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sdt>
            <w:sdtPr>
              <w:rPr>
                <w:szCs w:val="21"/>
              </w:rPr>
              <w:alias w:val="其他权益工具投资明细"/>
              <w:tag w:val="_TUP_2181011c68774147afbfcb817f7459e8"/>
              <w:id w:val="141351269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重庆盼达汽车租赁有限公司</w:t>
                    </w:r>
                  </w:p>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sdtContent>
          </w:sdt>
          <w:sdt>
            <w:sdtPr>
              <w:rPr>
                <w:szCs w:val="21"/>
              </w:rPr>
              <w:alias w:val="其他权益工具投资明细"/>
              <w:tag w:val="_TUP_2181011c68774147afbfcb817f7459e8"/>
              <w:id w:val="-118096611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Creat Fund Management Ltd</w:t>
                    </w:r>
                  </w:p>
                </w:tc>
                <w:tc>
                  <w:tcPr>
                    <w:tcW w:w="1485" w:type="pct"/>
                    <w:tcBorders>
                      <w:top w:val="single" w:color="auto" w:sz="6" w:space="0"/>
                      <w:bottom w:val="single" w:color="auto" w:sz="6" w:space="0"/>
                    </w:tcBorders>
                    <w:shd w:val="clear" w:color="auto" w:fill="auto"/>
                  </w:tcPr>
                  <w:p>
                    <w:pPr>
                      <w:jc w:val="right"/>
                      <w:rPr>
                        <w:szCs w:val="21"/>
                      </w:rPr>
                    </w:pPr>
                    <w:r>
                      <w:t>5,012,335.98</w:t>
                    </w:r>
                  </w:p>
                </w:tc>
                <w:tc>
                  <w:tcPr>
                    <w:tcW w:w="1498" w:type="pct"/>
                    <w:shd w:val="clear" w:color="auto" w:fill="auto"/>
                  </w:tcPr>
                  <w:p>
                    <w:pPr>
                      <w:jc w:val="right"/>
                      <w:rPr>
                        <w:szCs w:val="21"/>
                      </w:rPr>
                    </w:pPr>
                    <w:r>
                      <w:t>5,079,012.07</w:t>
                    </w:r>
                  </w:p>
                </w:tc>
              </w:tr>
            </w:sdtContent>
          </w:sdt>
          <w:sdt>
            <w:sdtPr>
              <w:rPr>
                <w:szCs w:val="21"/>
              </w:rPr>
              <w:alias w:val="其他权益工具投资明细"/>
              <w:tag w:val="_TUP_2181011c68774147afbfcb817f7459e8"/>
              <w:id w:val="18918898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Creat Fund Management Co., Ltd</w:t>
                    </w:r>
                  </w:p>
                </w:tc>
                <w:tc>
                  <w:tcPr>
                    <w:tcW w:w="1485" w:type="pct"/>
                    <w:tcBorders>
                      <w:top w:val="single" w:color="auto" w:sz="6" w:space="0"/>
                      <w:bottom w:val="single" w:color="auto" w:sz="6" w:space="0"/>
                    </w:tcBorders>
                    <w:shd w:val="clear" w:color="auto" w:fill="auto"/>
                  </w:tcPr>
                  <w:p>
                    <w:pPr>
                      <w:jc w:val="right"/>
                      <w:rPr>
                        <w:szCs w:val="21"/>
                      </w:rPr>
                    </w:pPr>
                    <w:r>
                      <w:t>954,761.71</w:t>
                    </w:r>
                  </w:p>
                </w:tc>
                <w:tc>
                  <w:tcPr>
                    <w:tcW w:w="1498" w:type="pct"/>
                    <w:shd w:val="clear" w:color="auto" w:fill="auto"/>
                  </w:tcPr>
                  <w:p>
                    <w:pPr>
                      <w:jc w:val="right"/>
                      <w:rPr>
                        <w:szCs w:val="21"/>
                      </w:rPr>
                    </w:pPr>
                    <w:r>
                      <w:t>1,027,723.79</w:t>
                    </w:r>
                  </w:p>
                </w:tc>
              </w:tr>
            </w:sdtContent>
          </w:sdt>
          <w:sdt>
            <w:sdtPr>
              <w:rPr>
                <w:szCs w:val="21"/>
              </w:rPr>
              <w:alias w:val="其他权益工具投资明细"/>
              <w:tag w:val="_TUP_2181011c68774147afbfcb817f7459e8"/>
              <w:id w:val="-10072623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越南力帆-兴勇联营公司</w:t>
                    </w:r>
                  </w:p>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sdtContent>
          </w:sdt>
          <w:sdt>
            <w:sdtPr>
              <w:rPr>
                <w:szCs w:val="21"/>
              </w:rPr>
              <w:alias w:val="其他权益工具投资明细"/>
              <w:tag w:val="_TUP_2181011c68774147afbfcb817f7459e8"/>
              <w:id w:val="42361095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越南力帆-吉力联营公司</w:t>
                    </w:r>
                  </w:p>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sdtContent>
          </w:sdt>
          <w:sdt>
            <w:sdtPr>
              <w:rPr>
                <w:szCs w:val="21"/>
              </w:rPr>
              <w:alias w:val="其他权益工具投资明细"/>
              <w:tag w:val="_TUP_2181011c68774147afbfcb817f7459e8"/>
              <w:id w:val="-146280331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越南兴安机械有限公司</w:t>
                    </w:r>
                  </w:p>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sdtContent>
          </w:sdt>
          <w:sdt>
            <w:sdtPr>
              <w:rPr>
                <w:szCs w:val="21"/>
              </w:rPr>
              <w:alias w:val="其他权益工具投资明细"/>
              <w:tag w:val="_TUP_2181011c68774147afbfcb817f7459e8"/>
              <w:id w:val="31653170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重庆力帆飞泉车辆有限公司</w:t>
                    </w:r>
                  </w:p>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sdtContent>
          </w:sdt>
          <w:sdt>
            <w:sdtPr>
              <w:rPr>
                <w:szCs w:val="21"/>
              </w:rPr>
              <w:alias w:val="其他权益工具投资明细"/>
              <w:tag w:val="_TUP_2181011c68774147afbfcb817f7459e8"/>
              <w:id w:val="-181547049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p>
                    <w:pPr>
                      <w:rPr>
                        <w:szCs w:val="21"/>
                      </w:rPr>
                    </w:pPr>
                    <w:r>
                      <w:t>飞天迅达（北京）航空信息技术有限责任公司</w:t>
                    </w:r>
                  </w:p>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0c37c3458bef418a8d30226250a27be8"/>
                <w:id w:val="397330260"/>
                <w:lock w:val="sdtLocked"/>
              </w:sdtPr>
              <w:sdtContent>
                <w:tc>
                  <w:tcPr>
                    <w:tcW w:w="2017" w:type="pct"/>
                    <w:shd w:val="clear" w:color="auto" w:fill="auto"/>
                    <w:vAlign w:val="center"/>
                  </w:tcPr>
                  <w:p>
                    <w:pPr>
                      <w:jc w:val="center"/>
                      <w:rPr>
                        <w:szCs w:val="21"/>
                      </w:rPr>
                    </w:pPr>
                    <w:r>
                      <w:rPr>
                        <w:rFonts w:hint="eastAsia"/>
                        <w:szCs w:val="21"/>
                      </w:rPr>
                      <w:t>合计</w:t>
                    </w:r>
                  </w:p>
                </w:tc>
              </w:sdtContent>
            </w:sdt>
            <w:tc>
              <w:tcPr>
                <w:tcW w:w="1485" w:type="pct"/>
                <w:tcBorders>
                  <w:top w:val="single" w:color="auto" w:sz="6" w:space="0"/>
                  <w:bottom w:val="single" w:color="auto" w:sz="4" w:space="0"/>
                </w:tcBorders>
                <w:shd w:val="clear" w:color="auto" w:fill="auto"/>
                <w:vAlign w:val="center"/>
              </w:tcPr>
              <w:p>
                <w:pPr>
                  <w:jc w:val="right"/>
                  <w:rPr>
                    <w:sz w:val="24"/>
                  </w:rPr>
                </w:pPr>
                <w:r>
                  <w:t>5,967,097.69</w:t>
                </w:r>
              </w:p>
            </w:tc>
            <w:tc>
              <w:tcPr>
                <w:tcW w:w="1498" w:type="pct"/>
                <w:shd w:val="clear" w:color="auto" w:fill="auto"/>
                <w:vAlign w:val="center"/>
              </w:tcPr>
              <w:p>
                <w:pPr>
                  <w:jc w:val="right"/>
                  <w:rPr>
                    <w:sz w:val="24"/>
                  </w:rPr>
                </w:pPr>
                <w:r>
                  <w:t>6,106,735.86</w:t>
                </w:r>
              </w:p>
            </w:tc>
          </w:tr>
        </w:tbl>
        <w:p>
          <w:pPr>
            <w:pStyle w:val="265"/>
            <w:ind w:firstLine="0" w:firstLineChars="0"/>
          </w:pPr>
        </w:p>
      </w:sdtContent>
    </w:sdt>
    <w:sdt>
      <w:sdtPr>
        <w:rPr>
          <w:rFonts w:hint="eastAsia" w:ascii="宋体" w:hAnsi="宋体" w:eastAsia="宋体" w:cs="宋体"/>
          <w:b w:val="0"/>
          <w:bCs w:val="0"/>
          <w:kern w:val="0"/>
          <w:szCs w:val="24"/>
        </w:rPr>
        <w:alias w:val="模块:非交易性权益工具投资的情况"/>
        <w:tag w:val="_SEC_a20f5a6c87a7486f84aaaae7561d335d"/>
        <w:id w:val="-269858627"/>
        <w:lock w:val="sdtLocked"/>
        <w:placeholder>
          <w:docPart w:val="GBC22222222222222222222222222222"/>
        </w:placeholder>
      </w:sdtPr>
      <w:sdtEndPr>
        <w:rPr>
          <w:rFonts w:hint="default" w:ascii="宋体" w:hAnsi="宋体" w:eastAsia="宋体" w:cs="宋体"/>
          <w:b w:val="0"/>
          <w:bCs w:val="0"/>
          <w:color w:val="333333"/>
          <w:kern w:val="0"/>
          <w:szCs w:val="21"/>
        </w:rPr>
      </w:sdtEndPr>
      <w:sdtContent>
        <w:p>
          <w:pPr>
            <w:pStyle w:val="214"/>
            <w:numPr>
              <w:ilvl w:val="3"/>
              <w:numId w:val="88"/>
            </w:numPr>
            <w:ind w:left="426" w:hanging="426"/>
          </w:pPr>
          <w:bookmarkStart w:id="179" w:name="_Hlk532995211"/>
          <w:bookmarkStart w:id="180" w:name="_Hlk533938157"/>
          <w:r>
            <w:rPr>
              <w:rFonts w:hint="eastAsia"/>
            </w:rPr>
            <w:t>非交易性权益工具投资的情况</w:t>
          </w:r>
        </w:p>
        <w:sdt>
          <w:sdtPr>
            <w:alias w:val="是否适用：非交易性权益工具投资情况[双击切换]"/>
            <w:tag w:val="_GBC_bc9bd0cb64e149f2b6adad5701cc1e11"/>
            <w:id w:val="-43505489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非交易性权益工具投资情况"/>
              <w:tag w:val="_GBC_9670ecff60f2406d8385b0f2c027b86c"/>
              <w:id w:val="-70501949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非交易性权益工具投资情况"/>
              <w:tag w:val="_GBC_cbf8d67c95ab4933810717f60ee72c1d"/>
              <w:id w:val="-16799593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bookmarkEnd w:id="179"/>
        <w:tbl>
          <w:tblPr>
            <w:tblStyle w:val="110"/>
            <w:tblW w:w="5271" w:type="pct"/>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985"/>
            <w:gridCol w:w="967"/>
            <w:gridCol w:w="1581"/>
            <w:gridCol w:w="1581"/>
            <w:gridCol w:w="1381"/>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2b13a51bd44decbda9442ed04c7052"/>
                <w:id w:val="-1377704842"/>
                <w:lock w:val="sdtLocked"/>
              </w:sdtPr>
              <w:sdtContent>
                <w:tc>
                  <w:tcPr>
                    <w:tcW w:w="789" w:type="pct"/>
                    <w:vAlign w:val="center"/>
                  </w:tcPr>
                  <w:p>
                    <w:pPr>
                      <w:jc w:val="center"/>
                      <w:rPr>
                        <w:szCs w:val="21"/>
                      </w:rPr>
                    </w:pPr>
                    <w:r>
                      <w:rPr>
                        <w:rFonts w:hint="eastAsia"/>
                        <w:szCs w:val="21"/>
                      </w:rPr>
                      <w:t>项目</w:t>
                    </w:r>
                  </w:p>
                </w:tc>
              </w:sdtContent>
            </w:sdt>
            <w:sdt>
              <w:sdtPr>
                <w:tag w:val="_PLD_ceede5be033846a09865ec1dc028fc4f"/>
                <w:id w:val="-521004185"/>
                <w:lock w:val="sdtLocked"/>
              </w:sdtPr>
              <w:sdtContent>
                <w:tc>
                  <w:tcPr>
                    <w:tcW w:w="548" w:type="pct"/>
                    <w:vAlign w:val="center"/>
                  </w:tcPr>
                  <w:p>
                    <w:pPr>
                      <w:jc w:val="center"/>
                      <w:rPr>
                        <w:szCs w:val="21"/>
                      </w:rPr>
                    </w:pPr>
                    <w:r>
                      <w:rPr>
                        <w:rFonts w:hint="eastAsia"/>
                        <w:szCs w:val="21"/>
                      </w:rPr>
                      <w:t>本期确认的股利收入</w:t>
                    </w:r>
                  </w:p>
                </w:tc>
              </w:sdtContent>
            </w:sdt>
            <w:sdt>
              <w:sdtPr>
                <w:tag w:val="_PLD_201f3d1b1dc448f3b0c2fdecd4f1f963"/>
                <w:id w:val="2082178433"/>
                <w:lock w:val="sdtLocked"/>
              </w:sdtPr>
              <w:sdtContent>
                <w:tc>
                  <w:tcPr>
                    <w:tcW w:w="538" w:type="pct"/>
                    <w:vAlign w:val="center"/>
                  </w:tcPr>
                  <w:p>
                    <w:pPr>
                      <w:jc w:val="center"/>
                      <w:rPr>
                        <w:szCs w:val="21"/>
                      </w:rPr>
                    </w:pPr>
                    <w:r>
                      <w:rPr>
                        <w:rFonts w:hint="eastAsia"/>
                        <w:szCs w:val="21"/>
                      </w:rPr>
                      <w:t>累计利得</w:t>
                    </w:r>
                  </w:p>
                </w:tc>
              </w:sdtContent>
            </w:sdt>
            <w:sdt>
              <w:sdtPr>
                <w:tag w:val="_PLD_e20f4109e8114e79b32bd683e1f624f9"/>
                <w:id w:val="-63026118"/>
                <w:lock w:val="sdtLocked"/>
              </w:sdtPr>
              <w:sdtContent>
                <w:tc>
                  <w:tcPr>
                    <w:tcW w:w="879" w:type="pct"/>
                    <w:vAlign w:val="center"/>
                  </w:tcPr>
                  <w:p>
                    <w:pPr>
                      <w:jc w:val="center"/>
                      <w:rPr>
                        <w:szCs w:val="21"/>
                      </w:rPr>
                    </w:pPr>
                    <w:r>
                      <w:rPr>
                        <w:rFonts w:hint="eastAsia"/>
                        <w:szCs w:val="21"/>
                      </w:rPr>
                      <w:t>累计损失</w:t>
                    </w:r>
                  </w:p>
                </w:tc>
              </w:sdtContent>
            </w:sdt>
            <w:sdt>
              <w:sdtPr>
                <w:tag w:val="_PLD_8f2134a1b3ec43ccb867568cb56a86de"/>
                <w:id w:val="-1473355190"/>
                <w:lock w:val="sdtLocked"/>
              </w:sdtPr>
              <w:sdtContent>
                <w:tc>
                  <w:tcPr>
                    <w:tcW w:w="879" w:type="pct"/>
                    <w:vAlign w:val="center"/>
                  </w:tcPr>
                  <w:p>
                    <w:pPr>
                      <w:jc w:val="center"/>
                      <w:rPr>
                        <w:szCs w:val="21"/>
                      </w:rPr>
                    </w:pPr>
                    <w:r>
                      <w:rPr>
                        <w:rFonts w:hint="eastAsia"/>
                        <w:szCs w:val="21"/>
                      </w:rPr>
                      <w:t>其他综合收益转入留存收益的金额</w:t>
                    </w:r>
                  </w:p>
                </w:tc>
              </w:sdtContent>
            </w:sdt>
            <w:sdt>
              <w:sdtPr>
                <w:tag w:val="_PLD_b5c711ea1e6845a1b26fb2c13357882c"/>
                <w:id w:val="410595255"/>
                <w:lock w:val="sdtLocked"/>
              </w:sdtPr>
              <w:sdtContent>
                <w:tc>
                  <w:tcPr>
                    <w:tcW w:w="768" w:type="pct"/>
                  </w:tcPr>
                  <w:p>
                    <w:pPr>
                      <w:jc w:val="center"/>
                    </w:pPr>
                    <w:r>
                      <w:rPr>
                        <w:rFonts w:hint="eastAsia"/>
                      </w:rPr>
                      <w:t>指定为以公允价值计量且其变动计入其他综合收益的原因</w:t>
                    </w:r>
                  </w:p>
                </w:tc>
              </w:sdtContent>
            </w:sdt>
            <w:sdt>
              <w:sdtPr>
                <w:tag w:val="_PLD_79b8ac256625407da48ae35b42e73f12"/>
                <w:id w:val="-819422269"/>
                <w:lock w:val="sdtLocked"/>
              </w:sdtPr>
              <w:sdtContent>
                <w:tc>
                  <w:tcPr>
                    <w:tcW w:w="599" w:type="pct"/>
                    <w:vAlign w:val="center"/>
                  </w:tcPr>
                  <w:p>
                    <w:pPr>
                      <w:jc w:val="center"/>
                      <w:rPr>
                        <w:szCs w:val="21"/>
                      </w:rPr>
                    </w:pPr>
                    <w:r>
                      <w:rPr>
                        <w:rFonts w:hint="eastAsia"/>
                      </w:rPr>
                      <w:t>其他综合收益转入留存收益的原因</w:t>
                    </w:r>
                  </w:p>
                </w:tc>
              </w:sdtContent>
            </w:sdt>
          </w:tr>
          <w:sdt>
            <w:sdtPr>
              <w:rPr>
                <w:szCs w:val="21"/>
              </w:rPr>
              <w:alias w:val="非交易性权益工具投资明细"/>
              <w:tag w:val="_TUP_991c5e505207476aa32a4523b109f5f5"/>
              <w:id w:val="-60056001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重庆盼达汽车租赁有限公司</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15,750,000.00</w:t>
                    </w:r>
                  </w:p>
                </w:tc>
                <w:tc>
                  <w:tcPr>
                    <w:tcW w:w="879" w:type="pct"/>
                    <w:vAlign w:val="center"/>
                  </w:tcPr>
                  <w:p>
                    <w:pPr>
                      <w:jc w:val="right"/>
                      <w:rPr>
                        <w:sz w:val="24"/>
                      </w:rPr>
                    </w:pPr>
                    <w:r>
                      <w:t>15,750,000.00</w:t>
                    </w:r>
                  </w:p>
                </w:tc>
                <w:tc>
                  <w:tcPr>
                    <w:tcW w:w="768" w:type="pct"/>
                    <w:vAlign w:val="center"/>
                  </w:tcPr>
                  <w:p>
                    <w:r>
                      <w:t>持有目的为非交易性</w:t>
                    </w:r>
                  </w:p>
                </w:tc>
                <w:tc>
                  <w:tcPr>
                    <w:tcW w:w="599" w:type="pct"/>
                    <w:vAlign w:val="center"/>
                  </w:tcPr>
                  <w:p>
                    <w:pPr>
                      <w:jc w:val="center"/>
                      <w:rPr>
                        <w:szCs w:val="21"/>
                      </w:rPr>
                    </w:pPr>
                    <w:r>
                      <w:t>处置</w:t>
                    </w:r>
                  </w:p>
                </w:tc>
              </w:tr>
            </w:sdtContent>
          </w:sdt>
          <w:sdt>
            <w:sdtPr>
              <w:rPr>
                <w:szCs w:val="21"/>
              </w:rPr>
              <w:alias w:val="非交易性权益工具投资明细"/>
              <w:tag w:val="_TUP_991c5e505207476aa32a4523b109f5f5"/>
              <w:id w:val="-202030397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Creat Fund Management Ltd</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4,017,712.75</w:t>
                    </w:r>
                  </w:p>
                </w:tc>
                <w:tc>
                  <w:tcPr>
                    <w:tcW w:w="879" w:type="pct"/>
                    <w:vAlign w:val="center"/>
                  </w:tcPr>
                  <w:p>
                    <w:pPr>
                      <w:jc w:val="right"/>
                      <w:rPr>
                        <w:sz w:val="24"/>
                      </w:rPr>
                    </w:pPr>
                  </w:p>
                </w:tc>
                <w:tc>
                  <w:tcPr>
                    <w:tcW w:w="768" w:type="pct"/>
                    <w:vAlign w:val="center"/>
                  </w:tcPr>
                  <w:p>
                    <w:r>
                      <w:t>持有目的为非交易性</w:t>
                    </w:r>
                  </w:p>
                </w:tc>
                <w:tc>
                  <w:tcPr>
                    <w:tcW w:w="599" w:type="pct"/>
                    <w:vAlign w:val="center"/>
                  </w:tcPr>
                  <w:p>
                    <w:pPr>
                      <w:jc w:val="center"/>
                      <w:rPr>
                        <w:szCs w:val="21"/>
                      </w:rPr>
                    </w:pPr>
                  </w:p>
                </w:tc>
              </w:tr>
            </w:sdtContent>
          </w:sdt>
          <w:sdt>
            <w:sdtPr>
              <w:rPr>
                <w:szCs w:val="21"/>
              </w:rPr>
              <w:alias w:val="非交易性权益工具投资明细"/>
              <w:tag w:val="_TUP_991c5e505207476aa32a4523b109f5f5"/>
              <w:id w:val="88151420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Creat Fund Management Co., Ltd</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72,962.08</w:t>
                    </w:r>
                  </w:p>
                </w:tc>
                <w:tc>
                  <w:tcPr>
                    <w:tcW w:w="879" w:type="pct"/>
                    <w:vAlign w:val="center"/>
                  </w:tcPr>
                  <w:p>
                    <w:pPr>
                      <w:jc w:val="right"/>
                      <w:rPr>
                        <w:sz w:val="24"/>
                      </w:rPr>
                    </w:pPr>
                  </w:p>
                </w:tc>
                <w:tc>
                  <w:tcPr>
                    <w:tcW w:w="768" w:type="pct"/>
                    <w:vAlign w:val="center"/>
                  </w:tcPr>
                  <w:p>
                    <w:r>
                      <w:t>持有目的为非交易性</w:t>
                    </w:r>
                  </w:p>
                </w:tc>
                <w:tc>
                  <w:tcPr>
                    <w:tcW w:w="599" w:type="pct"/>
                    <w:vAlign w:val="center"/>
                  </w:tcPr>
                  <w:p>
                    <w:pPr>
                      <w:jc w:val="center"/>
                      <w:rPr>
                        <w:szCs w:val="21"/>
                      </w:rPr>
                    </w:pPr>
                  </w:p>
                </w:tc>
              </w:tr>
            </w:sdtContent>
          </w:sdt>
          <w:sdt>
            <w:sdtPr>
              <w:rPr>
                <w:szCs w:val="21"/>
              </w:rPr>
              <w:alias w:val="非交易性权益工具投资明细"/>
              <w:tag w:val="_TUP_991c5e505207476aa32a4523b109f5f5"/>
              <w:id w:val="-199286198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越南力帆-兴勇联营公司</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1,674,636.25</w:t>
                    </w:r>
                  </w:p>
                </w:tc>
                <w:tc>
                  <w:tcPr>
                    <w:tcW w:w="879" w:type="pct"/>
                    <w:vAlign w:val="center"/>
                  </w:tcPr>
                  <w:p>
                    <w:pPr>
                      <w:jc w:val="right"/>
                      <w:rPr>
                        <w:sz w:val="24"/>
                      </w:rPr>
                    </w:pPr>
                  </w:p>
                </w:tc>
                <w:tc>
                  <w:tcPr>
                    <w:tcW w:w="768" w:type="pct"/>
                    <w:vAlign w:val="center"/>
                  </w:tcPr>
                  <w:p>
                    <w:r>
                      <w:t>持有目的为非交易性</w:t>
                    </w:r>
                  </w:p>
                </w:tc>
                <w:tc>
                  <w:tcPr>
                    <w:tcW w:w="599" w:type="pct"/>
                    <w:vAlign w:val="center"/>
                  </w:tcPr>
                  <w:p>
                    <w:pPr>
                      <w:jc w:val="center"/>
                      <w:rPr>
                        <w:szCs w:val="21"/>
                      </w:rPr>
                    </w:pPr>
                  </w:p>
                </w:tc>
              </w:tr>
            </w:sdtContent>
          </w:sdt>
          <w:sdt>
            <w:sdtPr>
              <w:rPr>
                <w:szCs w:val="21"/>
              </w:rPr>
              <w:alias w:val="非交易性权益工具投资明细"/>
              <w:tag w:val="_TUP_991c5e505207476aa32a4523b109f5f5"/>
              <w:id w:val="-155924435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越南力帆-吉力联营公司</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383,682.50</w:t>
                    </w:r>
                  </w:p>
                </w:tc>
                <w:tc>
                  <w:tcPr>
                    <w:tcW w:w="879" w:type="pct"/>
                    <w:vAlign w:val="center"/>
                  </w:tcPr>
                  <w:p>
                    <w:pPr>
                      <w:jc w:val="right"/>
                      <w:rPr>
                        <w:sz w:val="24"/>
                      </w:rPr>
                    </w:pPr>
                  </w:p>
                </w:tc>
                <w:tc>
                  <w:tcPr>
                    <w:tcW w:w="768" w:type="pct"/>
                    <w:vAlign w:val="center"/>
                  </w:tcPr>
                  <w:p>
                    <w:r>
                      <w:t>持有目的为非交易性</w:t>
                    </w:r>
                  </w:p>
                  <w:p>
                    <w:pPr>
                      <w:rPr>
                        <w:szCs w:val="21"/>
                      </w:rPr>
                    </w:pPr>
                  </w:p>
                </w:tc>
                <w:tc>
                  <w:tcPr>
                    <w:tcW w:w="599" w:type="pct"/>
                    <w:vAlign w:val="center"/>
                  </w:tcPr>
                  <w:p>
                    <w:pPr>
                      <w:jc w:val="center"/>
                      <w:rPr>
                        <w:szCs w:val="21"/>
                      </w:rPr>
                    </w:pPr>
                  </w:p>
                </w:tc>
              </w:tr>
            </w:sdtContent>
          </w:sdt>
          <w:sdt>
            <w:sdtPr>
              <w:rPr>
                <w:szCs w:val="21"/>
              </w:rPr>
              <w:alias w:val="非交易性权益工具投资明细"/>
              <w:tag w:val="_TUP_991c5e505207476aa32a4523b109f5f5"/>
              <w:id w:val="-75836747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越南兴安机械有限公司</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837,216.77</w:t>
                    </w:r>
                  </w:p>
                </w:tc>
                <w:tc>
                  <w:tcPr>
                    <w:tcW w:w="879" w:type="pct"/>
                    <w:vAlign w:val="center"/>
                  </w:tcPr>
                  <w:p>
                    <w:pPr>
                      <w:jc w:val="right"/>
                      <w:rPr>
                        <w:sz w:val="24"/>
                      </w:rPr>
                    </w:pPr>
                  </w:p>
                </w:tc>
                <w:tc>
                  <w:tcPr>
                    <w:tcW w:w="768" w:type="pct"/>
                    <w:vAlign w:val="center"/>
                  </w:tcPr>
                  <w:p>
                    <w:r>
                      <w:t>持有目的为非交易性</w:t>
                    </w:r>
                  </w:p>
                  <w:p>
                    <w:pPr>
                      <w:rPr>
                        <w:szCs w:val="21"/>
                      </w:rPr>
                    </w:pPr>
                  </w:p>
                </w:tc>
                <w:tc>
                  <w:tcPr>
                    <w:tcW w:w="599" w:type="pct"/>
                    <w:vAlign w:val="center"/>
                  </w:tcPr>
                  <w:p>
                    <w:pPr>
                      <w:jc w:val="center"/>
                      <w:rPr>
                        <w:szCs w:val="21"/>
                      </w:rPr>
                    </w:pPr>
                  </w:p>
                </w:tc>
              </w:tr>
            </w:sdtContent>
          </w:sdt>
          <w:sdt>
            <w:sdtPr>
              <w:rPr>
                <w:szCs w:val="21"/>
              </w:rPr>
              <w:alias w:val="非交易性权益工具投资明细"/>
              <w:tag w:val="_TUP_991c5e505207476aa32a4523b109f5f5"/>
              <w:id w:val="197309337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重庆力帆飞泉车辆有限公司</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1,447,619.05</w:t>
                    </w:r>
                  </w:p>
                </w:tc>
                <w:tc>
                  <w:tcPr>
                    <w:tcW w:w="879" w:type="pct"/>
                    <w:vAlign w:val="center"/>
                  </w:tcPr>
                  <w:p>
                    <w:pPr>
                      <w:jc w:val="right"/>
                      <w:rPr>
                        <w:sz w:val="24"/>
                      </w:rPr>
                    </w:pPr>
                    <w:r>
                      <w:t>-1,447,619.05</w:t>
                    </w:r>
                  </w:p>
                </w:tc>
                <w:tc>
                  <w:tcPr>
                    <w:tcW w:w="768" w:type="pct"/>
                    <w:vAlign w:val="center"/>
                  </w:tcPr>
                  <w:p>
                    <w:r>
                      <w:t>持有目的为非交易性</w:t>
                    </w:r>
                  </w:p>
                </w:tc>
                <w:tc>
                  <w:tcPr>
                    <w:tcW w:w="599" w:type="pct"/>
                    <w:vAlign w:val="center"/>
                  </w:tcPr>
                  <w:p>
                    <w:pPr>
                      <w:jc w:val="center"/>
                      <w:rPr>
                        <w:szCs w:val="21"/>
                      </w:rPr>
                    </w:pPr>
                    <w:r>
                      <w:t>处置</w:t>
                    </w:r>
                  </w:p>
                </w:tc>
              </w:tr>
            </w:sdtContent>
          </w:sdt>
          <w:sdt>
            <w:sdtPr>
              <w:rPr>
                <w:szCs w:val="21"/>
              </w:rPr>
              <w:alias w:val="非交易性权益工具投资明细"/>
              <w:tag w:val="_TUP_991c5e505207476aa32a4523b109f5f5"/>
              <w:id w:val="51034810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t>飞天迅达（北京）航空信息技术有限责任公司</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180,500.00</w:t>
                    </w:r>
                  </w:p>
                </w:tc>
                <w:tc>
                  <w:tcPr>
                    <w:tcW w:w="879" w:type="pct"/>
                    <w:vAlign w:val="center"/>
                  </w:tcPr>
                  <w:p>
                    <w:pPr>
                      <w:jc w:val="right"/>
                      <w:rPr>
                        <w:sz w:val="24"/>
                      </w:rPr>
                    </w:pPr>
                  </w:p>
                </w:tc>
                <w:tc>
                  <w:tcPr>
                    <w:tcW w:w="768" w:type="pct"/>
                    <w:vAlign w:val="center"/>
                  </w:tcPr>
                  <w:p>
                    <w:r>
                      <w:t>持有目的为非交易性</w:t>
                    </w:r>
                  </w:p>
                  <w:p>
                    <w:pPr>
                      <w:rPr>
                        <w:szCs w:val="21"/>
                      </w:rPr>
                    </w:pPr>
                  </w:p>
                </w:tc>
                <w:tc>
                  <w:tcPr>
                    <w:tcW w:w="599" w:type="pct"/>
                  </w:tcPr>
                  <w:p>
                    <w:pPr>
                      <w:rPr>
                        <w:szCs w:val="21"/>
                      </w:rPr>
                    </w:pPr>
                  </w:p>
                </w:tc>
              </w:tr>
            </w:sdtContent>
          </w:sdt>
          <w:sdt>
            <w:sdtPr>
              <w:rPr>
                <w:szCs w:val="21"/>
              </w:rPr>
              <w:alias w:val="非交易性权益工具投资明细"/>
              <w:tag w:val="_TUP_991c5e505207476aa32a4523b109f5f5"/>
              <w:id w:val="-14936896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9" w:type="pct"/>
                  </w:tcPr>
                  <w:p>
                    <w:pPr>
                      <w:rPr>
                        <w:szCs w:val="21"/>
                      </w:rPr>
                    </w:pPr>
                    <w:r>
                      <w:rPr>
                        <w:rFonts w:hint="eastAsia"/>
                        <w:szCs w:val="21"/>
                      </w:rPr>
                      <w:t>小计</w:t>
                    </w:r>
                  </w:p>
                </w:tc>
                <w:tc>
                  <w:tcPr>
                    <w:tcW w:w="548" w:type="pct"/>
                  </w:tcPr>
                  <w:p>
                    <w:pPr>
                      <w:jc w:val="right"/>
                      <w:rPr>
                        <w:szCs w:val="21"/>
                      </w:rPr>
                    </w:pPr>
                  </w:p>
                </w:tc>
                <w:tc>
                  <w:tcPr>
                    <w:tcW w:w="538" w:type="pct"/>
                  </w:tcPr>
                  <w:p>
                    <w:pPr>
                      <w:jc w:val="right"/>
                      <w:rPr>
                        <w:szCs w:val="21"/>
                      </w:rPr>
                    </w:pPr>
                  </w:p>
                </w:tc>
                <w:tc>
                  <w:tcPr>
                    <w:tcW w:w="879" w:type="pct"/>
                    <w:vAlign w:val="center"/>
                  </w:tcPr>
                  <w:p>
                    <w:pPr>
                      <w:jc w:val="right"/>
                      <w:rPr>
                        <w:sz w:val="24"/>
                      </w:rPr>
                    </w:pPr>
                    <w:r>
                      <w:t>24,364,329.40</w:t>
                    </w:r>
                  </w:p>
                </w:tc>
                <w:tc>
                  <w:tcPr>
                    <w:tcW w:w="879" w:type="pct"/>
                    <w:vAlign w:val="center"/>
                  </w:tcPr>
                  <w:p>
                    <w:pPr>
                      <w:jc w:val="right"/>
                    </w:pPr>
                    <w:r>
                      <w:t>14,302,380.95</w:t>
                    </w:r>
                  </w:p>
                </w:tc>
                <w:tc>
                  <w:tcPr>
                    <w:tcW w:w="768" w:type="pct"/>
                    <w:vAlign w:val="center"/>
                  </w:tcPr>
                  <w:p>
                    <w:pPr>
                      <w:jc w:val="right"/>
                      <w:rPr>
                        <w:szCs w:val="21"/>
                      </w:rPr>
                    </w:pPr>
                  </w:p>
                </w:tc>
                <w:tc>
                  <w:tcPr>
                    <w:tcW w:w="599" w:type="pct"/>
                  </w:tcPr>
                  <w:p>
                    <w:pPr>
                      <w:rPr>
                        <w:szCs w:val="21"/>
                      </w:rPr>
                    </w:pPr>
                  </w:p>
                </w:tc>
              </w:tr>
            </w:sdtContent>
          </w:sdt>
        </w:tbl>
        <w:p>
          <w:pPr>
            <w:rPr>
              <w:color w:val="333333"/>
              <w:szCs w:val="21"/>
            </w:rPr>
          </w:pPr>
        </w:p>
      </w:sdtContent>
    </w:sdt>
    <w:bookmarkEnd w:id="180"/>
    <w:sdt>
      <w:sdtPr>
        <w:rPr>
          <w:rFonts w:hint="eastAsia"/>
        </w:rPr>
        <w:alias w:val="模块:其他权益工具投资其他说明"/>
        <w:tag w:val="_SEC_646eb5e4608348a5bc5c6dea7ef6971a"/>
        <w:id w:val="-1841925361"/>
        <w:lock w:val="sdtLocked"/>
        <w:placeholder>
          <w:docPart w:val="GBC22222222222222222222222222222"/>
        </w:placeholder>
      </w:sdtPr>
      <w:sdtEndPr>
        <w:rPr>
          <w:rFonts w:hint="default"/>
          <w:szCs w:val="21"/>
        </w:rPr>
      </w:sdtEndPr>
      <w:sdtContent>
        <w:p>
          <w:r>
            <w:rPr>
              <w:rFonts w:hint="eastAsia"/>
            </w:rPr>
            <w:t>其他</w:t>
          </w:r>
          <w:r>
            <w:t>说明</w:t>
          </w:r>
          <w:r>
            <w:rPr>
              <w:rFonts w:hint="eastAsia"/>
            </w:rPr>
            <w:t>：</w:t>
          </w:r>
        </w:p>
        <w:sdt>
          <w:sdtPr>
            <w:alias w:val="是否适用：其他权益工具投资其他说明[双击切换]"/>
            <w:tag w:val="_GBC_217dff5073ff4a12b86d342292038452"/>
            <w:id w:val="-90800326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szCs w:val="21"/>
            </w:rPr>
          </w:pPr>
        </w:p>
      </w:sdtContent>
    </w:sdt>
    <w:sdt>
      <w:sdtPr>
        <w:rPr>
          <w:rFonts w:hint="eastAsia" w:ascii="宋体" w:hAnsi="宋体" w:cs="宋体"/>
          <w:b w:val="0"/>
          <w:bCs w:val="0"/>
          <w:kern w:val="0"/>
          <w:szCs w:val="21"/>
        </w:rPr>
        <w:alias w:val="模块:其他非流动金融资产"/>
        <w:tag w:val="_SEC_d085182d12d941b88dd5666cf5452533"/>
        <w:id w:val="-10693399"/>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szCs w:val="21"/>
            </w:rPr>
          </w:pPr>
          <w:bookmarkStart w:id="181" w:name="_Hlk533409746"/>
          <w:r>
            <w:rPr>
              <w:rFonts w:hint="eastAsia"/>
              <w:szCs w:val="21"/>
            </w:rPr>
            <w:t>其他非流动金融资产</w:t>
          </w:r>
        </w:p>
        <w:sdt>
          <w:sdtPr>
            <w:alias w:val="是否适用：其他非流动金融资产[双击切换]"/>
            <w:tag w:val="_GBC_6b599068045d444b87b686a3b6690bf1"/>
            <w:id w:val="138952983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181"/>
    <w:sdt>
      <w:sdtPr>
        <w:rPr>
          <w:rFonts w:hint="eastAsia"/>
        </w:rPr>
        <w:alias w:val="模块:其他非流动金融资产其他说明"/>
        <w:tag w:val="_SEC_93f7cfdc7a9549c68b787aff064a41f3"/>
        <w:id w:val="-748579085"/>
        <w:lock w:val="sdtLocked"/>
        <w:placeholder>
          <w:docPart w:val="GBC22222222222222222222222222222"/>
        </w:placeholder>
      </w:sdtPr>
      <w:sdtEndPr>
        <w:rPr>
          <w:rFonts w:hint="default"/>
          <w:szCs w:val="21"/>
        </w:rPr>
      </w:sdtEndPr>
      <w:sdtContent>
        <w:p>
          <w:r>
            <w:rPr>
              <w:rFonts w:hint="eastAsia"/>
            </w:rPr>
            <w:t>其他</w:t>
          </w:r>
          <w:r>
            <w:t>说明</w:t>
          </w:r>
          <w:r>
            <w:rPr>
              <w:rFonts w:hint="eastAsia"/>
            </w:rPr>
            <w:t>：</w:t>
          </w:r>
        </w:p>
        <w:sdt>
          <w:sdtPr>
            <w:rPr>
              <w:szCs w:val="21"/>
            </w:rPr>
            <w:alias w:val="是否适用：其他非流动金融资产其他说明[双击切换]"/>
            <w:tag w:val="_GBC_037912ebdd3b4e80b4b66cf88f8cb3e7"/>
            <w:id w:val="-174116627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sdtContent>
    </w:sdt>
    <w:p>
      <w:pPr>
        <w:pStyle w:val="213"/>
        <w:numPr>
          <w:ilvl w:val="0"/>
          <w:numId w:val="77"/>
        </w:numPr>
        <w:tabs>
          <w:tab w:val="left" w:pos="504"/>
        </w:tabs>
        <w:rPr>
          <w:rFonts w:ascii="宋体" w:hAnsi="宋体"/>
          <w:szCs w:val="21"/>
        </w:rPr>
      </w:pPr>
      <w:r>
        <w:rPr>
          <w:rFonts w:hint="eastAsia" w:ascii="宋体" w:hAnsi="宋体"/>
          <w:szCs w:val="21"/>
        </w:rPr>
        <w:t>投资性房地产</w:t>
      </w:r>
    </w:p>
    <w:p>
      <w:r>
        <w:t>投资性房地产</w:t>
      </w:r>
      <w:r>
        <w:rPr>
          <w:rFonts w:hint="eastAsia"/>
        </w:rPr>
        <w:t>计量模式</w:t>
      </w:r>
    </w:p>
    <w:sdt>
      <w:sdtPr>
        <w:rPr>
          <w:rFonts w:hint="eastAsia"/>
        </w:rPr>
        <w:tag w:val="_SEC_42ca4cabede641b2a0558cee2b73b5da"/>
        <w:id w:val="-514450182"/>
        <w:lock w:val="sdtLocked"/>
        <w:placeholder>
          <w:docPart w:val="GBC22222222222222222222222222222"/>
        </w:placeholder>
      </w:sdtPr>
      <w:sdtEndPr>
        <w:rPr>
          <w:rFonts w:hint="eastAsia" w:cstheme="minorBidi"/>
          <w:kern w:val="2"/>
          <w:szCs w:val="21"/>
        </w:rPr>
      </w:sdtEndPr>
      <w:sdtContent>
        <w:p>
          <w:pPr>
            <w:rPr>
              <w:b/>
            </w:rPr>
          </w:pPr>
          <w:r>
            <w:rPr>
              <w:b/>
              <w:bCs/>
            </w:rPr>
            <w:t>(1)</w:t>
          </w:r>
          <w:r>
            <w:rPr>
              <w:rFonts w:hint="eastAsia"/>
              <w:b/>
            </w:rPr>
            <w:t>采用</w:t>
          </w:r>
          <w:r>
            <w:rPr>
              <w:b/>
            </w:rPr>
            <w:t>公允价值计量</w:t>
          </w:r>
          <w:r>
            <w:rPr>
              <w:rFonts w:hint="eastAsia"/>
              <w:b/>
            </w:rPr>
            <w:t>模式</w:t>
          </w:r>
          <w:r>
            <w:rPr>
              <w:b/>
            </w:rPr>
            <w:t>的投资性房地产</w:t>
          </w:r>
        </w:p>
        <w:p>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13917701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按公允价值计量的投资性房地产"/>
              <w:tag w:val="_GBC_314dc21b542f417e9e3fa009103b2fad"/>
              <w:id w:val="18273923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4"/>
            <w:gridCol w:w="1896"/>
            <w:gridCol w:w="1215"/>
            <w:gridCol w:w="1137"/>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ec2b0bdac5a848679dbc2f8fd98e0a15"/>
                <w:id w:val="-1942286569"/>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edeac5439f954721b65cd63c777ed853"/>
                <w:id w:val="766888231"/>
                <w:lock w:val="sdtLocked"/>
              </w:sdtPr>
              <w:sdtContent>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房屋、建筑物</w:t>
                    </w:r>
                  </w:p>
                </w:tc>
              </w:sdtContent>
            </w:sdt>
            <w:sdt>
              <w:sdtPr>
                <w:tag w:val="_PLD_eb1d44f62b644da4ad1dfa4ac0b54155"/>
                <w:id w:val="1251550656"/>
                <w:lock w:val="sdtLocked"/>
              </w:sdtPr>
              <w:sdtContent>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土地使用权</w:t>
                    </w:r>
                  </w:p>
                </w:tc>
              </w:sdtContent>
            </w:sdt>
            <w:sdt>
              <w:sdtPr>
                <w:tag w:val="_PLD_9539acf4b0484bd8b21158a47aca5dfe"/>
                <w:id w:val="-2124218286"/>
                <w:lock w:val="sdtLocked"/>
              </w:sdtPr>
              <w:sdtContent>
                <w:tc>
                  <w:tcPr>
                    <w:tcW w:w="82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在建工程</w:t>
                    </w:r>
                  </w:p>
                </w:tc>
              </w:sdtContent>
            </w:sdt>
            <w:sdt>
              <w:sdtPr>
                <w:tag w:val="_PLD_9f1b0b9082fa472087bc17bc00c32446"/>
                <w:id w:val="-1588072121"/>
                <w:lock w:val="sdtLocked"/>
              </w:sdtPr>
              <w:sdtContent>
                <w:tc>
                  <w:tcPr>
                    <w:tcW w:w="85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4ef769eaf31547979efc1dd95dea1837"/>
                <w:id w:val="-1337909042"/>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一、期初余额</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24"/>
                  </w:rPr>
                </w:pPr>
                <w:r>
                  <w:t>2,655,143,686.50</w:t>
                </w:r>
              </w:p>
            </w:tc>
            <w:tc>
              <w:tcPr>
                <w:tcW w:w="87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24"/>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2,655,143,686.50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6e29d17ac1c48c0be4fea825d439a50"/>
                <w:id w:val="-914166194"/>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二、本期变动</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544,529,713.50</w:t>
                </w: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544,529,713.50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871a5d1178d4fb7ac4c731950866f2b"/>
                <w:id w:val="-1543357207"/>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加：外购</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7eba85cc46ae4ba88a93d852a5ed56f6"/>
                <w:id w:val="47810618"/>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ind w:firstLine="840" w:firstLineChars="400"/>
                      <w:rPr>
                        <w:szCs w:val="21"/>
                      </w:rPr>
                    </w:pPr>
                    <w:r>
                      <w:rPr>
                        <w:rFonts w:hint="eastAsia"/>
                        <w:szCs w:val="21"/>
                      </w:rPr>
                      <w:t>存货\固定资产\在建工程转入</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493,852,100.00</w:t>
                </w: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493,852,100.00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0cfd64a329c34c0cb710ae0871a7fb78"/>
                <w:id w:val="1924301790"/>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 xml:space="preserve">    企业合并增加</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6ccd83541752458984d551752dd194e2"/>
                <w:id w:val="1188954994"/>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减：处置</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260e308b2fe949a5a2d2f811f3142e16"/>
                <w:id w:val="-2037027336"/>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ind w:firstLine="840" w:firstLineChars="400"/>
                      <w:rPr>
                        <w:szCs w:val="21"/>
                      </w:rPr>
                    </w:pPr>
                    <w:r>
                      <w:rPr>
                        <w:rFonts w:hint="eastAsia"/>
                        <w:szCs w:val="21"/>
                      </w:rPr>
                      <w:t>其他转出</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sdt>
              <w:sdtPr>
                <w:tag w:val="_PLD_84220237953f49978c9a7aeaba04d57a"/>
                <w:id w:val="653729287"/>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公允价值变动</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50,677,613.50</w:t>
                </w: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50,677,613.50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sdt>
              <w:sdtPr>
                <w:tag w:val="_PLD_6b2d1862554a4ff38cbd1f35047aacf5"/>
                <w:id w:val="1319001210"/>
                <w:lock w:val="sdtLocked"/>
              </w:sdtPr>
              <w:sdtContent>
                <w:tc>
                  <w:tcPr>
                    <w:tcW w:w="1557"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三、期末余额</w:t>
                    </w:r>
                  </w:p>
                </w:tc>
              </w:sdtContent>
            </w:sdt>
            <w:tc>
              <w:tcPr>
                <w:tcW w:w="88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3,199,673,400.00</w:t>
                </w:r>
              </w:p>
            </w:tc>
            <w:tc>
              <w:tcPr>
                <w:tcW w:w="87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2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85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rPr>
                    <w:szCs w:val="21"/>
                  </w:rPr>
                  <w:t>3,199,673,400.00</w:t>
                </w:r>
              </w:p>
            </w:tc>
          </w:tr>
        </w:tbl>
        <w:p>
          <w:pPr>
            <w:spacing w:line="360" w:lineRule="auto"/>
          </w:pPr>
          <w:r>
            <w:rPr>
              <w:rFonts w:hint="eastAsia"/>
              <w:szCs w:val="21"/>
            </w:rPr>
            <w:t xml:space="preserve">  注：</w:t>
          </w:r>
          <w:r>
            <w:rPr>
              <w:rFonts w:hint="eastAsia"/>
            </w:rPr>
            <w:t>本公司本期期末投资性房地产公允价值，系根据江苏天健华辰资产评估有限公司出具的华辰评报字（2022）第0067号估值报告确定。</w:t>
          </w:r>
        </w:p>
        <w:p>
          <w:pPr>
            <w:ind w:right="283"/>
            <w:rPr>
              <w:szCs w:val="21"/>
            </w:rPr>
          </w:pPr>
        </w:p>
        <w:p>
          <w:pPr>
            <w:rPr>
              <w:b/>
            </w:rPr>
          </w:pPr>
          <w:r>
            <w:rPr>
              <w:rFonts w:hint="eastAsia"/>
              <w:b/>
            </w:rPr>
            <w:t>(</w:t>
          </w:r>
          <w:r>
            <w:rPr>
              <w:b/>
            </w:rPr>
            <w:t>2)</w:t>
          </w:r>
          <w:r>
            <w:rPr>
              <w:rFonts w:hint="eastAsia"/>
              <w:b/>
            </w:rPr>
            <w:t>未办妥产权证书的投资性房地产情况</w:t>
          </w:r>
        </w:p>
        <w:p>
          <w:pPr>
            <w:rPr>
              <w:szCs w:val="21"/>
            </w:rPr>
          </w:pPr>
          <w:sdt>
            <w:sdtPr>
              <w:alias w:val="是否适用：未办妥产权证书的投资性房地产情况[双击切换]"/>
              <w:tag w:val="_GBC_aad55a6994294cf7a3592474b5d3538e"/>
              <w:id w:val="282550804"/>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ind w:left="-2" w:leftChars="-21" w:hanging="42" w:hangingChars="20"/>
            <w:rPr>
              <w:szCs w:val="21"/>
            </w:rPr>
          </w:pPr>
          <w:r>
            <w:rPr>
              <w:rFonts w:hint="eastAsia"/>
              <w:szCs w:val="21"/>
            </w:rPr>
            <w:t>其他说明</w:t>
          </w:r>
        </w:p>
        <w:sdt>
          <w:sdtPr>
            <w:rPr>
              <w:szCs w:val="21"/>
            </w:rPr>
            <w:alias w:val="是否适用：投资性房地产的说明[双击切换]"/>
            <w:tag w:val="_GBC_8bfb4ff2be19482ea8535705f2db855a"/>
            <w:id w:val="-36683317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283"/>
            <w:rPr>
              <w:szCs w:val="21"/>
            </w:rPr>
          </w:pPr>
        </w:p>
      </w:sdtContent>
    </w:sdt>
    <w:sdt>
      <w:sdtPr>
        <w:rPr>
          <w:rFonts w:hint="eastAsia" w:ascii="宋体" w:hAnsi="宋体" w:cs="宋体"/>
          <w:b w:val="0"/>
          <w:bCs w:val="0"/>
          <w:kern w:val="0"/>
          <w:szCs w:val="21"/>
        </w:rPr>
        <w:alias w:val="模块:固定资产"/>
        <w:tag w:val="_SEC_5a2e9b07ae1e469294cb2be5aaf61c28"/>
        <w:id w:val="466091239"/>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rFonts w:ascii="宋体" w:hAnsi="宋体"/>
              <w:szCs w:val="21"/>
            </w:rPr>
          </w:pPr>
          <w:r>
            <w:rPr>
              <w:rFonts w:hint="eastAsia" w:ascii="宋体" w:hAnsi="宋体"/>
              <w:szCs w:val="21"/>
            </w:rPr>
            <w:t>固定资产</w:t>
          </w:r>
        </w:p>
        <w:p>
          <w:pPr>
            <w:pStyle w:val="214"/>
          </w:pPr>
          <w:r>
            <w:rPr>
              <w:rFonts w:hint="eastAsia"/>
            </w:rPr>
            <w:t>项目列示</w:t>
          </w:r>
        </w:p>
        <w:sdt>
          <w:sdtPr>
            <w:alias w:val="是否适用：固定资产分类列示[双击切换]"/>
            <w:tag w:val="_GBC_aa56cf68790e4b9d866b3ea7d6d8073d"/>
            <w:id w:val="-53896490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固定资产分类列示"/>
              <w:tag w:val="_GBC_857b5f6755c84b5aa235351580358065"/>
              <w:id w:val="6759239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固定资产分类列示"/>
              <w:tag w:val="_GBC_726c882708c540a4a7832f00029fe5d4"/>
              <w:id w:val="-15693384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2698"/>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c8e68343ee4b7fa02f5422a7fad5c0"/>
                <w:id w:val="987671356"/>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a7d9e039146b4c3ab8e71ba63a4ca55d"/>
                <w:id w:val="-2135936323"/>
                <w:lock w:val="sdtLocked"/>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a075f0130f1f4334b8370490adf71764"/>
                <w:id w:val="-1091614716"/>
                <w:lock w:val="sdtLocked"/>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6f3f641d6e46888ea56878bbc6664e"/>
                <w:id w:val="93756660"/>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固定资产</w:t>
                    </w:r>
                  </w:p>
                </w:tc>
              </w:sdtContent>
            </w:sdt>
            <w:tc>
              <w:tcPr>
                <w:tcW w:w="1582" w:type="pct"/>
                <w:shd w:val="clear" w:color="auto" w:fill="auto"/>
                <w:vAlign w:val="center"/>
              </w:tcPr>
              <w:p>
                <w:pPr>
                  <w:jc w:val="right"/>
                  <w:rPr>
                    <w:sz w:val="24"/>
                  </w:rPr>
                </w:pPr>
                <w:r>
                  <w:t>1,918,206,605.79</w:t>
                </w:r>
              </w:p>
            </w:tc>
            <w:tc>
              <w:tcPr>
                <w:tcW w:w="1590" w:type="pct"/>
                <w:shd w:val="clear" w:color="auto" w:fill="auto"/>
                <w:vAlign w:val="center"/>
              </w:tcPr>
              <w:p>
                <w:pPr>
                  <w:jc w:val="right"/>
                  <w:rPr>
                    <w:sz w:val="24"/>
                  </w:rPr>
                </w:pPr>
                <w:r>
                  <w:t>2,092,062,609.50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dbf007035d340138416b71156975cbb"/>
                <w:id w:val="-1906827991"/>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固定资产清理</w:t>
                    </w:r>
                  </w:p>
                </w:tc>
              </w:sdtContent>
            </w:sdt>
            <w:tc>
              <w:tcPr>
                <w:tcW w:w="1582" w:type="pct"/>
                <w:shd w:val="clear" w:color="auto" w:fill="auto"/>
                <w:vAlign w:val="center"/>
              </w:tcPr>
              <w:p>
                <w:pPr>
                  <w:jc w:val="right"/>
                  <w:rPr>
                    <w:sz w:val="24"/>
                  </w:rPr>
                </w:pPr>
                <w:r>
                  <w:t>245,994.07</w:t>
                </w:r>
              </w:p>
            </w:tc>
            <w:tc>
              <w:tcPr>
                <w:tcW w:w="1590" w:type="pct"/>
                <w:shd w:val="clear" w:color="auto" w:fill="auto"/>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c9866961bae4109a819284134b51737"/>
                <w:id w:val="195443999"/>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pPr>
                  <w:jc w:val="right"/>
                  <w:rPr>
                    <w:sz w:val="24"/>
                  </w:rPr>
                </w:pPr>
                <w:r>
                  <w:t>1,918,452,599.86</w:t>
                </w:r>
              </w:p>
            </w:tc>
            <w:tc>
              <w:tcPr>
                <w:tcW w:w="1590" w:type="pct"/>
                <w:shd w:val="clear" w:color="auto" w:fill="auto"/>
                <w:vAlign w:val="center"/>
              </w:tcPr>
              <w:p>
                <w:pPr>
                  <w:jc w:val="right"/>
                  <w:rPr>
                    <w:sz w:val="24"/>
                  </w:rPr>
                </w:pPr>
                <w:r>
                  <w:t>2,092,062,609.50</w:t>
                </w:r>
              </w:p>
            </w:tc>
          </w:tr>
        </w:tbl>
        <w:p>
          <w:pPr>
            <w:rPr>
              <w:b/>
            </w:rPr>
          </w:pPr>
        </w:p>
      </w:sdtContent>
    </w:sdt>
    <w:sdt>
      <w:sdtPr>
        <w:rPr>
          <w:rFonts w:hint="eastAsia"/>
          <w:szCs w:val="21"/>
        </w:rPr>
        <w:alias w:val="模块:固定资产分类列示其他说明"/>
        <w:tag w:val="_SEC_5797700860144c4b9ca0b9b62b2dc148"/>
        <w:id w:val="1129507313"/>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固定资产分类列示其他说明[双击切换]"/>
            <w:tag w:val="_GBC_242c272ba3a1435aacea1f45ade5a2e0"/>
            <w:id w:val="-192958046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固定资产分类列示其他说明"/>
            <w:tag w:val="_GBC_e5f9ef29580f49eeb76f5623070168be"/>
            <w:id w:val="2122636949"/>
            <w:lock w:val="sdtLocked"/>
          </w:sdtPr>
          <w:sdtEndPr>
            <w:rPr>
              <w:szCs w:val="21"/>
            </w:rPr>
          </w:sdtEndPr>
          <w:sdtContent>
            <w:p>
              <w:r>
                <w:t>注：上表中的固定资产是指扣除固定资产清理后的固定资产。</w:t>
              </w:r>
            </w:p>
          </w:sdtContent>
        </w:sdt>
        <w:p>
          <w:pPr>
            <w:rPr>
              <w:szCs w:val="21"/>
            </w:rPr>
          </w:pPr>
        </w:p>
      </w:sdtContent>
    </w:sdt>
    <w:p>
      <w:pPr>
        <w:pStyle w:val="214"/>
        <w:ind w:left="360" w:hanging="360"/>
      </w:pPr>
      <w:r>
        <w:rPr>
          <w:rFonts w:hint="eastAsia"/>
        </w:rPr>
        <w:t>固定资产</w:t>
      </w:r>
    </w:p>
    <w:sdt>
      <w:sdtPr>
        <w:rPr>
          <w:rFonts w:hint="eastAsia" w:ascii="宋体" w:hAnsi="宋体" w:eastAsia="宋体" w:cs="宋体"/>
          <w:b w:val="0"/>
          <w:bCs w:val="0"/>
          <w:kern w:val="0"/>
          <w:szCs w:val="24"/>
        </w:rPr>
        <w:alias w:val="模块:固定资产情况"/>
        <w:tag w:val="_SEC_b17fc34a023f4384a425600555740cb6"/>
        <w:id w:val="906801725"/>
        <w:lock w:val="sdtLocked"/>
        <w:placeholder>
          <w:docPart w:val="GBC22222222222222222222222222222"/>
        </w:placeholder>
      </w:sdtPr>
      <w:sdtEndPr>
        <w:rPr>
          <w:rFonts w:hint="eastAsia" w:asciiTheme="minorEastAsia" w:hAnsiTheme="minorEastAsia" w:eastAsiaTheme="minorEastAsia" w:cstheme="minorBidi"/>
          <w:b/>
          <w:bCs/>
          <w:kern w:val="2"/>
          <w:sz w:val="18"/>
          <w:szCs w:val="18"/>
        </w:rPr>
      </w:sdtEndPr>
      <w:sdtContent>
        <w:p>
          <w:pPr>
            <w:pStyle w:val="115"/>
            <w:numPr>
              <w:ilvl w:val="3"/>
              <w:numId w:val="89"/>
            </w:numPr>
            <w:ind w:left="426" w:hanging="426"/>
          </w:pPr>
          <w:r>
            <w:rPr>
              <w:rFonts w:hint="eastAsia"/>
            </w:rPr>
            <w:t>固定资产情况</w:t>
          </w:r>
        </w:p>
        <w:sdt>
          <w:sdtPr>
            <w:alias w:val="是否适用：固定资产情况[双击切换]"/>
            <w:tag w:val="_GBC_a44afb7019ae43b7a273970cf76154a3"/>
            <w:id w:val="587580795"/>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169172115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4717754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8"/>
            <w:tblW w:w="6013" w:type="pct"/>
            <w:tblInd w:w="-7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137"/>
            <w:gridCol w:w="1905"/>
            <w:gridCol w:w="1906"/>
            <w:gridCol w:w="1592"/>
            <w:gridCol w:w="1824"/>
            <w:gridCol w:w="1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371" w:hRule="atLeast"/>
            </w:trPr>
            <w:sdt>
              <w:sdtPr>
                <w:rPr>
                  <w:rFonts w:asciiTheme="minorEastAsia" w:hAnsiTheme="minorEastAsia" w:eastAsiaTheme="minorEastAsia"/>
                  <w:sz w:val="18"/>
                  <w:szCs w:val="18"/>
                </w:rPr>
                <w:tag w:val="_PLD_0431b88b9ff14ebb90e5715c273e1c1d"/>
                <w:id w:val="15658987"/>
                <w:lock w:val="sdtLocked"/>
              </w:sdtPr>
              <w:sdtEndPr>
                <w:rPr>
                  <w:rFonts w:asciiTheme="minorEastAsia" w:hAnsiTheme="minorEastAsia" w:eastAsiaTheme="minorEastAsia"/>
                  <w:sz w:val="18"/>
                  <w:szCs w:val="18"/>
                </w:rPr>
              </w:sdtEndPr>
              <w:sdtContent>
                <w:tc>
                  <w:tcPr>
                    <w:tcW w:w="554"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项目</w:t>
                    </w:r>
                  </w:p>
                </w:tc>
              </w:sdtContent>
            </w:sdt>
            <w:sdt>
              <w:sdtPr>
                <w:rPr>
                  <w:rFonts w:hint="eastAsia" w:asciiTheme="minorEastAsia" w:hAnsiTheme="minorEastAsia" w:eastAsiaTheme="minorEastAsia"/>
                  <w:sz w:val="18"/>
                  <w:szCs w:val="18"/>
                </w:rPr>
                <w:alias w:val="固定资产情况明细-项目名称"/>
                <w:tag w:val="_GBC_d421638fcfb34bbba0e548b4cb719a06"/>
                <w:id w:val="1858070654"/>
                <w:lock w:val="sdtLocked"/>
                <w:text/>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房屋及建筑物</w:t>
                    </w:r>
                  </w:p>
                </w:tc>
              </w:sdtContent>
            </w:sdt>
            <w:sdt>
              <w:sdtPr>
                <w:rPr>
                  <w:rFonts w:hint="eastAsia" w:asciiTheme="minorEastAsia" w:hAnsiTheme="minorEastAsia" w:eastAsiaTheme="minorEastAsia"/>
                  <w:sz w:val="18"/>
                  <w:szCs w:val="18"/>
                </w:rPr>
                <w:alias w:val="固定资产情况明细-项目名称"/>
                <w:tag w:val="_GBC_d421638fcfb34bbba0e548b4cb719a06"/>
                <w:id w:val="-1643651357"/>
                <w:lock w:val="sdtLocked"/>
                <w:text/>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机器设备</w:t>
                    </w:r>
                  </w:p>
                </w:tc>
              </w:sdtContent>
            </w:sdt>
            <w:sdt>
              <w:sdtPr>
                <w:rPr>
                  <w:rFonts w:hint="eastAsia" w:asciiTheme="minorEastAsia" w:hAnsiTheme="minorEastAsia" w:eastAsiaTheme="minorEastAsia"/>
                  <w:sz w:val="18"/>
                  <w:szCs w:val="18"/>
                </w:rPr>
                <w:alias w:val="固定资产情况明细-项目名称"/>
                <w:tag w:val="_GBC_d421638fcfb34bbba0e548b4cb719a06"/>
                <w:id w:val="260196478"/>
                <w:lock w:val="sdtLocked"/>
                <w:text/>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运输工具</w:t>
                    </w:r>
                  </w:p>
                </w:tc>
              </w:sdtContent>
            </w:sdt>
            <w:sdt>
              <w:sdtPr>
                <w:rPr>
                  <w:rFonts w:hint="eastAsia" w:asciiTheme="minorEastAsia" w:hAnsiTheme="minorEastAsia" w:eastAsiaTheme="minorEastAsia"/>
                  <w:sz w:val="18"/>
                  <w:szCs w:val="18"/>
                </w:rPr>
                <w:alias w:val="固定资产情况明细-项目名称"/>
                <w:tag w:val="_GBC_d421638fcfb34bbba0e548b4cb719a06"/>
                <w:id w:val="1434705554"/>
                <w:lock w:val="sdtLocked"/>
                <w:text/>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办公设备及其他</w:t>
                    </w:r>
                  </w:p>
                </w:tc>
              </w:sdtContent>
            </w:sdt>
            <w:sdt>
              <w:sdtPr>
                <w:rPr>
                  <w:rFonts w:asciiTheme="minorEastAsia" w:hAnsiTheme="minorEastAsia" w:eastAsiaTheme="minorEastAsia"/>
                  <w:sz w:val="18"/>
                  <w:szCs w:val="18"/>
                </w:rPr>
                <w:tag w:val="_PLD_44989fc4cd3d46cc990c4d1941405a11"/>
                <w:id w:val="-167100071"/>
                <w:lock w:val="sdtLocked"/>
              </w:sdtPr>
              <w:sdtEndPr>
                <w:rPr>
                  <w:rFonts w:asciiTheme="minorEastAsia" w:hAnsiTheme="minorEastAsia" w:eastAsiaTheme="minorEastAsia"/>
                  <w:sz w:val="18"/>
                  <w:szCs w:val="18"/>
                </w:rPr>
              </w:sdtEndPr>
              <w:sdtContent>
                <w:tc>
                  <w:tcPr>
                    <w:tcW w:w="927" w:type="pct"/>
                    <w:shd w:val="clear" w:color="auto" w:fill="auto"/>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baa91289996942f0a3579319b339b24d"/>
                <w:id w:val="1387450407"/>
                <w:lock w:val="sdtLocked"/>
              </w:sdtPr>
              <w:sdtEndPr>
                <w:rPr>
                  <w:rFonts w:asciiTheme="minorEastAsia" w:hAnsiTheme="minorEastAsia" w:eastAsiaTheme="minorEastAsia"/>
                  <w:sz w:val="18"/>
                  <w:szCs w:val="18"/>
                </w:rPr>
              </w:sdtEndPr>
              <w:sdtContent>
                <w:tc>
                  <w:tcPr>
                    <w:tcW w:w="5000" w:type="pct"/>
                    <w:gridSpan w:val="6"/>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一、账面原值：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8e55a39d9b04404cba08570c8d73eda8"/>
                <w:id w:val="-1031420208"/>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期初余额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2,211,415,812.32</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2,978,706,414.31</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69,220,949.77</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121,692,403.07</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5,381,035,579.47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5d0a6e7657e6410e9c0550f674185af8"/>
                <w:id w:val="-1882553225"/>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本期增加金额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-2,301,932.87</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37,571,457.71</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-8,082,993.98</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6,487,851.73</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33,674,382.59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21acfc7c80ed4c8898e7254bc3a221c4"/>
                <w:id w:val="823867289"/>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（1）购置</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246,546.67</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22,225,595.37</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3,721,131.30</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1,671,696.63</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27,864,969.97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c4fb45cabc464177bb10403e2ec415b1"/>
                <w:id w:val="683946647"/>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（2）在建工程转入</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1,997,214.07</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11,102,159.18</w:t>
                </w:r>
              </w:p>
            </w:tc>
            <w:tc>
              <w:tcPr>
                <w:tcW w:w="775" w:type="pct"/>
                <w:shd w:val="clear" w:color="auto" w:fill="auto"/>
                <w:vAlign w:val="center"/>
              </w:tcPr>
              <w:p>
                <w:pPr>
                  <w:jc w:val="right"/>
                  <w:rPr>
                    <w:rFonts w:asciiTheme="minorEastAsia" w:hAnsiTheme="minorEastAsia" w:eastAsiaTheme="minorEastAsia"/>
                    <w:sz w:val="18"/>
                    <w:szCs w:val="18"/>
                  </w:rPr>
                </w:pP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972,727.27</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14,072,100.52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alias w:val="固定资产账面原值增加项目名称"/>
                <w:tag w:val="_GBC_6e5477dc1f51417fb72841d3b7f273bd"/>
                <w:id w:val="321242044"/>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（3）外币报表</w:t>
                    </w:r>
                    <w:r>
                      <w:rPr>
                        <w:rFonts w:asciiTheme="minorEastAsia" w:hAnsiTheme="minorEastAsia" w:eastAsiaTheme="minorEastAsia"/>
                        <w:sz w:val="18"/>
                        <w:szCs w:val="18"/>
                      </w:rPr>
                      <w:t>折算</w:t>
                    </w:r>
                    <w:r>
                      <w:rPr>
                        <w:rFonts w:hint="eastAsia" w:asciiTheme="minorEastAsia" w:hAnsiTheme="minorEastAsia" w:eastAsiaTheme="minorEastAsia"/>
                        <w:sz w:val="18"/>
                        <w:szCs w:val="18"/>
                      </w:rPr>
                      <w:t>差额</w:t>
                    </w:r>
                  </w:p>
                </w:tc>
              </w:sdtContent>
            </w:sdt>
            <w:sdt>
              <w:sdtPr>
                <w:rPr>
                  <w:rFonts w:asciiTheme="minorEastAsia" w:hAnsiTheme="minorEastAsia" w:eastAsiaTheme="minorEastAsia"/>
                  <w:sz w:val="18"/>
                  <w:szCs w:val="18"/>
                </w:rPr>
                <w:alias w:val="固定资产账面原值增加项目金额"/>
                <w:tag w:val="_GBC_4a8efbc39f04483fb64867a5d5e98d88"/>
                <w:id w:val="1779065658"/>
                <w:lock w:val="sdtLocked"/>
              </w:sdtPr>
              <w:sdtEndPr>
                <w:rPr>
                  <w:rFonts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-4,545,693.61</w:t>
                    </w:r>
                  </w:p>
                </w:tc>
              </w:sdtContent>
            </w:sdt>
            <w:sdt>
              <w:sdtPr>
                <w:rPr>
                  <w:rFonts w:asciiTheme="minorEastAsia" w:hAnsiTheme="minorEastAsia" w:eastAsiaTheme="minorEastAsia"/>
                  <w:sz w:val="18"/>
                  <w:szCs w:val="18"/>
                </w:rPr>
                <w:alias w:val="固定资产账面原值增加项目金额"/>
                <w:tag w:val="_GBC_4a8efbc39f04483fb64867a5d5e98d88"/>
                <w:id w:val="188873467"/>
                <w:lock w:val="sdtLocked"/>
              </w:sdtPr>
              <w:sdtEndPr>
                <w:rPr>
                  <w:rFonts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-2,534,802.43</w:t>
                    </w:r>
                  </w:p>
                </w:tc>
              </w:sdtContent>
            </w:sdt>
            <w:sdt>
              <w:sdtPr>
                <w:rPr>
                  <w:rFonts w:asciiTheme="minorEastAsia" w:hAnsiTheme="minorEastAsia" w:eastAsiaTheme="minorEastAsia"/>
                  <w:sz w:val="18"/>
                  <w:szCs w:val="18"/>
                </w:rPr>
                <w:alias w:val="固定资产账面原值增加项目金额"/>
                <w:tag w:val="_GBC_4a8efbc39f04483fb64867a5d5e98d88"/>
                <w:id w:val="-465356710"/>
                <w:lock w:val="sdtLocked"/>
              </w:sdtPr>
              <w:sdtEndPr>
                <w:rPr>
                  <w:rFonts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-480,138.74</w:t>
                    </w:r>
                  </w:p>
                </w:tc>
              </w:sdtContent>
            </w:sdt>
            <w:sdt>
              <w:sdtPr>
                <w:rPr>
                  <w:rFonts w:asciiTheme="minorEastAsia" w:hAnsiTheme="minorEastAsia" w:eastAsiaTheme="minorEastAsia"/>
                  <w:sz w:val="18"/>
                  <w:szCs w:val="18"/>
                </w:rPr>
                <w:alias w:val="固定资产账面原值增加项目金额"/>
                <w:tag w:val="_GBC_4a8efbc39f04483fb64867a5d5e98d88"/>
                <w:id w:val="898172835"/>
                <w:lock w:val="sdtLocked"/>
              </w:sdtPr>
              <w:sdtEndPr>
                <w:rPr>
                  <w:rFonts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-702,053.12</w:t>
                    </w:r>
                  </w:p>
                </w:tc>
              </w:sdtContent>
            </w:sdt>
            <w:sdt>
              <w:sdtPr>
                <w:rPr>
                  <w:rFonts w:asciiTheme="minorEastAsia" w:hAnsiTheme="minorEastAsia" w:eastAsiaTheme="minorEastAsia"/>
                  <w:sz w:val="18"/>
                  <w:szCs w:val="18"/>
                </w:rPr>
                <w:alias w:val="固定资产账面原值增加项目合计金额"/>
                <w:tag w:val="_GBC_644f201b97ec4c45a852c12643d6ff5c"/>
                <w:id w:val="1238212092"/>
                <w:lock w:val="sdtLocked"/>
              </w:sdtPr>
              <w:sdtEndPr>
                <w:rPr>
                  <w:rFonts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-8,262,687.90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alias w:val="固定资产账面原值增加项目名称"/>
                <w:tag w:val="_GBC_6e5477dc1f51417fb72841d3b7f273bd"/>
                <w:id w:val="504328960"/>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重分类</w:t>
                    </w:r>
                  </w:p>
                </w:tc>
              </w:sdtContent>
            </w:sdt>
            <w:sdt>
              <w:sdtPr>
                <w:rPr>
                  <w:rFonts w:asciiTheme="minorEastAsia" w:hAnsiTheme="minorEastAsia" w:eastAsiaTheme="minorEastAsia"/>
                  <w:sz w:val="18"/>
                  <w:szCs w:val="18"/>
                </w:rPr>
                <w:alias w:val="固定资产账面原值增加项目金额"/>
                <w:tag w:val="_GBC_4a8efbc39f04483fb64867a5d5e98d88"/>
                <w:id w:val="505867798"/>
                <w:lock w:val="sdtLocked"/>
                <w:showingPlcHdr/>
              </w:sdtPr>
              <w:sdtEndPr>
                <w:rPr>
                  <w:rFonts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p>
                </w:tc>
              </w:sdtContent>
            </w:sdt>
            <w:sdt>
              <w:sdtPr>
                <w:rPr>
                  <w:rFonts w:asciiTheme="minorEastAsia" w:hAnsiTheme="minorEastAsia" w:eastAsiaTheme="minorEastAsia"/>
                  <w:sz w:val="18"/>
                  <w:szCs w:val="18"/>
                </w:rPr>
                <w:alias w:val="固定资产账面原值增加项目金额"/>
                <w:tag w:val="_GBC_4a8efbc39f04483fb64867a5d5e98d88"/>
                <w:id w:val="740990784"/>
                <w:lock w:val="sdtLocked"/>
              </w:sdtPr>
              <w:sdtEndPr>
                <w:rPr>
                  <w:rFonts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6,778,505.59</w:t>
                    </w:r>
                  </w:p>
                </w:tc>
              </w:sdtContent>
            </w:sdt>
            <w:sdt>
              <w:sdtPr>
                <w:rPr>
                  <w:rFonts w:asciiTheme="minorEastAsia" w:hAnsiTheme="minorEastAsia" w:eastAsiaTheme="minorEastAsia"/>
                  <w:sz w:val="18"/>
                  <w:szCs w:val="18"/>
                </w:rPr>
                <w:alias w:val="固定资产账面原值增加项目金额"/>
                <w:tag w:val="_GBC_4a8efbc39f04483fb64867a5d5e98d88"/>
                <w:id w:val="-1111273612"/>
                <w:lock w:val="sdtLocked"/>
              </w:sdtPr>
              <w:sdtEndPr>
                <w:rPr>
                  <w:rFonts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-11,323,986.54</w:t>
                    </w:r>
                  </w:p>
                </w:tc>
              </w:sdtContent>
            </w:sdt>
            <w:sdt>
              <w:sdtPr>
                <w:rPr>
                  <w:rFonts w:asciiTheme="minorEastAsia" w:hAnsiTheme="minorEastAsia" w:eastAsiaTheme="minorEastAsia"/>
                  <w:sz w:val="18"/>
                  <w:szCs w:val="18"/>
                </w:rPr>
                <w:alias w:val="固定资产账面原值增加项目金额"/>
                <w:tag w:val="_GBC_4a8efbc39f04483fb64867a5d5e98d88"/>
                <w:id w:val="2087731256"/>
                <w:lock w:val="sdtLocked"/>
              </w:sdtPr>
              <w:sdtEndPr>
                <w:rPr>
                  <w:rFonts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4,545,480.95</w:t>
                    </w:r>
                  </w:p>
                </w:tc>
              </w:sdtContent>
            </w:sdt>
            <w:sdt>
              <w:sdtPr>
                <w:rPr>
                  <w:rFonts w:asciiTheme="minorEastAsia" w:hAnsiTheme="minorEastAsia" w:eastAsiaTheme="minorEastAsia"/>
                  <w:sz w:val="18"/>
                  <w:szCs w:val="18"/>
                </w:rPr>
                <w:alias w:val="固定资产账面原值增加项目合计金额"/>
                <w:tag w:val="_GBC_644f201b97ec4c45a852c12643d6ff5c"/>
                <w:id w:val="-381101380"/>
                <w:lock w:val="sdtLocked"/>
                <w:showingPlcHdr/>
              </w:sdtPr>
              <w:sdtEndPr>
                <w:rPr>
                  <w:rFonts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82105b7a23294bcc97fa2c9d341d5e29"/>
                <w:id w:val="-685828375"/>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3.本期减少金额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12,868,182.00</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895,326,900.38</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26,041,747.23</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7,648,645.90</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941,885,475.51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ff1592931fc24cf7bf5faee8eae2abb5"/>
                <w:id w:val="860785777"/>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（1）处置或报废</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12,868,182.00</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895,324,050.38</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26,041,747.23</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7,511,136.80</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941,745,116.41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asciiTheme="minorEastAsia" w:hAnsiTheme="minorEastAsia" w:eastAsiaTheme="minorEastAsia"/>
                  <w:sz w:val="18"/>
                  <w:szCs w:val="18"/>
                </w:rPr>
                <w:alias w:val="固定资产账面原值减少项目名称"/>
                <w:tag w:val="_GBC_bf0a28cbddd8409cb7657fa18a522437"/>
                <w:id w:val="931549560"/>
                <w:lock w:val="sdtLocked"/>
              </w:sdtPr>
              <w:sdtEndPr>
                <w:rPr>
                  <w:rFonts w:hint="eastAsia" w:asciiTheme="minorEastAsia" w:hAnsiTheme="minorEastAsia" w:eastAsiaTheme="minorEastAsia"/>
                  <w:sz w:val="18"/>
                  <w:szCs w:val="18"/>
                </w:rPr>
              </w:sdtEndPr>
              <w:sdtContent>
                <w:tc>
                  <w:tcPr>
                    <w:tcW w:w="554" w:type="pct"/>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（2）处置</w:t>
                    </w:r>
                    <w:r>
                      <w:rPr>
                        <w:rFonts w:asciiTheme="minorEastAsia" w:hAnsiTheme="minorEastAsia" w:eastAsiaTheme="minorEastAsia"/>
                        <w:sz w:val="18"/>
                        <w:szCs w:val="18"/>
                      </w:rPr>
                      <w:t>子公司</w:t>
                    </w:r>
                  </w:p>
                </w:tc>
              </w:sdtContent>
            </w:sdt>
            <w:sdt>
              <w:sdtPr>
                <w:rPr>
                  <w:rFonts w:hint="eastAsia" w:asciiTheme="minorEastAsia" w:hAnsiTheme="minorEastAsia" w:eastAsiaTheme="minorEastAsia"/>
                  <w:sz w:val="18"/>
                  <w:szCs w:val="18"/>
                </w:rPr>
                <w:alias w:val="固定资产账面原值减少项目金额"/>
                <w:tag w:val="_GBC_5be4d3b49a5c4a68a0d236b2da08d9af"/>
                <w:id w:val="-1264993787"/>
                <w:lock w:val="sdtLocked"/>
                <w:showingPlcHdr/>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账面原值减少项目金额"/>
                <w:tag w:val="_GBC_5be4d3b49a5c4a68a0d236b2da08d9af"/>
                <w:id w:val="-1496409847"/>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2,850.00</w:t>
                    </w:r>
                  </w:p>
                </w:tc>
              </w:sdtContent>
            </w:sdt>
            <w:sdt>
              <w:sdtPr>
                <w:rPr>
                  <w:rFonts w:hint="eastAsia" w:asciiTheme="minorEastAsia" w:hAnsiTheme="minorEastAsia" w:eastAsiaTheme="minorEastAsia"/>
                  <w:sz w:val="18"/>
                  <w:szCs w:val="18"/>
                </w:rPr>
                <w:alias w:val="固定资产账面原值减少项目金额"/>
                <w:tag w:val="_GBC_5be4d3b49a5c4a68a0d236b2da08d9af"/>
                <w:id w:val="1476952401"/>
                <w:lock w:val="sdtLocked"/>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账面原值减少项目金额"/>
                <w:tag w:val="_GBC_5be4d3b49a5c4a68a0d236b2da08d9af"/>
                <w:id w:val="1548105063"/>
                <w:lock w:val="sdtLocked"/>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137,509.10</w:t>
                    </w:r>
                  </w:p>
                </w:tc>
              </w:sdtContent>
            </w:sdt>
            <w:sdt>
              <w:sdtPr>
                <w:rPr>
                  <w:rFonts w:hint="eastAsia" w:asciiTheme="minorEastAsia" w:hAnsiTheme="minorEastAsia" w:eastAsiaTheme="minorEastAsia"/>
                  <w:sz w:val="18"/>
                  <w:szCs w:val="18"/>
                </w:rPr>
                <w:alias w:val="固定资产账面原值减少项目合计金额"/>
                <w:tag w:val="_GBC_9b93e9d244ff4453b139d8a42865ba80"/>
                <w:id w:val="183186805"/>
                <w:lock w:val="sdtLocked"/>
              </w:sdtPr>
              <w:sdtEndPr>
                <w:rPr>
                  <w:rFonts w:hint="eastAsia"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140,359.10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3fb9f6c6a0b842188aea461d99c9adab"/>
                <w:id w:val="-1345165835"/>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4.期末余额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2,196,245,697.45</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2,120,950,971.64</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35,096,208.56</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120,531,608.90</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4,472,824,486.55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14f44e7a4341414ca27a4047f9622e44"/>
                <w:id w:val="-844938137"/>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bdfb76068a2a4a95ab0a3bcf1b094bf2"/>
                <w:id w:val="1991749750"/>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期初余额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526,290,863.81</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1,026,569,545.54</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54,991,288.66</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101,022,105.78</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1,708,873,803.79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ac9d6720c4e84ec2b82637a9bc7e4a54"/>
                <w:id w:val="-250509723"/>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本期增加金额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72,607,702.25</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67,973,713.36</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-5,658,747.71</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5,672,049.81</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140,594,717.71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4b899f8229be463181a7e6a6c1cb2337"/>
                <w:id w:val="700670391"/>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（1）计提</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74,977,967.78</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60,954,271.16</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3,951,134.26</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5,899,499.65</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145,782,872.85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asciiTheme="minorEastAsia" w:hAnsiTheme="minorEastAsia" w:eastAsiaTheme="minorEastAsia"/>
                  <w:sz w:val="18"/>
                  <w:szCs w:val="18"/>
                </w:rPr>
                <w:alias w:val="固定资产累计折旧增加项目名称"/>
                <w:tag w:val="_GBC_c82e46f282074bcd8f0977f9e064b7a6"/>
                <w:id w:val="97072478"/>
                <w:lock w:val="sdtLocked"/>
              </w:sdtPr>
              <w:sdtEndPr>
                <w:rPr>
                  <w:rFonts w:hint="eastAsia"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（2）重分</w:t>
                    </w:r>
                    <w:r>
                      <w:rPr>
                        <w:rFonts w:asciiTheme="minorEastAsia" w:hAnsiTheme="minorEastAsia" w:eastAsiaTheme="minorEastAsia"/>
                        <w:sz w:val="18"/>
                        <w:szCs w:val="18"/>
                      </w:rPr>
                      <w:t>类</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1728524938"/>
                <w:lock w:val="sdtLocked"/>
                <w:showingPlcHdr/>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1738315889"/>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8,918,801.17</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650869242"/>
                <w:lock w:val="sdtLocked"/>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-9,211,027.55</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986012782"/>
                <w:lock w:val="sdtLocked"/>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292,226.38</w:t>
                    </w:r>
                  </w:p>
                </w:tc>
              </w:sdtContent>
            </w:sdt>
            <w:sdt>
              <w:sdtPr>
                <w:rPr>
                  <w:rFonts w:hint="eastAsia" w:asciiTheme="minorEastAsia" w:hAnsiTheme="minorEastAsia" w:eastAsiaTheme="minorEastAsia"/>
                  <w:sz w:val="18"/>
                  <w:szCs w:val="18"/>
                </w:rPr>
                <w:alias w:val="固定资产累计折旧增加项目合计金额"/>
                <w:tag w:val="_GBC_7b368febd98d43528833b386ded680f2"/>
                <w:id w:val="1940026155"/>
                <w:lock w:val="sdtLocked"/>
                <w:showingPlcHdr/>
              </w:sdtPr>
              <w:sdtEndPr>
                <w:rPr>
                  <w:rFonts w:hint="eastAsia"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asciiTheme="minorEastAsia" w:hAnsiTheme="minorEastAsia" w:eastAsiaTheme="minorEastAsia"/>
                  <w:sz w:val="18"/>
                  <w:szCs w:val="18"/>
                </w:rPr>
                <w:alias w:val="固定资产累计折旧增加项目名称"/>
                <w:tag w:val="_GBC_c82e46f282074bcd8f0977f9e064b7a6"/>
                <w:id w:val="-1955704614"/>
                <w:lock w:val="sdtLocked"/>
              </w:sdtPr>
              <w:sdtEndPr>
                <w:rPr>
                  <w:rFonts w:hint="eastAsia"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（3）外币</w:t>
                    </w:r>
                    <w:r>
                      <w:rPr>
                        <w:rFonts w:asciiTheme="minorEastAsia" w:hAnsiTheme="minorEastAsia" w:eastAsiaTheme="minorEastAsia"/>
                        <w:sz w:val="18"/>
                        <w:szCs w:val="18"/>
                      </w:rPr>
                      <w:t>报表折算差额</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207618737"/>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-2,370,265.53</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1819955275"/>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-1,899,358.97</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431556844"/>
                <w:lock w:val="sdtLocked"/>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-398,854.42</w:t>
                    </w:r>
                  </w:p>
                </w:tc>
              </w:sdtContent>
            </w:sdt>
            <w:sdt>
              <w:sdtPr>
                <w:rPr>
                  <w:rFonts w:hint="eastAsia" w:asciiTheme="minorEastAsia" w:hAnsiTheme="minorEastAsia" w:eastAsiaTheme="minorEastAsia"/>
                  <w:sz w:val="18"/>
                  <w:szCs w:val="18"/>
                </w:rPr>
                <w:alias w:val="固定资产累计折旧增加项目金额"/>
                <w:tag w:val="_GBC_d8c6bc4179c24d4497d3b866e522ee51"/>
                <w:id w:val="-2013516773"/>
                <w:lock w:val="sdtLocked"/>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-519,676.22</w:t>
                    </w:r>
                  </w:p>
                </w:tc>
              </w:sdtContent>
            </w:sdt>
            <w:sdt>
              <w:sdtPr>
                <w:rPr>
                  <w:rFonts w:hint="eastAsia" w:asciiTheme="minorEastAsia" w:hAnsiTheme="minorEastAsia" w:eastAsiaTheme="minorEastAsia"/>
                  <w:sz w:val="18"/>
                  <w:szCs w:val="18"/>
                </w:rPr>
                <w:alias w:val="固定资产累计折旧增加项目合计金额"/>
                <w:tag w:val="_GBC_7b368febd98d43528833b386ded680f2"/>
                <w:id w:val="1428079160"/>
                <w:lock w:val="sdtLocked"/>
              </w:sdtPr>
              <w:sdtEndPr>
                <w:rPr>
                  <w:rFonts w:hint="eastAsia"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-5,188,155.14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1a8a0c2973de4a7c99ed0dd69c4a85fa"/>
                <w:id w:val="1371422874"/>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3.本期减少金额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5,197,784.23</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280,253,268.31</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21,082,792.15</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7,197,718.79</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313,731,563.48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051549d56ef94d0f864893f6bcd12368"/>
                <w:id w:val="-1807625857"/>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（1）处置或报废</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5,197,784.23</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280,250,418.31</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21,082,792.15</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7,062,541.00</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313,593,535.69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asciiTheme="minorEastAsia" w:hAnsiTheme="minorEastAsia" w:eastAsiaTheme="minorEastAsia"/>
                  <w:sz w:val="18"/>
                  <w:szCs w:val="18"/>
                </w:rPr>
                <w:alias w:val="固定资产累计折旧减少项目名称"/>
                <w:tag w:val="_GBC_20eae31762484d0a9c046fa65503339a"/>
                <w:id w:val="1716467592"/>
                <w:lock w:val="sdtLocked"/>
              </w:sdtPr>
              <w:sdtEndPr>
                <w:rPr>
                  <w:rFonts w:hint="eastAsia"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（2）处置</w:t>
                    </w:r>
                    <w:r>
                      <w:rPr>
                        <w:rFonts w:asciiTheme="minorEastAsia" w:hAnsiTheme="minorEastAsia" w:eastAsiaTheme="minorEastAsia"/>
                        <w:sz w:val="18"/>
                        <w:szCs w:val="18"/>
                      </w:rPr>
                      <w:t>子公司</w:t>
                    </w:r>
                  </w:p>
                </w:tc>
              </w:sdtContent>
            </w:sdt>
            <w:sdt>
              <w:sdtPr>
                <w:rPr>
                  <w:rFonts w:hint="eastAsia" w:asciiTheme="minorEastAsia" w:hAnsiTheme="minorEastAsia" w:eastAsiaTheme="minorEastAsia"/>
                  <w:sz w:val="18"/>
                  <w:szCs w:val="18"/>
                </w:rPr>
                <w:alias w:val="固定资产累计折旧减少项目金额"/>
                <w:tag w:val="_GBC_50575111ca3b4086b584bb25daa7a51a"/>
                <w:id w:val="-1559007822"/>
                <w:lock w:val="sdtLocked"/>
                <w:showingPlcHdr/>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累计折旧减少项目金额"/>
                <w:tag w:val="_GBC_50575111ca3b4086b584bb25daa7a51a"/>
                <w:id w:val="-1578973246"/>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2,850.00</w:t>
                    </w:r>
                  </w:p>
                </w:tc>
              </w:sdtContent>
            </w:sdt>
            <w:sdt>
              <w:sdtPr>
                <w:rPr>
                  <w:rFonts w:hint="eastAsia" w:asciiTheme="minorEastAsia" w:hAnsiTheme="minorEastAsia" w:eastAsiaTheme="minorEastAsia"/>
                  <w:sz w:val="18"/>
                  <w:szCs w:val="18"/>
                </w:rPr>
                <w:alias w:val="固定资产累计折旧减少项目金额"/>
                <w:tag w:val="_GBC_50575111ca3b4086b584bb25daa7a51a"/>
                <w:id w:val="-848015506"/>
                <w:lock w:val="sdtLocked"/>
                <w:showingPlcHdr/>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累计折旧减少项目金额"/>
                <w:tag w:val="_GBC_50575111ca3b4086b584bb25daa7a51a"/>
                <w:id w:val="2069607270"/>
                <w:lock w:val="sdtLocked"/>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135,177.79</w:t>
                    </w:r>
                  </w:p>
                </w:tc>
              </w:sdtContent>
            </w:sdt>
            <w:sdt>
              <w:sdtPr>
                <w:rPr>
                  <w:rFonts w:hint="eastAsia" w:asciiTheme="minorEastAsia" w:hAnsiTheme="minorEastAsia" w:eastAsiaTheme="minorEastAsia"/>
                  <w:sz w:val="18"/>
                  <w:szCs w:val="18"/>
                </w:rPr>
                <w:alias w:val="固定资产累计折旧减少项目合计金额"/>
                <w:tag w:val="_GBC_ba854a525e15473181c1dd92dc7af67e"/>
                <w:id w:val="-1384550167"/>
                <w:lock w:val="sdtLocked"/>
              </w:sdtPr>
              <w:sdtEndPr>
                <w:rPr>
                  <w:rFonts w:hint="eastAsia"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138,027.79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461cd300a56d4a1d8e530b3c2f9767bf"/>
                <w:id w:val="-1505045361"/>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4.期末余额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593,700,781.83</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814,289,990.59</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28,249,748.80</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99,496,436.80</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1,535,736,958.02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b98cd9e8075a44b28b16fc9fd4c3c81f"/>
                <w:id w:val="-791980493"/>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56eded0ad9c34a2dabfd9ced3cc4cb08"/>
                <w:id w:val="869568783"/>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期初余额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48,852,821.18</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1,529,205,555.14</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1,063,737.03</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977,052.83</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1,580,099,166.18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e23909e3deca4ed3b3374e1998a20d9d"/>
                <w:id w:val="1350683134"/>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本期增加金额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-634,559.13</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-547,051.95</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-1,174.06</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-22,355.59</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-1,205,140.73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asciiTheme="minorEastAsia" w:hAnsiTheme="minorEastAsia" w:eastAsiaTheme="minorEastAsia"/>
                  <w:sz w:val="18"/>
                  <w:szCs w:val="18"/>
                </w:rPr>
                <w:alias w:val="固定资产减值准备增加项目名称"/>
                <w:tag w:val="_GBC_8226f6a389744b42bf90e51d4645b6a0"/>
                <w:id w:val="-1903588518"/>
                <w:lock w:val="sdtLocked"/>
              </w:sdtPr>
              <w:sdtEndPr>
                <w:rPr>
                  <w:rFonts w:hint="eastAsia"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（1）重分类</w:t>
                    </w: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1763558389"/>
                <w:lock w:val="sdtLocked"/>
                <w:showingPlcHdr/>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411634814"/>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12,962.58</w:t>
                    </w: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767822284"/>
                <w:lock w:val="sdtLocked"/>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462009403"/>
                <w:lock w:val="sdtLocked"/>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-12,962.58</w:t>
                    </w:r>
                  </w:p>
                </w:tc>
              </w:sdtContent>
            </w:sdt>
            <w:sdt>
              <w:sdtPr>
                <w:rPr>
                  <w:rFonts w:hint="eastAsia" w:asciiTheme="minorEastAsia" w:hAnsiTheme="minorEastAsia" w:eastAsiaTheme="minorEastAsia"/>
                  <w:sz w:val="18"/>
                  <w:szCs w:val="18"/>
                </w:rPr>
                <w:alias w:val="固定资产减值准备增加项目合计金额"/>
                <w:tag w:val="_GBC_2837b7bacbb04d6e8952bb1528820cb2"/>
                <w:id w:val="-1437675409"/>
                <w:lock w:val="sdtLocked"/>
              </w:sdtPr>
              <w:sdtEndPr>
                <w:rPr>
                  <w:rFonts w:hint="eastAsia"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hint="eastAsia" w:asciiTheme="minorEastAsia" w:hAnsiTheme="minorEastAsia" w:eastAsiaTheme="minorEastAsia"/>
                  <w:sz w:val="18"/>
                  <w:szCs w:val="18"/>
                </w:rPr>
                <w:alias w:val="固定资产减值准备增加项目名称"/>
                <w:tag w:val="_GBC_8226f6a389744b42bf90e51d4645b6a0"/>
                <w:id w:val="-1715257597"/>
                <w:lock w:val="sdtLocked"/>
              </w:sdtPr>
              <w:sdtEndPr>
                <w:rPr>
                  <w:rFonts w:hint="eastAsia"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）外币</w:t>
                    </w:r>
                    <w:r>
                      <w:rPr>
                        <w:rFonts w:asciiTheme="minorEastAsia" w:hAnsiTheme="minorEastAsia" w:eastAsiaTheme="minorEastAsia"/>
                        <w:sz w:val="18"/>
                        <w:szCs w:val="18"/>
                      </w:rPr>
                      <w:t>报表折算差额</w:t>
                    </w: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1622984740"/>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-634,559.13</w:t>
                    </w: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886682755"/>
                <w:lock w:val="sdtLocked"/>
              </w:sdtPr>
              <w:sdtEndPr>
                <w:rPr>
                  <w:rFonts w:hint="eastAsia" w:asciiTheme="minorEastAsia" w:hAnsiTheme="minorEastAsia" w:eastAsiaTheme="minorEastAsia"/>
                  <w:sz w:val="18"/>
                  <w:szCs w:val="18"/>
                </w:rPr>
              </w:sdtEndPr>
              <w:sdtContent>
                <w:tc>
                  <w:tcPr>
                    <w:tcW w:w="92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-560,014.53</w:t>
                    </w: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1591655763"/>
                <w:lock w:val="sdtLocked"/>
              </w:sdtPr>
              <w:sdtEndPr>
                <w:rPr>
                  <w:rFonts w:hint="eastAsia" w:asciiTheme="minorEastAsia" w:hAnsiTheme="minorEastAsia" w:eastAsiaTheme="minorEastAsia"/>
                  <w:sz w:val="18"/>
                  <w:szCs w:val="18"/>
                </w:rPr>
              </w:sdtEndPr>
              <w:sdtContent>
                <w:tc>
                  <w:tcPr>
                    <w:tcW w:w="775"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-1,174.06</w:t>
                    </w:r>
                  </w:p>
                </w:tc>
              </w:sdtContent>
            </w:sdt>
            <w:sdt>
              <w:sdtPr>
                <w:rPr>
                  <w:rFonts w:hint="eastAsia" w:asciiTheme="minorEastAsia" w:hAnsiTheme="minorEastAsia" w:eastAsiaTheme="minorEastAsia"/>
                  <w:sz w:val="18"/>
                  <w:szCs w:val="18"/>
                </w:rPr>
                <w:alias w:val="固定资产减值准备增加项目金额"/>
                <w:tag w:val="_GBC_2863639ab279419e99e343a45923928e"/>
                <w:id w:val="2039073915"/>
                <w:lock w:val="sdtLocked"/>
              </w:sdtPr>
              <w:sdtEndPr>
                <w:rPr>
                  <w:rFonts w:hint="eastAsia" w:asciiTheme="minorEastAsia" w:hAnsiTheme="minorEastAsia" w:eastAsiaTheme="minorEastAsia"/>
                  <w:sz w:val="18"/>
                  <w:szCs w:val="18"/>
                </w:rPr>
              </w:sdtEndPr>
              <w:sdtContent>
                <w:tc>
                  <w:tcPr>
                    <w:tcW w:w="888"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-9,393.01</w:t>
                    </w:r>
                  </w:p>
                </w:tc>
              </w:sdtContent>
            </w:sdt>
            <w:sdt>
              <w:sdtPr>
                <w:rPr>
                  <w:rFonts w:hint="eastAsia" w:asciiTheme="minorEastAsia" w:hAnsiTheme="minorEastAsia" w:eastAsiaTheme="minorEastAsia"/>
                  <w:sz w:val="18"/>
                  <w:szCs w:val="18"/>
                </w:rPr>
                <w:alias w:val="固定资产减值准备增加项目合计金额"/>
                <w:tag w:val="_GBC_2837b7bacbb04d6e8952bb1528820cb2"/>
                <w:id w:val="-320357682"/>
                <w:lock w:val="sdtLocked"/>
              </w:sdtPr>
              <w:sdtEndPr>
                <w:rPr>
                  <w:rFonts w:hint="eastAsia" w:asciiTheme="minorEastAsia" w:hAnsiTheme="minorEastAsia" w:eastAsiaTheme="minorEastAsia"/>
                  <w:sz w:val="18"/>
                  <w:szCs w:val="18"/>
                </w:rPr>
              </w:sdtEndPr>
              <w:sdtContent>
                <w:tc>
                  <w:tcPr>
                    <w:tcW w:w="927" w:type="pct"/>
                    <w:shd w:val="clear" w:color="auto" w:fill="auto"/>
                    <w:vAlign w:val="center"/>
                  </w:tcPr>
                  <w:p>
                    <w:pPr>
                      <w:jc w:val="right"/>
                      <w:rPr>
                        <w:rFonts w:asciiTheme="minorEastAsia" w:hAnsiTheme="minorEastAsia" w:eastAsiaTheme="minorEastAsia"/>
                        <w:sz w:val="18"/>
                        <w:szCs w:val="18"/>
                      </w:rPr>
                    </w:pPr>
                    <w:r>
                      <w:rPr>
                        <w:rFonts w:hint="eastAsia" w:asciiTheme="minorEastAsia" w:hAnsiTheme="minorEastAsia" w:eastAsiaTheme="minorEastAsia"/>
                        <w:sz w:val="18"/>
                        <w:szCs w:val="18"/>
                      </w:rPr>
                      <w:t>-1,205,140.73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773acace40cf4e2b82acb417897e72ef"/>
                <w:id w:val="-426195400"/>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3.本期减少金额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7,443,321.88</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551,479,608.25</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1,012,392.59</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77,779.99</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560,013,102.71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be1108cdf7ba464f9f4ecab9aa198103"/>
                <w:id w:val="-875629048"/>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（1）处置或报废</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7,443,321.88</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551,479,608.25</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1,012,392.59</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77,779.99</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560,013,102.71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e5054a8d4a114197af28793eadccad9b"/>
                <w:id w:val="91903552"/>
                <w:lock w:val="sdtLocked"/>
              </w:sdtPr>
              <w:sdtEndPr>
                <w:rPr>
                  <w:rFonts w:asciiTheme="minorEastAsia" w:hAnsiTheme="minorEastAsia" w:eastAsiaTheme="minorEastAsia"/>
                  <w:sz w:val="18"/>
                  <w:szCs w:val="18"/>
                </w:rPr>
              </w:sdtEndPr>
              <w:sdtContent>
                <w:tc>
                  <w:tcPr>
                    <w:tcW w:w="554" w:type="pct"/>
                    <w:shd w:val="clear" w:color="auto" w:fill="auto"/>
                  </w:tcPr>
                  <w:p>
                    <w:pPr>
                      <w:rPr>
                        <w:rFonts w:asciiTheme="minorEastAsia" w:hAnsiTheme="minorEastAsia" w:eastAsiaTheme="minorEastAsia"/>
                        <w:sz w:val="18"/>
                        <w:szCs w:val="18"/>
                      </w:rPr>
                    </w:pPr>
                    <w:r>
                      <w:rPr>
                        <w:rFonts w:hint="eastAsia" w:asciiTheme="minorEastAsia" w:hAnsiTheme="minorEastAsia" w:eastAsiaTheme="minorEastAsia"/>
                        <w:sz w:val="18"/>
                        <w:szCs w:val="18"/>
                      </w:rPr>
                      <w:t>4.期末余额</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40,774,940.17</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977,178,894.94</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50,170.38</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876,917.25</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1,018,880,922.74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e1d51c426bd84ffbb9a1a19b00d3b374"/>
                <w:id w:val="1028369711"/>
                <w:lock w:val="sdtLocked"/>
              </w:sdtPr>
              <w:sdtEndPr>
                <w:rPr>
                  <w:rFonts w:asciiTheme="minorEastAsia" w:hAnsiTheme="minorEastAsia" w:eastAsiaTheme="minorEastAsia"/>
                  <w:sz w:val="18"/>
                  <w:szCs w:val="18"/>
                </w:rPr>
              </w:sdtEndPr>
              <w:sdtContent>
                <w:tc>
                  <w:tcPr>
                    <w:tcW w:w="5000" w:type="pct"/>
                    <w:gridSpan w:val="6"/>
                    <w:shd w:val="clear" w:color="auto" w:fill="auto"/>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438ac9fdebc24597a2bc032145166ee7"/>
                <w:id w:val="1435250507"/>
                <w:lock w:val="sdtLocked"/>
              </w:sdtPr>
              <w:sdtEndPr>
                <w:rPr>
                  <w:rFonts w:asciiTheme="minorEastAsia" w:hAnsiTheme="minorEastAsia" w:eastAsiaTheme="minorEastAsia"/>
                  <w:sz w:val="18"/>
                  <w:szCs w:val="18"/>
                </w:rPr>
              </w:sdtEndPr>
              <w:sdtContent>
                <w:tc>
                  <w:tcPr>
                    <w:tcW w:w="554" w:type="pct"/>
                    <w:shd w:val="clear" w:color="auto" w:fill="auto"/>
                  </w:tcPr>
                  <w:p>
                    <w:pPr>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1.期末账面价值</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1,561,769,975.45</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329,482,086.11</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6,796,289.38</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20,158,254.85</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1,918,206,605.79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rPr>
                  <w:rFonts w:asciiTheme="minorEastAsia" w:hAnsiTheme="minorEastAsia" w:eastAsiaTheme="minorEastAsia"/>
                  <w:sz w:val="18"/>
                  <w:szCs w:val="18"/>
                </w:rPr>
                <w:tag w:val="_PLD_a86278e1e7584f56b206aaea009ce23d"/>
                <w:id w:val="-1395354697"/>
                <w:lock w:val="sdtLocked"/>
              </w:sdtPr>
              <w:sdtEndPr>
                <w:rPr>
                  <w:rFonts w:asciiTheme="minorEastAsia" w:hAnsiTheme="minorEastAsia" w:eastAsiaTheme="minorEastAsia"/>
                  <w:sz w:val="18"/>
                  <w:szCs w:val="18"/>
                </w:rPr>
              </w:sdtEndPr>
              <w:sdtContent>
                <w:tc>
                  <w:tcPr>
                    <w:tcW w:w="554" w:type="pct"/>
                    <w:shd w:val="clear" w:color="auto" w:fill="auto"/>
                  </w:tcPr>
                  <w:p>
                    <w:pPr>
                      <w:ind w:firstLine="360" w:firstLineChars="200"/>
                      <w:rPr>
                        <w:rFonts w:asciiTheme="minorEastAsia" w:hAnsiTheme="minorEastAsia" w:eastAsiaTheme="minorEastAsia"/>
                        <w:sz w:val="18"/>
                        <w:szCs w:val="18"/>
                      </w:rPr>
                    </w:pPr>
                    <w:r>
                      <w:rPr>
                        <w:rFonts w:hint="eastAsia" w:asciiTheme="minorEastAsia" w:hAnsiTheme="minorEastAsia" w:eastAsiaTheme="minorEastAsia"/>
                        <w:sz w:val="18"/>
                        <w:szCs w:val="18"/>
                      </w:rPr>
                      <w:t>2.期初账面价值</w:t>
                    </w:r>
                  </w:p>
                </w:tc>
              </w:sdtContent>
            </w:sdt>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1,636,272,127.33</w:t>
                </w:r>
              </w:p>
            </w:tc>
            <w:tc>
              <w:tcPr>
                <w:tcW w:w="92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422,931,313.63</w:t>
                </w:r>
              </w:p>
            </w:tc>
            <w:tc>
              <w:tcPr>
                <w:tcW w:w="775"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13,165,924.08</w:t>
                </w:r>
              </w:p>
            </w:tc>
            <w:tc>
              <w:tcPr>
                <w:tcW w:w="888"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19,693,244.46</w:t>
                </w:r>
              </w:p>
            </w:tc>
            <w:tc>
              <w:tcPr>
                <w:tcW w:w="927" w:type="pct"/>
                <w:shd w:val="clear" w:color="auto" w:fill="auto"/>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2,092,062,609.50</w:t>
                </w:r>
              </w:p>
            </w:tc>
          </w:tr>
        </w:tbl>
      </w:sdtContent>
    </w:sdt>
    <w:sdt>
      <w:sdtPr>
        <w:rPr>
          <w:rFonts w:hint="eastAsia" w:ascii="宋体" w:hAnsi="宋体" w:eastAsia="宋体" w:cs="宋体"/>
          <w:b w:val="0"/>
          <w:bCs w:val="0"/>
          <w:kern w:val="0"/>
          <w:szCs w:val="24"/>
        </w:rPr>
        <w:alias w:val="模块:暂时闲置的固定资产情况"/>
        <w:tag w:val="_SEC_784fb493affa41d8985f9e8a71213cf9"/>
        <w:id w:val="-57019884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9"/>
            </w:numPr>
            <w:ind w:left="426" w:hanging="426"/>
          </w:pPr>
          <w:r>
            <w:rPr>
              <w:rFonts w:hint="eastAsia"/>
            </w:rPr>
            <w:t>暂时闲置的固定资产情况</w:t>
          </w:r>
        </w:p>
        <w:sdt>
          <w:sdtPr>
            <w:alias w:val="是否适用：暂时闲置的固定资产情况[双击切换]"/>
            <w:tag w:val="_GBC_2fdfdf37e427442eb50e14c905c59fbe"/>
            <w:id w:val="66436231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通过融资租赁租入的固定资产情况"/>
        <w:tag w:val="_SEC_c3ab5ff0dac4435c868c4dc1a729acc7"/>
        <w:id w:val="168871105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9"/>
            </w:numPr>
            <w:ind w:left="426" w:hanging="426"/>
          </w:pPr>
          <w:r>
            <w:rPr>
              <w:rFonts w:hint="eastAsia"/>
            </w:rPr>
            <w:t>通过融资租赁租入的固定资产情况</w:t>
          </w:r>
        </w:p>
        <w:sdt>
          <w:sdtPr>
            <w:alias w:val="是否适用：通过融资租赁租入的固定资产情况[双击切换]"/>
            <w:tag w:val="_GBC_d9da2ba422d647b4952839f1b49e1721"/>
            <w:id w:val="74006271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通过经营租赁租出的固定资产"/>
        <w:tag w:val="_SEC_1de7436e811c4703bed7fb7f0316bba2"/>
        <w:id w:val="-89016459"/>
        <w:lock w:val="sdtLocked"/>
        <w:placeholder>
          <w:docPart w:val="GBC22222222222222222222222222222"/>
        </w:placeholder>
      </w:sdtPr>
      <w:sdtEndPr>
        <w:rPr>
          <w:rFonts w:hint="default" w:ascii="宋体" w:hAnsi="宋体" w:eastAsia="宋体" w:cs="宋体"/>
          <w:b w:val="0"/>
          <w:bCs w:val="0"/>
          <w:color w:val="FF0000"/>
          <w:kern w:val="0"/>
          <w:szCs w:val="21"/>
        </w:rPr>
      </w:sdtEndPr>
      <w:sdtContent>
        <w:p>
          <w:pPr>
            <w:pStyle w:val="214"/>
            <w:numPr>
              <w:ilvl w:val="3"/>
              <w:numId w:val="89"/>
            </w:numPr>
            <w:ind w:left="426" w:hanging="426"/>
          </w:pPr>
          <w:r>
            <w:rPr>
              <w:rFonts w:hint="eastAsia"/>
            </w:rPr>
            <w:t>通过经营租赁租出的固定资产</w:t>
          </w:r>
        </w:p>
        <w:sdt>
          <w:sdtPr>
            <w:alias w:val="是否适用：通过经营租赁租出的固定资产[双击切换]"/>
            <w:tag w:val="_GBC_c2ddde62aad742b6997b43c9077b5c4b"/>
            <w:id w:val="550499694"/>
            <w:lock w:val="sdtLocked"/>
            <w:placeholder>
              <w:docPart w:val="GBC22222222222222222222222222222"/>
            </w:placeholder>
          </w:sdtPr>
          <w:sdtContent>
            <w:p>
              <w:pPr>
                <w:rPr>
                  <w:color w:val="FF0000"/>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未办妥产权证书的固定资产情况"/>
        <w:tag w:val="_SEC_c2e9651d58cd49b88e40954aae3cbf5b"/>
        <w:id w:val="55412789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89"/>
            </w:numPr>
            <w:ind w:left="426" w:hanging="426"/>
          </w:pPr>
          <w:r>
            <w:rPr>
              <w:rFonts w:hint="eastAsia"/>
            </w:rPr>
            <w:t>未办妥产权证书的固定资产情况</w:t>
          </w:r>
        </w:p>
        <w:p>
          <w:sdt>
            <w:sdtPr>
              <w:alias w:val="是否适用：未办妥产权证书的固定资产情况[双击切换]"/>
              <w:tag w:val="_GBC_46625a97c34c4326af56ee4f005058fb"/>
              <w:id w:val="1805041711"/>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办妥产权证书的固定资产情况"/>
              <w:tag w:val="_GBC_af0b65f779a444509a345fcc235c4e13"/>
              <w:id w:val="9397195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0688717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2867"/>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112d13ed7a04a10bce803acc672660e"/>
                <w:id w:val="298198165"/>
                <w:lock w:val="sdtLocked"/>
              </w:sdtPr>
              <w:sdtContent>
                <w:tc>
                  <w:tcPr>
                    <w:tcW w:w="1629" w:type="pct"/>
                    <w:vAlign w:val="center"/>
                  </w:tcPr>
                  <w:p>
                    <w:pPr>
                      <w:jc w:val="center"/>
                      <w:rPr>
                        <w:szCs w:val="21"/>
                      </w:rPr>
                    </w:pPr>
                    <w:r>
                      <w:rPr>
                        <w:rFonts w:hint="eastAsia"/>
                        <w:szCs w:val="21"/>
                      </w:rPr>
                      <w:t>项目</w:t>
                    </w:r>
                  </w:p>
                </w:tc>
              </w:sdtContent>
            </w:sdt>
            <w:sdt>
              <w:sdtPr>
                <w:tag w:val="_PLD_5fca73223de74724a06b56d07c06e26b"/>
                <w:id w:val="-1243020767"/>
                <w:lock w:val="sdtLocked"/>
              </w:sdtPr>
              <w:sdtContent>
                <w:tc>
                  <w:tcPr>
                    <w:tcW w:w="1681" w:type="pct"/>
                    <w:vAlign w:val="center"/>
                  </w:tcPr>
                  <w:p>
                    <w:pPr>
                      <w:jc w:val="center"/>
                      <w:rPr>
                        <w:szCs w:val="21"/>
                      </w:rPr>
                    </w:pPr>
                    <w:r>
                      <w:rPr>
                        <w:rFonts w:hint="eastAsia"/>
                        <w:szCs w:val="21"/>
                      </w:rPr>
                      <w:t>账面价值</w:t>
                    </w:r>
                  </w:p>
                </w:tc>
              </w:sdtContent>
            </w:sdt>
            <w:sdt>
              <w:sdtPr>
                <w:tag w:val="_PLD_0f07869ee4694758ae54754a2afb45dd"/>
                <w:id w:val="-479157650"/>
                <w:lock w:val="sdtLocked"/>
              </w:sdtPr>
              <w:sdtContent>
                <w:tc>
                  <w:tcPr>
                    <w:tcW w:w="1690" w:type="pct"/>
                    <w:vAlign w:val="center"/>
                  </w:tcPr>
                  <w:p>
                    <w:pPr>
                      <w:jc w:val="center"/>
                      <w:rPr>
                        <w:szCs w:val="21"/>
                      </w:rPr>
                    </w:pPr>
                    <w:r>
                      <w:rPr>
                        <w:rFonts w:hint="eastAsia"/>
                        <w:szCs w:val="21"/>
                      </w:rPr>
                      <w:t>未办妥产权证书的原因</w:t>
                    </w:r>
                  </w:p>
                </w:tc>
              </w:sdtContent>
            </w:sdt>
          </w:tr>
          <w:sdt>
            <w:sdtPr>
              <w:rPr>
                <w:rFonts w:hint="eastAsia"/>
                <w:szCs w:val="21"/>
              </w:rPr>
              <w:alias w:val="未办妥产权证书的固定资产情况明细"/>
              <w:tag w:val="_TUP_9737667686884195a6223f7e0d1c45ed"/>
              <w:id w:val="-98053550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vAlign w:val="center"/>
                  </w:tcPr>
                  <w:p>
                    <w:pPr>
                      <w:jc w:val="center"/>
                      <w:rPr>
                        <w:szCs w:val="21"/>
                      </w:rPr>
                    </w:pPr>
                    <w:r>
                      <w:t>房屋及建筑物</w:t>
                    </w:r>
                  </w:p>
                </w:tc>
                <w:tc>
                  <w:tcPr>
                    <w:tcW w:w="1681" w:type="pct"/>
                    <w:vAlign w:val="center"/>
                  </w:tcPr>
                  <w:p>
                    <w:pPr>
                      <w:jc w:val="right"/>
                      <w:rPr>
                        <w:szCs w:val="21"/>
                      </w:rPr>
                    </w:pPr>
                    <w:r>
                      <w:t>221,950,021.54</w:t>
                    </w:r>
                  </w:p>
                </w:tc>
                <w:tc>
                  <w:tcPr>
                    <w:tcW w:w="1690" w:type="pct"/>
                  </w:tcPr>
                  <w:p>
                    <w:pPr>
                      <w:rPr>
                        <w:szCs w:val="21"/>
                      </w:rPr>
                    </w:pPr>
                    <w:r>
                      <w:t>该房屋建筑物所占用土地被抵押，暂时无法办理</w:t>
                    </w:r>
                  </w:p>
                </w:tc>
              </w:tr>
            </w:sdtContent>
          </w:sdt>
          <w:sdt>
            <w:sdtPr>
              <w:rPr>
                <w:rFonts w:hint="eastAsia"/>
                <w:szCs w:val="21"/>
              </w:rPr>
              <w:alias w:val="未办妥产权证书的固定资产情况明细"/>
              <w:tag w:val="_TUP_9737667686884195a6223f7e0d1c45ed"/>
              <w:id w:val="-111097393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9" w:type="pct"/>
                  </w:tcPr>
                  <w:p>
                    <w:pPr>
                      <w:jc w:val="center"/>
                      <w:rPr>
                        <w:szCs w:val="21"/>
                      </w:rPr>
                    </w:pPr>
                    <w:r>
                      <w:rPr>
                        <w:rFonts w:hint="eastAsia"/>
                        <w:szCs w:val="21"/>
                      </w:rPr>
                      <w:t>合计</w:t>
                    </w:r>
                  </w:p>
                </w:tc>
                <w:tc>
                  <w:tcPr>
                    <w:tcW w:w="1681" w:type="pct"/>
                  </w:tcPr>
                  <w:p>
                    <w:pPr>
                      <w:jc w:val="right"/>
                      <w:rPr>
                        <w:szCs w:val="21"/>
                      </w:rPr>
                    </w:pPr>
                    <w:r>
                      <w:rPr>
                        <w:szCs w:val="21"/>
                      </w:rPr>
                      <w:t>221,950,021.54</w:t>
                    </w:r>
                  </w:p>
                </w:tc>
                <w:tc>
                  <w:tcPr>
                    <w:tcW w:w="1690" w:type="pct"/>
                  </w:tcPr>
                  <w:p>
                    <w:pPr>
                      <w:rPr>
                        <w:szCs w:val="21"/>
                      </w:rPr>
                    </w:pPr>
                  </w:p>
                </w:tc>
              </w:tr>
            </w:sdtContent>
          </w:sdt>
        </w:tbl>
        <w:p/>
      </w:sdtContent>
    </w:sdt>
    <w:sdt>
      <w:sdtPr>
        <w:rPr>
          <w:rFonts w:hint="eastAsia"/>
          <w:szCs w:val="21"/>
        </w:rPr>
        <w:alias w:val="模块:固定资产说明"/>
        <w:tag w:val="_SEC_7134408257214aea8ca71da966442d44"/>
        <w:id w:val="-1295138177"/>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固定资产的说明[双击切换]"/>
            <w:tag w:val="_GBC_a7ec4df8fd354d7d9980e0f731a85e12"/>
            <w:id w:val="-148738893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固定资产清理"/>
        <w:tag w:val="_SEC_e623ea972f7d45dc8b0c9f9862e5b400"/>
        <w:id w:val="-1729760227"/>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ind w:left="360" w:hanging="360"/>
          </w:pPr>
          <w:r>
            <w:rPr>
              <w:rFonts w:hint="eastAsia"/>
            </w:rPr>
            <w:t>固定资产清理</w:t>
          </w:r>
        </w:p>
        <w:sdt>
          <w:sdtPr>
            <w:alias w:val="是否适用：固定资产清理[双击切换]"/>
            <w:tag w:val="_GBC_e3c92a1042004e36882d16145109bd0e"/>
            <w:id w:val="-23231002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固定资产清理"/>
              <w:tag w:val="_GBC_dd9fac0435e34162af7691578328c197"/>
              <w:id w:val="-106464747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固定资产清理"/>
              <w:tag w:val="_GBC_0a3f7129159d46aa90131f740f7a333d"/>
              <w:id w:val="1884758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4851"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260"/>
            <w:gridCol w:w="3093"/>
            <w:gridCol w:w="2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72ed8e60b9b44aee824af33d3a0e1e45"/>
                <w:id w:val="-1316015856"/>
                <w:lock w:val="sdtLocked"/>
              </w:sdtPr>
              <w:sdtContent>
                <w:tc>
                  <w:tcPr>
                    <w:tcW w:w="1364" w:type="pct"/>
                    <w:shd w:val="clear" w:color="auto" w:fill="auto"/>
                  </w:tcPr>
                  <w:p>
                    <w:pPr>
                      <w:jc w:val="center"/>
                    </w:pPr>
                    <w:r>
                      <w:rPr>
                        <w:rFonts w:hint="eastAsia"/>
                      </w:rPr>
                      <w:t>项目</w:t>
                    </w:r>
                  </w:p>
                </w:tc>
              </w:sdtContent>
            </w:sdt>
            <w:sdt>
              <w:sdtPr>
                <w:tag w:val="_PLD_5116ba95ffe94c9abd82d232062969bb"/>
                <w:id w:val="-1912918098"/>
                <w:lock w:val="sdtLocked"/>
              </w:sdtPr>
              <w:sdtContent>
                <w:tc>
                  <w:tcPr>
                    <w:tcW w:w="1867" w:type="pct"/>
                    <w:shd w:val="clear" w:color="auto" w:fill="auto"/>
                  </w:tcPr>
                  <w:p>
                    <w:pPr>
                      <w:jc w:val="center"/>
                    </w:pPr>
                    <w:r>
                      <w:rPr>
                        <w:rFonts w:hint="eastAsia"/>
                      </w:rPr>
                      <w:t>期末余额</w:t>
                    </w:r>
                  </w:p>
                </w:tc>
              </w:sdtContent>
            </w:sdt>
            <w:sdt>
              <w:sdtPr>
                <w:tag w:val="_PLD_27fd89dc7db94a19a2bd7ad6296eabf8"/>
                <w:id w:val="-1997331419"/>
                <w:lock w:val="sdtLocked"/>
              </w:sdtPr>
              <w:sdtContent>
                <w:tc>
                  <w:tcPr>
                    <w:tcW w:w="1769" w:type="pct"/>
                    <w:shd w:val="clear" w:color="auto" w:fill="auto"/>
                  </w:tcPr>
                  <w:p>
                    <w:pPr>
                      <w:jc w:val="center"/>
                    </w:pPr>
                    <w:r>
                      <w:rPr>
                        <w:rFonts w:hint="eastAsia"/>
                      </w:rPr>
                      <w:t>期初余额</w:t>
                    </w:r>
                  </w:p>
                </w:tc>
              </w:sdtContent>
            </w:sdt>
          </w:tr>
          <w:sdt>
            <w:sdtPr>
              <w:alias w:val="固定资产清理明细"/>
              <w:tag w:val="_TUP_1a144bd70b4046ec9d5d42397d9acf2e"/>
              <w:id w:val="-50772619"/>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364" w:type="pct"/>
                    <w:shd w:val="clear" w:color="auto" w:fill="auto"/>
                  </w:tcPr>
                  <w:p>
                    <w:pPr>
                      <w:jc w:val="center"/>
                    </w:pPr>
                    <w:r>
                      <w:t>待处理设备</w:t>
                    </w:r>
                  </w:p>
                </w:tc>
                <w:tc>
                  <w:tcPr>
                    <w:tcW w:w="1867" w:type="pct"/>
                    <w:shd w:val="clear" w:color="auto" w:fill="auto"/>
                  </w:tcPr>
                  <w:p>
                    <w:pPr>
                      <w:jc w:val="right"/>
                    </w:pPr>
                    <w:r>
                      <w:t>245,994.07</w:t>
                    </w:r>
                  </w:p>
                </w:tc>
                <w:tc>
                  <w:tcPr>
                    <w:tcW w:w="1769" w:type="pct"/>
                    <w:shd w:val="clear" w:color="auto" w:fill="auto"/>
                  </w:tcPr>
                  <w:p>
                    <w:pPr>
                      <w:jc w:val="right"/>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8389c5a75384a77a73894dd418b21c3"/>
                <w:id w:val="-1915626517"/>
                <w:lock w:val="sdtLocked"/>
              </w:sdtPr>
              <w:sdtContent>
                <w:tc>
                  <w:tcPr>
                    <w:tcW w:w="1364" w:type="pct"/>
                    <w:shd w:val="clear" w:color="auto" w:fill="auto"/>
                    <w:vAlign w:val="center"/>
                  </w:tcPr>
                  <w:p>
                    <w:pPr>
                      <w:jc w:val="center"/>
                    </w:pPr>
                    <w:r>
                      <w:rPr>
                        <w:rFonts w:hint="eastAsia"/>
                      </w:rPr>
                      <w:t>合计</w:t>
                    </w:r>
                  </w:p>
                </w:tc>
              </w:sdtContent>
            </w:sdt>
            <w:tc>
              <w:tcPr>
                <w:tcW w:w="1867" w:type="pct"/>
                <w:shd w:val="clear" w:color="auto" w:fill="auto"/>
              </w:tcPr>
              <w:p>
                <w:pPr>
                  <w:jc w:val="right"/>
                </w:pPr>
                <w:r>
                  <w:t>245,994.07</w:t>
                </w:r>
              </w:p>
            </w:tc>
            <w:tc>
              <w:tcPr>
                <w:tcW w:w="1769" w:type="pct"/>
                <w:shd w:val="clear" w:color="auto" w:fill="auto"/>
              </w:tcPr>
              <w:p>
                <w:pPr>
                  <w:jc w:val="right"/>
                </w:pPr>
              </w:p>
            </w:tc>
          </w:tr>
        </w:tbl>
        <w:p/>
        <w:p>
          <w:pPr>
            <w:rPr>
              <w:szCs w:val="21"/>
            </w:rPr>
          </w:pPr>
          <w:r>
            <w:rPr>
              <w:rFonts w:hint="eastAsia"/>
              <w:szCs w:val="21"/>
            </w:rPr>
            <w:t>其他说明：</w:t>
          </w:r>
        </w:p>
        <w:sdt>
          <w:sdtPr>
            <w:rPr>
              <w:rFonts w:hint="eastAsia"/>
              <w:szCs w:val="21"/>
            </w:rPr>
            <w:alias w:val="固定资产清理的说明"/>
            <w:tag w:val="_GBC_e89c49a1ebd443eca7b8c08e14d56fca"/>
            <w:id w:val="676384358"/>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p>
          <w:pPr>
            <w:rPr>
              <w:szCs w:val="21"/>
            </w:rPr>
          </w:pPr>
        </w:p>
      </w:sdtContent>
    </w:sdt>
    <w:p>
      <w:pPr>
        <w:pStyle w:val="213"/>
        <w:numPr>
          <w:ilvl w:val="0"/>
          <w:numId w:val="77"/>
        </w:numPr>
        <w:tabs>
          <w:tab w:val="left" w:pos="504"/>
        </w:tabs>
        <w:rPr>
          <w:rFonts w:ascii="宋体" w:hAnsi="宋体"/>
          <w:szCs w:val="21"/>
        </w:rPr>
      </w:pPr>
      <w:r>
        <w:rPr>
          <w:rFonts w:hint="eastAsia" w:ascii="宋体" w:hAnsi="宋体"/>
          <w:szCs w:val="21"/>
        </w:rPr>
        <w:t>在建工程</w:t>
      </w:r>
      <w:bookmarkStart w:id="182" w:name="_Hlk532914352"/>
    </w:p>
    <w:sdt>
      <w:sdtPr>
        <w:rPr>
          <w:rFonts w:hint="eastAsia" w:ascii="宋体" w:hAnsi="宋体" w:eastAsia="宋体" w:cs="宋体"/>
          <w:b w:val="0"/>
          <w:bCs w:val="0"/>
          <w:kern w:val="0"/>
          <w:szCs w:val="24"/>
        </w:rPr>
        <w:alias w:val="模块:在建工程分类列示"/>
        <w:tag w:val="_SEC_1629a0ede2124140bc15f9e5c0174d2b"/>
        <w:id w:val="-391269679"/>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rPr>
              <w:rFonts w:ascii="宋体" w:hAnsi="宋体"/>
              <w:szCs w:val="21"/>
            </w:rPr>
          </w:pPr>
          <w:r>
            <w:rPr>
              <w:rFonts w:hint="eastAsia"/>
            </w:rPr>
            <w:t>项目列示</w:t>
          </w:r>
        </w:p>
        <w:sdt>
          <w:sdtPr>
            <w:alias w:val="是否适用：在建工程分类列示[双击切换]"/>
            <w:tag w:val="_GBC_c1e2db0ea96a470497d3e7b3545f11ff"/>
            <w:id w:val="188852683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在建工程分类列示"/>
              <w:tag w:val="_GBC_c3fc0d9041a1447580d30c51269288ae"/>
              <w:id w:val="-187584308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在建工程分类列示"/>
              <w:tag w:val="_GBC_1bdb2a3deae044179993a80635469bb5"/>
              <w:id w:val="7742892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12"/>
            <w:gridCol w:w="2770"/>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3fac3cdac65475ca8ba6bb772e3b841"/>
                <w:id w:val="-1253582927"/>
                <w:lock w:val="sdtLocked"/>
              </w:sdtPr>
              <w:sdtContent>
                <w:tc>
                  <w:tcPr>
                    <w:tcW w:w="1764" w:type="pct"/>
                    <w:vAlign w:val="center"/>
                  </w:tcPr>
                  <w:p>
                    <w:pPr>
                      <w:jc w:val="center"/>
                      <w:rPr>
                        <w:szCs w:val="21"/>
                      </w:rPr>
                    </w:pPr>
                    <w:r>
                      <w:rPr>
                        <w:rFonts w:hint="eastAsia"/>
                        <w:szCs w:val="21"/>
                      </w:rPr>
                      <w:t>项目</w:t>
                    </w:r>
                  </w:p>
                </w:tc>
              </w:sdtContent>
            </w:sdt>
            <w:sdt>
              <w:sdtPr>
                <w:tag w:val="_PLD_4e98919cdcd84191b541b2ee895e77bf"/>
                <w:id w:val="84739225"/>
                <w:lock w:val="sdtLocked"/>
              </w:sdtPr>
              <w:sdtContent>
                <w:tc>
                  <w:tcPr>
                    <w:tcW w:w="1622" w:type="pct"/>
                    <w:vAlign w:val="center"/>
                  </w:tcPr>
                  <w:p>
                    <w:pPr>
                      <w:jc w:val="center"/>
                      <w:rPr>
                        <w:szCs w:val="21"/>
                      </w:rPr>
                    </w:pPr>
                    <w:r>
                      <w:rPr>
                        <w:rFonts w:hint="eastAsia"/>
                        <w:szCs w:val="21"/>
                      </w:rPr>
                      <w:t>期末余额</w:t>
                    </w:r>
                  </w:p>
                </w:tc>
              </w:sdtContent>
            </w:sdt>
            <w:sdt>
              <w:sdtPr>
                <w:tag w:val="_PLD_4ce0928269bc47149a98320193bd0b0a"/>
                <w:id w:val="-1422099658"/>
                <w:lock w:val="sdtLocked"/>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e73a357382af444daa4e32da6fd92aab"/>
                <w:id w:val="739899737"/>
                <w:lock w:val="sdtLocked"/>
              </w:sdtPr>
              <w:sdtContent>
                <w:tc>
                  <w:tcPr>
                    <w:tcW w:w="1764" w:type="pct"/>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在建工程</w:t>
                    </w:r>
                  </w:p>
                </w:tc>
              </w:sdtContent>
            </w:sdt>
            <w:tc>
              <w:tcPr>
                <w:tcW w:w="1622" w:type="pct"/>
                <w:vAlign w:val="center"/>
              </w:tcPr>
              <w:p>
                <w:pPr>
                  <w:jc w:val="right"/>
                  <w:rPr>
                    <w:sz w:val="24"/>
                  </w:rPr>
                </w:pPr>
                <w:r>
                  <w:t>43,739,666.93</w:t>
                </w:r>
              </w:p>
            </w:tc>
            <w:tc>
              <w:tcPr>
                <w:tcW w:w="1614" w:type="pct"/>
                <w:vAlign w:val="center"/>
              </w:tcPr>
              <w:p>
                <w:pPr>
                  <w:jc w:val="right"/>
                  <w:rPr>
                    <w:sz w:val="24"/>
                  </w:rPr>
                </w:pPr>
                <w:r>
                  <w:t>35,996,361.91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036893ab522d4dd08358b60ceed3b7b3"/>
                <w:id w:val="1157491522"/>
                <w:lock w:val="sdtLocked"/>
              </w:sdtPr>
              <w:sdtContent>
                <w:tc>
                  <w:tcPr>
                    <w:tcW w:w="1764" w:type="pct"/>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工程物资</w:t>
                    </w:r>
                  </w:p>
                </w:tc>
              </w:sdtContent>
            </w:sdt>
            <w:tc>
              <w:tcPr>
                <w:tcW w:w="1622" w:type="pct"/>
                <w:vAlign w:val="center"/>
              </w:tcPr>
              <w:p>
                <w:pPr>
                  <w:jc w:val="right"/>
                  <w:rPr>
                    <w:sz w:val="24"/>
                  </w:rPr>
                </w:pPr>
              </w:p>
            </w:tc>
            <w:tc>
              <w:tcPr>
                <w:tcW w:w="1614" w:type="pct"/>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177c6ac2fa834e8b93357a8d5e2d2d5c"/>
                <w:id w:val="-1094083585"/>
                <w:lock w:val="sdtLocked"/>
              </w:sdtPr>
              <w:sdtContent>
                <w:tc>
                  <w:tcPr>
                    <w:tcW w:w="1764" w:type="pct"/>
                    <w:vAlign w:val="center"/>
                  </w:tcPr>
                  <w:p>
                    <w:pPr>
                      <w:autoSpaceDE w:val="0"/>
                      <w:autoSpaceDN w:val="0"/>
                      <w:adjustRightInd w:val="0"/>
                      <w:jc w:val="center"/>
                      <w:rPr>
                        <w:szCs w:val="21"/>
                      </w:rPr>
                    </w:pPr>
                    <w:r>
                      <w:rPr>
                        <w:rFonts w:hint="eastAsia"/>
                        <w:szCs w:val="21"/>
                      </w:rPr>
                      <w:t>合计</w:t>
                    </w:r>
                  </w:p>
                </w:tc>
              </w:sdtContent>
            </w:sdt>
            <w:tc>
              <w:tcPr>
                <w:tcW w:w="1622" w:type="pct"/>
                <w:vAlign w:val="center"/>
              </w:tcPr>
              <w:p>
                <w:pPr>
                  <w:jc w:val="right"/>
                  <w:rPr>
                    <w:sz w:val="24"/>
                  </w:rPr>
                </w:pPr>
                <w:r>
                  <w:t>43,739,666.93</w:t>
                </w:r>
              </w:p>
            </w:tc>
            <w:tc>
              <w:tcPr>
                <w:tcW w:w="1614" w:type="pct"/>
                <w:vAlign w:val="center"/>
              </w:tcPr>
              <w:p>
                <w:pPr>
                  <w:jc w:val="right"/>
                  <w:rPr>
                    <w:sz w:val="24"/>
                  </w:rPr>
                </w:pPr>
                <w:r>
                  <w:t>35,996,361.91</w:t>
                </w:r>
              </w:p>
            </w:tc>
          </w:tr>
        </w:tbl>
        <w:p>
          <w:r>
            <w:rPr>
              <w:rFonts w:hint="eastAsia"/>
            </w:rPr>
            <w:t xml:space="preserve">  注：上表中的在建工程是指扣除工程物资后的在建工程</w:t>
          </w:r>
          <w:r>
            <w:t>。</w:t>
          </w:r>
        </w:p>
      </w:sdtContent>
    </w:sdt>
    <w:bookmarkEnd w:id="182"/>
    <w:sdt>
      <w:sdtPr>
        <w:rPr>
          <w:rFonts w:hint="eastAsia"/>
          <w:szCs w:val="21"/>
        </w:rPr>
        <w:alias w:val="模块:在建工程分类列示其他说明"/>
        <w:tag w:val="_SEC_082962860e3f4336bda3f7cfa776d8ee"/>
        <w:id w:val="-555781557"/>
        <w:lock w:val="sdtLocked"/>
        <w:placeholder>
          <w:docPart w:val="GBC22222222222222222222222222222"/>
        </w:placeholder>
      </w:sdtPr>
      <w:sdtEndPr>
        <w:rPr>
          <w:rFonts w:hint="default"/>
          <w:szCs w:val="21"/>
        </w:rPr>
      </w:sdtEndPr>
      <w:sdtContent>
        <w:p>
          <w:pPr>
            <w:rPr>
              <w:szCs w:val="21"/>
            </w:rPr>
          </w:pPr>
          <w:bookmarkStart w:id="183" w:name="_Hlk532915382"/>
          <w:r>
            <w:rPr>
              <w:rFonts w:hint="eastAsia"/>
              <w:szCs w:val="21"/>
            </w:rPr>
            <w:t>其他说明：</w:t>
          </w:r>
        </w:p>
        <w:sdt>
          <w:sdtPr>
            <w:rPr>
              <w:szCs w:val="21"/>
            </w:rPr>
            <w:alias w:val="是否适用：在建工程分类列示其他说明[双击切换]"/>
            <w:tag w:val="_GBC_97da24841dd24220bc5206311fc28039"/>
            <w:id w:val="173527418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183"/>
    <w:p>
      <w:pPr>
        <w:rPr>
          <w:szCs w:val="21"/>
        </w:rPr>
      </w:pPr>
    </w:p>
    <w:p>
      <w:pPr>
        <w:pStyle w:val="214"/>
        <w:ind w:left="360" w:hanging="360"/>
      </w:pPr>
      <w:r>
        <w:rPr>
          <w:rFonts w:hint="eastAsia"/>
        </w:rPr>
        <w:t>在建工程</w:t>
      </w:r>
    </w:p>
    <w:sdt>
      <w:sdtPr>
        <w:rPr>
          <w:rFonts w:hint="eastAsia" w:ascii="宋体" w:hAnsi="宋体" w:eastAsia="宋体" w:cs="宋体"/>
          <w:b w:val="0"/>
          <w:bCs w:val="0"/>
          <w:kern w:val="0"/>
          <w:szCs w:val="24"/>
        </w:rPr>
        <w:alias w:val="模块:在建工程情况"/>
        <w:tag w:val="_SEC_a02b3ec882b24e089808f0414c70e5ec"/>
        <w:id w:val="944805260"/>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3"/>
              <w:numId w:val="90"/>
            </w:numPr>
            <w:ind w:left="426" w:hanging="426"/>
          </w:pPr>
          <w:r>
            <w:rPr>
              <w:rFonts w:hint="eastAsia"/>
            </w:rPr>
            <w:t>在建工程情况</w:t>
          </w:r>
        </w:p>
        <w:sdt>
          <w:sdtPr>
            <w:alias w:val="是否适用：在建工程情况[双击切换]"/>
            <w:tag w:val="_GBC_3d1e0f4f19d8472c9f5250b0ba025185"/>
            <w:id w:val="29249819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
              <w:tag w:val="_GBC_c20f70bc9d1e4476bd65c1988111664f"/>
              <w:id w:val="170328539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1227311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804"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491"/>
            <w:gridCol w:w="1476"/>
            <w:gridCol w:w="1459"/>
            <w:gridCol w:w="1476"/>
            <w:gridCol w:w="1477"/>
            <w:gridCol w:w="13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4c6d788b0564cf39dd83135bd94fa33"/>
                <w:id w:val="28712152"/>
                <w:lock w:val="sdtLocked"/>
              </w:sdtPr>
              <w:sdtContent>
                <w:tc>
                  <w:tcPr>
                    <w:tcW w:w="573" w:type="pct"/>
                    <w:vMerge w:val="restart"/>
                    <w:vAlign w:val="center"/>
                  </w:tcPr>
                  <w:p>
                    <w:pPr>
                      <w:jc w:val="center"/>
                      <w:rPr>
                        <w:szCs w:val="21"/>
                      </w:rPr>
                    </w:pPr>
                    <w:r>
                      <w:rPr>
                        <w:rFonts w:hint="eastAsia"/>
                        <w:szCs w:val="21"/>
                      </w:rPr>
                      <w:t>项目</w:t>
                    </w:r>
                  </w:p>
                </w:tc>
              </w:sdtContent>
            </w:sdt>
            <w:sdt>
              <w:sdtPr>
                <w:tag w:val="_PLD_0f8aeba685c643d8bbe995cb6221e768"/>
                <w:id w:val="28712153"/>
                <w:lock w:val="sdtLocked"/>
              </w:sdtPr>
              <w:sdtContent>
                <w:tc>
                  <w:tcPr>
                    <w:tcW w:w="2236" w:type="pct"/>
                    <w:gridSpan w:val="3"/>
                    <w:vAlign w:val="center"/>
                  </w:tcPr>
                  <w:p>
                    <w:pPr>
                      <w:jc w:val="center"/>
                      <w:rPr>
                        <w:szCs w:val="21"/>
                      </w:rPr>
                    </w:pPr>
                    <w:r>
                      <w:rPr>
                        <w:rFonts w:hint="eastAsia"/>
                        <w:szCs w:val="21"/>
                      </w:rPr>
                      <w:t>期末余额</w:t>
                    </w:r>
                  </w:p>
                </w:tc>
              </w:sdtContent>
            </w:sdt>
            <w:sdt>
              <w:sdtPr>
                <w:tag w:val="_PLD_87e3270219434e9f8494ce0079d505fd"/>
                <w:id w:val="28712154"/>
                <w:lock w:val="sdtLocked"/>
              </w:sdtPr>
              <w:sdtContent>
                <w:tc>
                  <w:tcPr>
                    <w:tcW w:w="2191" w:type="pct"/>
                    <w:gridSpan w:val="3"/>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vMerge w:val="continue"/>
                <w:vAlign w:val="center"/>
              </w:tcPr>
              <w:p>
                <w:pPr>
                  <w:tabs>
                    <w:tab w:val="left" w:pos="420"/>
                  </w:tabs>
                  <w:ind w:left="2940" w:hanging="420"/>
                  <w:jc w:val="center"/>
                  <w:rPr>
                    <w:szCs w:val="21"/>
                  </w:rPr>
                </w:pPr>
              </w:p>
            </w:tc>
            <w:sdt>
              <w:sdtPr>
                <w:tag w:val="_PLD_38fd2fe6396a41ae994e421a6ad8573a"/>
                <w:id w:val="28712155"/>
                <w:lock w:val="sdtLocked"/>
              </w:sdtPr>
              <w:sdtContent>
                <w:tc>
                  <w:tcPr>
                    <w:tcW w:w="753" w:type="pct"/>
                    <w:vAlign w:val="center"/>
                  </w:tcPr>
                  <w:p>
                    <w:pPr>
                      <w:tabs>
                        <w:tab w:val="left" w:pos="420"/>
                      </w:tabs>
                      <w:ind w:left="420" w:hanging="420"/>
                      <w:jc w:val="center"/>
                      <w:rPr>
                        <w:szCs w:val="21"/>
                      </w:rPr>
                    </w:pPr>
                    <w:r>
                      <w:rPr>
                        <w:rFonts w:hint="eastAsia"/>
                        <w:szCs w:val="21"/>
                      </w:rPr>
                      <w:t>账面余额</w:t>
                    </w:r>
                  </w:p>
                </w:tc>
              </w:sdtContent>
            </w:sdt>
            <w:sdt>
              <w:sdtPr>
                <w:tag w:val="_PLD_efb5f565ae7d43338576e6ba69d207b2"/>
                <w:id w:val="28712156"/>
                <w:lock w:val="sdtLocked"/>
              </w:sdtPr>
              <w:sdtContent>
                <w:tc>
                  <w:tcPr>
                    <w:tcW w:w="746" w:type="pct"/>
                    <w:vAlign w:val="center"/>
                  </w:tcPr>
                  <w:p>
                    <w:pPr>
                      <w:pStyle w:val="216"/>
                      <w:spacing w:line="240" w:lineRule="auto"/>
                      <w:jc w:val="center"/>
                    </w:pPr>
                    <w:r>
                      <w:rPr>
                        <w:rFonts w:hint="eastAsia"/>
                      </w:rPr>
                      <w:t>减值准备</w:t>
                    </w:r>
                  </w:p>
                </w:tc>
              </w:sdtContent>
            </w:sdt>
            <w:sdt>
              <w:sdtPr>
                <w:tag w:val="_PLD_74e2fff2faeb4e10b56ba612a8b3b4e8"/>
                <w:id w:val="28712157"/>
                <w:lock w:val="sdtLocked"/>
              </w:sdtPr>
              <w:sdtContent>
                <w:tc>
                  <w:tcPr>
                    <w:tcW w:w="737" w:type="pct"/>
                    <w:vAlign w:val="center"/>
                  </w:tcPr>
                  <w:p>
                    <w:pPr>
                      <w:pStyle w:val="216"/>
                      <w:spacing w:line="240" w:lineRule="auto"/>
                      <w:jc w:val="center"/>
                    </w:pPr>
                    <w:r>
                      <w:rPr>
                        <w:rFonts w:hint="eastAsia"/>
                      </w:rPr>
                      <w:t>账面价值</w:t>
                    </w:r>
                  </w:p>
                </w:tc>
              </w:sdtContent>
            </w:sdt>
            <w:sdt>
              <w:sdtPr>
                <w:tag w:val="_PLD_320b5c6e751a40cb8f8d6cb989669680"/>
                <w:id w:val="28712158"/>
                <w:lock w:val="sdtLocked"/>
              </w:sdtPr>
              <w:sdtContent>
                <w:tc>
                  <w:tcPr>
                    <w:tcW w:w="746" w:type="pct"/>
                    <w:vAlign w:val="center"/>
                  </w:tcPr>
                  <w:p>
                    <w:pPr>
                      <w:tabs>
                        <w:tab w:val="left" w:pos="420"/>
                      </w:tabs>
                      <w:ind w:left="420" w:hanging="420"/>
                      <w:jc w:val="center"/>
                      <w:rPr>
                        <w:szCs w:val="21"/>
                      </w:rPr>
                    </w:pPr>
                    <w:r>
                      <w:rPr>
                        <w:rFonts w:hint="eastAsia"/>
                        <w:szCs w:val="21"/>
                      </w:rPr>
                      <w:t>账面余额</w:t>
                    </w:r>
                  </w:p>
                </w:tc>
              </w:sdtContent>
            </w:sdt>
            <w:sdt>
              <w:sdtPr>
                <w:tag w:val="_PLD_887f924a18a14763b7d38b336e4eca91"/>
                <w:id w:val="28712159"/>
                <w:lock w:val="sdtLocked"/>
              </w:sdtPr>
              <w:sdtContent>
                <w:tc>
                  <w:tcPr>
                    <w:tcW w:w="746" w:type="pct"/>
                    <w:vAlign w:val="center"/>
                  </w:tcPr>
                  <w:p>
                    <w:pPr>
                      <w:pStyle w:val="216"/>
                      <w:spacing w:line="240" w:lineRule="auto"/>
                      <w:jc w:val="center"/>
                    </w:pPr>
                    <w:r>
                      <w:rPr>
                        <w:rFonts w:hint="eastAsia"/>
                      </w:rPr>
                      <w:t>减值准备</w:t>
                    </w:r>
                  </w:p>
                </w:tc>
              </w:sdtContent>
            </w:sdt>
            <w:sdt>
              <w:sdtPr>
                <w:tag w:val="_PLD_56d3163c60044998bf2f3d80a83c26a6"/>
                <w:id w:val="28712160"/>
                <w:lock w:val="sdtLocked"/>
              </w:sdtPr>
              <w:sdtContent>
                <w:tc>
                  <w:tcPr>
                    <w:tcW w:w="700" w:type="pct"/>
                    <w:vAlign w:val="center"/>
                  </w:tcPr>
                  <w:p>
                    <w:pPr>
                      <w:pStyle w:val="216"/>
                      <w:spacing w:line="240" w:lineRule="auto"/>
                      <w:jc w:val="center"/>
                    </w:pPr>
                    <w:r>
                      <w:rPr>
                        <w:rFonts w:hint="eastAsia"/>
                      </w:rPr>
                      <w:t>账面价值</w:t>
                    </w:r>
                  </w:p>
                </w:tc>
              </w:sdtContent>
            </w:sdt>
          </w:tr>
          <w:sdt>
            <w:sdtPr>
              <w:rPr>
                <w:rFonts w:asciiTheme="minorEastAsia" w:hAnsiTheme="minorEastAsia" w:eastAsiaTheme="minorEastAsia" w:cstheme="minorBidi"/>
                <w:kern w:val="2"/>
                <w:sz w:val="18"/>
                <w:szCs w:val="18"/>
              </w:rPr>
              <w:alias w:val="在建工程情况明细"/>
              <w:tag w:val="_TUP_33657c285bed467db1f9c5ec10046bbf"/>
              <w:id w:val="28712161"/>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办公楼及研发中心</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1,476,099.10</w:t>
                    </w:r>
                  </w:p>
                </w:tc>
                <w:tc>
                  <w:tcPr>
                    <w:tcW w:w="746"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550,000.00</w:t>
                    </w:r>
                  </w:p>
                </w:tc>
                <w:tc>
                  <w:tcPr>
                    <w:tcW w:w="737"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926,099.10</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2,888,063.60</w:t>
                    </w:r>
                  </w:p>
                </w:tc>
                <w:tc>
                  <w:tcPr>
                    <w:tcW w:w="746" w:type="pct"/>
                  </w:tcPr>
                  <w:p>
                    <w:pPr>
                      <w:jc w:val="right"/>
                      <w:rPr>
                        <w:rFonts w:asciiTheme="minorEastAsia" w:hAnsiTheme="minorEastAsia" w:eastAsiaTheme="minorEastAsia"/>
                        <w:sz w:val="18"/>
                        <w:szCs w:val="18"/>
                      </w:rPr>
                    </w:pPr>
                  </w:p>
                </w:tc>
                <w:tc>
                  <w:tcPr>
                    <w:tcW w:w="700"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2,888,063.60</w:t>
                    </w:r>
                  </w:p>
                </w:tc>
              </w:tr>
            </w:sdtContent>
          </w:sdt>
          <w:sdt>
            <w:sdtPr>
              <w:rPr>
                <w:rFonts w:asciiTheme="minorEastAsia" w:hAnsiTheme="minorEastAsia" w:eastAsiaTheme="minorEastAsia" w:cstheme="minorBidi"/>
                <w:kern w:val="2"/>
                <w:sz w:val="18"/>
                <w:szCs w:val="18"/>
              </w:rPr>
              <w:alias w:val="在建工程情况明细"/>
              <w:tag w:val="_TUP_33657c285bed467db1f9c5ec10046bbf"/>
              <w:id w:val="28712162"/>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模具开发</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5,660,973.48</w:t>
                    </w:r>
                  </w:p>
                </w:tc>
                <w:tc>
                  <w:tcPr>
                    <w:tcW w:w="746" w:type="pct"/>
                  </w:tcPr>
                  <w:p>
                    <w:pPr>
                      <w:ind w:right="73"/>
                      <w:jc w:val="right"/>
                      <w:rPr>
                        <w:rFonts w:asciiTheme="minorEastAsia" w:hAnsiTheme="minorEastAsia" w:eastAsiaTheme="minorEastAsia"/>
                        <w:sz w:val="18"/>
                        <w:szCs w:val="18"/>
                      </w:rPr>
                    </w:pPr>
                  </w:p>
                </w:tc>
                <w:tc>
                  <w:tcPr>
                    <w:tcW w:w="737"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5,660,973.48</w:t>
                    </w:r>
                  </w:p>
                </w:tc>
                <w:tc>
                  <w:tcPr>
                    <w:tcW w:w="746" w:type="pct"/>
                  </w:tcPr>
                  <w:p>
                    <w:pPr>
                      <w:jc w:val="right"/>
                      <w:rPr>
                        <w:rFonts w:asciiTheme="minorEastAsia" w:hAnsiTheme="minorEastAsia" w:eastAsiaTheme="minorEastAsia"/>
                        <w:sz w:val="18"/>
                        <w:szCs w:val="18"/>
                      </w:rPr>
                    </w:pPr>
                  </w:p>
                </w:tc>
                <w:tc>
                  <w:tcPr>
                    <w:tcW w:w="746" w:type="pct"/>
                  </w:tcPr>
                  <w:p>
                    <w:pPr>
                      <w:jc w:val="right"/>
                      <w:rPr>
                        <w:rFonts w:asciiTheme="minorEastAsia" w:hAnsiTheme="minorEastAsia" w:eastAsiaTheme="minorEastAsia"/>
                        <w:sz w:val="18"/>
                        <w:szCs w:val="18"/>
                      </w:rPr>
                    </w:pPr>
                  </w:p>
                </w:tc>
                <w:tc>
                  <w:tcPr>
                    <w:tcW w:w="700" w:type="pct"/>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在建工程情况明细"/>
              <w:tag w:val="_TUP_33657c285bed467db1f9c5ec10046bbf"/>
              <w:id w:val="28712163"/>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汽车发动机项目</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129,918.10</w:t>
                    </w:r>
                  </w:p>
                </w:tc>
                <w:tc>
                  <w:tcPr>
                    <w:tcW w:w="746"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129,918.10</w:t>
                    </w:r>
                  </w:p>
                </w:tc>
                <w:tc>
                  <w:tcPr>
                    <w:tcW w:w="737" w:type="pct"/>
                  </w:tcPr>
                  <w:p>
                    <w:pPr>
                      <w:ind w:right="73"/>
                      <w:jc w:val="right"/>
                      <w:rPr>
                        <w:rFonts w:asciiTheme="minorEastAsia" w:hAnsiTheme="minorEastAsia" w:eastAsiaTheme="minorEastAsia"/>
                        <w:sz w:val="18"/>
                        <w:szCs w:val="18"/>
                      </w:rPr>
                    </w:pP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1,232,046.62</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1,232,046.62</w:t>
                    </w:r>
                  </w:p>
                </w:tc>
                <w:tc>
                  <w:tcPr>
                    <w:tcW w:w="700" w:type="pct"/>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在建工程情况明细"/>
              <w:tag w:val="_TUP_33657c285bed467db1f9c5ec10046bbf"/>
              <w:id w:val="28712164"/>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能源站项目（河南站）</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9,839,833.66</w:t>
                    </w:r>
                  </w:p>
                </w:tc>
                <w:tc>
                  <w:tcPr>
                    <w:tcW w:w="746"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9,039,833.66</w:t>
                    </w:r>
                  </w:p>
                </w:tc>
                <w:tc>
                  <w:tcPr>
                    <w:tcW w:w="737"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800,000.00</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9,839,833.66</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9,039,833.66</w:t>
                    </w:r>
                  </w:p>
                </w:tc>
                <w:tc>
                  <w:tcPr>
                    <w:tcW w:w="700"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800,000.00</w:t>
                    </w:r>
                  </w:p>
                </w:tc>
              </w:tr>
            </w:sdtContent>
          </w:sdt>
          <w:sdt>
            <w:sdtPr>
              <w:rPr>
                <w:rFonts w:asciiTheme="minorEastAsia" w:hAnsiTheme="minorEastAsia" w:eastAsiaTheme="minorEastAsia" w:cstheme="minorBidi"/>
                <w:kern w:val="2"/>
                <w:sz w:val="18"/>
                <w:szCs w:val="18"/>
              </w:rPr>
              <w:alias w:val="在建工程情况明细"/>
              <w:tag w:val="_TUP_33657c285bed467db1f9c5ec10046bbf"/>
              <w:id w:val="28712165"/>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液压机项目</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23,738,752.80</w:t>
                    </w:r>
                  </w:p>
                </w:tc>
                <w:tc>
                  <w:tcPr>
                    <w:tcW w:w="746"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19,131,197.23</w:t>
                    </w:r>
                  </w:p>
                </w:tc>
                <w:tc>
                  <w:tcPr>
                    <w:tcW w:w="737"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4,607,555.57</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23,738,752.80</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19,131,197.23</w:t>
                    </w:r>
                  </w:p>
                </w:tc>
                <w:tc>
                  <w:tcPr>
                    <w:tcW w:w="700"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4,607,555.57</w:t>
                    </w:r>
                  </w:p>
                </w:tc>
              </w:tr>
            </w:sdtContent>
          </w:sdt>
          <w:sdt>
            <w:sdtPr>
              <w:rPr>
                <w:rFonts w:asciiTheme="minorEastAsia" w:hAnsiTheme="minorEastAsia" w:eastAsiaTheme="minorEastAsia" w:cstheme="minorBidi"/>
                <w:kern w:val="2"/>
                <w:sz w:val="18"/>
                <w:szCs w:val="18"/>
              </w:rPr>
              <w:alias w:val="在建工程情况明细"/>
              <w:tag w:val="_TUP_33657c285bed467db1f9c5ec10046bbf"/>
              <w:id w:val="28712166"/>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新厂建设项目</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63,842,308.29</w:t>
                    </w:r>
                  </w:p>
                </w:tc>
                <w:tc>
                  <w:tcPr>
                    <w:tcW w:w="746"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51,937,456.21</w:t>
                    </w:r>
                  </w:p>
                </w:tc>
                <w:tc>
                  <w:tcPr>
                    <w:tcW w:w="737"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11,904,852.08</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63,842,308.29</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51,937,456.21</w:t>
                    </w:r>
                  </w:p>
                </w:tc>
                <w:tc>
                  <w:tcPr>
                    <w:tcW w:w="700"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11,904,852.08</w:t>
                    </w:r>
                  </w:p>
                </w:tc>
              </w:tr>
            </w:sdtContent>
          </w:sdt>
          <w:sdt>
            <w:sdtPr>
              <w:rPr>
                <w:rFonts w:asciiTheme="minorEastAsia" w:hAnsiTheme="minorEastAsia" w:eastAsiaTheme="minorEastAsia" w:cstheme="minorBidi"/>
                <w:kern w:val="2"/>
                <w:sz w:val="18"/>
                <w:szCs w:val="18"/>
              </w:rPr>
              <w:alias w:val="在建工程情况明细"/>
              <w:tag w:val="_TUP_33657c285bed467db1f9c5ec10046bbf"/>
              <w:id w:val="28712167"/>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73" w:type="pct"/>
                  </w:tcPr>
                  <w:p>
                    <w:pPr>
                      <w:rPr>
                        <w:rFonts w:asciiTheme="minorEastAsia" w:hAnsiTheme="minorEastAsia" w:eastAsiaTheme="minorEastAsia"/>
                        <w:sz w:val="18"/>
                        <w:szCs w:val="18"/>
                      </w:rPr>
                    </w:pPr>
                    <w:r>
                      <w:rPr>
                        <w:rFonts w:asciiTheme="minorEastAsia" w:hAnsiTheme="minorEastAsia" w:eastAsiaTheme="minorEastAsia"/>
                        <w:sz w:val="18"/>
                        <w:szCs w:val="18"/>
                      </w:rPr>
                      <w:t>其他项目</w:t>
                    </w:r>
                  </w:p>
                </w:tc>
                <w:tc>
                  <w:tcPr>
                    <w:tcW w:w="753" w:type="pct"/>
                  </w:tcPr>
                  <w:p>
                    <w:pPr>
                      <w:ind w:right="105"/>
                      <w:jc w:val="right"/>
                      <w:rPr>
                        <w:rFonts w:asciiTheme="minorEastAsia" w:hAnsiTheme="minorEastAsia" w:eastAsiaTheme="minorEastAsia"/>
                        <w:sz w:val="18"/>
                        <w:szCs w:val="18"/>
                      </w:rPr>
                    </w:pPr>
                    <w:r>
                      <w:rPr>
                        <w:rFonts w:asciiTheme="minorEastAsia" w:hAnsiTheme="minorEastAsia" w:eastAsiaTheme="minorEastAsia"/>
                        <w:sz w:val="18"/>
                        <w:szCs w:val="18"/>
                      </w:rPr>
                      <w:t>40,815,546.76</w:t>
                    </w:r>
                  </w:p>
                </w:tc>
                <w:tc>
                  <w:tcPr>
                    <w:tcW w:w="746"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20,975,360.06</w:t>
                    </w:r>
                  </w:p>
                </w:tc>
                <w:tc>
                  <w:tcPr>
                    <w:tcW w:w="737" w:type="pct"/>
                  </w:tcPr>
                  <w:p>
                    <w:pPr>
                      <w:ind w:right="73"/>
                      <w:jc w:val="right"/>
                      <w:rPr>
                        <w:rFonts w:asciiTheme="minorEastAsia" w:hAnsiTheme="minorEastAsia" w:eastAsiaTheme="minorEastAsia"/>
                        <w:sz w:val="18"/>
                        <w:szCs w:val="18"/>
                      </w:rPr>
                    </w:pPr>
                    <w:r>
                      <w:rPr>
                        <w:rFonts w:asciiTheme="minorEastAsia" w:hAnsiTheme="minorEastAsia" w:eastAsiaTheme="minorEastAsia"/>
                        <w:sz w:val="18"/>
                        <w:szCs w:val="18"/>
                      </w:rPr>
                      <w:t>19,840,186.70</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40,875,294.29</w:t>
                    </w:r>
                  </w:p>
                </w:tc>
                <w:tc>
                  <w:tcPr>
                    <w:tcW w:w="746"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25,079,403.63</w:t>
                    </w:r>
                  </w:p>
                </w:tc>
                <w:tc>
                  <w:tcPr>
                    <w:tcW w:w="700" w:type="pct"/>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15,795,890.66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8"/>
                  <w:szCs w:val="18"/>
                </w:rPr>
                <w:tag w:val="_PLD_2783a6d4bf3f487b8ca957822667216c"/>
                <w:id w:val="28712168"/>
                <w:lock w:val="sdtLocked"/>
              </w:sdtPr>
              <w:sdtEndPr>
                <w:rPr>
                  <w:rFonts w:asciiTheme="minorEastAsia" w:hAnsiTheme="minorEastAsia" w:eastAsiaTheme="minorEastAsia"/>
                  <w:sz w:val="18"/>
                  <w:szCs w:val="18"/>
                </w:rPr>
              </w:sdtEndPr>
              <w:sdtContent>
                <w:tc>
                  <w:tcPr>
                    <w:tcW w:w="573"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753"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145,503,432.19</w:t>
                </w:r>
              </w:p>
            </w:tc>
            <w:tc>
              <w:tcPr>
                <w:tcW w:w="746"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101,763,765.26</w:t>
                </w:r>
              </w:p>
            </w:tc>
            <w:tc>
              <w:tcPr>
                <w:tcW w:w="737"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43,739,666.93</w:t>
                </w:r>
              </w:p>
            </w:tc>
            <w:tc>
              <w:tcPr>
                <w:tcW w:w="746"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142,416,299.26</w:t>
                </w:r>
              </w:p>
            </w:tc>
            <w:tc>
              <w:tcPr>
                <w:tcW w:w="746"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106,419,937.35</w:t>
                </w:r>
              </w:p>
            </w:tc>
            <w:tc>
              <w:tcPr>
                <w:tcW w:w="700"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35,996,361.91</w:t>
                </w:r>
              </w:p>
            </w:tc>
          </w:tr>
        </w:tbl>
        <w:p/>
        <w:p>
          <w:r>
            <w:br w:type="page"/>
          </w:r>
        </w:p>
        <w:p>
          <w:pPr>
            <w:sectPr>
              <w:pgSz w:w="11906" w:h="16838"/>
              <w:pgMar w:top="1724" w:right="1797" w:bottom="1440" w:left="1797" w:header="851" w:footer="992" w:gutter="0"/>
              <w:cols w:space="720" w:num="1"/>
              <w:docGrid w:linePitch="312" w:charSpace="0"/>
            </w:sectPr>
          </w:pPr>
        </w:p>
        <w:p/>
      </w:sdtContent>
    </w:sdt>
    <w:sdt>
      <w:sdtPr>
        <w:rPr>
          <w:rFonts w:hint="eastAsia" w:ascii="宋体" w:hAnsi="宋体" w:eastAsia="宋体" w:cs="宋体"/>
          <w:b w:val="0"/>
          <w:bCs w:val="0"/>
          <w:kern w:val="0"/>
          <w:szCs w:val="24"/>
        </w:rPr>
        <w:alias w:val="模块:重大在建工程项目变动情况"/>
        <w:tag w:val="_SEC_56f783d4f9274dee9510145d6c965ff7"/>
        <w:id w:val="-415861890"/>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214"/>
            <w:numPr>
              <w:ilvl w:val="3"/>
              <w:numId w:val="90"/>
            </w:numPr>
            <w:ind w:left="426" w:hanging="426"/>
          </w:pPr>
          <w:r>
            <w:rPr>
              <w:rFonts w:hint="eastAsia"/>
            </w:rPr>
            <w:t>重要在建工程项目本期变动情况</w:t>
          </w:r>
        </w:p>
        <w:sdt>
          <w:sdtPr>
            <w:alias w:val="是否适用：重要在建工程项目本期变动情况[双击切换]"/>
            <w:tag w:val="_GBC_964f4529e8234c358a8541e8c4754ec8"/>
            <w:id w:val="-210432699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16283051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30692790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40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7"/>
            <w:gridCol w:w="1419"/>
            <w:gridCol w:w="1425"/>
            <w:gridCol w:w="1274"/>
            <w:gridCol w:w="1418"/>
            <w:gridCol w:w="1274"/>
            <w:gridCol w:w="1424"/>
            <w:gridCol w:w="962"/>
            <w:gridCol w:w="739"/>
            <w:gridCol w:w="1193"/>
            <w:gridCol w:w="1034"/>
            <w:gridCol w:w="862"/>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072ffbc51294cefbe17dde844d0e5ed"/>
                <w:id w:val="268370687"/>
                <w:lock w:val="sdtLocked"/>
              </w:sdtPr>
              <w:sdtContent>
                <w:tc>
                  <w:tcPr>
                    <w:tcW w:w="378" w:type="pct"/>
                    <w:shd w:val="clear" w:color="auto" w:fill="auto"/>
                    <w:vAlign w:val="center"/>
                  </w:tcPr>
                  <w:p>
                    <w:pPr>
                      <w:ind w:right="105"/>
                      <w:jc w:val="center"/>
                      <w:rPr>
                        <w:szCs w:val="21"/>
                      </w:rPr>
                    </w:pPr>
                    <w:r>
                      <w:rPr>
                        <w:rFonts w:hint="eastAsia"/>
                        <w:szCs w:val="21"/>
                      </w:rPr>
                      <w:t>项目名称</w:t>
                    </w:r>
                  </w:p>
                </w:tc>
              </w:sdtContent>
            </w:sdt>
            <w:sdt>
              <w:sdtPr>
                <w:tag w:val="_PLD_6349ea6a696f4d27b00b071275a38ea5"/>
                <w:id w:val="772445319"/>
                <w:lock w:val="sdtLocked"/>
              </w:sdtPr>
              <w:sdtContent>
                <w:tc>
                  <w:tcPr>
                    <w:tcW w:w="472" w:type="pct"/>
                    <w:shd w:val="clear" w:color="auto" w:fill="auto"/>
                    <w:vAlign w:val="center"/>
                  </w:tcPr>
                  <w:p>
                    <w:pPr>
                      <w:ind w:right="105"/>
                      <w:jc w:val="center"/>
                      <w:rPr>
                        <w:szCs w:val="21"/>
                      </w:rPr>
                    </w:pPr>
                    <w:r>
                      <w:rPr>
                        <w:rFonts w:hint="eastAsia"/>
                        <w:szCs w:val="21"/>
                      </w:rPr>
                      <w:t>预算数</w:t>
                    </w:r>
                  </w:p>
                </w:tc>
              </w:sdtContent>
            </w:sdt>
            <w:sdt>
              <w:sdtPr>
                <w:tag w:val="_PLD_392420deb7e94f0a8026947a325da4f4"/>
                <w:id w:val="1377588853"/>
                <w:lock w:val="sdtLocked"/>
              </w:sdtPr>
              <w:sdtContent>
                <w:tc>
                  <w:tcPr>
                    <w:tcW w:w="474" w:type="pct"/>
                    <w:shd w:val="clear" w:color="auto" w:fill="auto"/>
                    <w:vAlign w:val="center"/>
                  </w:tcPr>
                  <w:p>
                    <w:pPr>
                      <w:ind w:right="105"/>
                      <w:jc w:val="center"/>
                      <w:rPr>
                        <w:szCs w:val="21"/>
                      </w:rPr>
                    </w:pPr>
                    <w:r>
                      <w:rPr>
                        <w:rFonts w:hint="eastAsia"/>
                        <w:szCs w:val="21"/>
                      </w:rPr>
                      <w:t>期初</w:t>
                    </w:r>
                  </w:p>
                  <w:p>
                    <w:pPr>
                      <w:ind w:right="105"/>
                      <w:jc w:val="center"/>
                      <w:rPr>
                        <w:szCs w:val="21"/>
                      </w:rPr>
                    </w:pPr>
                    <w:r>
                      <w:rPr>
                        <w:rFonts w:hint="eastAsia"/>
                        <w:szCs w:val="21"/>
                      </w:rPr>
                      <w:t>余额</w:t>
                    </w:r>
                  </w:p>
                </w:tc>
              </w:sdtContent>
            </w:sdt>
            <w:sdt>
              <w:sdtPr>
                <w:tag w:val="_PLD_de4faed3465b4da6b8ac35d7e677431c"/>
                <w:id w:val="404650539"/>
                <w:lock w:val="sdtLocked"/>
              </w:sdtPr>
              <w:sdtContent>
                <w:tc>
                  <w:tcPr>
                    <w:tcW w:w="424" w:type="pct"/>
                    <w:shd w:val="clear" w:color="auto" w:fill="auto"/>
                    <w:vAlign w:val="center"/>
                  </w:tcPr>
                  <w:p>
                    <w:pPr>
                      <w:ind w:right="105"/>
                      <w:jc w:val="center"/>
                      <w:rPr>
                        <w:szCs w:val="21"/>
                      </w:rPr>
                    </w:pPr>
                    <w:r>
                      <w:rPr>
                        <w:rFonts w:hint="eastAsia"/>
                        <w:szCs w:val="21"/>
                      </w:rPr>
                      <w:t>本期增加金额</w:t>
                    </w:r>
                  </w:p>
                </w:tc>
              </w:sdtContent>
            </w:sdt>
            <w:sdt>
              <w:sdtPr>
                <w:tag w:val="_PLD_51ce4224316b4f4b99a8fb0c8e4500a5"/>
                <w:id w:val="504945542"/>
                <w:lock w:val="sdtLocked"/>
              </w:sdtPr>
              <w:sdtContent>
                <w:tc>
                  <w:tcPr>
                    <w:tcW w:w="472" w:type="pct"/>
                    <w:shd w:val="clear" w:color="auto" w:fill="auto"/>
                    <w:vAlign w:val="center"/>
                  </w:tcPr>
                  <w:p>
                    <w:pPr>
                      <w:ind w:right="73"/>
                      <w:jc w:val="center"/>
                      <w:rPr>
                        <w:szCs w:val="21"/>
                      </w:rPr>
                    </w:pPr>
                    <w:r>
                      <w:rPr>
                        <w:rFonts w:hint="eastAsia"/>
                        <w:szCs w:val="21"/>
                      </w:rPr>
                      <w:t>本期转入固定资产金额</w:t>
                    </w:r>
                  </w:p>
                </w:tc>
              </w:sdtContent>
            </w:sdt>
            <w:sdt>
              <w:sdtPr>
                <w:tag w:val="_PLD_d80ffbe10b944f57a31723041ffbcbdf"/>
                <w:id w:val="479887834"/>
                <w:lock w:val="sdtLocked"/>
              </w:sdtPr>
              <w:sdtContent>
                <w:tc>
                  <w:tcPr>
                    <w:tcW w:w="424" w:type="pct"/>
                    <w:shd w:val="clear" w:color="auto" w:fill="auto"/>
                    <w:vAlign w:val="center"/>
                  </w:tcPr>
                  <w:p>
                    <w:pPr>
                      <w:ind w:right="73"/>
                      <w:jc w:val="center"/>
                      <w:rPr>
                        <w:szCs w:val="21"/>
                      </w:rPr>
                    </w:pPr>
                    <w:r>
                      <w:rPr>
                        <w:rFonts w:hint="eastAsia"/>
                        <w:szCs w:val="21"/>
                      </w:rPr>
                      <w:t>本期其他减少金额</w:t>
                    </w:r>
                  </w:p>
                </w:tc>
              </w:sdtContent>
            </w:sdt>
            <w:sdt>
              <w:sdtPr>
                <w:tag w:val="_PLD_c8b617c64ad64a03834695d9bc0b8d2f"/>
                <w:id w:val="-253356325"/>
                <w:lock w:val="sdtLocked"/>
              </w:sdtPr>
              <w:sdtContent>
                <w:tc>
                  <w:tcPr>
                    <w:tcW w:w="474" w:type="pct"/>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38551d97ef741f093f852402c423e47"/>
                <w:id w:val="647718032"/>
                <w:lock w:val="sdtLocked"/>
              </w:sdtPr>
              <w:sdtContent>
                <w:tc>
                  <w:tcPr>
                    <w:tcW w:w="320" w:type="pct"/>
                    <w:shd w:val="clear" w:color="auto" w:fill="auto"/>
                    <w:vAlign w:val="center"/>
                  </w:tcPr>
                  <w:p>
                    <w:pPr>
                      <w:jc w:val="center"/>
                      <w:rPr>
                        <w:szCs w:val="21"/>
                      </w:rPr>
                    </w:pPr>
                    <w:r>
                      <w:rPr>
                        <w:rFonts w:hint="eastAsia"/>
                        <w:szCs w:val="21"/>
                      </w:rPr>
                      <w:t>工程累计投入占预算比例(%)</w:t>
                    </w:r>
                  </w:p>
                </w:tc>
              </w:sdtContent>
            </w:sdt>
            <w:sdt>
              <w:sdtPr>
                <w:tag w:val="_PLD_0f7f749f98e74f33ae9032c17002d136"/>
                <w:id w:val="809364459"/>
                <w:lock w:val="sdtLocked"/>
              </w:sdtPr>
              <w:sdtContent>
                <w:tc>
                  <w:tcPr>
                    <w:tcW w:w="246" w:type="pct"/>
                    <w:shd w:val="clear" w:color="auto" w:fill="auto"/>
                    <w:vAlign w:val="center"/>
                  </w:tcPr>
                  <w:p>
                    <w:pPr>
                      <w:jc w:val="center"/>
                      <w:rPr>
                        <w:szCs w:val="21"/>
                      </w:rPr>
                    </w:pPr>
                    <w:r>
                      <w:rPr>
                        <w:rFonts w:hint="eastAsia"/>
                        <w:szCs w:val="21"/>
                      </w:rPr>
                      <w:t>工程进度</w:t>
                    </w:r>
                  </w:p>
                </w:tc>
              </w:sdtContent>
            </w:sdt>
            <w:sdt>
              <w:sdtPr>
                <w:tag w:val="_PLD_0b58d44121d2475586a13d1ce8eaed0a"/>
                <w:id w:val="-1436008"/>
                <w:lock w:val="sdtLocked"/>
              </w:sdtPr>
              <w:sdtContent>
                <w:tc>
                  <w:tcPr>
                    <w:tcW w:w="397" w:type="pct"/>
                    <w:shd w:val="clear" w:color="auto" w:fill="auto"/>
                    <w:vAlign w:val="center"/>
                  </w:tcPr>
                  <w:p>
                    <w:pPr>
                      <w:jc w:val="center"/>
                      <w:rPr>
                        <w:szCs w:val="21"/>
                      </w:rPr>
                    </w:pPr>
                    <w:r>
                      <w:rPr>
                        <w:rFonts w:hint="eastAsia"/>
                        <w:szCs w:val="21"/>
                      </w:rPr>
                      <w:t>利息资本化累计金额</w:t>
                    </w:r>
                  </w:p>
                </w:tc>
              </w:sdtContent>
            </w:sdt>
            <w:sdt>
              <w:sdtPr>
                <w:tag w:val="_PLD_2250f692e957437687c2cafcae1d7f81"/>
                <w:id w:val="12038135"/>
                <w:lock w:val="sdtLocked"/>
              </w:sdtPr>
              <w:sdtContent>
                <w:tc>
                  <w:tcPr>
                    <w:tcW w:w="344" w:type="pct"/>
                    <w:shd w:val="clear" w:color="auto" w:fill="auto"/>
                    <w:vAlign w:val="center"/>
                  </w:tcPr>
                  <w:p>
                    <w:pPr>
                      <w:jc w:val="center"/>
                      <w:rPr>
                        <w:szCs w:val="21"/>
                      </w:rPr>
                    </w:pPr>
                    <w:r>
                      <w:rPr>
                        <w:rFonts w:hint="eastAsia"/>
                        <w:szCs w:val="21"/>
                      </w:rPr>
                      <w:t>其中：本期利息资本化金额</w:t>
                    </w:r>
                  </w:p>
                </w:tc>
              </w:sdtContent>
            </w:sdt>
            <w:sdt>
              <w:sdtPr>
                <w:tag w:val="_PLD_7a9834f354d948e19f071bbf4b5baafe"/>
                <w:id w:val="-199474217"/>
                <w:lock w:val="sdtLocked"/>
              </w:sdtPr>
              <w:sdtContent>
                <w:tc>
                  <w:tcPr>
                    <w:tcW w:w="287" w:type="pct"/>
                    <w:shd w:val="clear" w:color="auto" w:fill="auto"/>
                    <w:vAlign w:val="center"/>
                  </w:tcPr>
                  <w:p>
                    <w:pPr>
                      <w:jc w:val="center"/>
                      <w:rPr>
                        <w:szCs w:val="21"/>
                      </w:rPr>
                    </w:pPr>
                    <w:r>
                      <w:rPr>
                        <w:rFonts w:hint="eastAsia"/>
                        <w:szCs w:val="21"/>
                      </w:rPr>
                      <w:t>本期利息资本化率(%)</w:t>
                    </w:r>
                  </w:p>
                </w:tc>
              </w:sdtContent>
            </w:sdt>
            <w:sdt>
              <w:sdtPr>
                <w:tag w:val="_PLD_6015e39597424a7ea59d45da3ff56e99"/>
                <w:id w:val="-693389568"/>
                <w:lock w:val="sdtLocked"/>
              </w:sdtPr>
              <w:sdtContent>
                <w:tc>
                  <w:tcPr>
                    <w:tcW w:w="290" w:type="pct"/>
                    <w:shd w:val="clear" w:color="auto" w:fill="auto"/>
                    <w:vAlign w:val="center"/>
                  </w:tcPr>
                  <w:p>
                    <w:pPr>
                      <w:jc w:val="center"/>
                      <w:rPr>
                        <w:szCs w:val="21"/>
                      </w:rPr>
                    </w:pPr>
                    <w:r>
                      <w:rPr>
                        <w:rFonts w:hint="eastAsia"/>
                        <w:szCs w:val="21"/>
                      </w:rPr>
                      <w:t>资金来源</w:t>
                    </w:r>
                  </w:p>
                </w:tc>
              </w:sdtContent>
            </w:sdt>
          </w:tr>
          <w:sdt>
            <w:sdtPr>
              <w:rPr>
                <w:rFonts w:hint="eastAsia" w:asciiTheme="minorEastAsia" w:hAnsiTheme="minorEastAsia" w:eastAsiaTheme="minorEastAsia"/>
                <w:sz w:val="15"/>
                <w:szCs w:val="15"/>
              </w:rPr>
              <w:alias w:val="在建工程明细"/>
              <w:tag w:val="_TUP_ddeb799b6fdf45e2b195807d1913c3bb"/>
              <w:id w:val="-382873644"/>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8" w:type="pct"/>
                    <w:shd w:val="clear" w:color="auto" w:fill="auto"/>
                  </w:tcPr>
                  <w:p>
                    <w:pPr>
                      <w:ind w:right="105"/>
                      <w:rPr>
                        <w:rFonts w:asciiTheme="minorEastAsia" w:hAnsiTheme="minorEastAsia" w:eastAsiaTheme="minorEastAsia"/>
                        <w:sz w:val="15"/>
                        <w:szCs w:val="15"/>
                      </w:rPr>
                    </w:pPr>
                    <w:r>
                      <w:rPr>
                        <w:rFonts w:asciiTheme="minorEastAsia" w:hAnsiTheme="minorEastAsia" w:eastAsiaTheme="minorEastAsia"/>
                        <w:sz w:val="15"/>
                        <w:szCs w:val="15"/>
                      </w:rPr>
                      <w:t>办公楼及研发中心</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5,270,500.00</w:t>
                    </w:r>
                  </w:p>
                </w:tc>
                <w:tc>
                  <w:tcPr>
                    <w:tcW w:w="4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2,888,063.60</w:t>
                    </w:r>
                  </w:p>
                </w:tc>
                <w:tc>
                  <w:tcPr>
                    <w:tcW w:w="42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314,839.98</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1,234,496.77</w:t>
                    </w:r>
                  </w:p>
                </w:tc>
                <w:tc>
                  <w:tcPr>
                    <w:tcW w:w="42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492,307.71</w:t>
                    </w: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1,476,099.10</w:t>
                    </w:r>
                  </w:p>
                </w:tc>
                <w:tc>
                  <w:tcPr>
                    <w:tcW w:w="32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70.67</w:t>
                    </w:r>
                  </w:p>
                </w:tc>
                <w:tc>
                  <w:tcPr>
                    <w:tcW w:w="24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70.67</w:t>
                    </w:r>
                  </w:p>
                </w:tc>
                <w:tc>
                  <w:tcPr>
                    <w:tcW w:w="397" w:type="pct"/>
                    <w:shd w:val="clear" w:color="auto" w:fill="auto"/>
                    <w:vAlign w:val="center"/>
                  </w:tcPr>
                  <w:p>
                    <w:pPr>
                      <w:jc w:val="right"/>
                      <w:rPr>
                        <w:rFonts w:asciiTheme="minorEastAsia" w:hAnsiTheme="minorEastAsia" w:eastAsiaTheme="minorEastAsia"/>
                        <w:sz w:val="15"/>
                        <w:szCs w:val="15"/>
                      </w:rPr>
                    </w:pP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jc w:val="right"/>
                      <w:rPr>
                        <w:rFonts w:asciiTheme="minorEastAsia" w:hAnsiTheme="minorEastAsia" w:eastAsiaTheme="minorEastAsia"/>
                        <w:sz w:val="15"/>
                        <w:szCs w:val="15"/>
                      </w:rPr>
                    </w:pPr>
                  </w:p>
                </w:tc>
                <w:tc>
                  <w:tcPr>
                    <w:tcW w:w="290" w:type="pct"/>
                    <w:shd w:val="clear" w:color="auto" w:fill="auto"/>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自筹</w:t>
                    </w:r>
                  </w:p>
                </w:tc>
              </w:tr>
            </w:sdtContent>
          </w:sdt>
          <w:sdt>
            <w:sdtPr>
              <w:rPr>
                <w:rFonts w:hint="eastAsia" w:asciiTheme="minorEastAsia" w:hAnsiTheme="minorEastAsia" w:eastAsiaTheme="minorEastAsia"/>
                <w:sz w:val="15"/>
                <w:szCs w:val="15"/>
              </w:rPr>
              <w:alias w:val="在建工程明细"/>
              <w:tag w:val="_TUP_ddeb799b6fdf45e2b195807d1913c3bb"/>
              <w:id w:val="1492142714"/>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8" w:type="pct"/>
                    <w:shd w:val="clear" w:color="auto" w:fill="auto"/>
                  </w:tcPr>
                  <w:p>
                    <w:pPr>
                      <w:ind w:right="105"/>
                      <w:rPr>
                        <w:rFonts w:asciiTheme="minorEastAsia" w:hAnsiTheme="minorEastAsia" w:eastAsiaTheme="minorEastAsia"/>
                        <w:sz w:val="15"/>
                        <w:szCs w:val="15"/>
                      </w:rPr>
                    </w:pPr>
                    <w:r>
                      <w:rPr>
                        <w:rFonts w:asciiTheme="minorEastAsia" w:hAnsiTheme="minorEastAsia" w:eastAsiaTheme="minorEastAsia"/>
                        <w:sz w:val="15"/>
                        <w:szCs w:val="15"/>
                      </w:rPr>
                      <w:t>模具开发</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9,408,600.00</w:t>
                    </w:r>
                  </w:p>
                </w:tc>
                <w:tc>
                  <w:tcPr>
                    <w:tcW w:w="474" w:type="pct"/>
                    <w:shd w:val="clear" w:color="auto" w:fill="auto"/>
                    <w:vAlign w:val="center"/>
                  </w:tcPr>
                  <w:p>
                    <w:pPr>
                      <w:jc w:val="right"/>
                      <w:rPr>
                        <w:rFonts w:asciiTheme="minorEastAsia" w:hAnsiTheme="minorEastAsia" w:eastAsiaTheme="minorEastAsia"/>
                        <w:sz w:val="15"/>
                        <w:szCs w:val="15"/>
                      </w:rPr>
                    </w:pPr>
                  </w:p>
                </w:tc>
                <w:tc>
                  <w:tcPr>
                    <w:tcW w:w="42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6,973,858.45</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1,312,884.97</w:t>
                    </w:r>
                  </w:p>
                </w:tc>
                <w:tc>
                  <w:tcPr>
                    <w:tcW w:w="424" w:type="pct"/>
                    <w:shd w:val="clear" w:color="auto" w:fill="auto"/>
                    <w:vAlign w:val="center"/>
                  </w:tcPr>
                  <w:p>
                    <w:pPr>
                      <w:jc w:val="right"/>
                      <w:rPr>
                        <w:rFonts w:asciiTheme="minorEastAsia" w:hAnsiTheme="minorEastAsia" w:eastAsiaTheme="minorEastAsia"/>
                        <w:sz w:val="15"/>
                        <w:szCs w:val="15"/>
                      </w:rPr>
                    </w:pP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5,660,973.48</w:t>
                    </w:r>
                  </w:p>
                </w:tc>
                <w:tc>
                  <w:tcPr>
                    <w:tcW w:w="320" w:type="pct"/>
                    <w:shd w:val="clear" w:color="auto" w:fill="auto"/>
                    <w:vAlign w:val="center"/>
                  </w:tcPr>
                  <w:p>
                    <w:pPr>
                      <w:jc w:val="right"/>
                      <w:rPr>
                        <w:rFonts w:asciiTheme="minorEastAsia" w:hAnsiTheme="minorEastAsia" w:eastAsiaTheme="minorEastAsia"/>
                        <w:sz w:val="15"/>
                        <w:szCs w:val="15"/>
                      </w:rPr>
                    </w:pPr>
                  </w:p>
                </w:tc>
                <w:tc>
                  <w:tcPr>
                    <w:tcW w:w="246" w:type="pct"/>
                    <w:shd w:val="clear" w:color="auto" w:fill="auto"/>
                    <w:vAlign w:val="center"/>
                  </w:tcPr>
                  <w:p>
                    <w:pPr>
                      <w:jc w:val="right"/>
                      <w:rPr>
                        <w:rFonts w:asciiTheme="minorEastAsia" w:hAnsiTheme="minorEastAsia" w:eastAsiaTheme="minorEastAsia"/>
                        <w:sz w:val="15"/>
                        <w:szCs w:val="15"/>
                      </w:rPr>
                    </w:pPr>
                  </w:p>
                </w:tc>
                <w:tc>
                  <w:tcPr>
                    <w:tcW w:w="397" w:type="pct"/>
                    <w:shd w:val="clear" w:color="auto" w:fill="auto"/>
                    <w:vAlign w:val="center"/>
                  </w:tcPr>
                  <w:p>
                    <w:pPr>
                      <w:jc w:val="right"/>
                      <w:rPr>
                        <w:rFonts w:asciiTheme="minorEastAsia" w:hAnsiTheme="minorEastAsia" w:eastAsiaTheme="minorEastAsia"/>
                        <w:sz w:val="15"/>
                        <w:szCs w:val="15"/>
                      </w:rPr>
                    </w:pP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jc w:val="right"/>
                      <w:rPr>
                        <w:rFonts w:asciiTheme="minorEastAsia" w:hAnsiTheme="minorEastAsia" w:eastAsiaTheme="minorEastAsia"/>
                        <w:sz w:val="15"/>
                        <w:szCs w:val="15"/>
                      </w:rPr>
                    </w:pPr>
                  </w:p>
                </w:tc>
                <w:tc>
                  <w:tcPr>
                    <w:tcW w:w="290" w:type="pct"/>
                    <w:shd w:val="clear" w:color="auto" w:fill="auto"/>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自筹</w:t>
                    </w:r>
                  </w:p>
                </w:tc>
              </w:tr>
            </w:sdtContent>
          </w:sdt>
          <w:sdt>
            <w:sdtPr>
              <w:rPr>
                <w:rFonts w:hint="eastAsia" w:asciiTheme="minorEastAsia" w:hAnsiTheme="minorEastAsia" w:eastAsiaTheme="minorEastAsia"/>
                <w:sz w:val="15"/>
                <w:szCs w:val="15"/>
              </w:rPr>
              <w:alias w:val="在建工程明细"/>
              <w:tag w:val="_TUP_ddeb799b6fdf45e2b195807d1913c3bb"/>
              <w:id w:val="-1910221475"/>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8" w:type="pct"/>
                    <w:shd w:val="clear" w:color="auto" w:fill="auto"/>
                  </w:tcPr>
                  <w:p>
                    <w:pPr>
                      <w:ind w:right="105"/>
                      <w:rPr>
                        <w:rFonts w:asciiTheme="minorEastAsia" w:hAnsiTheme="minorEastAsia" w:eastAsiaTheme="minorEastAsia"/>
                        <w:sz w:val="15"/>
                        <w:szCs w:val="15"/>
                      </w:rPr>
                    </w:pPr>
                    <w:r>
                      <w:rPr>
                        <w:rFonts w:asciiTheme="minorEastAsia" w:hAnsiTheme="minorEastAsia" w:eastAsiaTheme="minorEastAsia"/>
                        <w:sz w:val="15"/>
                        <w:szCs w:val="15"/>
                      </w:rPr>
                      <w:t>汽车发动机项目</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2,307,000.00</w:t>
                    </w:r>
                  </w:p>
                </w:tc>
                <w:tc>
                  <w:tcPr>
                    <w:tcW w:w="4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1,232,046.62</w:t>
                    </w:r>
                  </w:p>
                </w:tc>
                <w:tc>
                  <w:tcPr>
                    <w:tcW w:w="424" w:type="pct"/>
                    <w:shd w:val="clear" w:color="auto" w:fill="auto"/>
                    <w:vAlign w:val="center"/>
                  </w:tcPr>
                  <w:p>
                    <w:pPr>
                      <w:jc w:val="right"/>
                      <w:rPr>
                        <w:rFonts w:asciiTheme="minorEastAsia" w:hAnsiTheme="minorEastAsia" w:eastAsiaTheme="minorEastAsia"/>
                        <w:sz w:val="15"/>
                        <w:szCs w:val="15"/>
                      </w:rPr>
                    </w:pPr>
                  </w:p>
                </w:tc>
                <w:tc>
                  <w:tcPr>
                    <w:tcW w:w="472" w:type="pct"/>
                    <w:shd w:val="clear" w:color="auto" w:fill="auto"/>
                    <w:vAlign w:val="center"/>
                  </w:tcPr>
                  <w:p>
                    <w:pPr>
                      <w:jc w:val="right"/>
                      <w:rPr>
                        <w:rFonts w:asciiTheme="minorEastAsia" w:hAnsiTheme="minorEastAsia" w:eastAsiaTheme="minorEastAsia"/>
                        <w:sz w:val="15"/>
                        <w:szCs w:val="15"/>
                      </w:rPr>
                    </w:pPr>
                  </w:p>
                </w:tc>
                <w:tc>
                  <w:tcPr>
                    <w:tcW w:w="42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1,102,128.52</w:t>
                    </w: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129,918.10</w:t>
                    </w:r>
                  </w:p>
                </w:tc>
                <w:tc>
                  <w:tcPr>
                    <w:tcW w:w="32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60.35</w:t>
                    </w:r>
                  </w:p>
                </w:tc>
                <w:tc>
                  <w:tcPr>
                    <w:tcW w:w="24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60.35</w:t>
                    </w:r>
                  </w:p>
                </w:tc>
                <w:tc>
                  <w:tcPr>
                    <w:tcW w:w="397" w:type="pct"/>
                    <w:shd w:val="clear" w:color="auto" w:fill="auto"/>
                    <w:vAlign w:val="center"/>
                  </w:tcPr>
                  <w:p>
                    <w:pPr>
                      <w:jc w:val="right"/>
                      <w:rPr>
                        <w:rFonts w:asciiTheme="minorEastAsia" w:hAnsiTheme="minorEastAsia" w:eastAsiaTheme="minorEastAsia"/>
                        <w:sz w:val="15"/>
                        <w:szCs w:val="15"/>
                      </w:rPr>
                    </w:pP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jc w:val="right"/>
                      <w:rPr>
                        <w:rFonts w:asciiTheme="minorEastAsia" w:hAnsiTheme="minorEastAsia" w:eastAsiaTheme="minorEastAsia"/>
                        <w:sz w:val="15"/>
                        <w:szCs w:val="15"/>
                      </w:rPr>
                    </w:pPr>
                  </w:p>
                </w:tc>
                <w:tc>
                  <w:tcPr>
                    <w:tcW w:w="290" w:type="pct"/>
                    <w:shd w:val="clear" w:color="auto" w:fill="auto"/>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自筹</w:t>
                    </w:r>
                  </w:p>
                </w:tc>
              </w:tr>
            </w:sdtContent>
          </w:sdt>
          <w:sdt>
            <w:sdtPr>
              <w:rPr>
                <w:rFonts w:hint="eastAsia" w:asciiTheme="minorEastAsia" w:hAnsiTheme="minorEastAsia" w:eastAsiaTheme="minorEastAsia"/>
                <w:sz w:val="15"/>
                <w:szCs w:val="15"/>
              </w:rPr>
              <w:alias w:val="在建工程明细"/>
              <w:tag w:val="_TUP_ddeb799b6fdf45e2b195807d1913c3bb"/>
              <w:id w:val="790398383"/>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8" w:type="pct"/>
                    <w:shd w:val="clear" w:color="auto" w:fill="auto"/>
                  </w:tcPr>
                  <w:p>
                    <w:pPr>
                      <w:ind w:right="105"/>
                      <w:rPr>
                        <w:rFonts w:asciiTheme="minorEastAsia" w:hAnsiTheme="minorEastAsia" w:eastAsiaTheme="minorEastAsia"/>
                        <w:sz w:val="15"/>
                        <w:szCs w:val="15"/>
                      </w:rPr>
                    </w:pPr>
                    <w:r>
                      <w:rPr>
                        <w:rFonts w:asciiTheme="minorEastAsia" w:hAnsiTheme="minorEastAsia" w:eastAsiaTheme="minorEastAsia"/>
                        <w:sz w:val="15"/>
                        <w:szCs w:val="15"/>
                      </w:rPr>
                      <w:t>能源站项目（河南站）</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162,750,000.00</w:t>
                    </w:r>
                  </w:p>
                </w:tc>
                <w:tc>
                  <w:tcPr>
                    <w:tcW w:w="4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9,839,833.66</w:t>
                    </w:r>
                  </w:p>
                </w:tc>
                <w:tc>
                  <w:tcPr>
                    <w:tcW w:w="424" w:type="pct"/>
                    <w:shd w:val="clear" w:color="auto" w:fill="auto"/>
                    <w:vAlign w:val="center"/>
                  </w:tcPr>
                  <w:p>
                    <w:pPr>
                      <w:jc w:val="right"/>
                      <w:rPr>
                        <w:rFonts w:asciiTheme="minorEastAsia" w:hAnsiTheme="minorEastAsia" w:eastAsiaTheme="minorEastAsia"/>
                        <w:sz w:val="15"/>
                        <w:szCs w:val="15"/>
                      </w:rPr>
                    </w:pPr>
                  </w:p>
                </w:tc>
                <w:tc>
                  <w:tcPr>
                    <w:tcW w:w="472" w:type="pct"/>
                    <w:shd w:val="clear" w:color="auto" w:fill="auto"/>
                    <w:vAlign w:val="center"/>
                  </w:tcPr>
                  <w:p>
                    <w:pPr>
                      <w:jc w:val="right"/>
                      <w:rPr>
                        <w:rFonts w:asciiTheme="minorEastAsia" w:hAnsiTheme="minorEastAsia" w:eastAsiaTheme="minorEastAsia"/>
                        <w:sz w:val="15"/>
                        <w:szCs w:val="15"/>
                      </w:rPr>
                    </w:pPr>
                  </w:p>
                </w:tc>
                <w:tc>
                  <w:tcPr>
                    <w:tcW w:w="424" w:type="pct"/>
                    <w:shd w:val="clear" w:color="auto" w:fill="auto"/>
                    <w:vAlign w:val="center"/>
                  </w:tcPr>
                  <w:p>
                    <w:pPr>
                      <w:jc w:val="right"/>
                      <w:rPr>
                        <w:rFonts w:asciiTheme="minorEastAsia" w:hAnsiTheme="minorEastAsia" w:eastAsiaTheme="minorEastAsia"/>
                        <w:sz w:val="15"/>
                        <w:szCs w:val="15"/>
                      </w:rPr>
                    </w:pP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9,839,833.66</w:t>
                    </w:r>
                  </w:p>
                </w:tc>
                <w:tc>
                  <w:tcPr>
                    <w:tcW w:w="32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11.26</w:t>
                    </w:r>
                  </w:p>
                </w:tc>
                <w:tc>
                  <w:tcPr>
                    <w:tcW w:w="246" w:type="pct"/>
                    <w:shd w:val="clear" w:color="auto" w:fill="auto"/>
                    <w:vAlign w:val="center"/>
                  </w:tcPr>
                  <w:p>
                    <w:pPr>
                      <w:jc w:val="right"/>
                      <w:rPr>
                        <w:rFonts w:asciiTheme="minorEastAsia" w:hAnsiTheme="minorEastAsia" w:eastAsiaTheme="minorEastAsia"/>
                        <w:sz w:val="15"/>
                        <w:szCs w:val="15"/>
                      </w:rPr>
                    </w:pPr>
                  </w:p>
                </w:tc>
                <w:tc>
                  <w:tcPr>
                    <w:tcW w:w="397"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3,387,403.86</w:t>
                    </w: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jc w:val="right"/>
                      <w:rPr>
                        <w:rFonts w:asciiTheme="minorEastAsia" w:hAnsiTheme="minorEastAsia" w:eastAsiaTheme="minorEastAsia"/>
                        <w:sz w:val="15"/>
                        <w:szCs w:val="15"/>
                      </w:rPr>
                    </w:pPr>
                  </w:p>
                </w:tc>
                <w:tc>
                  <w:tcPr>
                    <w:tcW w:w="290" w:type="pct"/>
                    <w:shd w:val="clear" w:color="auto" w:fill="auto"/>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自筹贷款</w:t>
                    </w:r>
                  </w:p>
                </w:tc>
              </w:tr>
            </w:sdtContent>
          </w:sdt>
          <w:sdt>
            <w:sdtPr>
              <w:rPr>
                <w:rFonts w:hint="eastAsia" w:asciiTheme="minorEastAsia" w:hAnsiTheme="minorEastAsia" w:eastAsiaTheme="minorEastAsia"/>
                <w:sz w:val="15"/>
                <w:szCs w:val="15"/>
              </w:rPr>
              <w:alias w:val="在建工程明细"/>
              <w:tag w:val="_TUP_ddeb799b6fdf45e2b195807d1913c3bb"/>
              <w:id w:val="-300769753"/>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8" w:type="pct"/>
                    <w:shd w:val="clear" w:color="auto" w:fill="auto"/>
                  </w:tcPr>
                  <w:p>
                    <w:pPr>
                      <w:ind w:right="105"/>
                      <w:rPr>
                        <w:rFonts w:asciiTheme="minorEastAsia" w:hAnsiTheme="minorEastAsia" w:eastAsiaTheme="minorEastAsia"/>
                        <w:sz w:val="15"/>
                        <w:szCs w:val="15"/>
                      </w:rPr>
                    </w:pPr>
                    <w:r>
                      <w:rPr>
                        <w:rFonts w:asciiTheme="minorEastAsia" w:hAnsiTheme="minorEastAsia" w:eastAsiaTheme="minorEastAsia"/>
                        <w:sz w:val="15"/>
                        <w:szCs w:val="15"/>
                      </w:rPr>
                      <w:t>液压机项目</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27,774,300.00</w:t>
                    </w:r>
                  </w:p>
                </w:tc>
                <w:tc>
                  <w:tcPr>
                    <w:tcW w:w="4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23,738,752.80</w:t>
                    </w:r>
                  </w:p>
                </w:tc>
                <w:tc>
                  <w:tcPr>
                    <w:tcW w:w="424" w:type="pct"/>
                    <w:shd w:val="clear" w:color="auto" w:fill="auto"/>
                    <w:vAlign w:val="center"/>
                  </w:tcPr>
                  <w:p>
                    <w:pPr>
                      <w:jc w:val="right"/>
                      <w:rPr>
                        <w:rFonts w:asciiTheme="minorEastAsia" w:hAnsiTheme="minorEastAsia" w:eastAsiaTheme="minorEastAsia"/>
                        <w:sz w:val="15"/>
                        <w:szCs w:val="15"/>
                      </w:rPr>
                    </w:pPr>
                  </w:p>
                </w:tc>
                <w:tc>
                  <w:tcPr>
                    <w:tcW w:w="472" w:type="pct"/>
                    <w:shd w:val="clear" w:color="auto" w:fill="auto"/>
                    <w:vAlign w:val="center"/>
                  </w:tcPr>
                  <w:p>
                    <w:pPr>
                      <w:jc w:val="right"/>
                      <w:rPr>
                        <w:rFonts w:asciiTheme="minorEastAsia" w:hAnsiTheme="minorEastAsia" w:eastAsiaTheme="minorEastAsia"/>
                        <w:sz w:val="15"/>
                        <w:szCs w:val="15"/>
                      </w:rPr>
                    </w:pPr>
                  </w:p>
                </w:tc>
                <w:tc>
                  <w:tcPr>
                    <w:tcW w:w="424" w:type="pct"/>
                    <w:shd w:val="clear" w:color="auto" w:fill="auto"/>
                    <w:vAlign w:val="center"/>
                  </w:tcPr>
                  <w:p>
                    <w:pPr>
                      <w:jc w:val="right"/>
                      <w:rPr>
                        <w:rFonts w:asciiTheme="minorEastAsia" w:hAnsiTheme="minorEastAsia" w:eastAsiaTheme="minorEastAsia"/>
                        <w:sz w:val="15"/>
                        <w:szCs w:val="15"/>
                      </w:rPr>
                    </w:pP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23,738,752.80</w:t>
                    </w:r>
                  </w:p>
                </w:tc>
                <w:tc>
                  <w:tcPr>
                    <w:tcW w:w="32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90.00</w:t>
                    </w:r>
                  </w:p>
                </w:tc>
                <w:tc>
                  <w:tcPr>
                    <w:tcW w:w="24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90.00</w:t>
                    </w:r>
                  </w:p>
                </w:tc>
                <w:tc>
                  <w:tcPr>
                    <w:tcW w:w="397" w:type="pct"/>
                    <w:shd w:val="clear" w:color="auto" w:fill="auto"/>
                    <w:vAlign w:val="center"/>
                  </w:tcPr>
                  <w:p>
                    <w:pPr>
                      <w:jc w:val="right"/>
                      <w:rPr>
                        <w:rFonts w:asciiTheme="minorEastAsia" w:hAnsiTheme="minorEastAsia" w:eastAsiaTheme="minorEastAsia"/>
                        <w:sz w:val="15"/>
                        <w:szCs w:val="15"/>
                      </w:rPr>
                    </w:pP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jc w:val="right"/>
                      <w:rPr>
                        <w:rFonts w:asciiTheme="minorEastAsia" w:hAnsiTheme="minorEastAsia" w:eastAsiaTheme="minorEastAsia"/>
                        <w:sz w:val="15"/>
                        <w:szCs w:val="15"/>
                      </w:rPr>
                    </w:pPr>
                  </w:p>
                </w:tc>
                <w:tc>
                  <w:tcPr>
                    <w:tcW w:w="290" w:type="pct"/>
                    <w:shd w:val="clear" w:color="auto" w:fill="auto"/>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自筹</w:t>
                    </w:r>
                  </w:p>
                </w:tc>
              </w:tr>
            </w:sdtContent>
          </w:sdt>
          <w:sdt>
            <w:sdtPr>
              <w:rPr>
                <w:rFonts w:hint="eastAsia" w:asciiTheme="minorEastAsia" w:hAnsiTheme="minorEastAsia" w:eastAsiaTheme="minorEastAsia"/>
                <w:sz w:val="15"/>
                <w:szCs w:val="15"/>
              </w:rPr>
              <w:alias w:val="在建工程明细"/>
              <w:tag w:val="_TUP_ddeb799b6fdf45e2b195807d1913c3bb"/>
              <w:id w:val="-1651431868"/>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78" w:type="pct"/>
                    <w:shd w:val="clear" w:color="auto" w:fill="auto"/>
                  </w:tcPr>
                  <w:p>
                    <w:pPr>
                      <w:ind w:right="105"/>
                      <w:rPr>
                        <w:rFonts w:asciiTheme="minorEastAsia" w:hAnsiTheme="minorEastAsia" w:eastAsiaTheme="minorEastAsia"/>
                        <w:sz w:val="15"/>
                        <w:szCs w:val="15"/>
                      </w:rPr>
                    </w:pPr>
                    <w:r>
                      <w:rPr>
                        <w:rFonts w:asciiTheme="minorEastAsia" w:hAnsiTheme="minorEastAsia" w:eastAsiaTheme="minorEastAsia"/>
                        <w:sz w:val="15"/>
                        <w:szCs w:val="15"/>
                      </w:rPr>
                      <w:t>新厂建设项目</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65,483,500.00</w:t>
                    </w:r>
                  </w:p>
                </w:tc>
                <w:tc>
                  <w:tcPr>
                    <w:tcW w:w="4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63,842,308.29</w:t>
                    </w:r>
                  </w:p>
                </w:tc>
                <w:tc>
                  <w:tcPr>
                    <w:tcW w:w="424" w:type="pct"/>
                    <w:shd w:val="clear" w:color="auto" w:fill="auto"/>
                    <w:vAlign w:val="center"/>
                  </w:tcPr>
                  <w:p>
                    <w:pPr>
                      <w:jc w:val="right"/>
                      <w:rPr>
                        <w:rFonts w:asciiTheme="minorEastAsia" w:hAnsiTheme="minorEastAsia" w:eastAsiaTheme="minorEastAsia"/>
                        <w:sz w:val="15"/>
                        <w:szCs w:val="15"/>
                      </w:rPr>
                    </w:pPr>
                  </w:p>
                </w:tc>
                <w:tc>
                  <w:tcPr>
                    <w:tcW w:w="472" w:type="pct"/>
                    <w:shd w:val="clear" w:color="auto" w:fill="auto"/>
                    <w:vAlign w:val="center"/>
                  </w:tcPr>
                  <w:p>
                    <w:pPr>
                      <w:jc w:val="right"/>
                      <w:rPr>
                        <w:rFonts w:asciiTheme="minorEastAsia" w:hAnsiTheme="minorEastAsia" w:eastAsiaTheme="minorEastAsia"/>
                        <w:sz w:val="15"/>
                        <w:szCs w:val="15"/>
                      </w:rPr>
                    </w:pPr>
                  </w:p>
                </w:tc>
                <w:tc>
                  <w:tcPr>
                    <w:tcW w:w="424" w:type="pct"/>
                    <w:shd w:val="clear" w:color="auto" w:fill="auto"/>
                    <w:vAlign w:val="center"/>
                  </w:tcPr>
                  <w:p>
                    <w:pPr>
                      <w:jc w:val="right"/>
                      <w:rPr>
                        <w:rFonts w:asciiTheme="minorEastAsia" w:hAnsiTheme="minorEastAsia" w:eastAsiaTheme="minorEastAsia"/>
                        <w:sz w:val="15"/>
                        <w:szCs w:val="15"/>
                      </w:rPr>
                    </w:pP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63,842,308.29</w:t>
                    </w:r>
                  </w:p>
                </w:tc>
                <w:tc>
                  <w:tcPr>
                    <w:tcW w:w="32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76.49</w:t>
                    </w:r>
                  </w:p>
                </w:tc>
                <w:tc>
                  <w:tcPr>
                    <w:tcW w:w="24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76.49</w:t>
                    </w:r>
                  </w:p>
                </w:tc>
                <w:tc>
                  <w:tcPr>
                    <w:tcW w:w="397"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1,313,538.71</w:t>
                    </w: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jc w:val="right"/>
                      <w:rPr>
                        <w:rFonts w:asciiTheme="minorEastAsia" w:hAnsiTheme="minorEastAsia" w:eastAsiaTheme="minorEastAsia"/>
                        <w:sz w:val="15"/>
                        <w:szCs w:val="15"/>
                      </w:rPr>
                    </w:pPr>
                  </w:p>
                </w:tc>
                <w:tc>
                  <w:tcPr>
                    <w:tcW w:w="290" w:type="pct"/>
                    <w:shd w:val="clear" w:color="auto" w:fill="auto"/>
                    <w:vAlign w:val="center"/>
                  </w:tcPr>
                  <w:p>
                    <w:pPr>
                      <w:jc w:val="center"/>
                      <w:rPr>
                        <w:rFonts w:asciiTheme="minorEastAsia" w:hAnsiTheme="minorEastAsia" w:eastAsiaTheme="minorEastAsia"/>
                        <w:sz w:val="15"/>
                        <w:szCs w:val="15"/>
                      </w:rPr>
                    </w:pPr>
                    <w:r>
                      <w:rPr>
                        <w:rFonts w:asciiTheme="minorEastAsia" w:hAnsiTheme="minorEastAsia" w:eastAsiaTheme="minorEastAsia"/>
                        <w:sz w:val="15"/>
                        <w:szCs w:val="15"/>
                      </w:rPr>
                      <w:t>自筹贷款</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rFonts w:asciiTheme="minorEastAsia" w:hAnsiTheme="minorEastAsia" w:eastAsiaTheme="minorEastAsia"/>
                  <w:sz w:val="15"/>
                  <w:szCs w:val="15"/>
                </w:rPr>
                <w:tag w:val="_PLD_2216f6ec60d6481d870ef3195ec544aa"/>
                <w:id w:val="1530529023"/>
                <w:lock w:val="sdtLocked"/>
              </w:sdtPr>
              <w:sdtEndPr>
                <w:rPr>
                  <w:rFonts w:asciiTheme="minorEastAsia" w:hAnsiTheme="minorEastAsia" w:eastAsiaTheme="minorEastAsia"/>
                  <w:sz w:val="15"/>
                  <w:szCs w:val="15"/>
                </w:rPr>
              </w:sdtEndPr>
              <w:sdtContent>
                <w:tc>
                  <w:tcPr>
                    <w:tcW w:w="378" w:type="pct"/>
                    <w:shd w:val="clear" w:color="auto" w:fill="auto"/>
                    <w:vAlign w:val="center"/>
                  </w:tcPr>
                  <w:p>
                    <w:pPr>
                      <w:ind w:right="105"/>
                      <w:jc w:val="center"/>
                      <w:rPr>
                        <w:rFonts w:asciiTheme="minorEastAsia" w:hAnsiTheme="minorEastAsia" w:eastAsiaTheme="minorEastAsia"/>
                        <w:sz w:val="15"/>
                        <w:szCs w:val="15"/>
                      </w:rPr>
                    </w:pPr>
                    <w:r>
                      <w:rPr>
                        <w:rFonts w:hint="eastAsia" w:asciiTheme="minorEastAsia" w:hAnsiTheme="minorEastAsia" w:eastAsiaTheme="minorEastAsia"/>
                        <w:sz w:val="15"/>
                        <w:szCs w:val="15"/>
                      </w:rPr>
                      <w:t>合计</w:t>
                    </w:r>
                  </w:p>
                </w:tc>
              </w:sdtContent>
            </w:sdt>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272,993,900.00</w:t>
                </w:r>
              </w:p>
            </w:tc>
            <w:tc>
              <w:tcPr>
                <w:tcW w:w="47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101,541,004.97</w:t>
                </w:r>
              </w:p>
            </w:tc>
            <w:tc>
              <w:tcPr>
                <w:tcW w:w="42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7,288,698.43</w:t>
                </w:r>
              </w:p>
            </w:tc>
            <w:tc>
              <w:tcPr>
                <w:tcW w:w="47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2,547,381.74</w:t>
                </w:r>
              </w:p>
            </w:tc>
            <w:tc>
              <w:tcPr>
                <w:tcW w:w="424"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1,594,436.23</w:t>
                </w:r>
              </w:p>
            </w:tc>
            <w:tc>
              <w:tcPr>
                <w:tcW w:w="474"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104,687,885.43</w:t>
                </w:r>
              </w:p>
            </w:tc>
            <w:tc>
              <w:tcPr>
                <w:tcW w:w="320" w:type="pct"/>
                <w:shd w:val="clear" w:color="auto" w:fill="auto"/>
                <w:vAlign w:val="center"/>
              </w:tcPr>
              <w:p>
                <w:pPr>
                  <w:ind w:right="174"/>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246" w:type="pct"/>
                <w:shd w:val="clear" w:color="auto" w:fill="auto"/>
                <w:vAlign w:val="center"/>
              </w:tcPr>
              <w:p>
                <w:pPr>
                  <w:ind w:right="174"/>
                  <w:jc w:val="right"/>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397"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4,700,942.57</w:t>
                </w:r>
              </w:p>
            </w:tc>
            <w:tc>
              <w:tcPr>
                <w:tcW w:w="344" w:type="pct"/>
                <w:shd w:val="clear" w:color="auto" w:fill="auto"/>
                <w:vAlign w:val="center"/>
              </w:tcPr>
              <w:p>
                <w:pPr>
                  <w:jc w:val="right"/>
                  <w:rPr>
                    <w:rFonts w:asciiTheme="minorEastAsia" w:hAnsiTheme="minorEastAsia" w:eastAsiaTheme="minorEastAsia"/>
                    <w:sz w:val="15"/>
                    <w:szCs w:val="15"/>
                  </w:rPr>
                </w:pPr>
              </w:p>
            </w:tc>
            <w:tc>
              <w:tcPr>
                <w:tcW w:w="287" w:type="pct"/>
                <w:shd w:val="clear" w:color="auto" w:fill="auto"/>
                <w:vAlign w:val="center"/>
              </w:tcPr>
              <w:p>
                <w:pPr>
                  <w:ind w:left="-73" w:leftChars="-35" w:right="-129"/>
                  <w:jc w:val="center"/>
                  <w:rPr>
                    <w:rFonts w:asciiTheme="minorEastAsia" w:hAnsiTheme="minorEastAsia" w:eastAsiaTheme="minorEastAsia"/>
                    <w:sz w:val="15"/>
                    <w:szCs w:val="15"/>
                  </w:rPr>
                </w:pPr>
                <w:r>
                  <w:rPr>
                    <w:rFonts w:asciiTheme="minorEastAsia" w:hAnsiTheme="minorEastAsia" w:eastAsiaTheme="minorEastAsia"/>
                    <w:sz w:val="15"/>
                    <w:szCs w:val="15"/>
                  </w:rPr>
                  <w:t>/</w:t>
                </w:r>
              </w:p>
            </w:tc>
            <w:tc>
              <w:tcPr>
                <w:tcW w:w="290" w:type="pct"/>
                <w:shd w:val="clear" w:color="auto" w:fill="auto"/>
                <w:vAlign w:val="center"/>
              </w:tcPr>
              <w:p>
                <w:pPr>
                  <w:ind w:left="-86" w:leftChars="-41" w:right="-108"/>
                  <w:jc w:val="center"/>
                  <w:rPr>
                    <w:rFonts w:asciiTheme="minorEastAsia" w:hAnsiTheme="minorEastAsia" w:eastAsiaTheme="minorEastAsia"/>
                    <w:sz w:val="15"/>
                    <w:szCs w:val="15"/>
                  </w:rPr>
                </w:pPr>
                <w:r>
                  <w:rPr>
                    <w:rFonts w:asciiTheme="minorEastAsia" w:hAnsiTheme="minorEastAsia" w:eastAsiaTheme="minorEastAsia"/>
                    <w:sz w:val="15"/>
                    <w:szCs w:val="15"/>
                  </w:rPr>
                  <w:t>/</w:t>
                </w:r>
              </w:p>
            </w:tc>
          </w:tr>
        </w:tbl>
        <w:p>
          <w:r>
            <w:rPr>
              <w:rFonts w:hint="eastAsia"/>
            </w:rPr>
            <w:t>注：其他减少系本期在建工程项目报废。</w:t>
          </w:r>
        </w:p>
        <w:p>
          <w:pPr>
            <w:rPr>
              <w:szCs w:val="21"/>
            </w:rPr>
          </w:pPr>
          <w:r>
            <w:rPr>
              <w:szCs w:val="21"/>
            </w:rPr>
            <w:br w:type="page"/>
          </w:r>
        </w:p>
        <w:p>
          <w:pPr>
            <w:snapToGrid w:val="0"/>
            <w:spacing w:line="240" w:lineRule="atLeast"/>
            <w:rPr>
              <w:szCs w:val="21"/>
            </w:rPr>
            <w:sectPr>
              <w:pgSz w:w="16838" w:h="11906" w:orient="landscape"/>
              <w:pgMar w:top="1797" w:right="1724" w:bottom="1797" w:left="1440" w:header="851" w:footer="992" w:gutter="0"/>
              <w:cols w:space="720" w:num="1"/>
              <w:docGrid w:linePitch="312" w:charSpace="0"/>
            </w:sectPr>
          </w:pPr>
        </w:p>
        <w:p>
          <w:pPr>
            <w:snapToGrid w:val="0"/>
            <w:spacing w:line="240" w:lineRule="atLeast"/>
            <w:rPr>
              <w:szCs w:val="21"/>
            </w:rPr>
          </w:pPr>
        </w:p>
      </w:sdtContent>
    </w:sdt>
    <w:sdt>
      <w:sdtPr>
        <w:rPr>
          <w:rFonts w:hint="eastAsia" w:ascii="宋体" w:hAnsi="宋体" w:eastAsia="宋体" w:cs="宋体"/>
          <w:b w:val="0"/>
          <w:bCs w:val="0"/>
          <w:kern w:val="0"/>
          <w:szCs w:val="24"/>
        </w:rPr>
        <w:alias w:val="模块:在建工程减值准备"/>
        <w:tag w:val="_SEC_0ebc618dc5604e8db1776ea7ed9e27ad"/>
        <w:id w:val="331813440"/>
        <w:lock w:val="sdtLocked"/>
        <w:placeholder>
          <w:docPart w:val="GBC22222222222222222222222222222"/>
        </w:placeholder>
      </w:sdtPr>
      <w:sdtEndPr>
        <w:rPr>
          <w:rFonts w:hint="eastAsia" w:eastAsia="宋体" w:asciiTheme="minorHAnsi" w:hAnsiTheme="minorHAnsi" w:cstheme="minorBidi"/>
          <w:b w:val="0"/>
          <w:bCs w:val="0"/>
          <w:kern w:val="2"/>
          <w:szCs w:val="22"/>
        </w:rPr>
      </w:sdtEndPr>
      <w:sdtContent>
        <w:p>
          <w:pPr>
            <w:pStyle w:val="214"/>
            <w:numPr>
              <w:ilvl w:val="3"/>
              <w:numId w:val="90"/>
            </w:numPr>
            <w:ind w:left="426" w:hanging="426"/>
          </w:pPr>
          <w:r>
            <w:rPr>
              <w:rFonts w:hint="eastAsia"/>
            </w:rPr>
            <w:t>本期计提在建工程减值准备情况</w:t>
          </w:r>
        </w:p>
        <w:sdt>
          <w:sdtPr>
            <w:alias w:val="是否适用：本期计提在建工程减值准备情况[双击切换]"/>
            <w:tag w:val="_GBC_f0a78e682a314d34a7b55dd88c219307"/>
            <w:id w:val="-16501540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exact"/>
            <w:jc w:val="right"/>
            <w:rPr>
              <w:szCs w:val="21"/>
            </w:rPr>
          </w:pPr>
          <w:r>
            <w:rPr>
              <w:rFonts w:hint="eastAsia"/>
              <w:szCs w:val="21"/>
            </w:rPr>
            <w:t>单位：</w:t>
          </w:r>
          <w:sdt>
            <w:sdtPr>
              <w:rPr>
                <w:rFonts w:hint="eastAsia"/>
                <w:szCs w:val="21"/>
              </w:rPr>
              <w:alias w:val="单位：财务附注：在建工程减值准备"/>
              <w:tag w:val="_GBC_8d07728a10e04fe8975346f691b08703"/>
              <w:id w:val="-162198789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在建工程减值准备"/>
              <w:tag w:val="_GBC_dcac5a7bb0554146902fd010b31997cd"/>
              <w:id w:val="-194360937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13" w:type="dxa"/>
              <w:bottom w:w="0" w:type="dxa"/>
              <w:right w:w="113" w:type="dxa"/>
            </w:tblCellMar>
          </w:tblPr>
          <w:tblGrid>
            <w:gridCol w:w="2365"/>
            <w:gridCol w:w="3087"/>
            <w:gridCol w:w="308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Height w:val="280" w:hRule="atLeast"/>
              <w:tblHeader/>
            </w:trPr>
            <w:sdt>
              <w:sdtPr>
                <w:tag w:val="_PLD_ca5fca2bcae54c8d81b3befb48b8bf1c"/>
                <w:id w:val="-1441142458"/>
                <w:lock w:val="sdtLocked"/>
              </w:sdtPr>
              <w:sdtContent>
                <w:tc>
                  <w:tcPr>
                    <w:tcW w:w="1385"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rPr>
                        <w:rFonts w:hint="eastAsia"/>
                        <w:szCs w:val="21"/>
                      </w:rPr>
                      <w:t>项目</w:t>
                    </w:r>
                  </w:p>
                </w:tc>
              </w:sdtContent>
            </w:sdt>
            <w:sdt>
              <w:sdtPr>
                <w:tag w:val="_PLD_670d04e61e014e50a7a555d9c7fe6330"/>
                <w:id w:val="-1684821480"/>
                <w:lock w:val="sdtLocked"/>
              </w:sdtPr>
              <w:sdtContent>
                <w:tc>
                  <w:tcPr>
                    <w:tcW w:w="1808"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rPr>
                        <w:rFonts w:hint="eastAsia"/>
                        <w:szCs w:val="21"/>
                      </w:rPr>
                      <w:t>本期计提金额</w:t>
                    </w:r>
                  </w:p>
                </w:tc>
              </w:sdtContent>
            </w:sdt>
            <w:sdt>
              <w:sdtPr>
                <w:tag w:val="_PLD_671763ef665249248712c4c3426bd61e"/>
                <w:id w:val="-1293825820"/>
                <w:lock w:val="sdtLocked"/>
              </w:sdtPr>
              <w:sdtContent>
                <w:tc>
                  <w:tcPr>
                    <w:tcW w:w="1807"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rPr>
                        <w:rFonts w:hint="eastAsia"/>
                        <w:szCs w:val="21"/>
                      </w:rPr>
                      <w:t>计提原因</w:t>
                    </w:r>
                  </w:p>
                </w:tc>
              </w:sdtContent>
            </w:sdt>
          </w:tr>
          <w:sdt>
            <w:sdtPr>
              <w:rPr>
                <w:rFonts w:hint="eastAsia"/>
                <w:szCs w:val="21"/>
              </w:rPr>
              <w:alias w:val="在建工程减值准备项目"/>
              <w:tag w:val="_TUP_3a729186d60b4171a191e0bdff02cbf9"/>
              <w:id w:val="996537142"/>
              <w:lock w:val="sdtLocked"/>
            </w:sdtPr>
            <w:sdtEndPr>
              <w:rPr>
                <w:rFonts w:hint="eastAsia"/>
                <w:szCs w:val="21"/>
              </w:rPr>
            </w:sdtEndPr>
            <w:sdtContent>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385"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t>办公楼及研发中心</w:t>
                    </w:r>
                  </w:p>
                </w:tc>
                <w:tc>
                  <w:tcPr>
                    <w:tcW w:w="1808"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t>550,000.00</w:t>
                    </w:r>
                  </w:p>
                </w:tc>
                <w:tc>
                  <w:tcPr>
                    <w:tcW w:w="1807"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rPr>
                        <w:szCs w:val="21"/>
                      </w:rPr>
                    </w:pPr>
                    <w:r>
                      <w:t>承包商进入失信人名单，工程无法继续开展</w:t>
                    </w:r>
                  </w:p>
                </w:tc>
              </w:tr>
            </w:sdtContent>
          </w:sdt>
          <w:sdt>
            <w:sdtPr>
              <w:rPr>
                <w:rFonts w:hint="eastAsia"/>
                <w:szCs w:val="21"/>
              </w:rPr>
              <w:alias w:val="在建工程减值准备项目"/>
              <w:tag w:val="_TUP_3a729186d60b4171a191e0bdff02cbf9"/>
              <w:id w:val="-584448772"/>
              <w:lock w:val="sdtLocked"/>
            </w:sdtPr>
            <w:sdtEndPr>
              <w:rPr>
                <w:rFonts w:hint="eastAsia"/>
                <w:szCs w:val="21"/>
              </w:rPr>
            </w:sdtEndPr>
            <w:sdtContent>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tc>
                  <w:tcPr>
                    <w:tcW w:w="1385"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t>其他-电客栈项目</w:t>
                    </w:r>
                  </w:p>
                </w:tc>
                <w:tc>
                  <w:tcPr>
                    <w:tcW w:w="1808"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t>705,557.54</w:t>
                    </w:r>
                  </w:p>
                </w:tc>
                <w:tc>
                  <w:tcPr>
                    <w:tcW w:w="1807"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rPr>
                        <w:szCs w:val="21"/>
                      </w:rPr>
                    </w:pPr>
                    <w:r>
                      <w:t>工程停建，项目已无法达到预定用途</w:t>
                    </w:r>
                  </w:p>
                </w:tc>
              </w:tr>
            </w:sdtContent>
          </w:sdt>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13" w:type="dxa"/>
                <w:bottom w:w="0" w:type="dxa"/>
                <w:right w:w="113" w:type="dxa"/>
              </w:tblCellMar>
            </w:tblPrEx>
            <w:trPr>
              <w:cantSplit/>
            </w:trPr>
            <w:sdt>
              <w:sdtPr>
                <w:tag w:val="_PLD_b62f2719a4bb4070892d370e5ca82988"/>
                <w:id w:val="-2114130778"/>
                <w:lock w:val="sdtLocked"/>
              </w:sdtPr>
              <w:sdtContent>
                <w:tc>
                  <w:tcPr>
                    <w:tcW w:w="1385"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rPr>
                        <w:rFonts w:hint="eastAsia"/>
                        <w:szCs w:val="21"/>
                      </w:rPr>
                      <w:t>合计</w:t>
                    </w:r>
                  </w:p>
                </w:tc>
              </w:sdtContent>
            </w:sdt>
            <w:tc>
              <w:tcPr>
                <w:tcW w:w="1808"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r>
                  <w:rPr>
                    <w:szCs w:val="21"/>
                  </w:rPr>
                  <w:t>1,255,557.5</w:t>
                </w:r>
                <w:r>
                  <w:rPr>
                    <w:rFonts w:hint="eastAsia"/>
                    <w:szCs w:val="21"/>
                  </w:rPr>
                  <w:t>4</w:t>
                </w:r>
              </w:p>
            </w:tc>
            <w:tc>
              <w:tcPr>
                <w:tcW w:w="1807" w:type="pct"/>
                <w:tcBorders>
                  <w:top w:val="single" w:color="auto" w:sz="2" w:space="0"/>
                  <w:left w:val="single" w:color="auto" w:sz="2" w:space="0"/>
                  <w:bottom w:val="single" w:color="auto" w:sz="2" w:space="0"/>
                  <w:right w:val="single" w:color="auto" w:sz="2" w:space="0"/>
                </w:tcBorders>
                <w:shd w:val="clear" w:color="auto" w:fill="auto"/>
                <w:vAlign w:val="center"/>
              </w:tcPr>
              <w:p>
                <w:pPr>
                  <w:ind w:right="6"/>
                  <w:jc w:val="center"/>
                  <w:rPr>
                    <w:szCs w:val="21"/>
                  </w:rPr>
                </w:pPr>
              </w:p>
            </w:tc>
          </w:tr>
        </w:tbl>
        <w:p/>
      </w:sdtContent>
    </w:sdt>
    <w:sdt>
      <w:sdtPr>
        <w:rPr>
          <w:rFonts w:hint="eastAsia"/>
          <w:szCs w:val="21"/>
        </w:rPr>
        <w:alias w:val="模块:在建工程的说明"/>
        <w:tag w:val="_SEC_557cdec50a6747d28443c626668ac476"/>
        <w:id w:val="1385678436"/>
        <w:lock w:val="sdtLocked"/>
        <w:placeholder>
          <w:docPart w:val="GBC22222222222222222222222222222"/>
        </w:placeholder>
      </w:sdtPr>
      <w:sdtEndPr>
        <w:rPr>
          <w:rFonts w:hint="default"/>
          <w:szCs w:val="21"/>
        </w:rPr>
      </w:sdtEndPr>
      <w:sdtContent>
        <w:p>
          <w:pPr>
            <w:spacing w:line="360" w:lineRule="auto"/>
            <w:rPr>
              <w:szCs w:val="21"/>
            </w:rPr>
          </w:pPr>
          <w:r>
            <w:rPr>
              <w:rFonts w:hint="eastAsia"/>
              <w:szCs w:val="21"/>
            </w:rPr>
            <w:t>其他说明</w:t>
          </w:r>
        </w:p>
        <w:sdt>
          <w:sdtPr>
            <w:rPr>
              <w:szCs w:val="21"/>
            </w:rPr>
            <w:alias w:val="是否适用：在建工程的说明[双击切换]"/>
            <w:tag w:val="_GBC_e6220a45d928426882f5c3ad23ff2098"/>
            <w:id w:val="2029212061"/>
            <w:lock w:val="sdtLocked"/>
            <w:placeholder>
              <w:docPart w:val="GBC22222222222222222222222222222"/>
            </w:placeholder>
          </w:sdtPr>
          <w:sdtEndPr>
            <w:rPr>
              <w:szCs w:val="21"/>
            </w:rPr>
          </w:sdtEndPr>
          <w:sdtContent>
            <w:p>
              <w:pPr>
                <w:spacing w:line="360" w:lineRule="auto"/>
                <w:rPr>
                  <w:color w:val="FF0000"/>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hint="eastAsia" w:ascii="宋体" w:hAnsi="宋体" w:eastAsia="宋体" w:cstheme="minorBidi"/>
          <w:b w:val="0"/>
          <w:bCs w:val="0"/>
          <w:kern w:val="0"/>
          <w:szCs w:val="24"/>
        </w:rPr>
        <w:alias w:val="模块:工程物资"/>
        <w:tag w:val="_SEC_57646d76c9b54fbc8b0c285f81791103"/>
        <w:id w:val="-1301601167"/>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214"/>
            <w:spacing w:before="0" w:after="0" w:line="360" w:lineRule="auto"/>
            <w:ind w:left="360" w:hanging="360"/>
          </w:pPr>
          <w:bookmarkStart w:id="184" w:name="_Hlk532903321"/>
          <w:r>
            <w:rPr>
              <w:rFonts w:hint="eastAsia"/>
            </w:rPr>
            <w:t>工程物资</w:t>
          </w:r>
        </w:p>
        <w:p>
          <w:pPr>
            <w:pStyle w:val="214"/>
            <w:numPr>
              <w:ilvl w:val="3"/>
              <w:numId w:val="90"/>
            </w:numPr>
            <w:spacing w:before="0" w:after="0" w:line="360" w:lineRule="auto"/>
            <w:ind w:left="426" w:hanging="426"/>
          </w:pPr>
          <w:r>
            <w:rPr>
              <w:rFonts w:hint="eastAsia"/>
            </w:rPr>
            <w:t>工程物资情况</w:t>
          </w:r>
        </w:p>
        <w:sdt>
          <w:sdtPr>
            <w:alias w:val="是否适用：工程物资[双击切换]"/>
            <w:tag w:val="_GBC_91916c11fa864423a1c0e6a4024fdda5"/>
            <w:id w:val="1113017442"/>
            <w:lock w:val="sdtLocked"/>
            <w:placeholder>
              <w:docPart w:val="GBC22222222222222222222222222222"/>
            </w:placeholder>
          </w:sdtPr>
          <w:sdtContent>
            <w:p>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rPr>
              <w:rFonts w:cstheme="minorBidi"/>
              <w:szCs w:val="21"/>
            </w:rPr>
          </w:pPr>
        </w:p>
      </w:sdtContent>
    </w:sdt>
    <w:bookmarkEnd w:id="184"/>
    <w:p>
      <w:pPr>
        <w:pStyle w:val="213"/>
        <w:numPr>
          <w:ilvl w:val="0"/>
          <w:numId w:val="77"/>
        </w:numPr>
        <w:tabs>
          <w:tab w:val="left" w:pos="504"/>
        </w:tabs>
        <w:spacing w:before="0" w:after="0" w:line="360" w:lineRule="auto"/>
        <w:rPr>
          <w:rFonts w:ascii="宋体" w:hAnsi="宋体"/>
          <w:szCs w:val="21"/>
        </w:rPr>
      </w:pPr>
      <w:r>
        <w:rPr>
          <w:rFonts w:hint="eastAsia" w:ascii="宋体" w:hAnsi="宋体"/>
          <w:szCs w:val="21"/>
        </w:rPr>
        <w:t>生产性生物资产</w:t>
      </w:r>
    </w:p>
    <w:sdt>
      <w:sdtPr>
        <w:rPr>
          <w:rFonts w:hint="eastAsia" w:ascii="宋体" w:hAnsi="宋体" w:eastAsia="宋体" w:cstheme="minorBidi"/>
          <w:b w:val="0"/>
          <w:bCs w:val="0"/>
          <w:kern w:val="0"/>
          <w:szCs w:val="24"/>
        </w:rPr>
        <w:alias w:val="模块:采用成成本计量模式的生产性生物资产"/>
        <w:tag w:val="_SEC_90a77fb9192246418dabc2bc031e38c0"/>
        <w:id w:val="-382565418"/>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214"/>
            <w:numPr>
              <w:ilvl w:val="3"/>
              <w:numId w:val="91"/>
            </w:numPr>
            <w:spacing w:before="0" w:after="0" w:line="360" w:lineRule="auto"/>
            <w:ind w:left="426" w:hanging="426"/>
          </w:pPr>
          <w:r>
            <w:rPr>
              <w:rFonts w:hint="eastAsia"/>
            </w:rPr>
            <w:t>采用成本计量模式的生产性生物资产</w:t>
          </w:r>
        </w:p>
        <w:sdt>
          <w:sdtPr>
            <w:rPr>
              <w:rFonts w:hint="eastAsia"/>
              <w:szCs w:val="21"/>
            </w:rPr>
            <w:alias w:val="是否适用：财务附注：以成本计量的生产性生物资产[双击切换]"/>
            <w:tag w:val="_GBC_925c2a7345d74ba1bae908f2c1695459"/>
            <w:id w:val="1224407496"/>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eastAsia="宋体" w:cstheme="minorBidi"/>
          <w:b w:val="0"/>
          <w:bCs w:val="0"/>
          <w:kern w:val="0"/>
          <w:szCs w:val="24"/>
        </w:rPr>
        <w:alias w:val="模块:采用公允价值计量模式的生产性生物资产"/>
        <w:tag w:val="_SEC_30033325948d42e88d046d357344a3ff"/>
        <w:id w:val="348842199"/>
        <w:lock w:val="sdtLocked"/>
        <w:placeholder>
          <w:docPart w:val="GBC22222222222222222222222222222"/>
        </w:placeholder>
      </w:sdtPr>
      <w:sdtEndPr>
        <w:rPr>
          <w:rFonts w:hint="eastAsia" w:eastAsia="宋体" w:asciiTheme="minorHAnsi" w:hAnsiTheme="minorHAnsi" w:cstheme="minorBidi"/>
          <w:b w:val="0"/>
          <w:bCs w:val="0"/>
          <w:kern w:val="0"/>
          <w:szCs w:val="22"/>
        </w:rPr>
      </w:sdtEndPr>
      <w:sdtContent>
        <w:p>
          <w:pPr>
            <w:pStyle w:val="214"/>
            <w:numPr>
              <w:ilvl w:val="3"/>
              <w:numId w:val="91"/>
            </w:numPr>
            <w:spacing w:before="0" w:after="0" w:line="360" w:lineRule="auto"/>
            <w:ind w:left="426" w:hanging="426"/>
          </w:pPr>
          <w:r>
            <w:rPr>
              <w:rFonts w:hint="eastAsia"/>
            </w:rPr>
            <w:t>采用公允价值计量模式的生产性生物资产</w:t>
          </w:r>
        </w:p>
        <w:sdt>
          <w:sdtPr>
            <w:rPr>
              <w:szCs w:val="21"/>
            </w:rPr>
            <w:alias w:val="是否适用：财务附注：以公允价值计量的生产性生物资产[双击切换]"/>
            <w:tag w:val="_GBC_9b7a21a74fee4d22abc99ad9ee747e07"/>
            <w:id w:val="-62193789"/>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生产性生物资产的说明"/>
        <w:tag w:val="_SEC_559ebba506dc45c6ba746173e6e553db"/>
        <w:id w:val="1448969577"/>
        <w:lock w:val="sdtLocked"/>
        <w:placeholder>
          <w:docPart w:val="GBC22222222222222222222222222222"/>
        </w:placeholder>
      </w:sdtPr>
      <w:sdtEndPr>
        <w:rPr>
          <w:rFonts w:hint="default"/>
          <w:szCs w:val="21"/>
        </w:rPr>
      </w:sdtEndPr>
      <w:sdtContent>
        <w:p>
          <w:pPr>
            <w:autoSpaceDE w:val="0"/>
            <w:autoSpaceDN w:val="0"/>
            <w:adjustRightInd w:val="0"/>
            <w:spacing w:line="360" w:lineRule="auto"/>
            <w:rPr>
              <w:szCs w:val="21"/>
            </w:rPr>
          </w:pPr>
          <w:r>
            <w:rPr>
              <w:rFonts w:hint="eastAsia"/>
              <w:szCs w:val="21"/>
            </w:rPr>
            <w:t>其他说明</w:t>
          </w:r>
        </w:p>
        <w:sdt>
          <w:sdtPr>
            <w:rPr>
              <w:szCs w:val="21"/>
            </w:rPr>
            <w:alias w:val="是否适用：生产性生物资产的说明[双击切换]"/>
            <w:tag w:val="_GBC_d3e0f749d04b4097a0886c38dadda8f4"/>
            <w:id w:val="-643277006"/>
            <w:lock w:val="sdtLocked"/>
            <w:placeholder>
              <w:docPart w:val="GBC22222222222222222222222222222"/>
            </w:placeholder>
          </w:sdtPr>
          <w:sdtEndPr>
            <w:rPr>
              <w:szCs w:val="21"/>
            </w:rPr>
          </w:sdtEndPr>
          <w:sdtContent>
            <w:p>
              <w:pPr>
                <w:autoSpaceDE w:val="0"/>
                <w:autoSpaceDN w:val="0"/>
                <w:adjustRightInd w:val="0"/>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hint="eastAsia" w:ascii="宋体" w:hAnsi="宋体" w:cs="宋体"/>
          <w:b w:val="0"/>
          <w:bCs w:val="0"/>
          <w:kern w:val="0"/>
          <w:szCs w:val="21"/>
        </w:rPr>
        <w:alias w:val="模块:油气资产"/>
        <w:tag w:val="_SEC_1c42b01146a94d2891a3a0557341368e"/>
        <w:id w:val="-801690248"/>
        <w:lock w:val="sdtLocked"/>
        <w:placeholder>
          <w:docPart w:val="GBC22222222222222222222222222222"/>
        </w:placeholder>
      </w:sdtPr>
      <w:sdtEndPr>
        <w:rPr>
          <w:rFonts w:hint="default" w:ascii="宋体" w:hAnsi="宋体" w:cstheme="minorBidi"/>
          <w:b w:val="0"/>
          <w:bCs w:val="0"/>
          <w:kern w:val="2"/>
          <w:szCs w:val="21"/>
        </w:rPr>
      </w:sdtEndPr>
      <w:sdtContent>
        <w:p>
          <w:pPr>
            <w:pStyle w:val="213"/>
            <w:numPr>
              <w:ilvl w:val="0"/>
              <w:numId w:val="77"/>
            </w:numPr>
            <w:tabs>
              <w:tab w:val="left" w:pos="504"/>
            </w:tabs>
            <w:spacing w:before="0" w:after="0" w:line="360" w:lineRule="auto"/>
            <w:rPr>
              <w:rFonts w:ascii="宋体" w:hAnsi="宋体"/>
              <w:szCs w:val="21"/>
            </w:rPr>
          </w:pPr>
          <w:r>
            <w:rPr>
              <w:rFonts w:hint="eastAsia" w:ascii="宋体" w:hAnsi="宋体"/>
              <w:szCs w:val="21"/>
            </w:rPr>
            <w:t>油气资产</w:t>
          </w:r>
        </w:p>
        <w:sdt>
          <w:sdtPr>
            <w:alias w:val="是否适用：油气资产[双击切换]"/>
            <w:tag w:val="_GBC_a587239cd6ac4d96b99f6fe496e97c34"/>
            <w:id w:val="1815986681"/>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spacing w:line="360" w:lineRule="auto"/>
            <w:rPr>
              <w:szCs w:val="21"/>
            </w:rPr>
          </w:pPr>
        </w:p>
      </w:sdtContent>
    </w:sdt>
    <w:sdt>
      <w:sdtPr>
        <w:rPr>
          <w:rFonts w:hint="eastAsia" w:ascii="宋体" w:hAnsi="宋体" w:cs="宋体"/>
          <w:b w:val="0"/>
          <w:bCs w:val="0"/>
          <w:kern w:val="0"/>
          <w:szCs w:val="21"/>
        </w:rPr>
        <w:alias w:val="模块:使用权资产"/>
        <w:tag w:val="_SEC_56ef077439914c3f97ba31c1af9eef32"/>
        <w:id w:val="1248918453"/>
        <w:lock w:val="sdtLocked"/>
        <w:placeholder>
          <w:docPart w:val="GBC22222222222222222222222222222"/>
        </w:placeholder>
      </w:sdtPr>
      <w:sdtEndPr>
        <w:rPr>
          <w:rFonts w:hint="eastAsia" w:ascii="宋体" w:hAnsi="宋体" w:cs="宋体"/>
          <w:b w:val="0"/>
          <w:bCs w:val="0"/>
          <w:kern w:val="0"/>
          <w:szCs w:val="24"/>
        </w:rPr>
      </w:sdtEndPr>
      <w:sdtContent>
        <w:p>
          <w:pPr>
            <w:pStyle w:val="213"/>
            <w:numPr>
              <w:ilvl w:val="0"/>
              <w:numId w:val="77"/>
            </w:numPr>
            <w:tabs>
              <w:tab w:val="left" w:pos="504"/>
            </w:tabs>
            <w:spacing w:before="0" w:after="0" w:line="360" w:lineRule="auto"/>
            <w:rPr>
              <w:szCs w:val="21"/>
            </w:rPr>
          </w:pPr>
          <w:bookmarkStart w:id="185" w:name="_Hlk24026112"/>
          <w:r>
            <w:rPr>
              <w:rFonts w:hint="eastAsia"/>
              <w:szCs w:val="21"/>
            </w:rPr>
            <w:t>使用权资产</w:t>
          </w:r>
        </w:p>
        <w:sdt>
          <w:sdtPr>
            <w:alias w:val="是否适用：使用权资产[双击切换]"/>
            <w:tag w:val="_GBC_0d86ed9789d84ef592fcb1556e3f676f"/>
            <w:id w:val="-1462724684"/>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jc w:val="right"/>
            <w:rPr>
              <w:szCs w:val="21"/>
            </w:rPr>
          </w:pPr>
          <w:r>
            <w:rPr>
              <w:rFonts w:hint="eastAsia"/>
              <w:szCs w:val="21"/>
            </w:rPr>
            <w:t>单位：</w:t>
          </w:r>
          <w:sdt>
            <w:sdtPr>
              <w:rPr>
                <w:rFonts w:hint="eastAsia"/>
                <w:szCs w:val="21"/>
              </w:rPr>
              <w:alias w:val="单位：使用权资产"/>
              <w:tag w:val="_GBC_f958637710fb400c8900b59a67a7bfeb"/>
              <w:id w:val="9679328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使用权资产"/>
              <w:tag w:val="_GBC_52957ed8d1644c96801bc28a57ac0486"/>
              <w:id w:val="6373819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3"/>
            <w:gridCol w:w="2565"/>
            <w:gridCol w:w="2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b09798dbba7462cb219396c6e4e72af"/>
                <w:id w:val="-1241633799"/>
                <w:lock w:val="sdtLocked"/>
              </w:sdtPr>
              <w:sdtContent>
                <w:tc>
                  <w:tcPr>
                    <w:tcW w:w="1878" w:type="pct"/>
                    <w:shd w:val="clear" w:color="auto" w:fill="auto"/>
                    <w:vAlign w:val="center"/>
                  </w:tcPr>
                  <w:p>
                    <w:pPr>
                      <w:spacing w:line="240" w:lineRule="atLeast"/>
                      <w:jc w:val="center"/>
                      <w:rPr>
                        <w:szCs w:val="21"/>
                      </w:rPr>
                    </w:pPr>
                    <w:r>
                      <w:rPr>
                        <w:rFonts w:hint="eastAsia"/>
                        <w:szCs w:val="21"/>
                      </w:rPr>
                      <w:t>项目</w:t>
                    </w:r>
                  </w:p>
                </w:tc>
              </w:sdtContent>
            </w:sdt>
            <w:sdt>
              <w:sdtPr>
                <w:rPr>
                  <w:szCs w:val="21"/>
                </w:rPr>
                <w:alias w:val="使用权资产明细-项目"/>
                <w:tag w:val="_GBC_7f04c73b12384336bb657992c80f479f"/>
                <w:id w:val="1308817339"/>
                <w:lock w:val="sdtLocked"/>
              </w:sdtPr>
              <w:sdtEndPr>
                <w:rPr>
                  <w:szCs w:val="21"/>
                </w:rPr>
              </w:sdtEndPr>
              <w:sdtContent>
                <w:tc>
                  <w:tcPr>
                    <w:tcW w:w="1504" w:type="pct"/>
                    <w:shd w:val="clear" w:color="auto" w:fill="auto"/>
                    <w:vAlign w:val="center"/>
                  </w:tcPr>
                  <w:p>
                    <w:pPr>
                      <w:spacing w:line="240" w:lineRule="atLeast"/>
                      <w:jc w:val="center"/>
                      <w:rPr>
                        <w:szCs w:val="21"/>
                      </w:rPr>
                    </w:pPr>
                    <w:r>
                      <w:rPr>
                        <w:rFonts w:hint="eastAsia"/>
                        <w:szCs w:val="21"/>
                      </w:rPr>
                      <w:t>房屋及建筑物</w:t>
                    </w:r>
                  </w:p>
                </w:tc>
              </w:sdtContent>
            </w:sdt>
            <w:sdt>
              <w:sdtPr>
                <w:tag w:val="_PLD_de23c83eb74848d099b5de8795b1a113"/>
                <w:id w:val="913904562"/>
                <w:lock w:val="sdtLocked"/>
              </w:sdtPr>
              <w:sdtContent>
                <w:tc>
                  <w:tcPr>
                    <w:tcW w:w="1618" w:type="pct"/>
                    <w:shd w:val="clear" w:color="auto" w:fill="auto"/>
                    <w:vAlign w:val="center"/>
                  </w:tcPr>
                  <w:p>
                    <w:pPr>
                      <w:spacing w:line="240" w:lineRule="atLeast"/>
                      <w:jc w:val="center"/>
                      <w:rPr>
                        <w:szCs w:val="21"/>
                      </w:rPr>
                    </w:pPr>
                    <w:r>
                      <w:rPr>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3cfb69c3d1a14cada66e66f5940053cc"/>
                <w:id w:val="-440834320"/>
                <w:lock w:val="sdtLocked"/>
              </w:sdtPr>
              <w:sdtContent>
                <w:tc>
                  <w:tcPr>
                    <w:tcW w:w="5000" w:type="pct"/>
                    <w:gridSpan w:val="3"/>
                    <w:shd w:val="clear" w:color="auto" w:fill="auto"/>
                    <w:vAlign w:val="center"/>
                  </w:tcPr>
                  <w:p>
                    <w:pPr>
                      <w:spacing w:line="240" w:lineRule="atLeast"/>
                      <w:rPr>
                        <w:szCs w:val="21"/>
                      </w:rPr>
                    </w:pPr>
                    <w:r>
                      <w:rPr>
                        <w:szCs w:val="21"/>
                      </w:rPr>
                      <w:t>一、</w:t>
                    </w:r>
                    <w:r>
                      <w:rPr>
                        <w:rFonts w:hint="eastAsia"/>
                        <w:szCs w:val="21"/>
                      </w:rPr>
                      <w:t>账面</w:t>
                    </w:r>
                    <w:r>
                      <w:rPr>
                        <w:szCs w:val="21"/>
                      </w:rPr>
                      <w:t>原</w:t>
                    </w:r>
                    <w:r>
                      <w:rPr>
                        <w:rFonts w:hint="eastAsia"/>
                        <w:szCs w:val="21"/>
                      </w:rPr>
                      <w:t>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9f446033655450fb0f09a4891e0e499"/>
                <w:id w:val="1863236637"/>
                <w:lock w:val="sdtLocked"/>
              </w:sdtPr>
              <w:sdtContent>
                <w:tc>
                  <w:tcPr>
                    <w:tcW w:w="1878" w:type="pct"/>
                    <w:shd w:val="clear" w:color="auto" w:fill="auto"/>
                    <w:vAlign w:val="center"/>
                  </w:tcPr>
                  <w:p>
                    <w:pPr>
                      <w:spacing w:line="240" w:lineRule="atLeast"/>
                      <w:rPr>
                        <w:szCs w:val="21"/>
                      </w:rPr>
                    </w:pPr>
                    <w:r>
                      <w:rPr>
                        <w:szCs w:val="21"/>
                      </w:rPr>
                      <w:t xml:space="preserve">    1.</w:t>
                    </w:r>
                    <w:r>
                      <w:rPr>
                        <w:rFonts w:hint="eastAsia"/>
                        <w:szCs w:val="21"/>
                      </w:rPr>
                      <w:t>期</w:t>
                    </w:r>
                    <w:r>
                      <w:rPr>
                        <w:szCs w:val="21"/>
                      </w:rPr>
                      <w:t>初余额</w:t>
                    </w:r>
                  </w:p>
                </w:tc>
              </w:sdtContent>
            </w:sdt>
            <w:sdt>
              <w:sdtPr>
                <w:rPr>
                  <w:szCs w:val="21"/>
                </w:rPr>
                <w:alias w:val="使用权资产明细-账面原值"/>
                <w:tag w:val="_GBC_71f2eacde6d94bee8f7083e1216e64ab"/>
                <w:id w:val="447439281"/>
                <w:lock w:val="sdtLocked"/>
              </w:sdtPr>
              <w:sdtEndPr>
                <w:rPr>
                  <w:szCs w:val="21"/>
                </w:rPr>
              </w:sdtEndPr>
              <w:sdtContent>
                <w:tc>
                  <w:tcPr>
                    <w:tcW w:w="1504" w:type="pct"/>
                    <w:shd w:val="clear" w:color="auto" w:fill="auto"/>
                  </w:tcPr>
                  <w:p>
                    <w:pPr>
                      <w:spacing w:line="240" w:lineRule="atLeast"/>
                      <w:ind w:firstLine="420" w:firstLineChars="200"/>
                      <w:jc w:val="right"/>
                      <w:rPr>
                        <w:szCs w:val="21"/>
                      </w:rPr>
                    </w:pPr>
                    <w:r>
                      <w:rPr>
                        <w:szCs w:val="21"/>
                      </w:rPr>
                      <w:t>5,552,948.76</w:t>
                    </w:r>
                  </w:p>
                </w:tc>
              </w:sdtContent>
            </w:sdt>
            <w:sdt>
              <w:sdtPr>
                <w:rPr>
                  <w:szCs w:val="21"/>
                </w:rPr>
                <w:alias w:val="使用权资产账面原值"/>
                <w:tag w:val="_GBC_521c63941f1b45b08192b97068894dd8"/>
                <w:id w:val="252645214"/>
                <w:lock w:val="sdtLocked"/>
              </w:sdtPr>
              <w:sdtEndPr>
                <w:rPr>
                  <w:szCs w:val="21"/>
                </w:rPr>
              </w:sdtEndPr>
              <w:sdtContent>
                <w:tc>
                  <w:tcPr>
                    <w:tcW w:w="1618" w:type="pct"/>
                    <w:shd w:val="clear" w:color="auto" w:fill="auto"/>
                  </w:tcPr>
                  <w:p>
                    <w:pPr>
                      <w:spacing w:line="240" w:lineRule="atLeast"/>
                      <w:jc w:val="right"/>
                      <w:rPr>
                        <w:szCs w:val="21"/>
                      </w:rPr>
                    </w:pPr>
                    <w:r>
                      <w:rPr>
                        <w:szCs w:val="21"/>
                      </w:rPr>
                      <w:t>5,552,948.76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f871b1d3f3e7415d838dc599c49a258d"/>
                <w:id w:val="-1046904794"/>
                <w:lock w:val="sdtLocked"/>
              </w:sdtPr>
              <w:sdtContent>
                <w:tc>
                  <w:tcPr>
                    <w:tcW w:w="1878" w:type="pct"/>
                    <w:shd w:val="clear" w:color="auto" w:fill="auto"/>
                    <w:vAlign w:val="center"/>
                  </w:tcPr>
                  <w:p>
                    <w:pPr>
                      <w:spacing w:line="240" w:lineRule="atLeast"/>
                      <w:ind w:firstLine="420" w:firstLineChars="200"/>
                      <w:rPr>
                        <w:szCs w:val="21"/>
                      </w:rPr>
                    </w:pPr>
                    <w:r>
                      <w:rPr>
                        <w:szCs w:val="21"/>
                      </w:rPr>
                      <w:t>2.本期增加</w:t>
                    </w:r>
                    <w:r>
                      <w:rPr>
                        <w:rFonts w:hint="eastAsia"/>
                        <w:szCs w:val="21"/>
                      </w:rPr>
                      <w:t>金额</w:t>
                    </w:r>
                  </w:p>
                </w:tc>
              </w:sdtContent>
            </w:sdt>
            <w:sdt>
              <w:sdtPr>
                <w:rPr>
                  <w:szCs w:val="21"/>
                </w:rPr>
                <w:alias w:val="使用权资产明细-账面原值增加"/>
                <w:tag w:val="_GBC_53586d0a73b0466ca8be1974bae89a21"/>
                <w:id w:val="-1877840073"/>
                <w:lock w:val="sdtLocked"/>
              </w:sdtPr>
              <w:sdtEndPr>
                <w:rPr>
                  <w:szCs w:val="21"/>
                </w:rPr>
              </w:sdtEndPr>
              <w:sdtContent>
                <w:tc>
                  <w:tcPr>
                    <w:tcW w:w="1504" w:type="pct"/>
                    <w:shd w:val="clear" w:color="auto" w:fill="auto"/>
                  </w:tcPr>
                  <w:p>
                    <w:pPr>
                      <w:spacing w:line="240" w:lineRule="atLeast"/>
                      <w:jc w:val="right"/>
                      <w:rPr>
                        <w:szCs w:val="21"/>
                      </w:rPr>
                    </w:pPr>
                    <w:r>
                      <w:rPr>
                        <w:szCs w:val="21"/>
                      </w:rPr>
                      <w:t>232,113.14</w:t>
                    </w:r>
                  </w:p>
                </w:tc>
              </w:sdtContent>
            </w:sdt>
            <w:sdt>
              <w:sdtPr>
                <w:rPr>
                  <w:szCs w:val="21"/>
                </w:rPr>
                <w:alias w:val="使用权资产账面原值增加"/>
                <w:tag w:val="_GBC_cc6195f43f4d43bd98c44bc24b311f31"/>
                <w:id w:val="-577448344"/>
                <w:lock w:val="sdtLocked"/>
              </w:sdtPr>
              <w:sdtEndPr>
                <w:rPr>
                  <w:szCs w:val="21"/>
                </w:rPr>
              </w:sdtEndPr>
              <w:sdtContent>
                <w:tc>
                  <w:tcPr>
                    <w:tcW w:w="1618" w:type="pct"/>
                    <w:shd w:val="clear" w:color="auto" w:fill="auto"/>
                  </w:tcPr>
                  <w:p>
                    <w:pPr>
                      <w:spacing w:line="240" w:lineRule="atLeast"/>
                      <w:jc w:val="right"/>
                      <w:rPr>
                        <w:szCs w:val="21"/>
                      </w:rPr>
                    </w:pPr>
                    <w:r>
                      <w:rPr>
                        <w:szCs w:val="21"/>
                      </w:rPr>
                      <w:t>232,113.14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rPr>
                  <w:szCs w:val="21"/>
                </w:rPr>
                <w:alias w:val="使用权资产账面原值增加项目名称"/>
                <w:tag w:val="_GBC_2f4dd0a67ca74917b2ebdf742df8c545"/>
                <w:id w:val="-1113051361"/>
                <w:lock w:val="sdtLocked"/>
              </w:sdtPr>
              <w:sdtEndPr>
                <w:rPr>
                  <w:szCs w:val="21"/>
                </w:rPr>
              </w:sdtEndPr>
              <w:sdtContent>
                <w:tc>
                  <w:tcPr>
                    <w:tcW w:w="1878" w:type="pct"/>
                    <w:shd w:val="clear" w:color="auto" w:fill="auto"/>
                  </w:tcPr>
                  <w:p>
                    <w:pPr>
                      <w:spacing w:line="240" w:lineRule="atLeast"/>
                      <w:ind w:firstLine="630" w:firstLineChars="300"/>
                      <w:rPr>
                        <w:szCs w:val="21"/>
                      </w:rPr>
                    </w:pPr>
                    <w:r>
                      <w:rPr>
                        <w:rFonts w:hint="eastAsia"/>
                        <w:szCs w:val="21"/>
                      </w:rPr>
                      <w:t>租赁</w:t>
                    </w:r>
                  </w:p>
                </w:tc>
              </w:sdtContent>
            </w:sdt>
            <w:sdt>
              <w:sdtPr>
                <w:rPr>
                  <w:szCs w:val="21"/>
                </w:rPr>
                <w:alias w:val="使用权资产账面原值增加项目金额"/>
                <w:tag w:val="_GBC_37cee8288a274498a778511d633083e4"/>
                <w:id w:val="225572014"/>
                <w:lock w:val="sdtLocked"/>
              </w:sdtPr>
              <w:sdtEndPr>
                <w:rPr>
                  <w:szCs w:val="21"/>
                </w:rPr>
              </w:sdtEndPr>
              <w:sdtContent>
                <w:tc>
                  <w:tcPr>
                    <w:tcW w:w="1504" w:type="pct"/>
                    <w:shd w:val="clear" w:color="auto" w:fill="auto"/>
                  </w:tcPr>
                  <w:p>
                    <w:pPr>
                      <w:spacing w:line="240" w:lineRule="atLeast"/>
                      <w:jc w:val="right"/>
                      <w:rPr>
                        <w:szCs w:val="21"/>
                      </w:rPr>
                    </w:pPr>
                    <w:r>
                      <w:rPr>
                        <w:szCs w:val="21"/>
                      </w:rPr>
                      <w:t>232,113.14</w:t>
                    </w:r>
                  </w:p>
                </w:tc>
              </w:sdtContent>
            </w:sdt>
            <w:sdt>
              <w:sdtPr>
                <w:rPr>
                  <w:szCs w:val="21"/>
                </w:rPr>
                <w:alias w:val="使用权资产账面原值增加项目合计金额"/>
                <w:tag w:val="_GBC_3755c36b04bf459faab736fdb0c5f539"/>
                <w:id w:val="937110324"/>
                <w:lock w:val="sdtLocked"/>
              </w:sdtPr>
              <w:sdtEndPr>
                <w:rPr>
                  <w:szCs w:val="21"/>
                </w:rPr>
              </w:sdtEndPr>
              <w:sdtContent>
                <w:tc>
                  <w:tcPr>
                    <w:tcW w:w="1618" w:type="pct"/>
                    <w:shd w:val="clear" w:color="auto" w:fill="auto"/>
                  </w:tcPr>
                  <w:p>
                    <w:pPr>
                      <w:spacing w:line="240" w:lineRule="atLeast"/>
                      <w:jc w:val="right"/>
                      <w:rPr>
                        <w:szCs w:val="21"/>
                      </w:rPr>
                    </w:pPr>
                    <w:r>
                      <w:rPr>
                        <w:szCs w:val="21"/>
                      </w:rPr>
                      <w:t>232,113.14</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bd2b1cb416464c7fad117a635429ece0"/>
                <w:id w:val="-1299845992"/>
                <w:lock w:val="sdtLocked"/>
              </w:sdtPr>
              <w:sdtContent>
                <w:tc>
                  <w:tcPr>
                    <w:tcW w:w="1878" w:type="pct"/>
                    <w:shd w:val="clear" w:color="auto" w:fill="auto"/>
                    <w:vAlign w:val="center"/>
                  </w:tcPr>
                  <w:p>
                    <w:pPr>
                      <w:spacing w:line="240" w:lineRule="atLeast"/>
                      <w:ind w:firstLine="420" w:firstLineChars="200"/>
                      <w:rPr>
                        <w:szCs w:val="21"/>
                      </w:rPr>
                    </w:pPr>
                    <w:r>
                      <w:rPr>
                        <w:szCs w:val="21"/>
                      </w:rPr>
                      <w:t>3.本期减少</w:t>
                    </w:r>
                    <w:r>
                      <w:rPr>
                        <w:rFonts w:hint="eastAsia"/>
                        <w:szCs w:val="21"/>
                      </w:rPr>
                      <w:t>金额</w:t>
                    </w:r>
                  </w:p>
                </w:tc>
              </w:sdtContent>
            </w:sdt>
            <w:sdt>
              <w:sdtPr>
                <w:rPr>
                  <w:szCs w:val="21"/>
                </w:rPr>
                <w:alias w:val="使用权资产明细-账面原值减少"/>
                <w:tag w:val="_GBC_95ddfbd2877243079a363160d1ec559e"/>
                <w:id w:val="-399284281"/>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账面原值减少"/>
                <w:tag w:val="_GBC_ed5aa0cc244b4603ac38c0713371ef06"/>
                <w:id w:val="-1911767755"/>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e8071363c6d409497785318c7ea59dd"/>
                <w:id w:val="234446060"/>
                <w:lock w:val="sdtLocked"/>
              </w:sdtPr>
              <w:sdtContent>
                <w:tc>
                  <w:tcPr>
                    <w:tcW w:w="1878" w:type="pct"/>
                    <w:shd w:val="clear" w:color="auto" w:fill="auto"/>
                    <w:vAlign w:val="center"/>
                  </w:tcPr>
                  <w:p>
                    <w:pPr>
                      <w:spacing w:line="240" w:lineRule="atLeast"/>
                      <w:ind w:firstLine="420" w:firstLineChars="200"/>
                      <w:rPr>
                        <w:szCs w:val="21"/>
                      </w:rPr>
                    </w:pPr>
                    <w:r>
                      <w:rPr>
                        <w:szCs w:val="21"/>
                      </w:rPr>
                      <w:t>4.期末余额</w:t>
                    </w:r>
                  </w:p>
                </w:tc>
              </w:sdtContent>
            </w:sdt>
            <w:sdt>
              <w:sdtPr>
                <w:rPr>
                  <w:szCs w:val="21"/>
                </w:rPr>
                <w:alias w:val="使用权资产明细-账面原值"/>
                <w:tag w:val="_GBC_2e1bc8275e6c410fae1e66fdfcf9c8b7"/>
                <w:id w:val="675920898"/>
                <w:lock w:val="sdtLocked"/>
              </w:sdtPr>
              <w:sdtEndPr>
                <w:rPr>
                  <w:szCs w:val="21"/>
                </w:rPr>
              </w:sdtEndPr>
              <w:sdtContent>
                <w:tc>
                  <w:tcPr>
                    <w:tcW w:w="1504" w:type="pct"/>
                    <w:shd w:val="clear" w:color="auto" w:fill="auto"/>
                  </w:tcPr>
                  <w:p>
                    <w:pPr>
                      <w:spacing w:line="240" w:lineRule="atLeast"/>
                      <w:jc w:val="right"/>
                      <w:rPr>
                        <w:szCs w:val="21"/>
                      </w:rPr>
                    </w:pPr>
                    <w:r>
                      <w:rPr>
                        <w:szCs w:val="21"/>
                      </w:rPr>
                      <w:t>5,785,061.90</w:t>
                    </w:r>
                  </w:p>
                </w:tc>
              </w:sdtContent>
            </w:sdt>
            <w:sdt>
              <w:sdtPr>
                <w:rPr>
                  <w:szCs w:val="21"/>
                </w:rPr>
                <w:alias w:val="使用权资产账面原值"/>
                <w:tag w:val="_GBC_1d7dc110c22c41589b2eabc8f36d740c"/>
                <w:id w:val="103003660"/>
                <w:lock w:val="sdtLocked"/>
              </w:sdtPr>
              <w:sdtEndPr>
                <w:rPr>
                  <w:szCs w:val="21"/>
                </w:rPr>
              </w:sdtEndPr>
              <w:sdtContent>
                <w:tc>
                  <w:tcPr>
                    <w:tcW w:w="1618" w:type="pct"/>
                    <w:shd w:val="clear" w:color="auto" w:fill="auto"/>
                  </w:tcPr>
                  <w:p>
                    <w:pPr>
                      <w:spacing w:line="240" w:lineRule="atLeast"/>
                      <w:jc w:val="right"/>
                      <w:rPr>
                        <w:szCs w:val="21"/>
                      </w:rPr>
                    </w:pPr>
                    <w:r>
                      <w:rPr>
                        <w:szCs w:val="21"/>
                      </w:rPr>
                      <w:t>5,785,061.90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0702ab8f21b4971887044f0c9f4e291"/>
                <w:id w:val="1183552247"/>
                <w:lock w:val="sdtLocked"/>
              </w:sdtPr>
              <w:sdtContent>
                <w:tc>
                  <w:tcPr>
                    <w:tcW w:w="5000" w:type="pct"/>
                    <w:gridSpan w:val="3"/>
                    <w:shd w:val="clear" w:color="auto" w:fill="auto"/>
                    <w:vAlign w:val="center"/>
                  </w:tcPr>
                  <w:p>
                    <w:pPr>
                      <w:spacing w:line="240" w:lineRule="atLeast"/>
                      <w:rPr>
                        <w:szCs w:val="21"/>
                      </w:rPr>
                    </w:pPr>
                    <w:r>
                      <w:rPr>
                        <w:szCs w:val="21"/>
                      </w:rPr>
                      <w:t>二、累计折旧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3bc6876441f400eae58b6fde665e20b"/>
                <w:id w:val="1775670533"/>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1.期</w:t>
                    </w:r>
                    <w:r>
                      <w:rPr>
                        <w:szCs w:val="21"/>
                      </w:rPr>
                      <w:t>初余额</w:t>
                    </w:r>
                  </w:p>
                </w:tc>
              </w:sdtContent>
            </w:sdt>
            <w:sdt>
              <w:sdtPr>
                <w:rPr>
                  <w:szCs w:val="21"/>
                </w:rPr>
                <w:alias w:val="使用权资产明细-累计折旧"/>
                <w:tag w:val="_GBC_1f740de3d569418a8304b3c01ba4f422"/>
                <w:id w:val="1323926520"/>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累计折旧"/>
                <w:tag w:val="_GBC_086c83e89d44420185255eb6707f2ab0"/>
                <w:id w:val="472644785"/>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57194369af27466fbd5bb3d44412e947"/>
                <w:id w:val="1914120679"/>
                <w:lock w:val="sdtLocked"/>
              </w:sdtPr>
              <w:sdtContent>
                <w:tc>
                  <w:tcPr>
                    <w:tcW w:w="1878" w:type="pct"/>
                    <w:shd w:val="clear" w:color="auto" w:fill="auto"/>
                    <w:vAlign w:val="center"/>
                  </w:tcPr>
                  <w:p>
                    <w:pPr>
                      <w:spacing w:line="240" w:lineRule="atLeast"/>
                      <w:ind w:firstLine="420" w:firstLineChars="200"/>
                      <w:rPr>
                        <w:szCs w:val="21"/>
                      </w:rPr>
                    </w:pPr>
                    <w:r>
                      <w:rPr>
                        <w:szCs w:val="21"/>
                      </w:rPr>
                      <w:t>2.本期增加</w:t>
                    </w:r>
                    <w:r>
                      <w:rPr>
                        <w:rFonts w:hint="eastAsia"/>
                        <w:szCs w:val="21"/>
                      </w:rPr>
                      <w:t>金额</w:t>
                    </w:r>
                  </w:p>
                </w:tc>
              </w:sdtContent>
            </w:sdt>
            <w:sdt>
              <w:sdtPr>
                <w:rPr>
                  <w:szCs w:val="21"/>
                </w:rPr>
                <w:alias w:val="使用权资产明细-累计折旧增加"/>
                <w:tag w:val="_GBC_e2fbec15147f4d2da300e74fff0c7371"/>
                <w:id w:val="-483704459"/>
                <w:lock w:val="sdtLocked"/>
              </w:sdtPr>
              <w:sdtEndPr>
                <w:rPr>
                  <w:szCs w:val="21"/>
                </w:rPr>
              </w:sdtEndPr>
              <w:sdtContent>
                <w:tc>
                  <w:tcPr>
                    <w:tcW w:w="1504" w:type="pct"/>
                    <w:shd w:val="clear" w:color="auto" w:fill="auto"/>
                  </w:tcPr>
                  <w:p>
                    <w:pPr>
                      <w:spacing w:line="240" w:lineRule="atLeast"/>
                      <w:jc w:val="right"/>
                      <w:rPr>
                        <w:szCs w:val="21"/>
                      </w:rPr>
                    </w:pPr>
                    <w:r>
                      <w:rPr>
                        <w:szCs w:val="21"/>
                      </w:rPr>
                      <w:t>1,353,949.51</w:t>
                    </w:r>
                  </w:p>
                </w:tc>
              </w:sdtContent>
            </w:sdt>
            <w:sdt>
              <w:sdtPr>
                <w:rPr>
                  <w:szCs w:val="21"/>
                </w:rPr>
                <w:alias w:val="使用权资产累计折旧增加"/>
                <w:tag w:val="_GBC_e1ab9058e3d34e24b31cbc8dc7763ff5"/>
                <w:id w:val="1809502557"/>
                <w:lock w:val="sdtLocked"/>
              </w:sdtPr>
              <w:sdtEndPr>
                <w:rPr>
                  <w:szCs w:val="21"/>
                </w:rPr>
              </w:sdtEndPr>
              <w:sdtContent>
                <w:tc>
                  <w:tcPr>
                    <w:tcW w:w="1618" w:type="pct"/>
                    <w:shd w:val="clear" w:color="auto" w:fill="auto"/>
                  </w:tcPr>
                  <w:p>
                    <w:pPr>
                      <w:spacing w:line="240" w:lineRule="atLeast"/>
                      <w:jc w:val="right"/>
                      <w:rPr>
                        <w:szCs w:val="21"/>
                      </w:rPr>
                    </w:pPr>
                    <w:r>
                      <w:rPr>
                        <w:szCs w:val="21"/>
                      </w:rPr>
                      <w:t>1,353,949.51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9110b4f175744665bcc05c9820bc7b38"/>
                <w:id w:val="1310124268"/>
                <w:lock w:val="sdtLocked"/>
              </w:sdtPr>
              <w:sdtContent>
                <w:tc>
                  <w:tcPr>
                    <w:tcW w:w="1878" w:type="pct"/>
                    <w:shd w:val="clear" w:color="auto" w:fill="auto"/>
                    <w:vAlign w:val="center"/>
                  </w:tcPr>
                  <w:p>
                    <w:pPr>
                      <w:spacing w:line="240" w:lineRule="atLeast"/>
                      <w:ind w:firstLine="630" w:firstLineChars="300"/>
                      <w:rPr>
                        <w:szCs w:val="21"/>
                      </w:rPr>
                    </w:pPr>
                    <w:r>
                      <w:rPr>
                        <w:szCs w:val="21"/>
                      </w:rPr>
                      <w:t>(1)计提</w:t>
                    </w:r>
                  </w:p>
                </w:tc>
              </w:sdtContent>
            </w:sdt>
            <w:sdt>
              <w:sdtPr>
                <w:rPr>
                  <w:szCs w:val="21"/>
                </w:rPr>
                <w:alias w:val="使用权资产明细-计提导致的累计折旧增加"/>
                <w:tag w:val="_GBC_df31bc72692c42788094e17d9eef6422"/>
                <w:id w:val="43026943"/>
                <w:lock w:val="sdtLocked"/>
              </w:sdtPr>
              <w:sdtEndPr>
                <w:rPr>
                  <w:szCs w:val="21"/>
                </w:rPr>
              </w:sdtEndPr>
              <w:sdtContent>
                <w:tc>
                  <w:tcPr>
                    <w:tcW w:w="1504" w:type="pct"/>
                    <w:shd w:val="clear" w:color="auto" w:fill="auto"/>
                  </w:tcPr>
                  <w:p>
                    <w:pPr>
                      <w:spacing w:line="240" w:lineRule="atLeast"/>
                      <w:jc w:val="right"/>
                      <w:rPr>
                        <w:szCs w:val="21"/>
                      </w:rPr>
                    </w:pPr>
                    <w:r>
                      <w:rPr>
                        <w:szCs w:val="21"/>
                      </w:rPr>
                      <w:t>1,353,949.51</w:t>
                    </w:r>
                  </w:p>
                </w:tc>
              </w:sdtContent>
            </w:sdt>
            <w:sdt>
              <w:sdtPr>
                <w:rPr>
                  <w:szCs w:val="21"/>
                </w:rPr>
                <w:alias w:val="使用权资产计提导致的累计折旧增加"/>
                <w:tag w:val="_GBC_93c28f9d05c547d0be2e22a94125d9c2"/>
                <w:id w:val="1450739635"/>
                <w:lock w:val="sdtLocked"/>
              </w:sdtPr>
              <w:sdtEndPr>
                <w:rPr>
                  <w:szCs w:val="21"/>
                </w:rPr>
              </w:sdtEndPr>
              <w:sdtContent>
                <w:tc>
                  <w:tcPr>
                    <w:tcW w:w="1618" w:type="pct"/>
                    <w:shd w:val="clear" w:color="auto" w:fill="auto"/>
                  </w:tcPr>
                  <w:p>
                    <w:pPr>
                      <w:spacing w:line="240" w:lineRule="atLeast"/>
                      <w:jc w:val="right"/>
                      <w:rPr>
                        <w:szCs w:val="21"/>
                      </w:rPr>
                    </w:pPr>
                    <w:r>
                      <w:rPr>
                        <w:szCs w:val="21"/>
                      </w:rPr>
                      <w:t>1,353,949.51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ffb8457ba6044decbeffb9517f5f3681"/>
                <w:id w:val="1271674467"/>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累计折旧减少"/>
                <w:tag w:val="_GBC_962b735944d2474e8e4726d0057ac177"/>
                <w:id w:val="-834228240"/>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累计折旧减少"/>
                <w:tag w:val="_GBC_2bd939435f584ab0a0671c8f2837d48f"/>
                <w:id w:val="-588077251"/>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b94a1ba3da3a4511969045ac3968f2fd"/>
                <w:id w:val="982517736"/>
                <w:lock w:val="sdtLocked"/>
              </w:sdtPr>
              <w:sdtContent>
                <w:tc>
                  <w:tcPr>
                    <w:tcW w:w="1878" w:type="pct"/>
                    <w:shd w:val="clear" w:color="auto" w:fill="auto"/>
                    <w:vAlign w:val="center"/>
                  </w:tcPr>
                  <w:p>
                    <w:pPr>
                      <w:spacing w:line="240" w:lineRule="atLeast"/>
                      <w:ind w:firstLine="630" w:firstLineChars="300"/>
                      <w:rPr>
                        <w:szCs w:val="21"/>
                      </w:rPr>
                    </w:pPr>
                    <w:r>
                      <w:rPr>
                        <w:szCs w:val="21"/>
                      </w:rPr>
                      <w:t>(1)</w:t>
                    </w:r>
                    <w:r>
                      <w:rPr>
                        <w:rFonts w:hint="eastAsia"/>
                        <w:szCs w:val="21"/>
                      </w:rPr>
                      <w:t>处置</w:t>
                    </w:r>
                  </w:p>
                </w:tc>
              </w:sdtContent>
            </w:sdt>
            <w:sdt>
              <w:sdtPr>
                <w:rPr>
                  <w:szCs w:val="21"/>
                </w:rPr>
                <w:alias w:val="使用权资产明细-处置导致的累计折旧减少"/>
                <w:tag w:val="_GBC_b545ef9a010443de801e18316e677b88"/>
                <w:id w:val="-1694919120"/>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处置导致的累计折旧减少"/>
                <w:tag w:val="_GBC_a4d8c2262f4d4cc49a64bd630641c65e"/>
                <w:id w:val="403341832"/>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5347604f6701475381eb09445510382c"/>
                <w:id w:val="-823274884"/>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4.</w:t>
                    </w:r>
                    <w:r>
                      <w:rPr>
                        <w:szCs w:val="21"/>
                      </w:rPr>
                      <w:t>期末余额</w:t>
                    </w:r>
                  </w:p>
                </w:tc>
              </w:sdtContent>
            </w:sdt>
            <w:sdt>
              <w:sdtPr>
                <w:rPr>
                  <w:szCs w:val="21"/>
                </w:rPr>
                <w:alias w:val="使用权资产明细-累计折旧"/>
                <w:tag w:val="_GBC_b312dc55cbb24754bb238e3c8f6f6c5a"/>
                <w:id w:val="919983209"/>
                <w:lock w:val="sdtLocked"/>
              </w:sdtPr>
              <w:sdtEndPr>
                <w:rPr>
                  <w:szCs w:val="21"/>
                </w:rPr>
              </w:sdtEndPr>
              <w:sdtContent>
                <w:tc>
                  <w:tcPr>
                    <w:tcW w:w="1504" w:type="pct"/>
                    <w:shd w:val="clear" w:color="auto" w:fill="auto"/>
                  </w:tcPr>
                  <w:p>
                    <w:pPr>
                      <w:spacing w:line="240" w:lineRule="atLeast"/>
                      <w:jc w:val="right"/>
                      <w:rPr>
                        <w:szCs w:val="21"/>
                      </w:rPr>
                    </w:pPr>
                    <w:r>
                      <w:rPr>
                        <w:szCs w:val="21"/>
                      </w:rPr>
                      <w:t>1,353,949.51</w:t>
                    </w:r>
                  </w:p>
                </w:tc>
              </w:sdtContent>
            </w:sdt>
            <w:sdt>
              <w:sdtPr>
                <w:rPr>
                  <w:szCs w:val="21"/>
                </w:rPr>
                <w:alias w:val="使用权资产累计折旧"/>
                <w:tag w:val="_GBC_2fe88cc8943d4e5f965d037941102cc3"/>
                <w:id w:val="818694605"/>
                <w:lock w:val="sdtLocked"/>
              </w:sdtPr>
              <w:sdtEndPr>
                <w:rPr>
                  <w:szCs w:val="21"/>
                </w:rPr>
              </w:sdtEndPr>
              <w:sdtContent>
                <w:tc>
                  <w:tcPr>
                    <w:tcW w:w="1618" w:type="pct"/>
                    <w:shd w:val="clear" w:color="auto" w:fill="auto"/>
                  </w:tcPr>
                  <w:p>
                    <w:pPr>
                      <w:spacing w:line="240" w:lineRule="atLeast"/>
                      <w:jc w:val="right"/>
                      <w:rPr>
                        <w:szCs w:val="21"/>
                      </w:rPr>
                    </w:pPr>
                    <w:r>
                      <w:rPr>
                        <w:szCs w:val="21"/>
                      </w:rPr>
                      <w:t>1,353,949.51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b1996849e36c4ffc857077dbf81b967b"/>
                <w:id w:val="-2040270198"/>
                <w:lock w:val="sdtLocked"/>
              </w:sdtPr>
              <w:sdtContent>
                <w:tc>
                  <w:tcPr>
                    <w:tcW w:w="5000" w:type="pct"/>
                    <w:gridSpan w:val="3"/>
                    <w:shd w:val="clear" w:color="auto" w:fill="auto"/>
                    <w:vAlign w:val="center"/>
                  </w:tcPr>
                  <w:p>
                    <w:pPr>
                      <w:spacing w:line="240" w:lineRule="atLeast"/>
                      <w:rPr>
                        <w:szCs w:val="21"/>
                      </w:rPr>
                    </w:pPr>
                    <w:r>
                      <w:rPr>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ea3a3b23d134ad2829e3b468703ff27"/>
                <w:id w:val="318003008"/>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1.期</w:t>
                    </w:r>
                    <w:r>
                      <w:rPr>
                        <w:szCs w:val="21"/>
                      </w:rPr>
                      <w:t>初余额</w:t>
                    </w:r>
                  </w:p>
                </w:tc>
              </w:sdtContent>
            </w:sdt>
            <w:sdt>
              <w:sdtPr>
                <w:rPr>
                  <w:szCs w:val="21"/>
                </w:rPr>
                <w:alias w:val="使用权资产明细-减值准备"/>
                <w:tag w:val="_GBC_01e92821b5c94965a45c783207e8a7bb"/>
                <w:id w:val="-1756591122"/>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减值准备"/>
                <w:tag w:val="_GBC_d0a8d1cac1a142e1b211dc386c9cb443"/>
                <w:id w:val="-1778254005"/>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e347673aac4a469dae4ff497d67207c9"/>
                <w:id w:val="1097056330"/>
                <w:lock w:val="sdtLocked"/>
              </w:sdtPr>
              <w:sdtContent>
                <w:tc>
                  <w:tcPr>
                    <w:tcW w:w="1878" w:type="pct"/>
                    <w:shd w:val="clear" w:color="auto" w:fill="auto"/>
                    <w:vAlign w:val="center"/>
                  </w:tcPr>
                  <w:p>
                    <w:pPr>
                      <w:spacing w:line="240" w:lineRule="atLeast"/>
                      <w:ind w:firstLine="420" w:firstLineChars="200"/>
                      <w:rPr>
                        <w:szCs w:val="21"/>
                      </w:rPr>
                    </w:pPr>
                    <w:r>
                      <w:rPr>
                        <w:szCs w:val="21"/>
                      </w:rPr>
                      <w:t>2.本期增加</w:t>
                    </w:r>
                    <w:r>
                      <w:rPr>
                        <w:rFonts w:hint="eastAsia"/>
                        <w:szCs w:val="21"/>
                      </w:rPr>
                      <w:t>金额</w:t>
                    </w:r>
                  </w:p>
                </w:tc>
              </w:sdtContent>
            </w:sdt>
            <w:sdt>
              <w:sdtPr>
                <w:rPr>
                  <w:szCs w:val="21"/>
                </w:rPr>
                <w:alias w:val="使用权资产明细-减值准备增加"/>
                <w:tag w:val="_GBC_7924661a525641e1a26b0b01764c87b2"/>
                <w:id w:val="1128128748"/>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减值准备增加"/>
                <w:tag w:val="_GBC_f997e371141748ba9177ee680d83c819"/>
                <w:id w:val="749937602"/>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1cd472d0826f4aa198d46accb03fa562"/>
                <w:id w:val="497391975"/>
                <w:lock w:val="sdtLocked"/>
              </w:sdtPr>
              <w:sdtContent>
                <w:tc>
                  <w:tcPr>
                    <w:tcW w:w="1878" w:type="pct"/>
                    <w:shd w:val="clear" w:color="auto" w:fill="auto"/>
                    <w:vAlign w:val="center"/>
                  </w:tcPr>
                  <w:p>
                    <w:pPr>
                      <w:spacing w:line="240" w:lineRule="atLeast"/>
                      <w:ind w:firstLine="630" w:firstLineChars="300"/>
                      <w:rPr>
                        <w:szCs w:val="21"/>
                      </w:rPr>
                    </w:pPr>
                    <w:r>
                      <w:rPr>
                        <w:szCs w:val="21"/>
                      </w:rPr>
                      <w:t>(1)计提</w:t>
                    </w:r>
                  </w:p>
                </w:tc>
              </w:sdtContent>
            </w:sdt>
            <w:sdt>
              <w:sdtPr>
                <w:rPr>
                  <w:szCs w:val="21"/>
                </w:rPr>
                <w:alias w:val="使用权资产明细-计提导致的减值准备增加"/>
                <w:tag w:val="_GBC_7b790583080d49ab9ff5842c7e7f2698"/>
                <w:id w:val="1968859849"/>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计提导致的减值准备增加"/>
                <w:tag w:val="_GBC_ce3384ee8335410ea6f830d3328a3757"/>
                <w:id w:val="-179890767"/>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7b2953c923544a06899e70966833ee58"/>
                <w:id w:val="1983115122"/>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3.</w:t>
                    </w:r>
                    <w:r>
                      <w:rPr>
                        <w:szCs w:val="21"/>
                      </w:rPr>
                      <w:t>本期减少</w:t>
                    </w:r>
                    <w:r>
                      <w:rPr>
                        <w:rFonts w:hint="eastAsia"/>
                        <w:szCs w:val="21"/>
                      </w:rPr>
                      <w:t>金额</w:t>
                    </w:r>
                  </w:p>
                </w:tc>
              </w:sdtContent>
            </w:sdt>
            <w:sdt>
              <w:sdtPr>
                <w:rPr>
                  <w:szCs w:val="21"/>
                </w:rPr>
                <w:alias w:val="使用权资产明细-减值准备减少"/>
                <w:tag w:val="_GBC_9aca41259cc74342b7417c8345b4dd3f"/>
                <w:id w:val="1246381705"/>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减值准备减少"/>
                <w:tag w:val="_GBC_cf5b46e566e946088fa6abf5d0f41684"/>
                <w:id w:val="1484588052"/>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6774fbd1531c42faa09ca1e5e565ab08"/>
                <w:id w:val="-1156147985"/>
                <w:lock w:val="sdtLocked"/>
              </w:sdtPr>
              <w:sdtContent>
                <w:tc>
                  <w:tcPr>
                    <w:tcW w:w="1878" w:type="pct"/>
                    <w:shd w:val="clear" w:color="auto" w:fill="auto"/>
                    <w:vAlign w:val="center"/>
                  </w:tcPr>
                  <w:p>
                    <w:pPr>
                      <w:spacing w:line="240" w:lineRule="atLeast"/>
                      <w:ind w:firstLine="630" w:firstLineChars="300"/>
                      <w:rPr>
                        <w:szCs w:val="21"/>
                      </w:rPr>
                    </w:pPr>
                    <w:r>
                      <w:rPr>
                        <w:szCs w:val="21"/>
                      </w:rPr>
                      <w:t>(1)</w:t>
                    </w:r>
                    <w:r>
                      <w:rPr>
                        <w:rFonts w:hint="eastAsia"/>
                        <w:szCs w:val="21"/>
                      </w:rPr>
                      <w:t>处置</w:t>
                    </w:r>
                  </w:p>
                </w:tc>
              </w:sdtContent>
            </w:sdt>
            <w:sdt>
              <w:sdtPr>
                <w:rPr>
                  <w:szCs w:val="21"/>
                </w:rPr>
                <w:alias w:val="使用权资产明细-处置导致的减值准备减少"/>
                <w:tag w:val="_GBC_fb3479e94e50469699ef7f527f0dfa90"/>
                <w:id w:val="-408771178"/>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处置导致的减值准备减少"/>
                <w:tag w:val="_GBC_caba981dfa034a8bb09929661a9fa91d"/>
                <w:id w:val="-867455475"/>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5aa9642ff344a19a49d93c528574b15"/>
                <w:id w:val="-1745489508"/>
                <w:lock w:val="sdtLocked"/>
              </w:sdtPr>
              <w:sdtContent>
                <w:tc>
                  <w:tcPr>
                    <w:tcW w:w="1878" w:type="pct"/>
                    <w:shd w:val="clear" w:color="auto" w:fill="auto"/>
                    <w:vAlign w:val="center"/>
                  </w:tcPr>
                  <w:p>
                    <w:pPr>
                      <w:spacing w:line="240" w:lineRule="atLeast"/>
                      <w:ind w:firstLine="420" w:firstLineChars="200"/>
                      <w:rPr>
                        <w:szCs w:val="21"/>
                      </w:rPr>
                    </w:pPr>
                    <w:r>
                      <w:rPr>
                        <w:rFonts w:hint="eastAsia"/>
                        <w:szCs w:val="21"/>
                      </w:rPr>
                      <w:t>4.</w:t>
                    </w:r>
                    <w:r>
                      <w:rPr>
                        <w:szCs w:val="21"/>
                      </w:rPr>
                      <w:t>期末余额</w:t>
                    </w:r>
                  </w:p>
                </w:tc>
              </w:sdtContent>
            </w:sdt>
            <w:sdt>
              <w:sdtPr>
                <w:rPr>
                  <w:szCs w:val="21"/>
                </w:rPr>
                <w:alias w:val="使用权资产明细-减值准备"/>
                <w:tag w:val="_GBC_4dde759fe201435db4d0d2733c61d82a"/>
                <w:id w:val="1212152449"/>
                <w:lock w:val="sdtLocked"/>
                <w:showingPlcHdr/>
              </w:sdtPr>
              <w:sdtEndPr>
                <w:rPr>
                  <w:szCs w:val="21"/>
                </w:rPr>
              </w:sdtEndPr>
              <w:sdtContent>
                <w:tc>
                  <w:tcPr>
                    <w:tcW w:w="1504" w:type="pct"/>
                    <w:shd w:val="clear" w:color="auto" w:fill="auto"/>
                  </w:tcPr>
                  <w:p>
                    <w:pPr>
                      <w:spacing w:line="240" w:lineRule="atLeast"/>
                      <w:jc w:val="right"/>
                      <w:rPr>
                        <w:szCs w:val="21"/>
                      </w:rPr>
                    </w:pPr>
                    <w:r>
                      <w:rPr>
                        <w:rStyle w:val="247"/>
                        <w:rFonts w:hint="eastAsia"/>
                      </w:rPr>
                      <w:t>　</w:t>
                    </w:r>
                  </w:p>
                </w:tc>
              </w:sdtContent>
            </w:sdt>
            <w:sdt>
              <w:sdtPr>
                <w:rPr>
                  <w:szCs w:val="21"/>
                </w:rPr>
                <w:alias w:val="使用权资产减值准备"/>
                <w:tag w:val="_GBC_7630c09652064a5e9011a2b41bc2fc8e"/>
                <w:id w:val="-1995092747"/>
                <w:lock w:val="sdtLocked"/>
                <w:showingPlcHdr/>
              </w:sdtPr>
              <w:sdtEndPr>
                <w:rPr>
                  <w:szCs w:val="21"/>
                </w:rPr>
              </w:sdtEndPr>
              <w:sdtContent>
                <w:tc>
                  <w:tcPr>
                    <w:tcW w:w="1618" w:type="pct"/>
                    <w:shd w:val="clear" w:color="auto" w:fill="auto"/>
                  </w:tcPr>
                  <w:p>
                    <w:pPr>
                      <w:spacing w:line="240" w:lineRule="atLeast"/>
                      <w:jc w:val="right"/>
                      <w:rPr>
                        <w:szCs w:val="21"/>
                      </w:rPr>
                    </w:pPr>
                    <w:r>
                      <w:rPr>
                        <w:rStyle w:val="247"/>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2b382621feb4415d9df2a80fec7eeadf"/>
                <w:id w:val="-1611962047"/>
                <w:lock w:val="sdtLocked"/>
              </w:sdtPr>
              <w:sdtContent>
                <w:tc>
                  <w:tcPr>
                    <w:tcW w:w="5000" w:type="pct"/>
                    <w:gridSpan w:val="3"/>
                    <w:shd w:val="clear" w:color="auto" w:fill="auto"/>
                    <w:vAlign w:val="center"/>
                  </w:tcPr>
                  <w:p>
                    <w:pPr>
                      <w:spacing w:line="240" w:lineRule="atLeast"/>
                      <w:rPr>
                        <w:szCs w:val="21"/>
                      </w:rPr>
                    </w:pPr>
                    <w:r>
                      <w:rPr>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c088ce54f46348089c8263708268b5b5"/>
                <w:id w:val="1127973148"/>
                <w:lock w:val="sdtLocked"/>
              </w:sdtPr>
              <w:sdtContent>
                <w:tc>
                  <w:tcPr>
                    <w:tcW w:w="1878" w:type="pct"/>
                    <w:shd w:val="clear" w:color="auto" w:fill="auto"/>
                    <w:vAlign w:val="center"/>
                  </w:tcPr>
                  <w:p>
                    <w:pPr>
                      <w:spacing w:line="240" w:lineRule="atLeast"/>
                      <w:rPr>
                        <w:szCs w:val="21"/>
                      </w:rPr>
                    </w:pPr>
                    <w:r>
                      <w:rPr>
                        <w:szCs w:val="21"/>
                      </w:rPr>
                      <w:t xml:space="preserve">    1.期末账面价值</w:t>
                    </w:r>
                  </w:p>
                </w:tc>
              </w:sdtContent>
            </w:sdt>
            <w:sdt>
              <w:sdtPr>
                <w:rPr>
                  <w:szCs w:val="21"/>
                </w:rPr>
                <w:alias w:val="使用权资产明细-账面价值"/>
                <w:tag w:val="_GBC_e5a82988e0e84e44821dbbca816303c3"/>
                <w:id w:val="1778139615"/>
                <w:lock w:val="sdtLocked"/>
              </w:sdtPr>
              <w:sdtEndPr>
                <w:rPr>
                  <w:szCs w:val="21"/>
                </w:rPr>
              </w:sdtEndPr>
              <w:sdtContent>
                <w:tc>
                  <w:tcPr>
                    <w:tcW w:w="1504" w:type="pct"/>
                    <w:shd w:val="clear" w:color="auto" w:fill="auto"/>
                  </w:tcPr>
                  <w:p>
                    <w:pPr>
                      <w:spacing w:line="240" w:lineRule="atLeast"/>
                      <w:jc w:val="right"/>
                      <w:rPr>
                        <w:szCs w:val="21"/>
                      </w:rPr>
                    </w:pPr>
                    <w:r>
                      <w:rPr>
                        <w:szCs w:val="21"/>
                      </w:rPr>
                      <w:t>4,431,112.39</w:t>
                    </w:r>
                  </w:p>
                </w:tc>
              </w:sdtContent>
            </w:sdt>
            <w:sdt>
              <w:sdtPr>
                <w:rPr>
                  <w:szCs w:val="21"/>
                </w:rPr>
                <w:alias w:val="使用权资产"/>
                <w:tag w:val="_GBC_495cd2e718354c829476f40793121e27"/>
                <w:id w:val="1677302086"/>
                <w:lock w:val="sdtLocked"/>
              </w:sdtPr>
              <w:sdtEndPr>
                <w:rPr>
                  <w:szCs w:val="21"/>
                </w:rPr>
              </w:sdtEndPr>
              <w:sdtContent>
                <w:tc>
                  <w:tcPr>
                    <w:tcW w:w="1618" w:type="pct"/>
                    <w:shd w:val="clear" w:color="auto" w:fill="auto"/>
                  </w:tcPr>
                  <w:p>
                    <w:pPr>
                      <w:spacing w:line="240" w:lineRule="atLeast"/>
                      <w:jc w:val="right"/>
                      <w:rPr>
                        <w:szCs w:val="21"/>
                      </w:rPr>
                    </w:pPr>
                    <w:r>
                      <w:rPr>
                        <w:szCs w:val="21"/>
                      </w:rPr>
                      <w:t>4,431,112.39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d905ebbade4f4acfa8662d5d173414d1"/>
                <w:id w:val="2106375327"/>
                <w:lock w:val="sdtLocked"/>
              </w:sdtPr>
              <w:sdtContent>
                <w:tc>
                  <w:tcPr>
                    <w:tcW w:w="1878" w:type="pct"/>
                    <w:shd w:val="clear" w:color="auto" w:fill="auto"/>
                    <w:vAlign w:val="center"/>
                  </w:tcPr>
                  <w:p>
                    <w:pPr>
                      <w:spacing w:line="240" w:lineRule="atLeast"/>
                      <w:rPr>
                        <w:szCs w:val="21"/>
                      </w:rPr>
                    </w:pPr>
                    <w:r>
                      <w:rPr>
                        <w:szCs w:val="21"/>
                      </w:rPr>
                      <w:t xml:space="preserve">    2.期初账面价值</w:t>
                    </w:r>
                  </w:p>
                </w:tc>
              </w:sdtContent>
            </w:sdt>
            <w:sdt>
              <w:sdtPr>
                <w:rPr>
                  <w:szCs w:val="21"/>
                </w:rPr>
                <w:alias w:val="使用权资产明细-账面价值"/>
                <w:tag w:val="_GBC_d036a5851289409c9d51fb84743dae94"/>
                <w:id w:val="-1755351856"/>
                <w:lock w:val="sdtLocked"/>
              </w:sdtPr>
              <w:sdtEndPr>
                <w:rPr>
                  <w:szCs w:val="21"/>
                </w:rPr>
              </w:sdtEndPr>
              <w:sdtContent>
                <w:tc>
                  <w:tcPr>
                    <w:tcW w:w="1504" w:type="pct"/>
                    <w:shd w:val="clear" w:color="auto" w:fill="auto"/>
                  </w:tcPr>
                  <w:p>
                    <w:pPr>
                      <w:spacing w:line="240" w:lineRule="atLeast"/>
                      <w:jc w:val="right"/>
                      <w:rPr>
                        <w:szCs w:val="21"/>
                      </w:rPr>
                    </w:pPr>
                    <w:r>
                      <w:rPr>
                        <w:szCs w:val="21"/>
                      </w:rPr>
                      <w:t>5,552,948.76</w:t>
                    </w:r>
                  </w:p>
                </w:tc>
              </w:sdtContent>
            </w:sdt>
            <w:sdt>
              <w:sdtPr>
                <w:rPr>
                  <w:szCs w:val="21"/>
                </w:rPr>
                <w:alias w:val="使用权资产"/>
                <w:tag w:val="_GBC_8d1c4822b5314e1bb1e1049aaa7d3338"/>
                <w:id w:val="-1234772681"/>
                <w:lock w:val="sdtLocked"/>
              </w:sdtPr>
              <w:sdtEndPr>
                <w:rPr>
                  <w:szCs w:val="21"/>
                </w:rPr>
              </w:sdtEndPr>
              <w:sdtContent>
                <w:tc>
                  <w:tcPr>
                    <w:tcW w:w="1618" w:type="pct"/>
                    <w:shd w:val="clear" w:color="auto" w:fill="auto"/>
                  </w:tcPr>
                  <w:p>
                    <w:pPr>
                      <w:spacing w:line="240" w:lineRule="atLeast"/>
                      <w:jc w:val="right"/>
                      <w:rPr>
                        <w:szCs w:val="21"/>
                      </w:rPr>
                    </w:pPr>
                    <w:r>
                      <w:rPr>
                        <w:szCs w:val="21"/>
                      </w:rPr>
                      <w:t>5,552,948.76</w:t>
                    </w:r>
                  </w:p>
                </w:tc>
              </w:sdtContent>
            </w:sdt>
          </w:tr>
        </w:tbl>
        <w:p/>
        <w:p>
          <w:pPr>
            <w:autoSpaceDE w:val="0"/>
            <w:autoSpaceDN w:val="0"/>
            <w:adjustRightInd w:val="0"/>
            <w:rPr>
              <w:szCs w:val="21"/>
            </w:rPr>
          </w:pPr>
          <w:r>
            <w:rPr>
              <w:rFonts w:hint="eastAsia"/>
              <w:szCs w:val="21"/>
            </w:rPr>
            <w:t>其他说明：</w:t>
          </w:r>
        </w:p>
        <w:sdt>
          <w:sdtPr>
            <w:alias w:val="使用权资产其他说明"/>
            <w:tag w:val="_GBC_e3fedf0a332542fb99170d60bd699cf6"/>
            <w:id w:val="-1087301297"/>
            <w:lock w:val="sdtLocked"/>
            <w:placeholder>
              <w:docPart w:val="GBC22222222222222222222222222222"/>
            </w:placeholder>
          </w:sdtPr>
          <w:sdtContent>
            <w:p>
              <w:r>
                <w:rPr>
                  <w:rFonts w:hint="eastAsia"/>
                </w:rPr>
                <w:t>无</w:t>
              </w:r>
            </w:p>
          </w:sdtContent>
        </w:sdt>
      </w:sdtContent>
    </w:sdt>
    <w:bookmarkEnd w:id="185"/>
    <w:p>
      <w:pPr>
        <w:pStyle w:val="213"/>
        <w:numPr>
          <w:ilvl w:val="0"/>
          <w:numId w:val="77"/>
        </w:numPr>
        <w:tabs>
          <w:tab w:val="left" w:pos="504"/>
        </w:tabs>
        <w:rPr>
          <w:rFonts w:ascii="宋体" w:hAnsi="宋体"/>
          <w:szCs w:val="21"/>
        </w:rPr>
      </w:pPr>
      <w:r>
        <w:rPr>
          <w:rFonts w:hint="eastAsia" w:ascii="宋体" w:hAnsi="宋体"/>
          <w:szCs w:val="21"/>
        </w:rPr>
        <w:t>无形资产</w:t>
      </w:r>
    </w:p>
    <w:sdt>
      <w:sdtPr>
        <w:rPr>
          <w:rFonts w:hint="eastAsia" w:ascii="宋体" w:hAnsi="宋体" w:eastAsia="宋体" w:cs="宋体"/>
          <w:b w:val="0"/>
          <w:bCs w:val="0"/>
          <w:kern w:val="0"/>
          <w:szCs w:val="24"/>
        </w:rPr>
        <w:alias w:val="模块:无形资产情况"/>
        <w:tag w:val="_SEC_dc6f356c9a9a424bba90c1f6f28b2ab0"/>
        <w:id w:val="-1238633291"/>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3"/>
              <w:numId w:val="92"/>
            </w:numPr>
            <w:ind w:left="426" w:hanging="426"/>
          </w:pPr>
          <w:bookmarkStart w:id="186" w:name="_Hlk90557281"/>
          <w:r>
            <w:rPr>
              <w:rFonts w:hint="eastAsia"/>
            </w:rPr>
            <w:t>无形资产情况</w:t>
          </w:r>
        </w:p>
        <w:sdt>
          <w:sdtPr>
            <w:rPr>
              <w:rFonts w:hint="eastAsia"/>
              <w:szCs w:val="21"/>
            </w:rPr>
            <w:alias w:val="是否适用：无形资产情况[双击切换]"/>
            <w:tag w:val="_GBC_42237c7a99c64602a661c1668bc893bd"/>
            <w:id w:val="-949244829"/>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10680238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416982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6339" w:type="pct"/>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394"/>
            <w:gridCol w:w="136"/>
            <w:gridCol w:w="1518"/>
            <w:gridCol w:w="1559"/>
            <w:gridCol w:w="1416"/>
            <w:gridCol w:w="1419"/>
            <w:gridCol w:w="1561"/>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d0c5c4c9acf46eaa7c41a19eb731a5c"/>
                <w:id w:val="116728421"/>
                <w:lock w:val="sdtLocked"/>
              </w:sdtPr>
              <w:sdtContent>
                <w:tc>
                  <w:tcPr>
                    <w:tcW w:w="605" w:type="pct"/>
                    <w:shd w:val="clear" w:color="auto" w:fill="auto"/>
                    <w:vAlign w:val="center"/>
                  </w:tcPr>
                  <w:p>
                    <w:pPr>
                      <w:jc w:val="center"/>
                      <w:rPr>
                        <w:szCs w:val="21"/>
                      </w:rPr>
                    </w:pPr>
                    <w:r>
                      <w:rPr>
                        <w:rFonts w:hint="eastAsia"/>
                        <w:szCs w:val="21"/>
                      </w:rPr>
                      <w:t>项目</w:t>
                    </w:r>
                  </w:p>
                </w:tc>
              </w:sdtContent>
            </w:sdt>
            <w:sdt>
              <w:sdtPr>
                <w:tag w:val="_PLD_0dfc6d612ce04e4ab91d7f5c675c7954"/>
                <w:id w:val="-940993351"/>
                <w:lock w:val="sdtLocked"/>
              </w:sdtPr>
              <w:sdtContent>
                <w:tc>
                  <w:tcPr>
                    <w:tcW w:w="947" w:type="pct"/>
                    <w:gridSpan w:val="3"/>
                    <w:shd w:val="clear" w:color="auto" w:fill="auto"/>
                    <w:vAlign w:val="center"/>
                  </w:tcPr>
                  <w:p>
                    <w:pPr>
                      <w:jc w:val="center"/>
                      <w:rPr>
                        <w:szCs w:val="21"/>
                      </w:rPr>
                    </w:pPr>
                    <w:r>
                      <w:rPr>
                        <w:rFonts w:hint="eastAsia"/>
                        <w:szCs w:val="21"/>
                      </w:rPr>
                      <w:t>土地使用权</w:t>
                    </w:r>
                  </w:p>
                </w:tc>
              </w:sdtContent>
            </w:sdt>
            <w:sdt>
              <w:sdtPr>
                <w:rPr>
                  <w:szCs w:val="21"/>
                </w:rPr>
                <w:alias w:val="无形资产明细－项目"/>
                <w:tag w:val="_GBC_1a0001be34594900ba0c5e610a635d50"/>
                <w:id w:val="-384799812"/>
                <w:lock w:val="sdtLocked"/>
              </w:sdtPr>
              <w:sdtEndPr>
                <w:rPr>
                  <w:rFonts w:hint="eastAsia"/>
                  <w:szCs w:val="21"/>
                </w:rPr>
              </w:sdtEndPr>
              <w:sdtContent>
                <w:tc>
                  <w:tcPr>
                    <w:tcW w:w="721" w:type="pct"/>
                    <w:shd w:val="clear" w:color="auto" w:fill="auto"/>
                    <w:vAlign w:val="center"/>
                  </w:tcPr>
                  <w:p>
                    <w:pPr>
                      <w:jc w:val="center"/>
                      <w:rPr>
                        <w:szCs w:val="21"/>
                      </w:rPr>
                    </w:pPr>
                    <w:r>
                      <w:rPr>
                        <w:rFonts w:hint="eastAsia"/>
                        <w:szCs w:val="21"/>
                      </w:rPr>
                      <w:t>商标权</w:t>
                    </w:r>
                  </w:p>
                </w:tc>
              </w:sdtContent>
            </w:sdt>
            <w:sdt>
              <w:sdtPr>
                <w:tag w:val="_PLD_0d5a6bdde1fe4f6d9dcc5cb928d96ee9"/>
                <w:id w:val="1822853341"/>
                <w:lock w:val="sdtLocked"/>
              </w:sdtPr>
              <w:sdtContent>
                <w:tc>
                  <w:tcPr>
                    <w:tcW w:w="655" w:type="pct"/>
                    <w:shd w:val="clear" w:color="auto" w:fill="auto"/>
                    <w:vAlign w:val="center"/>
                  </w:tcPr>
                  <w:p>
                    <w:pPr>
                      <w:jc w:val="center"/>
                      <w:rPr>
                        <w:szCs w:val="21"/>
                      </w:rPr>
                    </w:pPr>
                    <w:r>
                      <w:rPr>
                        <w:rFonts w:hint="eastAsia"/>
                        <w:szCs w:val="21"/>
                      </w:rPr>
                      <w:t>专利权</w:t>
                    </w:r>
                  </w:p>
                </w:tc>
              </w:sdtContent>
            </w:sdt>
            <w:sdt>
              <w:sdtPr>
                <w:rPr>
                  <w:szCs w:val="21"/>
                </w:rPr>
                <w:alias w:val="无形资产明细－项目"/>
                <w:tag w:val="_GBC_1a0001be34594900ba0c5e610a635d50"/>
                <w:id w:val="-455107194"/>
                <w:lock w:val="sdtLocked"/>
              </w:sdtPr>
              <w:sdtEndPr>
                <w:rPr>
                  <w:rFonts w:hint="eastAsia"/>
                  <w:szCs w:val="21"/>
                </w:rPr>
              </w:sdtEndPr>
              <w:sdtContent>
                <w:tc>
                  <w:tcPr>
                    <w:tcW w:w="656" w:type="pct"/>
                    <w:shd w:val="clear" w:color="auto" w:fill="auto"/>
                    <w:vAlign w:val="center"/>
                  </w:tcPr>
                  <w:p>
                    <w:pPr>
                      <w:jc w:val="center"/>
                      <w:rPr>
                        <w:szCs w:val="21"/>
                      </w:rPr>
                    </w:pPr>
                    <w:r>
                      <w:rPr>
                        <w:szCs w:val="21"/>
                      </w:rPr>
                      <w:t>软件</w:t>
                    </w:r>
                  </w:p>
                </w:tc>
              </w:sdtContent>
            </w:sdt>
            <w:sdt>
              <w:sdtPr>
                <w:rPr>
                  <w:szCs w:val="21"/>
                </w:rPr>
                <w:alias w:val="无形资产明细－项目"/>
                <w:tag w:val="_GBC_1a0001be34594900ba0c5e610a635d50"/>
                <w:id w:val="-2122140516"/>
                <w:lock w:val="sdtLocked"/>
              </w:sdtPr>
              <w:sdtEndPr>
                <w:rPr>
                  <w:rFonts w:hint="eastAsia"/>
                  <w:szCs w:val="21"/>
                </w:rPr>
              </w:sdtEndPr>
              <w:sdtContent>
                <w:tc>
                  <w:tcPr>
                    <w:tcW w:w="722" w:type="pct"/>
                    <w:shd w:val="clear" w:color="auto" w:fill="auto"/>
                    <w:vAlign w:val="center"/>
                  </w:tcPr>
                  <w:p>
                    <w:pPr>
                      <w:jc w:val="center"/>
                      <w:rPr>
                        <w:szCs w:val="21"/>
                      </w:rPr>
                    </w:pPr>
                    <w:r>
                      <w:rPr>
                        <w:szCs w:val="21"/>
                      </w:rPr>
                      <w:t>整车设计开发费</w:t>
                    </w:r>
                  </w:p>
                </w:tc>
              </w:sdtContent>
            </w:sdt>
            <w:sdt>
              <w:sdtPr>
                <w:tag w:val="_PLD_010a173744294c79817b77db863e3438"/>
                <w:id w:val="557291298"/>
                <w:lock w:val="sdtLocked"/>
              </w:sdtPr>
              <w:sdtContent>
                <w:tc>
                  <w:tcPr>
                    <w:tcW w:w="694" w:type="pct"/>
                    <w:shd w:val="clear" w:color="auto" w:fill="auto"/>
                    <w:vAlign w:val="center"/>
                  </w:tcPr>
                  <w:p>
                    <w:pPr>
                      <w:jc w:val="center"/>
                      <w:rPr>
                        <w:szCs w:val="21"/>
                      </w:rPr>
                    </w:pPr>
                    <w:r>
                      <w:rPr>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d38b2136312a4180852ade61efe6b93c"/>
                <w:id w:val="1656868485"/>
                <w:lock w:val="sdtLocked"/>
              </w:sdtPr>
              <w:sdtContent>
                <w:tc>
                  <w:tcPr>
                    <w:tcW w:w="5000" w:type="pct"/>
                    <w:gridSpan w:val="9"/>
                    <w:shd w:val="clear" w:color="auto" w:fill="auto"/>
                    <w:vAlign w:val="center"/>
                  </w:tcPr>
                  <w:p>
                    <w:pPr>
                      <w:rPr>
                        <w:szCs w:val="21"/>
                      </w:rPr>
                    </w:pPr>
                    <w:r>
                      <w:rPr>
                        <w:szCs w:val="21"/>
                      </w:rPr>
                      <w:t>一、</w:t>
                    </w:r>
                    <w:r>
                      <w:rPr>
                        <w:rFonts w:hint="eastAsia"/>
                        <w:szCs w:val="21"/>
                      </w:rPr>
                      <w:t>账面原值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c5adbbf7566848428d517f50646b04c1"/>
                <w:id w:val="1049875114"/>
                <w:lock w:val="sdtLocked"/>
              </w:sdtPr>
              <w:sdtContent>
                <w:tc>
                  <w:tcPr>
                    <w:tcW w:w="787" w:type="pct"/>
                    <w:gridSpan w:val="2"/>
                    <w:shd w:val="clear" w:color="auto" w:fill="auto"/>
                    <w:vAlign w:val="center"/>
                  </w:tcPr>
                  <w:p>
                    <w:pPr>
                      <w:rPr>
                        <w:szCs w:val="21"/>
                      </w:rPr>
                    </w:pPr>
                    <w:r>
                      <w:rPr>
                        <w:szCs w:val="21"/>
                      </w:rPr>
                      <w:t xml:space="preserve"> 1.</w:t>
                    </w:r>
                    <w:r>
                      <w:rPr>
                        <w:rFonts w:hint="eastAsia"/>
                        <w:szCs w:val="21"/>
                      </w:rPr>
                      <w:t>期</w:t>
                    </w:r>
                    <w:r>
                      <w:rPr>
                        <w:szCs w:val="21"/>
                      </w:rPr>
                      <w:t>初余额</w:t>
                    </w:r>
                  </w:p>
                </w:tc>
              </w:sdtContent>
            </w:sdt>
            <w:tc>
              <w:tcPr>
                <w:tcW w:w="765" w:type="pct"/>
                <w:gridSpan w:val="2"/>
                <w:shd w:val="clear" w:color="auto" w:fill="auto"/>
                <w:vAlign w:val="center"/>
              </w:tcPr>
              <w:p>
                <w:pPr>
                  <w:jc w:val="right"/>
                  <w:rPr>
                    <w:sz w:val="18"/>
                    <w:szCs w:val="18"/>
                  </w:rPr>
                </w:pPr>
                <w:r>
                  <w:rPr>
                    <w:sz w:val="18"/>
                    <w:szCs w:val="18"/>
                  </w:rPr>
                  <w:t>610,054,808.04</w:t>
                </w:r>
              </w:p>
            </w:tc>
            <w:tc>
              <w:tcPr>
                <w:tcW w:w="721" w:type="pct"/>
                <w:shd w:val="clear" w:color="auto" w:fill="auto"/>
                <w:vAlign w:val="center"/>
              </w:tcPr>
              <w:p>
                <w:pPr>
                  <w:jc w:val="right"/>
                  <w:rPr>
                    <w:sz w:val="18"/>
                    <w:szCs w:val="18"/>
                  </w:rPr>
                </w:pPr>
                <w:r>
                  <w:rPr>
                    <w:sz w:val="18"/>
                    <w:szCs w:val="18"/>
                  </w:rPr>
                  <w:t>6,132,752.89</w:t>
                </w:r>
              </w:p>
            </w:tc>
            <w:tc>
              <w:tcPr>
                <w:tcW w:w="655" w:type="pct"/>
                <w:shd w:val="clear" w:color="auto" w:fill="auto"/>
                <w:vAlign w:val="center"/>
              </w:tcPr>
              <w:p>
                <w:pPr>
                  <w:jc w:val="right"/>
                  <w:rPr>
                    <w:sz w:val="18"/>
                    <w:szCs w:val="18"/>
                  </w:rPr>
                </w:pPr>
                <w:r>
                  <w:rPr>
                    <w:sz w:val="18"/>
                    <w:szCs w:val="18"/>
                  </w:rPr>
                  <w:t>84,110,995.11</w:t>
                </w:r>
              </w:p>
            </w:tc>
            <w:tc>
              <w:tcPr>
                <w:tcW w:w="656" w:type="pct"/>
                <w:shd w:val="clear" w:color="auto" w:fill="auto"/>
                <w:vAlign w:val="center"/>
              </w:tcPr>
              <w:p>
                <w:pPr>
                  <w:jc w:val="right"/>
                  <w:rPr>
                    <w:sz w:val="18"/>
                    <w:szCs w:val="18"/>
                  </w:rPr>
                </w:pPr>
                <w:r>
                  <w:rPr>
                    <w:sz w:val="18"/>
                    <w:szCs w:val="18"/>
                  </w:rPr>
                  <w:t>66,098,982.82</w:t>
                </w:r>
              </w:p>
            </w:tc>
            <w:tc>
              <w:tcPr>
                <w:tcW w:w="722" w:type="pct"/>
                <w:shd w:val="clear" w:color="auto" w:fill="auto"/>
                <w:vAlign w:val="center"/>
              </w:tcPr>
              <w:p>
                <w:pPr>
                  <w:jc w:val="right"/>
                  <w:rPr>
                    <w:sz w:val="18"/>
                    <w:szCs w:val="18"/>
                  </w:rPr>
                </w:pPr>
                <w:r>
                  <w:rPr>
                    <w:sz w:val="18"/>
                    <w:szCs w:val="18"/>
                  </w:rPr>
                  <w:t>268,126,762.67</w:t>
                </w:r>
              </w:p>
            </w:tc>
            <w:tc>
              <w:tcPr>
                <w:tcW w:w="694" w:type="pct"/>
                <w:shd w:val="clear" w:color="auto" w:fill="auto"/>
                <w:vAlign w:val="center"/>
              </w:tcPr>
              <w:p>
                <w:pPr>
                  <w:jc w:val="right"/>
                  <w:rPr>
                    <w:sz w:val="18"/>
                    <w:szCs w:val="18"/>
                  </w:rPr>
                </w:pPr>
                <w:r>
                  <w:rPr>
                    <w:sz w:val="18"/>
                    <w:szCs w:val="18"/>
                  </w:rPr>
                  <w:t>1,034,524,301.53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b446630b07f4e06a5d143f4d4a21911"/>
                <w:id w:val="461621301"/>
                <w:lock w:val="sdtLocked"/>
              </w:sdtPr>
              <w:sdtContent>
                <w:tc>
                  <w:tcPr>
                    <w:tcW w:w="787" w:type="pct"/>
                    <w:gridSpan w:val="2"/>
                    <w:shd w:val="clear" w:color="auto" w:fill="auto"/>
                    <w:vAlign w:val="center"/>
                  </w:tcPr>
                  <w:p>
                    <w:pPr>
                      <w:rPr>
                        <w:szCs w:val="21"/>
                      </w:rPr>
                    </w:pPr>
                    <w:r>
                      <w:rPr>
                        <w:szCs w:val="21"/>
                      </w:rPr>
                      <w:t>2.本期增加</w:t>
                    </w:r>
                    <w:r>
                      <w:rPr>
                        <w:rFonts w:hint="eastAsia"/>
                        <w:szCs w:val="21"/>
                      </w:rPr>
                      <w:t>金额</w:t>
                    </w:r>
                  </w:p>
                </w:tc>
              </w:sdtContent>
            </w:sdt>
            <w:tc>
              <w:tcPr>
                <w:tcW w:w="765" w:type="pct"/>
                <w:gridSpan w:val="2"/>
                <w:shd w:val="clear" w:color="auto" w:fill="auto"/>
                <w:vAlign w:val="center"/>
              </w:tcPr>
              <w:p>
                <w:pPr>
                  <w:jc w:val="right"/>
                  <w:rPr>
                    <w:sz w:val="18"/>
                    <w:szCs w:val="18"/>
                  </w:rPr>
                </w:pPr>
                <w:r>
                  <w:rPr>
                    <w:sz w:val="18"/>
                    <w:szCs w:val="18"/>
                  </w:rPr>
                  <w:t>-606,374.22</w:t>
                </w:r>
              </w:p>
            </w:tc>
            <w:tc>
              <w:tcPr>
                <w:tcW w:w="721" w:type="pct"/>
                <w:shd w:val="clear" w:color="auto" w:fill="auto"/>
                <w:vAlign w:val="center"/>
              </w:tcPr>
              <w:p>
                <w:pPr>
                  <w:jc w:val="right"/>
                  <w:rPr>
                    <w:sz w:val="18"/>
                    <w:szCs w:val="18"/>
                  </w:rPr>
                </w:pPr>
                <w:r>
                  <w:rPr>
                    <w:sz w:val="18"/>
                    <w:szCs w:val="18"/>
                  </w:rPr>
                  <w:t>11,663.70</w:t>
                </w:r>
              </w:p>
            </w:tc>
            <w:tc>
              <w:tcPr>
                <w:tcW w:w="655" w:type="pct"/>
                <w:shd w:val="clear" w:color="auto" w:fill="auto"/>
                <w:vAlign w:val="center"/>
              </w:tcPr>
              <w:p>
                <w:pPr>
                  <w:jc w:val="right"/>
                  <w:rPr>
                    <w:sz w:val="18"/>
                    <w:szCs w:val="18"/>
                  </w:rPr>
                </w:pPr>
                <w:r>
                  <w:rPr>
                    <w:sz w:val="18"/>
                    <w:szCs w:val="18"/>
                  </w:rPr>
                  <w:t>185.00</w:t>
                </w:r>
              </w:p>
            </w:tc>
            <w:tc>
              <w:tcPr>
                <w:tcW w:w="656" w:type="pct"/>
                <w:shd w:val="clear" w:color="auto" w:fill="auto"/>
                <w:vAlign w:val="center"/>
              </w:tcPr>
              <w:p>
                <w:pPr>
                  <w:jc w:val="right"/>
                  <w:rPr>
                    <w:sz w:val="18"/>
                    <w:szCs w:val="18"/>
                  </w:rPr>
                </w:pPr>
                <w:r>
                  <w:rPr>
                    <w:sz w:val="18"/>
                    <w:szCs w:val="18"/>
                  </w:rPr>
                  <w:t>1,105,953.36</w:t>
                </w:r>
              </w:p>
            </w:tc>
            <w:tc>
              <w:tcPr>
                <w:tcW w:w="722" w:type="pct"/>
                <w:shd w:val="clear" w:color="auto" w:fill="auto"/>
                <w:vAlign w:val="center"/>
              </w:tcPr>
              <w:p>
                <w:pPr>
                  <w:jc w:val="right"/>
                  <w:rPr>
                    <w:sz w:val="18"/>
                    <w:szCs w:val="18"/>
                  </w:rPr>
                </w:pPr>
                <w:r>
                  <w:rPr>
                    <w:sz w:val="18"/>
                    <w:szCs w:val="18"/>
                  </w:rPr>
                  <w:t>-990,730.74</w:t>
                </w:r>
              </w:p>
            </w:tc>
            <w:tc>
              <w:tcPr>
                <w:tcW w:w="694" w:type="pct"/>
                <w:shd w:val="clear" w:color="auto" w:fill="auto"/>
                <w:vAlign w:val="center"/>
              </w:tcPr>
              <w:p>
                <w:pPr>
                  <w:jc w:val="right"/>
                  <w:rPr>
                    <w:sz w:val="18"/>
                    <w:szCs w:val="18"/>
                  </w:rPr>
                </w:pPr>
                <w:r>
                  <w:rPr>
                    <w:sz w:val="18"/>
                    <w:szCs w:val="18"/>
                  </w:rPr>
                  <w:t>-479,302.90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add88995250b4c76b28f71f8876082c0"/>
                <w:id w:val="16279"/>
                <w:lock w:val="sdtLocked"/>
              </w:sdtPr>
              <w:sdtContent>
                <w:tc>
                  <w:tcPr>
                    <w:tcW w:w="787" w:type="pct"/>
                    <w:gridSpan w:val="2"/>
                    <w:shd w:val="clear" w:color="auto" w:fill="auto"/>
                    <w:vAlign w:val="center"/>
                  </w:tcPr>
                  <w:p>
                    <w:pPr>
                      <w:rPr>
                        <w:szCs w:val="21"/>
                      </w:rPr>
                    </w:pPr>
                    <w:r>
                      <w:rPr>
                        <w:szCs w:val="21"/>
                      </w:rPr>
                      <w:t>(1)</w:t>
                    </w:r>
                    <w:r>
                      <w:rPr>
                        <w:rFonts w:hint="eastAsia"/>
                        <w:szCs w:val="21"/>
                      </w:rPr>
                      <w:t>购置</w:t>
                    </w:r>
                  </w:p>
                </w:tc>
              </w:sdtContent>
            </w:sdt>
            <w:tc>
              <w:tcPr>
                <w:tcW w:w="765" w:type="pct"/>
                <w:gridSpan w:val="2"/>
                <w:shd w:val="clear" w:color="auto" w:fill="auto"/>
                <w:vAlign w:val="center"/>
              </w:tcPr>
              <w:p>
                <w:pPr>
                  <w:jc w:val="right"/>
                  <w:rPr>
                    <w:sz w:val="18"/>
                    <w:szCs w:val="18"/>
                  </w:rPr>
                </w:pPr>
              </w:p>
            </w:tc>
            <w:tc>
              <w:tcPr>
                <w:tcW w:w="721" w:type="pct"/>
                <w:shd w:val="clear" w:color="auto" w:fill="auto"/>
                <w:vAlign w:val="center"/>
              </w:tcPr>
              <w:p>
                <w:pPr>
                  <w:jc w:val="right"/>
                  <w:rPr>
                    <w:sz w:val="18"/>
                    <w:szCs w:val="18"/>
                  </w:rPr>
                </w:pPr>
                <w:r>
                  <w:rPr>
                    <w:sz w:val="18"/>
                    <w:szCs w:val="18"/>
                  </w:rPr>
                  <w:t>16,633.67</w:t>
                </w:r>
              </w:p>
            </w:tc>
            <w:tc>
              <w:tcPr>
                <w:tcW w:w="655" w:type="pct"/>
                <w:shd w:val="clear" w:color="auto" w:fill="auto"/>
                <w:vAlign w:val="center"/>
              </w:tcPr>
              <w:p>
                <w:pPr>
                  <w:jc w:val="right"/>
                  <w:rPr>
                    <w:sz w:val="18"/>
                    <w:szCs w:val="18"/>
                  </w:rPr>
                </w:pPr>
                <w:r>
                  <w:rPr>
                    <w:sz w:val="18"/>
                    <w:szCs w:val="18"/>
                  </w:rPr>
                  <w:t>185.00</w:t>
                </w:r>
              </w:p>
            </w:tc>
            <w:tc>
              <w:tcPr>
                <w:tcW w:w="656" w:type="pct"/>
                <w:shd w:val="clear" w:color="auto" w:fill="auto"/>
                <w:vAlign w:val="center"/>
              </w:tcPr>
              <w:p>
                <w:pPr>
                  <w:jc w:val="right"/>
                  <w:rPr>
                    <w:sz w:val="18"/>
                    <w:szCs w:val="18"/>
                  </w:rPr>
                </w:pPr>
                <w:r>
                  <w:rPr>
                    <w:sz w:val="18"/>
                    <w:szCs w:val="18"/>
                  </w:rPr>
                  <w:t>205,511.53</w:t>
                </w:r>
              </w:p>
            </w:tc>
            <w:tc>
              <w:tcPr>
                <w:tcW w:w="722" w:type="pct"/>
                <w:shd w:val="clear" w:color="auto" w:fill="auto"/>
                <w:vAlign w:val="center"/>
              </w:tcPr>
              <w:p>
                <w:pPr>
                  <w:jc w:val="right"/>
                  <w:rPr>
                    <w:sz w:val="18"/>
                    <w:szCs w:val="18"/>
                  </w:rPr>
                </w:pPr>
              </w:p>
            </w:tc>
            <w:tc>
              <w:tcPr>
                <w:tcW w:w="694" w:type="pct"/>
                <w:shd w:val="clear" w:color="auto" w:fill="auto"/>
                <w:vAlign w:val="center"/>
              </w:tcPr>
              <w:p>
                <w:pPr>
                  <w:jc w:val="right"/>
                  <w:rPr>
                    <w:sz w:val="18"/>
                    <w:szCs w:val="18"/>
                  </w:rPr>
                </w:pPr>
                <w:r>
                  <w:rPr>
                    <w:sz w:val="18"/>
                    <w:szCs w:val="18"/>
                  </w:rPr>
                  <w:t>222,330.20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sdt>
              <w:sdtPr>
                <w:rPr>
                  <w:rFonts w:hint="eastAsia"/>
                  <w:szCs w:val="21"/>
                </w:rPr>
                <w:alias w:val="无形资产账面原值增加项目名称"/>
                <w:tag w:val="_GBC_d6a7b28bd7ca4aa39125f2767fd9ab9f"/>
                <w:id w:val="-866824082"/>
                <w:lock w:val="sdtLocked"/>
              </w:sdtPr>
              <w:sdtEndPr>
                <w:rPr>
                  <w:rFonts w:hint="eastAsia"/>
                  <w:szCs w:val="21"/>
                </w:rPr>
              </w:sdtEndPr>
              <w:sdtContent>
                <w:tc>
                  <w:tcPr>
                    <w:tcW w:w="787" w:type="pct"/>
                    <w:gridSpan w:val="2"/>
                    <w:shd w:val="clear" w:color="auto" w:fill="auto"/>
                  </w:tcPr>
                  <w:p>
                    <w:pPr>
                      <w:rPr>
                        <w:szCs w:val="21"/>
                      </w:rPr>
                    </w:pPr>
                    <w:r>
                      <w:rPr>
                        <w:rFonts w:hint="eastAsia"/>
                        <w:szCs w:val="21"/>
                      </w:rPr>
                      <w:t>(2)外币报表折算差额</w:t>
                    </w:r>
                  </w:p>
                </w:tc>
              </w:sdtContent>
            </w:sdt>
            <w:sdt>
              <w:sdtPr>
                <w:rPr>
                  <w:rFonts w:hint="eastAsia"/>
                  <w:sz w:val="18"/>
                  <w:szCs w:val="18"/>
                </w:rPr>
                <w:alias w:val="无形资产土地使用权账面原值增加项目金额"/>
                <w:tag w:val="_GBC_9d8bf2f510cd46118a3d12ca31768262"/>
                <w:id w:val="-198166431"/>
                <w:lock w:val="sdtLocked"/>
              </w:sdtPr>
              <w:sdtEndPr>
                <w:rPr>
                  <w:rFonts w:hint="eastAsia"/>
                  <w:sz w:val="18"/>
                  <w:szCs w:val="18"/>
                </w:rPr>
              </w:sdtEndPr>
              <w:sdtContent>
                <w:tc>
                  <w:tcPr>
                    <w:tcW w:w="765" w:type="pct"/>
                    <w:gridSpan w:val="2"/>
                    <w:shd w:val="clear" w:color="auto" w:fill="auto"/>
                    <w:vAlign w:val="center"/>
                  </w:tcPr>
                  <w:p>
                    <w:pPr>
                      <w:jc w:val="right"/>
                      <w:rPr>
                        <w:sz w:val="18"/>
                        <w:szCs w:val="18"/>
                      </w:rPr>
                    </w:pPr>
                    <w:r>
                      <w:rPr>
                        <w:rFonts w:hint="eastAsia"/>
                        <w:sz w:val="18"/>
                        <w:szCs w:val="18"/>
                      </w:rPr>
                      <w:t>-606,374.22</w:t>
                    </w:r>
                  </w:p>
                </w:tc>
              </w:sdtContent>
            </w:sdt>
            <w:sdt>
              <w:sdtPr>
                <w:rPr>
                  <w:rFonts w:hint="eastAsia"/>
                  <w:sz w:val="18"/>
                  <w:szCs w:val="18"/>
                </w:rPr>
                <w:alias w:val="无形资产账面原值增加项目金额"/>
                <w:tag w:val="_GBC_a6b096aacdf74ddbaab2733bf6200591"/>
                <w:id w:val="865492513"/>
                <w:lock w:val="sdtLocked"/>
              </w:sdtPr>
              <w:sdtEndPr>
                <w:rPr>
                  <w:rFonts w:hint="eastAsia"/>
                  <w:sz w:val="18"/>
                  <w:szCs w:val="18"/>
                </w:rPr>
              </w:sdtEndPr>
              <w:sdtContent>
                <w:tc>
                  <w:tcPr>
                    <w:tcW w:w="721" w:type="pct"/>
                    <w:shd w:val="clear" w:color="auto" w:fill="auto"/>
                    <w:vAlign w:val="center"/>
                  </w:tcPr>
                  <w:p>
                    <w:pPr>
                      <w:jc w:val="right"/>
                      <w:rPr>
                        <w:sz w:val="18"/>
                        <w:szCs w:val="18"/>
                      </w:rPr>
                    </w:pPr>
                    <w:r>
                      <w:rPr>
                        <w:rFonts w:hint="eastAsia"/>
                        <w:sz w:val="18"/>
                        <w:szCs w:val="18"/>
                      </w:rPr>
                      <w:t>-4,969.97</w:t>
                    </w:r>
                  </w:p>
                </w:tc>
              </w:sdtContent>
            </w:sdt>
            <w:sdt>
              <w:sdtPr>
                <w:rPr>
                  <w:rFonts w:hint="eastAsia"/>
                  <w:sz w:val="18"/>
                  <w:szCs w:val="18"/>
                </w:rPr>
                <w:alias w:val="无形资产专利权账面原值增加项目金额"/>
                <w:tag w:val="_GBC_76a1494991a248419118ce24b127e7dd"/>
                <w:id w:val="1837728185"/>
                <w:lock w:val="sdtLocked"/>
              </w:sdtPr>
              <w:sdtEndPr>
                <w:rPr>
                  <w:rFonts w:hint="eastAsia"/>
                  <w:sz w:val="18"/>
                  <w:szCs w:val="18"/>
                </w:rPr>
              </w:sdtEndPr>
              <w:sdtContent>
                <w:tc>
                  <w:tcPr>
                    <w:tcW w:w="655" w:type="pct"/>
                    <w:shd w:val="clear" w:color="auto" w:fill="auto"/>
                    <w:vAlign w:val="center"/>
                  </w:tcPr>
                  <w:p>
                    <w:pPr>
                      <w:jc w:val="right"/>
                      <w:rPr>
                        <w:sz w:val="18"/>
                        <w:szCs w:val="18"/>
                      </w:rPr>
                    </w:pPr>
                  </w:p>
                </w:tc>
              </w:sdtContent>
            </w:sdt>
            <w:sdt>
              <w:sdtPr>
                <w:rPr>
                  <w:rFonts w:hint="eastAsia"/>
                  <w:sz w:val="18"/>
                  <w:szCs w:val="18"/>
                </w:rPr>
                <w:alias w:val="无形资产账面原值增加项目金额"/>
                <w:tag w:val="_GBC_a6b096aacdf74ddbaab2733bf6200591"/>
                <w:id w:val="-522634034"/>
                <w:lock w:val="sdtLocked"/>
              </w:sdtPr>
              <w:sdtEndPr>
                <w:rPr>
                  <w:rFonts w:hint="eastAsia"/>
                  <w:sz w:val="18"/>
                  <w:szCs w:val="18"/>
                </w:rPr>
              </w:sdtEndPr>
              <w:sdtContent>
                <w:tc>
                  <w:tcPr>
                    <w:tcW w:w="656" w:type="pct"/>
                    <w:shd w:val="clear" w:color="auto" w:fill="auto"/>
                    <w:vAlign w:val="center"/>
                  </w:tcPr>
                  <w:p>
                    <w:pPr>
                      <w:jc w:val="right"/>
                      <w:rPr>
                        <w:sz w:val="18"/>
                        <w:szCs w:val="18"/>
                      </w:rPr>
                    </w:pPr>
                    <w:r>
                      <w:rPr>
                        <w:rFonts w:hint="eastAsia"/>
                        <w:sz w:val="18"/>
                        <w:szCs w:val="18"/>
                      </w:rPr>
                      <w:t>-90,288.91</w:t>
                    </w:r>
                  </w:p>
                </w:tc>
              </w:sdtContent>
            </w:sdt>
            <w:sdt>
              <w:sdtPr>
                <w:rPr>
                  <w:rFonts w:hint="eastAsia"/>
                  <w:sz w:val="18"/>
                  <w:szCs w:val="18"/>
                </w:rPr>
                <w:alias w:val="无形资产账面原值增加项目金额"/>
                <w:tag w:val="_GBC_a6b096aacdf74ddbaab2733bf6200591"/>
                <w:id w:val="-1029101965"/>
                <w:lock w:val="sdtLocked"/>
              </w:sdtPr>
              <w:sdtEndPr>
                <w:rPr>
                  <w:rFonts w:hint="eastAsia"/>
                  <w:sz w:val="18"/>
                  <w:szCs w:val="18"/>
                </w:rPr>
              </w:sdtEndPr>
              <w:sdtContent>
                <w:tc>
                  <w:tcPr>
                    <w:tcW w:w="722" w:type="pct"/>
                    <w:shd w:val="clear" w:color="auto" w:fill="auto"/>
                    <w:vAlign w:val="center"/>
                  </w:tcPr>
                  <w:p>
                    <w:pPr>
                      <w:jc w:val="right"/>
                      <w:rPr>
                        <w:sz w:val="18"/>
                        <w:szCs w:val="18"/>
                      </w:rPr>
                    </w:pPr>
                  </w:p>
                </w:tc>
              </w:sdtContent>
            </w:sdt>
            <w:sdt>
              <w:sdtPr>
                <w:rPr>
                  <w:rFonts w:hint="eastAsia"/>
                  <w:sz w:val="18"/>
                  <w:szCs w:val="18"/>
                </w:rPr>
                <w:alias w:val="无形资产账面原值增加项目合计金额"/>
                <w:tag w:val="_GBC_f430b82dfa64408097d661b35d65c080"/>
                <w:id w:val="1763332215"/>
                <w:lock w:val="sdtLocked"/>
              </w:sdtPr>
              <w:sdtEndPr>
                <w:rPr>
                  <w:rFonts w:hint="eastAsia"/>
                  <w:sz w:val="18"/>
                  <w:szCs w:val="18"/>
                </w:rPr>
              </w:sdtEndPr>
              <w:sdtContent>
                <w:tc>
                  <w:tcPr>
                    <w:tcW w:w="694" w:type="pct"/>
                    <w:shd w:val="clear" w:color="auto" w:fill="auto"/>
                    <w:vAlign w:val="center"/>
                  </w:tcPr>
                  <w:p>
                    <w:pPr>
                      <w:jc w:val="right"/>
                      <w:rPr>
                        <w:sz w:val="18"/>
                        <w:szCs w:val="18"/>
                      </w:rPr>
                    </w:pPr>
                    <w:r>
                      <w:rPr>
                        <w:rFonts w:hint="eastAsia"/>
                        <w:sz w:val="18"/>
                        <w:szCs w:val="18"/>
                      </w:rPr>
                      <w:t>-701,633.10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sdt>
              <w:sdtPr>
                <w:rPr>
                  <w:rFonts w:hint="eastAsia"/>
                  <w:szCs w:val="21"/>
                </w:rPr>
                <w:alias w:val="无形资产账面原值增加项目名称"/>
                <w:tag w:val="_GBC_d6a7b28bd7ca4aa39125f2767fd9ab9f"/>
                <w:id w:val="832488779"/>
                <w:lock w:val="sdtLocked"/>
              </w:sdtPr>
              <w:sdtEndPr>
                <w:rPr>
                  <w:rFonts w:hint="eastAsia"/>
                  <w:szCs w:val="21"/>
                </w:rPr>
              </w:sdtEndPr>
              <w:sdtContent>
                <w:tc>
                  <w:tcPr>
                    <w:tcW w:w="787" w:type="pct"/>
                    <w:gridSpan w:val="2"/>
                    <w:shd w:val="clear" w:color="auto" w:fill="auto"/>
                  </w:tcPr>
                  <w:p>
                    <w:pPr>
                      <w:rPr>
                        <w:szCs w:val="21"/>
                      </w:rPr>
                    </w:pPr>
                    <w:r>
                      <w:rPr>
                        <w:rFonts w:hint="eastAsia"/>
                        <w:szCs w:val="21"/>
                      </w:rPr>
                      <w:t>(3)重分类</w:t>
                    </w:r>
                  </w:p>
                </w:tc>
              </w:sdtContent>
            </w:sdt>
            <w:sdt>
              <w:sdtPr>
                <w:rPr>
                  <w:rFonts w:hint="eastAsia"/>
                  <w:sz w:val="18"/>
                  <w:szCs w:val="18"/>
                </w:rPr>
                <w:alias w:val="无形资产土地使用权账面原值增加项目金额"/>
                <w:tag w:val="_GBC_9d8bf2f510cd46118a3d12ca31768262"/>
                <w:id w:val="1029840755"/>
                <w:lock w:val="sdtLocked"/>
              </w:sdtPr>
              <w:sdtEndPr>
                <w:rPr>
                  <w:rFonts w:hint="eastAsia"/>
                  <w:sz w:val="18"/>
                  <w:szCs w:val="18"/>
                </w:rPr>
              </w:sdtEndPr>
              <w:sdtContent>
                <w:tc>
                  <w:tcPr>
                    <w:tcW w:w="765" w:type="pct"/>
                    <w:gridSpan w:val="2"/>
                    <w:shd w:val="clear" w:color="auto" w:fill="auto"/>
                    <w:vAlign w:val="center"/>
                  </w:tcPr>
                  <w:p>
                    <w:pPr>
                      <w:jc w:val="right"/>
                      <w:rPr>
                        <w:sz w:val="18"/>
                        <w:szCs w:val="18"/>
                      </w:rPr>
                    </w:pPr>
                  </w:p>
                </w:tc>
              </w:sdtContent>
            </w:sdt>
            <w:sdt>
              <w:sdtPr>
                <w:rPr>
                  <w:rFonts w:hint="eastAsia"/>
                  <w:sz w:val="18"/>
                  <w:szCs w:val="18"/>
                </w:rPr>
                <w:alias w:val="无形资产账面原值增加项目金额"/>
                <w:tag w:val="_GBC_a6b096aacdf74ddbaab2733bf6200591"/>
                <w:id w:val="-800451915"/>
                <w:lock w:val="sdtLocked"/>
              </w:sdtPr>
              <w:sdtEndPr>
                <w:rPr>
                  <w:rFonts w:hint="eastAsia"/>
                  <w:sz w:val="18"/>
                  <w:szCs w:val="18"/>
                </w:rPr>
              </w:sdtEndPr>
              <w:sdtContent>
                <w:tc>
                  <w:tcPr>
                    <w:tcW w:w="721" w:type="pct"/>
                    <w:shd w:val="clear" w:color="auto" w:fill="auto"/>
                    <w:vAlign w:val="center"/>
                  </w:tcPr>
                  <w:p>
                    <w:pPr>
                      <w:jc w:val="right"/>
                      <w:rPr>
                        <w:sz w:val="18"/>
                        <w:szCs w:val="18"/>
                      </w:rPr>
                    </w:pPr>
                  </w:p>
                </w:tc>
              </w:sdtContent>
            </w:sdt>
            <w:sdt>
              <w:sdtPr>
                <w:rPr>
                  <w:rFonts w:hint="eastAsia"/>
                  <w:sz w:val="18"/>
                  <w:szCs w:val="18"/>
                </w:rPr>
                <w:alias w:val="无形资产专利权账面原值增加项目金额"/>
                <w:tag w:val="_GBC_76a1494991a248419118ce24b127e7dd"/>
                <w:id w:val="-217826070"/>
                <w:lock w:val="sdtLocked"/>
              </w:sdtPr>
              <w:sdtEndPr>
                <w:rPr>
                  <w:rFonts w:hint="eastAsia"/>
                  <w:sz w:val="18"/>
                  <w:szCs w:val="18"/>
                </w:rPr>
              </w:sdtEndPr>
              <w:sdtContent>
                <w:tc>
                  <w:tcPr>
                    <w:tcW w:w="655" w:type="pct"/>
                    <w:shd w:val="clear" w:color="auto" w:fill="auto"/>
                    <w:vAlign w:val="center"/>
                  </w:tcPr>
                  <w:p>
                    <w:pPr>
                      <w:jc w:val="right"/>
                      <w:rPr>
                        <w:sz w:val="18"/>
                        <w:szCs w:val="18"/>
                      </w:rPr>
                    </w:pPr>
                  </w:p>
                </w:tc>
              </w:sdtContent>
            </w:sdt>
            <w:sdt>
              <w:sdtPr>
                <w:rPr>
                  <w:rFonts w:hint="eastAsia"/>
                  <w:sz w:val="18"/>
                  <w:szCs w:val="18"/>
                </w:rPr>
                <w:alias w:val="无形资产账面原值增加项目金额"/>
                <w:tag w:val="_GBC_a6b096aacdf74ddbaab2733bf6200591"/>
                <w:id w:val="959539408"/>
                <w:lock w:val="sdtLocked"/>
              </w:sdtPr>
              <w:sdtEndPr>
                <w:rPr>
                  <w:rFonts w:hint="eastAsia"/>
                  <w:sz w:val="18"/>
                  <w:szCs w:val="18"/>
                </w:rPr>
              </w:sdtEndPr>
              <w:sdtContent>
                <w:tc>
                  <w:tcPr>
                    <w:tcW w:w="656" w:type="pct"/>
                    <w:shd w:val="clear" w:color="auto" w:fill="auto"/>
                    <w:vAlign w:val="center"/>
                  </w:tcPr>
                  <w:p>
                    <w:pPr>
                      <w:jc w:val="right"/>
                      <w:rPr>
                        <w:sz w:val="18"/>
                        <w:szCs w:val="18"/>
                      </w:rPr>
                    </w:pPr>
                    <w:r>
                      <w:rPr>
                        <w:rFonts w:hint="eastAsia"/>
                        <w:sz w:val="18"/>
                        <w:szCs w:val="18"/>
                      </w:rPr>
                      <w:t>990,730.74</w:t>
                    </w:r>
                  </w:p>
                </w:tc>
              </w:sdtContent>
            </w:sdt>
            <w:sdt>
              <w:sdtPr>
                <w:rPr>
                  <w:rFonts w:hint="eastAsia"/>
                  <w:sz w:val="18"/>
                  <w:szCs w:val="18"/>
                </w:rPr>
                <w:alias w:val="无形资产账面原值增加项目金额"/>
                <w:tag w:val="_GBC_a6b096aacdf74ddbaab2733bf6200591"/>
                <w:id w:val="1208599507"/>
                <w:lock w:val="sdtLocked"/>
              </w:sdtPr>
              <w:sdtEndPr>
                <w:rPr>
                  <w:rFonts w:hint="eastAsia"/>
                  <w:sz w:val="18"/>
                  <w:szCs w:val="18"/>
                </w:rPr>
              </w:sdtEndPr>
              <w:sdtContent>
                <w:tc>
                  <w:tcPr>
                    <w:tcW w:w="722" w:type="pct"/>
                    <w:shd w:val="clear" w:color="auto" w:fill="auto"/>
                    <w:vAlign w:val="center"/>
                  </w:tcPr>
                  <w:p>
                    <w:pPr>
                      <w:jc w:val="right"/>
                      <w:rPr>
                        <w:sz w:val="18"/>
                        <w:szCs w:val="18"/>
                      </w:rPr>
                    </w:pPr>
                    <w:r>
                      <w:rPr>
                        <w:rFonts w:hint="eastAsia"/>
                        <w:sz w:val="18"/>
                        <w:szCs w:val="18"/>
                      </w:rPr>
                      <w:t>-990,730.74</w:t>
                    </w:r>
                  </w:p>
                </w:tc>
              </w:sdtContent>
            </w:sdt>
            <w:sdt>
              <w:sdtPr>
                <w:rPr>
                  <w:rFonts w:hint="eastAsia"/>
                  <w:sz w:val="18"/>
                  <w:szCs w:val="18"/>
                </w:rPr>
                <w:alias w:val="无形资产账面原值增加项目合计金额"/>
                <w:tag w:val="_GBC_f430b82dfa64408097d661b35d65c080"/>
                <w:id w:val="-414784378"/>
                <w:lock w:val="sdtLocked"/>
              </w:sdtPr>
              <w:sdtEndPr>
                <w:rPr>
                  <w:rFonts w:hint="eastAsia"/>
                  <w:sz w:val="18"/>
                  <w:szCs w:val="18"/>
                </w:rPr>
              </w:sdtEndPr>
              <w:sdtContent>
                <w:tc>
                  <w:tcPr>
                    <w:tcW w:w="694" w:type="pct"/>
                    <w:shd w:val="clear" w:color="auto" w:fill="auto"/>
                    <w:vAlign w:val="center"/>
                  </w:tcPr>
                  <w:p>
                    <w:pPr>
                      <w:jc w:val="right"/>
                      <w:rPr>
                        <w:sz w:val="18"/>
                        <w:szCs w:val="18"/>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ef6de8d106a344419ba63c194a180aab"/>
                <w:id w:val="1215321480"/>
                <w:lock w:val="sdtLocked"/>
              </w:sdtPr>
              <w:sdtContent>
                <w:tc>
                  <w:tcPr>
                    <w:tcW w:w="787" w:type="pct"/>
                    <w:gridSpan w:val="2"/>
                    <w:shd w:val="clear" w:color="auto" w:fill="auto"/>
                    <w:vAlign w:val="center"/>
                  </w:tcPr>
                  <w:p>
                    <w:pPr>
                      <w:rPr>
                        <w:szCs w:val="21"/>
                      </w:rPr>
                    </w:pPr>
                    <w:r>
                      <w:rPr>
                        <w:szCs w:val="21"/>
                      </w:rPr>
                      <w:t>3.本期减少</w:t>
                    </w:r>
                    <w:r>
                      <w:rPr>
                        <w:rFonts w:hint="eastAsia"/>
                        <w:szCs w:val="21"/>
                      </w:rPr>
                      <w:t>金额</w:t>
                    </w:r>
                  </w:p>
                </w:tc>
              </w:sdtContent>
            </w:sdt>
            <w:tc>
              <w:tcPr>
                <w:tcW w:w="765" w:type="pct"/>
                <w:gridSpan w:val="2"/>
                <w:shd w:val="clear" w:color="auto" w:fill="auto"/>
                <w:vAlign w:val="center"/>
              </w:tcPr>
              <w:p>
                <w:pPr>
                  <w:jc w:val="right"/>
                  <w:rPr>
                    <w:sz w:val="18"/>
                    <w:szCs w:val="18"/>
                  </w:rPr>
                </w:pPr>
              </w:p>
            </w:tc>
            <w:tc>
              <w:tcPr>
                <w:tcW w:w="721" w:type="pct"/>
                <w:shd w:val="clear" w:color="auto" w:fill="auto"/>
                <w:vAlign w:val="center"/>
              </w:tcPr>
              <w:p>
                <w:pPr>
                  <w:jc w:val="right"/>
                  <w:rPr>
                    <w:sz w:val="18"/>
                    <w:szCs w:val="18"/>
                  </w:rPr>
                </w:pPr>
                <w:r>
                  <w:rPr>
                    <w:sz w:val="18"/>
                    <w:szCs w:val="18"/>
                  </w:rPr>
                  <w:t>39,123.26</w:t>
                </w:r>
              </w:p>
            </w:tc>
            <w:tc>
              <w:tcPr>
                <w:tcW w:w="655" w:type="pct"/>
                <w:shd w:val="clear" w:color="auto" w:fill="auto"/>
                <w:vAlign w:val="center"/>
              </w:tcPr>
              <w:p>
                <w:pPr>
                  <w:jc w:val="right"/>
                  <w:rPr>
                    <w:sz w:val="18"/>
                    <w:szCs w:val="18"/>
                  </w:rPr>
                </w:pPr>
                <w:r>
                  <w:rPr>
                    <w:sz w:val="18"/>
                    <w:szCs w:val="18"/>
                  </w:rPr>
                  <w:t>1,793,453.77</w:t>
                </w:r>
              </w:p>
            </w:tc>
            <w:tc>
              <w:tcPr>
                <w:tcW w:w="656" w:type="pct"/>
                <w:shd w:val="clear" w:color="auto" w:fill="auto"/>
                <w:vAlign w:val="center"/>
              </w:tcPr>
              <w:p>
                <w:pPr>
                  <w:jc w:val="right"/>
                  <w:rPr>
                    <w:sz w:val="18"/>
                    <w:szCs w:val="18"/>
                  </w:rPr>
                </w:pPr>
                <w:r>
                  <w:rPr>
                    <w:sz w:val="18"/>
                    <w:szCs w:val="18"/>
                  </w:rPr>
                  <w:t>51,282.05</w:t>
                </w:r>
              </w:p>
            </w:tc>
            <w:tc>
              <w:tcPr>
                <w:tcW w:w="722" w:type="pct"/>
                <w:shd w:val="clear" w:color="auto" w:fill="auto"/>
                <w:vAlign w:val="center"/>
              </w:tcPr>
              <w:p>
                <w:pPr>
                  <w:jc w:val="right"/>
                  <w:rPr>
                    <w:sz w:val="18"/>
                    <w:szCs w:val="18"/>
                  </w:rPr>
                </w:pPr>
                <w:r>
                  <w:rPr>
                    <w:sz w:val="18"/>
                    <w:szCs w:val="18"/>
                  </w:rPr>
                  <w:t>40,051,096.45</w:t>
                </w:r>
              </w:p>
            </w:tc>
            <w:tc>
              <w:tcPr>
                <w:tcW w:w="694" w:type="pct"/>
                <w:shd w:val="clear" w:color="auto" w:fill="auto"/>
                <w:vAlign w:val="center"/>
              </w:tcPr>
              <w:p>
                <w:pPr>
                  <w:jc w:val="right"/>
                  <w:rPr>
                    <w:sz w:val="18"/>
                    <w:szCs w:val="18"/>
                  </w:rPr>
                </w:pPr>
                <w:r>
                  <w:rPr>
                    <w:sz w:val="18"/>
                    <w:szCs w:val="18"/>
                  </w:rPr>
                  <w:t>41,934,955.53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a2dde99d637c467abd414e8ab49b893b"/>
                <w:id w:val="-1559318907"/>
                <w:lock w:val="sdtLocked"/>
              </w:sdtPr>
              <w:sdtContent>
                <w:tc>
                  <w:tcPr>
                    <w:tcW w:w="787" w:type="pct"/>
                    <w:gridSpan w:val="2"/>
                    <w:shd w:val="clear" w:color="auto" w:fill="auto"/>
                    <w:vAlign w:val="center"/>
                  </w:tcPr>
                  <w:p>
                    <w:pPr>
                      <w:rPr>
                        <w:szCs w:val="21"/>
                      </w:rPr>
                    </w:pPr>
                    <w:r>
                      <w:rPr>
                        <w:szCs w:val="21"/>
                      </w:rPr>
                      <w:t>(</w:t>
                    </w:r>
                    <w:r>
                      <w:rPr>
                        <w:rFonts w:hint="eastAsia"/>
                        <w:szCs w:val="21"/>
                      </w:rPr>
                      <w:t>1</w:t>
                    </w:r>
                    <w:r>
                      <w:rPr>
                        <w:szCs w:val="21"/>
                      </w:rPr>
                      <w:t>)</w:t>
                    </w:r>
                    <w:r>
                      <w:rPr>
                        <w:rFonts w:hint="eastAsia"/>
                        <w:szCs w:val="21"/>
                      </w:rPr>
                      <w:t>处置</w:t>
                    </w:r>
                  </w:p>
                </w:tc>
              </w:sdtContent>
            </w:sdt>
            <w:tc>
              <w:tcPr>
                <w:tcW w:w="765" w:type="pct"/>
                <w:gridSpan w:val="2"/>
                <w:shd w:val="clear" w:color="auto" w:fill="auto"/>
                <w:vAlign w:val="center"/>
              </w:tcPr>
              <w:p>
                <w:pPr>
                  <w:jc w:val="right"/>
                  <w:rPr>
                    <w:sz w:val="18"/>
                    <w:szCs w:val="18"/>
                  </w:rPr>
                </w:pPr>
              </w:p>
            </w:tc>
            <w:tc>
              <w:tcPr>
                <w:tcW w:w="721" w:type="pct"/>
                <w:shd w:val="clear" w:color="auto" w:fill="auto"/>
                <w:vAlign w:val="center"/>
              </w:tcPr>
              <w:p>
                <w:pPr>
                  <w:jc w:val="right"/>
                  <w:rPr>
                    <w:sz w:val="18"/>
                    <w:szCs w:val="18"/>
                  </w:rPr>
                </w:pPr>
                <w:r>
                  <w:rPr>
                    <w:sz w:val="18"/>
                    <w:szCs w:val="18"/>
                  </w:rPr>
                  <w:t>39,123.26</w:t>
                </w:r>
              </w:p>
            </w:tc>
            <w:tc>
              <w:tcPr>
                <w:tcW w:w="655" w:type="pct"/>
                <w:shd w:val="clear" w:color="auto" w:fill="auto"/>
                <w:vAlign w:val="center"/>
              </w:tcPr>
              <w:p>
                <w:pPr>
                  <w:jc w:val="right"/>
                  <w:rPr>
                    <w:sz w:val="18"/>
                    <w:szCs w:val="18"/>
                  </w:rPr>
                </w:pPr>
                <w:r>
                  <w:rPr>
                    <w:sz w:val="18"/>
                    <w:szCs w:val="18"/>
                  </w:rPr>
                  <w:t>1,793,453.77</w:t>
                </w:r>
              </w:p>
            </w:tc>
            <w:tc>
              <w:tcPr>
                <w:tcW w:w="656" w:type="pct"/>
                <w:shd w:val="clear" w:color="auto" w:fill="auto"/>
                <w:vAlign w:val="center"/>
              </w:tcPr>
              <w:p>
                <w:pPr>
                  <w:jc w:val="right"/>
                  <w:rPr>
                    <w:sz w:val="18"/>
                    <w:szCs w:val="18"/>
                  </w:rPr>
                </w:pPr>
                <w:r>
                  <w:rPr>
                    <w:sz w:val="18"/>
                    <w:szCs w:val="18"/>
                  </w:rPr>
                  <w:t>51,282.05</w:t>
                </w:r>
              </w:p>
            </w:tc>
            <w:tc>
              <w:tcPr>
                <w:tcW w:w="722" w:type="pct"/>
                <w:shd w:val="clear" w:color="auto" w:fill="auto"/>
                <w:vAlign w:val="center"/>
              </w:tcPr>
              <w:p>
                <w:pPr>
                  <w:jc w:val="right"/>
                  <w:rPr>
                    <w:sz w:val="18"/>
                    <w:szCs w:val="18"/>
                  </w:rPr>
                </w:pPr>
                <w:r>
                  <w:rPr>
                    <w:sz w:val="18"/>
                    <w:szCs w:val="18"/>
                  </w:rPr>
                  <w:t>33,895,096.45</w:t>
                </w:r>
              </w:p>
            </w:tc>
            <w:tc>
              <w:tcPr>
                <w:tcW w:w="694" w:type="pct"/>
                <w:shd w:val="clear" w:color="auto" w:fill="auto"/>
                <w:vAlign w:val="center"/>
              </w:tcPr>
              <w:p>
                <w:pPr>
                  <w:jc w:val="right"/>
                  <w:rPr>
                    <w:sz w:val="18"/>
                    <w:szCs w:val="18"/>
                  </w:rPr>
                </w:pPr>
                <w:r>
                  <w:rPr>
                    <w:sz w:val="18"/>
                    <w:szCs w:val="18"/>
                  </w:rPr>
                  <w:t>35,778,955.53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sdt>
              <w:sdtPr>
                <w:rPr>
                  <w:rFonts w:hint="eastAsia"/>
                  <w:szCs w:val="21"/>
                </w:rPr>
                <w:alias w:val="无形资产账面原值减少项目名称"/>
                <w:tag w:val="_GBC_5d3e5a9fbe294b2894dce189a919753d"/>
                <w:id w:val="-2057152287"/>
                <w:lock w:val="sdtLocked"/>
              </w:sdtPr>
              <w:sdtEndPr>
                <w:rPr>
                  <w:rFonts w:hint="eastAsia"/>
                  <w:szCs w:val="21"/>
                </w:rPr>
              </w:sdtEndPr>
              <w:sdtContent>
                <w:tc>
                  <w:tcPr>
                    <w:tcW w:w="787" w:type="pct"/>
                    <w:gridSpan w:val="2"/>
                    <w:shd w:val="clear" w:color="auto" w:fill="auto"/>
                  </w:tcPr>
                  <w:p>
                    <w:pPr>
                      <w:rPr>
                        <w:szCs w:val="21"/>
                      </w:rPr>
                    </w:pPr>
                    <w:r>
                      <w:rPr>
                        <w:rFonts w:hint="eastAsia"/>
                        <w:szCs w:val="21"/>
                      </w:rPr>
                      <w:t>（2）处置子公司</w:t>
                    </w:r>
                  </w:p>
                </w:tc>
              </w:sdtContent>
            </w:sdt>
            <w:sdt>
              <w:sdtPr>
                <w:rPr>
                  <w:rFonts w:hint="eastAsia"/>
                  <w:sz w:val="18"/>
                  <w:szCs w:val="18"/>
                </w:rPr>
                <w:alias w:val="无形资产土地使用权账面原值减少项目金额"/>
                <w:tag w:val="_GBC_0304a00b013f4386af4344e6ae1ac673"/>
                <w:id w:val="343442647"/>
                <w:lock w:val="sdtLocked"/>
              </w:sdtPr>
              <w:sdtEndPr>
                <w:rPr>
                  <w:rFonts w:hint="eastAsia"/>
                  <w:sz w:val="18"/>
                  <w:szCs w:val="18"/>
                </w:rPr>
              </w:sdtEndPr>
              <w:sdtContent>
                <w:tc>
                  <w:tcPr>
                    <w:tcW w:w="765" w:type="pct"/>
                    <w:gridSpan w:val="2"/>
                    <w:shd w:val="clear" w:color="auto" w:fill="auto"/>
                    <w:vAlign w:val="center"/>
                  </w:tcPr>
                  <w:p>
                    <w:pPr>
                      <w:jc w:val="right"/>
                      <w:rPr>
                        <w:sz w:val="18"/>
                        <w:szCs w:val="18"/>
                      </w:rPr>
                    </w:pPr>
                  </w:p>
                </w:tc>
              </w:sdtContent>
            </w:sdt>
            <w:sdt>
              <w:sdtPr>
                <w:rPr>
                  <w:rFonts w:hint="eastAsia"/>
                  <w:sz w:val="18"/>
                  <w:szCs w:val="18"/>
                </w:rPr>
                <w:alias w:val="无形资产账面原值减少项目金额"/>
                <w:tag w:val="_GBC_be652c29a5db4d8ca24b58de75438604"/>
                <w:id w:val="2026208013"/>
                <w:lock w:val="sdtLocked"/>
              </w:sdtPr>
              <w:sdtEndPr>
                <w:rPr>
                  <w:rFonts w:hint="eastAsia"/>
                  <w:sz w:val="18"/>
                  <w:szCs w:val="18"/>
                </w:rPr>
              </w:sdtEndPr>
              <w:sdtContent>
                <w:tc>
                  <w:tcPr>
                    <w:tcW w:w="721" w:type="pct"/>
                    <w:shd w:val="clear" w:color="auto" w:fill="auto"/>
                    <w:vAlign w:val="center"/>
                  </w:tcPr>
                  <w:p>
                    <w:pPr>
                      <w:jc w:val="right"/>
                      <w:rPr>
                        <w:sz w:val="18"/>
                        <w:szCs w:val="18"/>
                      </w:rPr>
                    </w:pPr>
                  </w:p>
                </w:tc>
              </w:sdtContent>
            </w:sdt>
            <w:sdt>
              <w:sdtPr>
                <w:rPr>
                  <w:rFonts w:hint="eastAsia"/>
                  <w:sz w:val="18"/>
                  <w:szCs w:val="18"/>
                </w:rPr>
                <w:alias w:val="无形资产专利权账面原值减少项目金额"/>
                <w:tag w:val="_GBC_cd20e8c16be54fc6a9bf7b9b7271b2af"/>
                <w:id w:val="-123927120"/>
                <w:lock w:val="sdtLocked"/>
                <w:showingPlcHdr/>
              </w:sdtPr>
              <w:sdtEndPr>
                <w:rPr>
                  <w:rFonts w:hint="eastAsia"/>
                  <w:sz w:val="18"/>
                  <w:szCs w:val="18"/>
                </w:rPr>
              </w:sdtEndPr>
              <w:sdtContent>
                <w:tc>
                  <w:tcPr>
                    <w:tcW w:w="655" w:type="pct"/>
                    <w:shd w:val="clear" w:color="auto" w:fill="auto"/>
                    <w:vAlign w:val="center"/>
                  </w:tcPr>
                  <w:p>
                    <w:pPr>
                      <w:jc w:val="right"/>
                      <w:rPr>
                        <w:sz w:val="18"/>
                        <w:szCs w:val="18"/>
                      </w:rPr>
                    </w:pPr>
                  </w:p>
                </w:tc>
              </w:sdtContent>
            </w:sdt>
            <w:sdt>
              <w:sdtPr>
                <w:rPr>
                  <w:rFonts w:hint="eastAsia"/>
                  <w:sz w:val="18"/>
                  <w:szCs w:val="18"/>
                </w:rPr>
                <w:alias w:val="无形资产账面原值减少项目金额"/>
                <w:tag w:val="_GBC_be652c29a5db4d8ca24b58de75438604"/>
                <w:id w:val="1913198958"/>
                <w:lock w:val="sdtLocked"/>
              </w:sdtPr>
              <w:sdtEndPr>
                <w:rPr>
                  <w:rFonts w:hint="eastAsia"/>
                  <w:sz w:val="18"/>
                  <w:szCs w:val="18"/>
                </w:rPr>
              </w:sdtEndPr>
              <w:sdtContent>
                <w:tc>
                  <w:tcPr>
                    <w:tcW w:w="656" w:type="pct"/>
                    <w:shd w:val="clear" w:color="auto" w:fill="auto"/>
                    <w:vAlign w:val="center"/>
                  </w:tcPr>
                  <w:p>
                    <w:pPr>
                      <w:jc w:val="right"/>
                      <w:rPr>
                        <w:sz w:val="18"/>
                        <w:szCs w:val="18"/>
                      </w:rPr>
                    </w:pPr>
                  </w:p>
                </w:tc>
              </w:sdtContent>
            </w:sdt>
            <w:sdt>
              <w:sdtPr>
                <w:rPr>
                  <w:rFonts w:hint="eastAsia"/>
                  <w:sz w:val="18"/>
                  <w:szCs w:val="18"/>
                </w:rPr>
                <w:alias w:val="无形资产账面原值减少项目金额"/>
                <w:tag w:val="_GBC_be652c29a5db4d8ca24b58de75438604"/>
                <w:id w:val="-564948019"/>
                <w:lock w:val="sdtLocked"/>
              </w:sdtPr>
              <w:sdtEndPr>
                <w:rPr>
                  <w:rFonts w:hint="eastAsia"/>
                  <w:sz w:val="18"/>
                  <w:szCs w:val="18"/>
                </w:rPr>
              </w:sdtEndPr>
              <w:sdtContent>
                <w:tc>
                  <w:tcPr>
                    <w:tcW w:w="722" w:type="pct"/>
                    <w:shd w:val="clear" w:color="auto" w:fill="auto"/>
                    <w:vAlign w:val="center"/>
                  </w:tcPr>
                  <w:p>
                    <w:pPr>
                      <w:jc w:val="right"/>
                      <w:rPr>
                        <w:sz w:val="18"/>
                        <w:szCs w:val="18"/>
                      </w:rPr>
                    </w:pPr>
                    <w:r>
                      <w:rPr>
                        <w:rFonts w:hint="eastAsia"/>
                        <w:sz w:val="18"/>
                        <w:szCs w:val="18"/>
                      </w:rPr>
                      <w:t>6,156,000.00</w:t>
                    </w:r>
                  </w:p>
                </w:tc>
              </w:sdtContent>
            </w:sdt>
            <w:sdt>
              <w:sdtPr>
                <w:rPr>
                  <w:rFonts w:hint="eastAsia"/>
                  <w:sz w:val="18"/>
                  <w:szCs w:val="18"/>
                </w:rPr>
                <w:alias w:val="无形资产账面原值减少项目合计金额"/>
                <w:tag w:val="_GBC_a637a37d4d544dd1b281f9ca1e030df7"/>
                <w:id w:val="2050096285"/>
                <w:lock w:val="sdtLocked"/>
              </w:sdtPr>
              <w:sdtEndPr>
                <w:rPr>
                  <w:rFonts w:hint="eastAsia"/>
                  <w:sz w:val="18"/>
                  <w:szCs w:val="18"/>
                </w:rPr>
              </w:sdtEndPr>
              <w:sdtContent>
                <w:tc>
                  <w:tcPr>
                    <w:tcW w:w="694" w:type="pct"/>
                    <w:shd w:val="clear" w:color="auto" w:fill="auto"/>
                    <w:vAlign w:val="center"/>
                  </w:tcPr>
                  <w:p>
                    <w:pPr>
                      <w:jc w:val="right"/>
                      <w:rPr>
                        <w:sz w:val="18"/>
                        <w:szCs w:val="18"/>
                      </w:rPr>
                    </w:pPr>
                    <w:r>
                      <w:rPr>
                        <w:rFonts w:hint="eastAsia"/>
                        <w:sz w:val="18"/>
                        <w:szCs w:val="18"/>
                      </w:rPr>
                      <w:t>6,156,000.00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3745bff079541e1ababba4ad6de075d"/>
                <w:id w:val="-1315869849"/>
                <w:lock w:val="sdtLocked"/>
              </w:sdtPr>
              <w:sdtContent>
                <w:tc>
                  <w:tcPr>
                    <w:tcW w:w="787" w:type="pct"/>
                    <w:gridSpan w:val="2"/>
                    <w:shd w:val="clear" w:color="auto" w:fill="auto"/>
                    <w:vAlign w:val="center"/>
                  </w:tcPr>
                  <w:p>
                    <w:pPr>
                      <w:rPr>
                        <w:szCs w:val="21"/>
                      </w:rPr>
                    </w:pPr>
                    <w:r>
                      <w:rPr>
                        <w:szCs w:val="21"/>
                      </w:rPr>
                      <w:t>4.期末余额</w:t>
                    </w:r>
                  </w:p>
                </w:tc>
              </w:sdtContent>
            </w:sdt>
            <w:tc>
              <w:tcPr>
                <w:tcW w:w="765" w:type="pct"/>
                <w:gridSpan w:val="2"/>
                <w:shd w:val="clear" w:color="auto" w:fill="auto"/>
                <w:vAlign w:val="center"/>
              </w:tcPr>
              <w:p>
                <w:pPr>
                  <w:jc w:val="right"/>
                  <w:rPr>
                    <w:sz w:val="18"/>
                    <w:szCs w:val="18"/>
                  </w:rPr>
                </w:pPr>
                <w:r>
                  <w:rPr>
                    <w:sz w:val="18"/>
                    <w:szCs w:val="18"/>
                  </w:rPr>
                  <w:t>609,448,433.82</w:t>
                </w:r>
              </w:p>
            </w:tc>
            <w:tc>
              <w:tcPr>
                <w:tcW w:w="721" w:type="pct"/>
                <w:shd w:val="clear" w:color="auto" w:fill="auto"/>
                <w:vAlign w:val="center"/>
              </w:tcPr>
              <w:p>
                <w:pPr>
                  <w:jc w:val="right"/>
                  <w:rPr>
                    <w:sz w:val="18"/>
                    <w:szCs w:val="18"/>
                  </w:rPr>
                </w:pPr>
                <w:r>
                  <w:rPr>
                    <w:sz w:val="18"/>
                    <w:szCs w:val="18"/>
                  </w:rPr>
                  <w:t>6,105,293.33</w:t>
                </w:r>
              </w:p>
            </w:tc>
            <w:tc>
              <w:tcPr>
                <w:tcW w:w="655" w:type="pct"/>
                <w:shd w:val="clear" w:color="auto" w:fill="auto"/>
                <w:vAlign w:val="center"/>
              </w:tcPr>
              <w:p>
                <w:pPr>
                  <w:jc w:val="right"/>
                  <w:rPr>
                    <w:sz w:val="18"/>
                    <w:szCs w:val="18"/>
                  </w:rPr>
                </w:pPr>
                <w:r>
                  <w:rPr>
                    <w:sz w:val="18"/>
                    <w:szCs w:val="18"/>
                  </w:rPr>
                  <w:t>82,317,726.34</w:t>
                </w:r>
              </w:p>
            </w:tc>
            <w:tc>
              <w:tcPr>
                <w:tcW w:w="656" w:type="pct"/>
                <w:shd w:val="clear" w:color="auto" w:fill="auto"/>
                <w:vAlign w:val="center"/>
              </w:tcPr>
              <w:p>
                <w:pPr>
                  <w:jc w:val="right"/>
                  <w:rPr>
                    <w:sz w:val="18"/>
                    <w:szCs w:val="18"/>
                  </w:rPr>
                </w:pPr>
                <w:r>
                  <w:rPr>
                    <w:sz w:val="18"/>
                    <w:szCs w:val="18"/>
                  </w:rPr>
                  <w:t>67,153,654.13</w:t>
                </w:r>
              </w:p>
            </w:tc>
            <w:tc>
              <w:tcPr>
                <w:tcW w:w="722" w:type="pct"/>
                <w:shd w:val="clear" w:color="auto" w:fill="auto"/>
                <w:vAlign w:val="center"/>
              </w:tcPr>
              <w:p>
                <w:pPr>
                  <w:jc w:val="right"/>
                  <w:rPr>
                    <w:sz w:val="18"/>
                    <w:szCs w:val="18"/>
                  </w:rPr>
                </w:pPr>
                <w:r>
                  <w:rPr>
                    <w:sz w:val="18"/>
                    <w:szCs w:val="18"/>
                  </w:rPr>
                  <w:t>227,084,935.48</w:t>
                </w:r>
              </w:p>
            </w:tc>
            <w:tc>
              <w:tcPr>
                <w:tcW w:w="694" w:type="pct"/>
                <w:shd w:val="clear" w:color="auto" w:fill="auto"/>
                <w:vAlign w:val="center"/>
              </w:tcPr>
              <w:p>
                <w:pPr>
                  <w:jc w:val="right"/>
                  <w:rPr>
                    <w:sz w:val="18"/>
                    <w:szCs w:val="18"/>
                  </w:rPr>
                </w:pPr>
                <w:r>
                  <w:rPr>
                    <w:sz w:val="18"/>
                    <w:szCs w:val="18"/>
                  </w:rPr>
                  <w:t>992,110,043.10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31b6b6971eff48bf893163f2b1779469"/>
                <w:id w:val="-1261058613"/>
                <w:lock w:val="sdtLocked"/>
              </w:sdtPr>
              <w:sdtContent>
                <w:tc>
                  <w:tcPr>
                    <w:tcW w:w="5000" w:type="pct"/>
                    <w:gridSpan w:val="9"/>
                    <w:shd w:val="clear" w:color="auto" w:fill="auto"/>
                    <w:vAlign w:val="center"/>
                  </w:tcPr>
                  <w:p>
                    <w:pPr>
                      <w:rPr>
                        <w:szCs w:val="21"/>
                      </w:rPr>
                    </w:pPr>
                    <w:r>
                      <w:rPr>
                        <w:szCs w:val="21"/>
                      </w:rPr>
                      <w:t>二、累计</w:t>
                    </w:r>
                    <w:r>
                      <w:rPr>
                        <w:rFonts w:hint="eastAsia"/>
                        <w:szCs w:val="21"/>
                      </w:rPr>
                      <w:t>摊销</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192ef7a489984acd8b494007033b87de"/>
                <w:id w:val="1961305779"/>
                <w:lock w:val="sdtLocked"/>
              </w:sdtPr>
              <w:sdtContent>
                <w:tc>
                  <w:tcPr>
                    <w:tcW w:w="787" w:type="pct"/>
                    <w:gridSpan w:val="2"/>
                    <w:shd w:val="clear" w:color="auto" w:fill="auto"/>
                    <w:vAlign w:val="center"/>
                  </w:tcPr>
                  <w:p>
                    <w:pPr>
                      <w:rPr>
                        <w:szCs w:val="21"/>
                      </w:rPr>
                    </w:pPr>
                    <w:r>
                      <w:rPr>
                        <w:rFonts w:hint="eastAsia"/>
                        <w:szCs w:val="21"/>
                      </w:rPr>
                      <w:t>1.期</w:t>
                    </w:r>
                    <w:r>
                      <w:rPr>
                        <w:szCs w:val="21"/>
                      </w:rPr>
                      <w:t>初余额</w:t>
                    </w:r>
                  </w:p>
                </w:tc>
              </w:sdtContent>
            </w:sdt>
            <w:tc>
              <w:tcPr>
                <w:tcW w:w="765" w:type="pct"/>
                <w:gridSpan w:val="2"/>
                <w:shd w:val="clear" w:color="auto" w:fill="auto"/>
                <w:vAlign w:val="center"/>
              </w:tcPr>
              <w:p>
                <w:pPr>
                  <w:jc w:val="right"/>
                  <w:rPr>
                    <w:sz w:val="18"/>
                    <w:szCs w:val="18"/>
                  </w:rPr>
                </w:pPr>
                <w:r>
                  <w:rPr>
                    <w:sz w:val="18"/>
                    <w:szCs w:val="18"/>
                  </w:rPr>
                  <w:t>108,010,228.01</w:t>
                </w:r>
              </w:p>
            </w:tc>
            <w:tc>
              <w:tcPr>
                <w:tcW w:w="721" w:type="pct"/>
                <w:shd w:val="clear" w:color="auto" w:fill="auto"/>
                <w:vAlign w:val="center"/>
              </w:tcPr>
              <w:p>
                <w:pPr>
                  <w:jc w:val="right"/>
                  <w:rPr>
                    <w:sz w:val="18"/>
                    <w:szCs w:val="18"/>
                  </w:rPr>
                </w:pPr>
                <w:r>
                  <w:rPr>
                    <w:sz w:val="18"/>
                    <w:szCs w:val="18"/>
                  </w:rPr>
                  <w:t>4,105,664.91</w:t>
                </w:r>
              </w:p>
            </w:tc>
            <w:tc>
              <w:tcPr>
                <w:tcW w:w="655" w:type="pct"/>
                <w:shd w:val="clear" w:color="auto" w:fill="auto"/>
                <w:vAlign w:val="center"/>
              </w:tcPr>
              <w:p>
                <w:pPr>
                  <w:jc w:val="right"/>
                  <w:rPr>
                    <w:sz w:val="18"/>
                    <w:szCs w:val="18"/>
                  </w:rPr>
                </w:pPr>
                <w:r>
                  <w:rPr>
                    <w:sz w:val="18"/>
                    <w:szCs w:val="18"/>
                  </w:rPr>
                  <w:t>49,072,898.94</w:t>
                </w:r>
              </w:p>
            </w:tc>
            <w:tc>
              <w:tcPr>
                <w:tcW w:w="656" w:type="pct"/>
                <w:shd w:val="clear" w:color="auto" w:fill="auto"/>
                <w:vAlign w:val="center"/>
              </w:tcPr>
              <w:p>
                <w:pPr>
                  <w:jc w:val="right"/>
                  <w:rPr>
                    <w:sz w:val="18"/>
                    <w:szCs w:val="18"/>
                  </w:rPr>
                </w:pPr>
                <w:r>
                  <w:rPr>
                    <w:sz w:val="18"/>
                    <w:szCs w:val="18"/>
                  </w:rPr>
                  <w:t>40,229,847.62</w:t>
                </w:r>
              </w:p>
            </w:tc>
            <w:tc>
              <w:tcPr>
                <w:tcW w:w="722" w:type="pct"/>
                <w:shd w:val="clear" w:color="auto" w:fill="auto"/>
                <w:vAlign w:val="center"/>
              </w:tcPr>
              <w:p>
                <w:pPr>
                  <w:jc w:val="right"/>
                  <w:rPr>
                    <w:sz w:val="18"/>
                    <w:szCs w:val="18"/>
                  </w:rPr>
                </w:pPr>
                <w:r>
                  <w:rPr>
                    <w:sz w:val="18"/>
                    <w:szCs w:val="18"/>
                  </w:rPr>
                  <w:t>79,415,755.42</w:t>
                </w:r>
              </w:p>
            </w:tc>
            <w:tc>
              <w:tcPr>
                <w:tcW w:w="694" w:type="pct"/>
                <w:shd w:val="clear" w:color="auto" w:fill="auto"/>
                <w:vAlign w:val="center"/>
              </w:tcPr>
              <w:p>
                <w:pPr>
                  <w:jc w:val="right"/>
                  <w:rPr>
                    <w:sz w:val="18"/>
                    <w:szCs w:val="18"/>
                  </w:rPr>
                </w:pPr>
                <w:r>
                  <w:rPr>
                    <w:sz w:val="18"/>
                    <w:szCs w:val="18"/>
                  </w:rPr>
                  <w:t>280,834,394.90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d9b2c881fa5c4e37827a5af57760bac7"/>
                <w:id w:val="-335152518"/>
                <w:lock w:val="sdtLocked"/>
              </w:sdtPr>
              <w:sdtContent>
                <w:tc>
                  <w:tcPr>
                    <w:tcW w:w="787" w:type="pct"/>
                    <w:gridSpan w:val="2"/>
                    <w:shd w:val="clear" w:color="auto" w:fill="auto"/>
                    <w:vAlign w:val="center"/>
                  </w:tcPr>
                  <w:p>
                    <w:pPr>
                      <w:jc w:val="center"/>
                      <w:rPr>
                        <w:szCs w:val="21"/>
                      </w:rPr>
                    </w:pPr>
                    <w:r>
                      <w:rPr>
                        <w:szCs w:val="21"/>
                      </w:rPr>
                      <w:t>2.本期增加</w:t>
                    </w:r>
                    <w:r>
                      <w:rPr>
                        <w:rFonts w:hint="eastAsia"/>
                        <w:szCs w:val="21"/>
                      </w:rPr>
                      <w:t>金额</w:t>
                    </w:r>
                  </w:p>
                </w:tc>
              </w:sdtContent>
            </w:sdt>
            <w:tc>
              <w:tcPr>
                <w:tcW w:w="765" w:type="pct"/>
                <w:gridSpan w:val="2"/>
                <w:shd w:val="clear" w:color="auto" w:fill="auto"/>
                <w:vAlign w:val="center"/>
              </w:tcPr>
              <w:p>
                <w:pPr>
                  <w:jc w:val="right"/>
                  <w:rPr>
                    <w:sz w:val="18"/>
                    <w:szCs w:val="18"/>
                  </w:rPr>
                </w:pPr>
                <w:r>
                  <w:rPr>
                    <w:sz w:val="18"/>
                    <w:szCs w:val="18"/>
                  </w:rPr>
                  <w:t>12,104,372.10</w:t>
                </w:r>
              </w:p>
            </w:tc>
            <w:tc>
              <w:tcPr>
                <w:tcW w:w="721" w:type="pct"/>
                <w:shd w:val="clear" w:color="auto" w:fill="auto"/>
                <w:vAlign w:val="center"/>
              </w:tcPr>
              <w:p>
                <w:pPr>
                  <w:jc w:val="right"/>
                  <w:rPr>
                    <w:sz w:val="18"/>
                    <w:szCs w:val="18"/>
                  </w:rPr>
                </w:pPr>
                <w:r>
                  <w:rPr>
                    <w:sz w:val="18"/>
                    <w:szCs w:val="18"/>
                  </w:rPr>
                  <w:t>550,925.97</w:t>
                </w:r>
              </w:p>
            </w:tc>
            <w:tc>
              <w:tcPr>
                <w:tcW w:w="655" w:type="pct"/>
                <w:shd w:val="clear" w:color="auto" w:fill="auto"/>
                <w:vAlign w:val="center"/>
              </w:tcPr>
              <w:p>
                <w:pPr>
                  <w:jc w:val="right"/>
                  <w:rPr>
                    <w:sz w:val="18"/>
                    <w:szCs w:val="18"/>
                  </w:rPr>
                </w:pPr>
                <w:r>
                  <w:rPr>
                    <w:sz w:val="18"/>
                    <w:szCs w:val="18"/>
                  </w:rPr>
                  <w:t>4,999,881.24</w:t>
                </w:r>
              </w:p>
            </w:tc>
            <w:tc>
              <w:tcPr>
                <w:tcW w:w="656" w:type="pct"/>
                <w:shd w:val="clear" w:color="auto" w:fill="auto"/>
                <w:vAlign w:val="center"/>
              </w:tcPr>
              <w:p>
                <w:pPr>
                  <w:jc w:val="right"/>
                  <w:rPr>
                    <w:sz w:val="18"/>
                    <w:szCs w:val="18"/>
                  </w:rPr>
                </w:pPr>
                <w:r>
                  <w:rPr>
                    <w:sz w:val="18"/>
                    <w:szCs w:val="18"/>
                  </w:rPr>
                  <w:t>1,591,568.68</w:t>
                </w:r>
              </w:p>
            </w:tc>
            <w:tc>
              <w:tcPr>
                <w:tcW w:w="722" w:type="pct"/>
                <w:shd w:val="clear" w:color="auto" w:fill="auto"/>
                <w:vAlign w:val="center"/>
              </w:tcPr>
              <w:p>
                <w:pPr>
                  <w:jc w:val="right"/>
                  <w:rPr>
                    <w:sz w:val="18"/>
                    <w:szCs w:val="18"/>
                  </w:rPr>
                </w:pPr>
                <w:r>
                  <w:rPr>
                    <w:sz w:val="18"/>
                    <w:szCs w:val="18"/>
                  </w:rPr>
                  <w:t>1,204,377.02</w:t>
                </w:r>
              </w:p>
            </w:tc>
            <w:tc>
              <w:tcPr>
                <w:tcW w:w="694" w:type="pct"/>
                <w:shd w:val="clear" w:color="auto" w:fill="auto"/>
                <w:vAlign w:val="center"/>
              </w:tcPr>
              <w:p>
                <w:pPr>
                  <w:jc w:val="right"/>
                  <w:rPr>
                    <w:sz w:val="18"/>
                    <w:szCs w:val="18"/>
                  </w:rPr>
                </w:pPr>
                <w:r>
                  <w:rPr>
                    <w:sz w:val="18"/>
                    <w:szCs w:val="18"/>
                  </w:rPr>
                  <w:t>20,451,125.01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cc7d668427664f6aa25782750d371885"/>
                <w:id w:val="-1762748976"/>
                <w:lock w:val="sdtLocked"/>
              </w:sdtPr>
              <w:sdtContent>
                <w:tc>
                  <w:tcPr>
                    <w:tcW w:w="787" w:type="pct"/>
                    <w:gridSpan w:val="2"/>
                    <w:shd w:val="clear" w:color="auto" w:fill="auto"/>
                    <w:vAlign w:val="center"/>
                  </w:tcPr>
                  <w:p>
                    <w:pPr>
                      <w:rPr>
                        <w:szCs w:val="21"/>
                      </w:rPr>
                    </w:pPr>
                    <w:r>
                      <w:rPr>
                        <w:rFonts w:hint="eastAsia"/>
                      </w:rPr>
                      <w:t>(</w:t>
                    </w:r>
                    <w:r>
                      <w:rPr>
                        <w:rFonts w:hint="eastAsia"/>
                        <w:szCs w:val="21"/>
                      </w:rPr>
                      <w:t>1）</w:t>
                    </w:r>
                    <w:r>
                      <w:rPr>
                        <w:szCs w:val="21"/>
                      </w:rPr>
                      <w:t>计提</w:t>
                    </w:r>
                  </w:p>
                </w:tc>
              </w:sdtContent>
            </w:sdt>
            <w:tc>
              <w:tcPr>
                <w:tcW w:w="765" w:type="pct"/>
                <w:gridSpan w:val="2"/>
                <w:shd w:val="clear" w:color="auto" w:fill="auto"/>
                <w:vAlign w:val="center"/>
              </w:tcPr>
              <w:p>
                <w:pPr>
                  <w:jc w:val="right"/>
                  <w:rPr>
                    <w:sz w:val="18"/>
                    <w:szCs w:val="18"/>
                  </w:rPr>
                </w:pPr>
                <w:r>
                  <w:rPr>
                    <w:sz w:val="18"/>
                    <w:szCs w:val="18"/>
                  </w:rPr>
                  <w:t>12,110,863.37</w:t>
                </w:r>
              </w:p>
            </w:tc>
            <w:tc>
              <w:tcPr>
                <w:tcW w:w="721" w:type="pct"/>
                <w:shd w:val="clear" w:color="auto" w:fill="auto"/>
                <w:vAlign w:val="center"/>
              </w:tcPr>
              <w:p>
                <w:pPr>
                  <w:jc w:val="right"/>
                  <w:rPr>
                    <w:sz w:val="18"/>
                    <w:szCs w:val="18"/>
                  </w:rPr>
                </w:pPr>
                <w:r>
                  <w:rPr>
                    <w:sz w:val="18"/>
                    <w:szCs w:val="18"/>
                  </w:rPr>
                  <w:t>555,044.16</w:t>
                </w:r>
              </w:p>
            </w:tc>
            <w:tc>
              <w:tcPr>
                <w:tcW w:w="655" w:type="pct"/>
                <w:shd w:val="clear" w:color="auto" w:fill="auto"/>
                <w:vAlign w:val="center"/>
              </w:tcPr>
              <w:p>
                <w:pPr>
                  <w:jc w:val="right"/>
                  <w:rPr>
                    <w:sz w:val="18"/>
                    <w:szCs w:val="18"/>
                  </w:rPr>
                </w:pPr>
                <w:r>
                  <w:rPr>
                    <w:sz w:val="18"/>
                    <w:szCs w:val="18"/>
                  </w:rPr>
                  <w:t>4,999,881.24</w:t>
                </w:r>
              </w:p>
            </w:tc>
            <w:tc>
              <w:tcPr>
                <w:tcW w:w="656" w:type="pct"/>
                <w:shd w:val="clear" w:color="auto" w:fill="auto"/>
                <w:vAlign w:val="center"/>
              </w:tcPr>
              <w:p>
                <w:pPr>
                  <w:jc w:val="right"/>
                  <w:rPr>
                    <w:sz w:val="18"/>
                    <w:szCs w:val="18"/>
                  </w:rPr>
                </w:pPr>
                <w:r>
                  <w:rPr>
                    <w:sz w:val="18"/>
                    <w:szCs w:val="18"/>
                  </w:rPr>
                  <w:t>1,350,297.81</w:t>
                </w:r>
              </w:p>
            </w:tc>
            <w:tc>
              <w:tcPr>
                <w:tcW w:w="722" w:type="pct"/>
                <w:shd w:val="clear" w:color="auto" w:fill="auto"/>
                <w:vAlign w:val="center"/>
              </w:tcPr>
              <w:p>
                <w:pPr>
                  <w:jc w:val="right"/>
                  <w:rPr>
                    <w:sz w:val="18"/>
                    <w:szCs w:val="18"/>
                  </w:rPr>
                </w:pPr>
                <w:r>
                  <w:rPr>
                    <w:sz w:val="18"/>
                    <w:szCs w:val="18"/>
                  </w:rPr>
                  <w:t>1,535,932.45</w:t>
                </w:r>
              </w:p>
            </w:tc>
            <w:tc>
              <w:tcPr>
                <w:tcW w:w="694" w:type="pct"/>
                <w:shd w:val="clear" w:color="auto" w:fill="auto"/>
                <w:vAlign w:val="center"/>
              </w:tcPr>
              <w:p>
                <w:pPr>
                  <w:jc w:val="right"/>
                  <w:rPr>
                    <w:sz w:val="18"/>
                    <w:szCs w:val="18"/>
                  </w:rPr>
                </w:pPr>
                <w:r>
                  <w:rPr>
                    <w:sz w:val="18"/>
                    <w:szCs w:val="18"/>
                  </w:rPr>
                  <w:t>20,552,019.03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rPr>
                  <w:rFonts w:hint="eastAsia"/>
                  <w:szCs w:val="21"/>
                </w:rPr>
                <w:alias w:val="无形资产累计摊销增加项目名称"/>
                <w:tag w:val="_GBC_bba4fb43db504917a2a3007f41997c65"/>
                <w:id w:val="-1121374513"/>
                <w:lock w:val="sdtLocked"/>
              </w:sdtPr>
              <w:sdtEndPr>
                <w:rPr>
                  <w:rFonts w:hint="eastAsia"/>
                  <w:szCs w:val="21"/>
                </w:rPr>
              </w:sdtEndPr>
              <w:sdtContent>
                <w:tc>
                  <w:tcPr>
                    <w:tcW w:w="787" w:type="pct"/>
                    <w:gridSpan w:val="2"/>
                    <w:shd w:val="clear" w:color="auto" w:fill="auto"/>
                  </w:tcPr>
                  <w:p>
                    <w:pPr>
                      <w:jc w:val="center"/>
                      <w:rPr>
                        <w:szCs w:val="21"/>
                      </w:rPr>
                    </w:pPr>
                    <w:r>
                      <w:rPr>
                        <w:rFonts w:hint="eastAsia"/>
                        <w:szCs w:val="21"/>
                      </w:rPr>
                      <w:t>(2)外币报表折算差额</w:t>
                    </w:r>
                  </w:p>
                </w:tc>
              </w:sdtContent>
            </w:sdt>
            <w:sdt>
              <w:sdtPr>
                <w:rPr>
                  <w:rFonts w:hint="eastAsia"/>
                  <w:sz w:val="18"/>
                  <w:szCs w:val="18"/>
                </w:rPr>
                <w:alias w:val="无形资产土地使用权累计摊销增加项目金额"/>
                <w:tag w:val="_GBC_d7ac4b6d46e7440593e2861cbf621d3a"/>
                <w:id w:val="248774016"/>
                <w:lock w:val="sdtLocked"/>
              </w:sdtPr>
              <w:sdtEndPr>
                <w:rPr>
                  <w:rFonts w:hint="eastAsia"/>
                  <w:sz w:val="18"/>
                  <w:szCs w:val="18"/>
                </w:rPr>
              </w:sdtEndPr>
              <w:sdtContent>
                <w:tc>
                  <w:tcPr>
                    <w:tcW w:w="765" w:type="pct"/>
                    <w:gridSpan w:val="2"/>
                    <w:shd w:val="clear" w:color="auto" w:fill="auto"/>
                    <w:vAlign w:val="center"/>
                  </w:tcPr>
                  <w:p>
                    <w:pPr>
                      <w:jc w:val="right"/>
                      <w:rPr>
                        <w:sz w:val="18"/>
                        <w:szCs w:val="18"/>
                      </w:rPr>
                    </w:pPr>
                    <w:r>
                      <w:rPr>
                        <w:rFonts w:hint="eastAsia"/>
                        <w:sz w:val="18"/>
                        <w:szCs w:val="18"/>
                      </w:rPr>
                      <w:t>-6,491.27</w:t>
                    </w:r>
                  </w:p>
                </w:tc>
              </w:sdtContent>
            </w:sdt>
            <w:sdt>
              <w:sdtPr>
                <w:rPr>
                  <w:rFonts w:hint="eastAsia"/>
                  <w:sz w:val="18"/>
                  <w:szCs w:val="18"/>
                </w:rPr>
                <w:alias w:val="无形资产累计摊销增加项目金额"/>
                <w:tag w:val="_GBC_eb8cc3d8dbcc4a03967926cd6920bdfa"/>
                <w:id w:val="1983887513"/>
                <w:lock w:val="sdtLocked"/>
              </w:sdtPr>
              <w:sdtEndPr>
                <w:rPr>
                  <w:rFonts w:hint="eastAsia"/>
                  <w:sz w:val="18"/>
                  <w:szCs w:val="18"/>
                </w:rPr>
              </w:sdtEndPr>
              <w:sdtContent>
                <w:tc>
                  <w:tcPr>
                    <w:tcW w:w="721" w:type="pct"/>
                    <w:shd w:val="clear" w:color="auto" w:fill="auto"/>
                    <w:vAlign w:val="center"/>
                  </w:tcPr>
                  <w:p>
                    <w:pPr>
                      <w:jc w:val="right"/>
                      <w:rPr>
                        <w:sz w:val="18"/>
                        <w:szCs w:val="18"/>
                      </w:rPr>
                    </w:pPr>
                    <w:r>
                      <w:rPr>
                        <w:rFonts w:hint="eastAsia"/>
                        <w:sz w:val="18"/>
                        <w:szCs w:val="18"/>
                      </w:rPr>
                      <w:t>-4,118.19</w:t>
                    </w:r>
                  </w:p>
                </w:tc>
              </w:sdtContent>
            </w:sdt>
            <w:sdt>
              <w:sdtPr>
                <w:rPr>
                  <w:rFonts w:hint="eastAsia"/>
                  <w:sz w:val="18"/>
                  <w:szCs w:val="18"/>
                </w:rPr>
                <w:alias w:val="无形资产专利技术累计摊销增加项目金额"/>
                <w:tag w:val="_GBC_dba51e524a104c0c9be0ef59161d4555"/>
                <w:id w:val="682935532"/>
                <w:lock w:val="sdtLocked"/>
                <w:showingPlcHdr/>
              </w:sdtPr>
              <w:sdtEndPr>
                <w:rPr>
                  <w:rFonts w:hint="eastAsia"/>
                  <w:sz w:val="18"/>
                  <w:szCs w:val="18"/>
                </w:rPr>
              </w:sdtEndPr>
              <w:sdtContent>
                <w:tc>
                  <w:tcPr>
                    <w:tcW w:w="655" w:type="pct"/>
                    <w:shd w:val="clear" w:color="auto" w:fill="auto"/>
                    <w:vAlign w:val="center"/>
                  </w:tcPr>
                  <w:p>
                    <w:pPr>
                      <w:jc w:val="right"/>
                      <w:rPr>
                        <w:sz w:val="18"/>
                        <w:szCs w:val="18"/>
                      </w:rPr>
                    </w:pPr>
                  </w:p>
                </w:tc>
              </w:sdtContent>
            </w:sdt>
            <w:sdt>
              <w:sdtPr>
                <w:rPr>
                  <w:rFonts w:hint="eastAsia"/>
                  <w:sz w:val="18"/>
                  <w:szCs w:val="18"/>
                </w:rPr>
                <w:alias w:val="无形资产累计摊销增加项目金额"/>
                <w:tag w:val="_GBC_eb8cc3d8dbcc4a03967926cd6920bdfa"/>
                <w:id w:val="-443233493"/>
                <w:lock w:val="sdtLocked"/>
              </w:sdtPr>
              <w:sdtEndPr>
                <w:rPr>
                  <w:rFonts w:hint="eastAsia"/>
                  <w:sz w:val="18"/>
                  <w:szCs w:val="18"/>
                </w:rPr>
              </w:sdtEndPr>
              <w:sdtContent>
                <w:tc>
                  <w:tcPr>
                    <w:tcW w:w="656" w:type="pct"/>
                    <w:shd w:val="clear" w:color="auto" w:fill="auto"/>
                    <w:vAlign w:val="center"/>
                  </w:tcPr>
                  <w:p>
                    <w:pPr>
                      <w:jc w:val="right"/>
                      <w:rPr>
                        <w:sz w:val="18"/>
                        <w:szCs w:val="18"/>
                      </w:rPr>
                    </w:pPr>
                    <w:r>
                      <w:rPr>
                        <w:rFonts w:hint="eastAsia"/>
                        <w:sz w:val="18"/>
                        <w:szCs w:val="18"/>
                      </w:rPr>
                      <w:t>-90,284.56</w:t>
                    </w:r>
                  </w:p>
                </w:tc>
              </w:sdtContent>
            </w:sdt>
            <w:sdt>
              <w:sdtPr>
                <w:rPr>
                  <w:rFonts w:hint="eastAsia"/>
                  <w:sz w:val="18"/>
                  <w:szCs w:val="18"/>
                </w:rPr>
                <w:alias w:val="无形资产累计摊销增加项目金额"/>
                <w:tag w:val="_GBC_eb8cc3d8dbcc4a03967926cd6920bdfa"/>
                <w:id w:val="-2053919662"/>
                <w:lock w:val="sdtLocked"/>
              </w:sdtPr>
              <w:sdtEndPr>
                <w:rPr>
                  <w:rFonts w:hint="eastAsia"/>
                  <w:sz w:val="18"/>
                  <w:szCs w:val="18"/>
                </w:rPr>
              </w:sdtEndPr>
              <w:sdtContent>
                <w:tc>
                  <w:tcPr>
                    <w:tcW w:w="722" w:type="pct"/>
                    <w:shd w:val="clear" w:color="auto" w:fill="auto"/>
                    <w:vAlign w:val="center"/>
                  </w:tcPr>
                  <w:p>
                    <w:pPr>
                      <w:jc w:val="right"/>
                      <w:rPr>
                        <w:sz w:val="18"/>
                        <w:szCs w:val="18"/>
                      </w:rPr>
                    </w:pPr>
                  </w:p>
                </w:tc>
              </w:sdtContent>
            </w:sdt>
            <w:sdt>
              <w:sdtPr>
                <w:rPr>
                  <w:rFonts w:hint="eastAsia"/>
                  <w:sz w:val="18"/>
                  <w:szCs w:val="18"/>
                </w:rPr>
                <w:alias w:val="无形资产累计摊销增加项目合计金额"/>
                <w:tag w:val="_GBC_e8f0e1ca00ab4d719057cd750f089033"/>
                <w:id w:val="557434960"/>
                <w:lock w:val="sdtLocked"/>
              </w:sdtPr>
              <w:sdtEndPr>
                <w:rPr>
                  <w:rFonts w:hint="eastAsia"/>
                  <w:sz w:val="18"/>
                  <w:szCs w:val="18"/>
                </w:rPr>
              </w:sdtEndPr>
              <w:sdtContent>
                <w:tc>
                  <w:tcPr>
                    <w:tcW w:w="694" w:type="pct"/>
                    <w:shd w:val="clear" w:color="auto" w:fill="auto"/>
                    <w:vAlign w:val="center"/>
                  </w:tcPr>
                  <w:p>
                    <w:pPr>
                      <w:jc w:val="right"/>
                      <w:rPr>
                        <w:sz w:val="18"/>
                        <w:szCs w:val="18"/>
                      </w:rPr>
                    </w:pPr>
                    <w:r>
                      <w:rPr>
                        <w:rFonts w:hint="eastAsia"/>
                        <w:sz w:val="18"/>
                        <w:szCs w:val="18"/>
                      </w:rPr>
                      <w:t>-100,894.02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sdt>
              <w:sdtPr>
                <w:rPr>
                  <w:rFonts w:hint="eastAsia"/>
                  <w:szCs w:val="21"/>
                </w:rPr>
                <w:alias w:val="无形资产累计摊销增加项目名称"/>
                <w:tag w:val="_GBC_bba4fb43db504917a2a3007f41997c65"/>
                <w:id w:val="-28580061"/>
                <w:lock w:val="sdtLocked"/>
              </w:sdtPr>
              <w:sdtEndPr>
                <w:rPr>
                  <w:rFonts w:hint="eastAsia"/>
                  <w:szCs w:val="21"/>
                </w:rPr>
              </w:sdtEndPr>
              <w:sdtContent>
                <w:tc>
                  <w:tcPr>
                    <w:tcW w:w="787" w:type="pct"/>
                    <w:gridSpan w:val="2"/>
                    <w:shd w:val="clear" w:color="auto" w:fill="auto"/>
                  </w:tcPr>
                  <w:p>
                    <w:pPr>
                      <w:rPr>
                        <w:szCs w:val="21"/>
                      </w:rPr>
                    </w:pPr>
                    <w:r>
                      <w:rPr>
                        <w:rFonts w:hint="eastAsia"/>
                        <w:szCs w:val="21"/>
                      </w:rPr>
                      <w:t>(3)重分类</w:t>
                    </w:r>
                  </w:p>
                </w:tc>
              </w:sdtContent>
            </w:sdt>
            <w:sdt>
              <w:sdtPr>
                <w:rPr>
                  <w:rFonts w:hint="eastAsia"/>
                  <w:sz w:val="18"/>
                  <w:szCs w:val="18"/>
                </w:rPr>
                <w:alias w:val="无形资产土地使用权累计摊销增加项目金额"/>
                <w:tag w:val="_GBC_d7ac4b6d46e7440593e2861cbf621d3a"/>
                <w:id w:val="-1857421537"/>
                <w:lock w:val="sdtLocked"/>
              </w:sdtPr>
              <w:sdtEndPr>
                <w:rPr>
                  <w:rFonts w:hint="eastAsia"/>
                  <w:sz w:val="18"/>
                  <w:szCs w:val="18"/>
                </w:rPr>
              </w:sdtEndPr>
              <w:sdtContent>
                <w:tc>
                  <w:tcPr>
                    <w:tcW w:w="765" w:type="pct"/>
                    <w:gridSpan w:val="2"/>
                    <w:shd w:val="clear" w:color="auto" w:fill="auto"/>
                    <w:vAlign w:val="center"/>
                  </w:tcPr>
                  <w:p>
                    <w:pPr>
                      <w:jc w:val="right"/>
                      <w:rPr>
                        <w:sz w:val="18"/>
                        <w:szCs w:val="18"/>
                      </w:rPr>
                    </w:pPr>
                  </w:p>
                </w:tc>
              </w:sdtContent>
            </w:sdt>
            <w:sdt>
              <w:sdtPr>
                <w:rPr>
                  <w:rFonts w:hint="eastAsia"/>
                  <w:sz w:val="18"/>
                  <w:szCs w:val="18"/>
                </w:rPr>
                <w:alias w:val="无形资产累计摊销增加项目金额"/>
                <w:tag w:val="_GBC_eb8cc3d8dbcc4a03967926cd6920bdfa"/>
                <w:id w:val="-1361199477"/>
                <w:lock w:val="sdtLocked"/>
              </w:sdtPr>
              <w:sdtEndPr>
                <w:rPr>
                  <w:rFonts w:hint="eastAsia"/>
                  <w:sz w:val="18"/>
                  <w:szCs w:val="18"/>
                </w:rPr>
              </w:sdtEndPr>
              <w:sdtContent>
                <w:tc>
                  <w:tcPr>
                    <w:tcW w:w="721" w:type="pct"/>
                    <w:shd w:val="clear" w:color="auto" w:fill="auto"/>
                    <w:vAlign w:val="center"/>
                  </w:tcPr>
                  <w:p>
                    <w:pPr>
                      <w:jc w:val="right"/>
                      <w:rPr>
                        <w:sz w:val="18"/>
                        <w:szCs w:val="18"/>
                      </w:rPr>
                    </w:pPr>
                  </w:p>
                </w:tc>
              </w:sdtContent>
            </w:sdt>
            <w:sdt>
              <w:sdtPr>
                <w:rPr>
                  <w:rFonts w:hint="eastAsia"/>
                  <w:sz w:val="18"/>
                  <w:szCs w:val="18"/>
                </w:rPr>
                <w:alias w:val="无形资产专利技术累计摊销增加项目金额"/>
                <w:tag w:val="_GBC_dba51e524a104c0c9be0ef59161d4555"/>
                <w:id w:val="1033001852"/>
                <w:lock w:val="sdtLocked"/>
              </w:sdtPr>
              <w:sdtEndPr>
                <w:rPr>
                  <w:rFonts w:hint="eastAsia"/>
                  <w:sz w:val="18"/>
                  <w:szCs w:val="18"/>
                </w:rPr>
              </w:sdtEndPr>
              <w:sdtContent>
                <w:tc>
                  <w:tcPr>
                    <w:tcW w:w="655" w:type="pct"/>
                    <w:shd w:val="clear" w:color="auto" w:fill="auto"/>
                    <w:vAlign w:val="center"/>
                  </w:tcPr>
                  <w:p>
                    <w:pPr>
                      <w:jc w:val="right"/>
                      <w:rPr>
                        <w:sz w:val="18"/>
                        <w:szCs w:val="18"/>
                      </w:rPr>
                    </w:pPr>
                  </w:p>
                </w:tc>
              </w:sdtContent>
            </w:sdt>
            <w:sdt>
              <w:sdtPr>
                <w:rPr>
                  <w:rFonts w:hint="eastAsia"/>
                  <w:sz w:val="18"/>
                  <w:szCs w:val="18"/>
                </w:rPr>
                <w:alias w:val="无形资产累计摊销增加项目金额"/>
                <w:tag w:val="_GBC_eb8cc3d8dbcc4a03967926cd6920bdfa"/>
                <w:id w:val="-80689324"/>
                <w:lock w:val="sdtLocked"/>
              </w:sdtPr>
              <w:sdtEndPr>
                <w:rPr>
                  <w:rFonts w:hint="eastAsia"/>
                  <w:sz w:val="18"/>
                  <w:szCs w:val="18"/>
                </w:rPr>
              </w:sdtEndPr>
              <w:sdtContent>
                <w:tc>
                  <w:tcPr>
                    <w:tcW w:w="656" w:type="pct"/>
                    <w:shd w:val="clear" w:color="auto" w:fill="auto"/>
                    <w:vAlign w:val="center"/>
                  </w:tcPr>
                  <w:p>
                    <w:pPr>
                      <w:jc w:val="right"/>
                      <w:rPr>
                        <w:sz w:val="18"/>
                        <w:szCs w:val="18"/>
                      </w:rPr>
                    </w:pPr>
                    <w:r>
                      <w:rPr>
                        <w:rFonts w:hint="eastAsia"/>
                        <w:sz w:val="18"/>
                        <w:szCs w:val="18"/>
                      </w:rPr>
                      <w:t>331,555.43</w:t>
                    </w:r>
                  </w:p>
                </w:tc>
              </w:sdtContent>
            </w:sdt>
            <w:sdt>
              <w:sdtPr>
                <w:rPr>
                  <w:rFonts w:hint="eastAsia"/>
                  <w:sz w:val="18"/>
                  <w:szCs w:val="18"/>
                </w:rPr>
                <w:alias w:val="无形资产累计摊销增加项目金额"/>
                <w:tag w:val="_GBC_eb8cc3d8dbcc4a03967926cd6920bdfa"/>
                <w:id w:val="1240684157"/>
                <w:lock w:val="sdtLocked"/>
              </w:sdtPr>
              <w:sdtEndPr>
                <w:rPr>
                  <w:rFonts w:hint="eastAsia"/>
                  <w:sz w:val="18"/>
                  <w:szCs w:val="18"/>
                </w:rPr>
              </w:sdtEndPr>
              <w:sdtContent>
                <w:tc>
                  <w:tcPr>
                    <w:tcW w:w="722" w:type="pct"/>
                    <w:shd w:val="clear" w:color="auto" w:fill="auto"/>
                    <w:vAlign w:val="center"/>
                  </w:tcPr>
                  <w:p>
                    <w:pPr>
                      <w:jc w:val="right"/>
                      <w:rPr>
                        <w:sz w:val="18"/>
                        <w:szCs w:val="18"/>
                      </w:rPr>
                    </w:pPr>
                    <w:r>
                      <w:rPr>
                        <w:rFonts w:hint="eastAsia"/>
                        <w:sz w:val="18"/>
                        <w:szCs w:val="18"/>
                      </w:rPr>
                      <w:t>-331,555.43</w:t>
                    </w:r>
                  </w:p>
                </w:tc>
              </w:sdtContent>
            </w:sdt>
            <w:sdt>
              <w:sdtPr>
                <w:rPr>
                  <w:rFonts w:hint="eastAsia"/>
                  <w:sz w:val="18"/>
                  <w:szCs w:val="18"/>
                </w:rPr>
                <w:alias w:val="无形资产累计摊销增加项目合计金额"/>
                <w:tag w:val="_GBC_e8f0e1ca00ab4d719057cd750f089033"/>
                <w:id w:val="1161806569"/>
                <w:lock w:val="sdtLocked"/>
              </w:sdtPr>
              <w:sdtEndPr>
                <w:rPr>
                  <w:rFonts w:hint="eastAsia"/>
                  <w:sz w:val="18"/>
                  <w:szCs w:val="18"/>
                </w:rPr>
              </w:sdtEndPr>
              <w:sdtContent>
                <w:tc>
                  <w:tcPr>
                    <w:tcW w:w="694" w:type="pct"/>
                    <w:shd w:val="clear" w:color="auto" w:fill="auto"/>
                    <w:vAlign w:val="center"/>
                  </w:tcPr>
                  <w:p>
                    <w:pPr>
                      <w:jc w:val="right"/>
                      <w:rPr>
                        <w:sz w:val="18"/>
                        <w:szCs w:val="18"/>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8e892aff304549108ee89d7a36074102"/>
                <w:id w:val="-1186282521"/>
                <w:lock w:val="sdtLocked"/>
              </w:sdtPr>
              <w:sdtContent>
                <w:tc>
                  <w:tcPr>
                    <w:tcW w:w="787" w:type="pct"/>
                    <w:gridSpan w:val="2"/>
                    <w:shd w:val="clear" w:color="auto" w:fill="auto"/>
                    <w:vAlign w:val="center"/>
                  </w:tcPr>
                  <w:p>
                    <w:pPr>
                      <w:jc w:val="center"/>
                      <w:rPr>
                        <w:szCs w:val="21"/>
                      </w:rPr>
                    </w:pPr>
                    <w:r>
                      <w:rPr>
                        <w:rFonts w:hint="eastAsia"/>
                        <w:szCs w:val="21"/>
                      </w:rPr>
                      <w:t>3.</w:t>
                    </w:r>
                    <w:r>
                      <w:rPr>
                        <w:szCs w:val="21"/>
                      </w:rPr>
                      <w:t>本期减少</w:t>
                    </w:r>
                    <w:r>
                      <w:rPr>
                        <w:rFonts w:hint="eastAsia"/>
                        <w:szCs w:val="21"/>
                      </w:rPr>
                      <w:t>金额</w:t>
                    </w:r>
                  </w:p>
                </w:tc>
              </w:sdtContent>
            </w:sdt>
            <w:tc>
              <w:tcPr>
                <w:tcW w:w="765" w:type="pct"/>
                <w:gridSpan w:val="2"/>
                <w:shd w:val="clear" w:color="auto" w:fill="auto"/>
                <w:vAlign w:val="center"/>
              </w:tcPr>
              <w:p>
                <w:pPr>
                  <w:jc w:val="right"/>
                  <w:rPr>
                    <w:rFonts w:cs="Times New Roman"/>
                    <w:sz w:val="18"/>
                    <w:szCs w:val="18"/>
                  </w:rPr>
                </w:pPr>
              </w:p>
            </w:tc>
            <w:tc>
              <w:tcPr>
                <w:tcW w:w="721" w:type="pct"/>
                <w:shd w:val="clear" w:color="auto" w:fill="auto"/>
                <w:vAlign w:val="center"/>
              </w:tcPr>
              <w:p>
                <w:pPr>
                  <w:jc w:val="right"/>
                  <w:rPr>
                    <w:sz w:val="18"/>
                    <w:szCs w:val="18"/>
                  </w:rPr>
                </w:pPr>
                <w:r>
                  <w:rPr>
                    <w:sz w:val="18"/>
                    <w:szCs w:val="18"/>
                  </w:rPr>
                  <w:t>39,123.26</w:t>
                </w:r>
              </w:p>
            </w:tc>
            <w:tc>
              <w:tcPr>
                <w:tcW w:w="655" w:type="pct"/>
                <w:shd w:val="clear" w:color="auto" w:fill="auto"/>
                <w:vAlign w:val="center"/>
              </w:tcPr>
              <w:p>
                <w:pPr>
                  <w:jc w:val="right"/>
                  <w:rPr>
                    <w:sz w:val="18"/>
                    <w:szCs w:val="18"/>
                  </w:rPr>
                </w:pPr>
                <w:r>
                  <w:rPr>
                    <w:sz w:val="18"/>
                    <w:szCs w:val="18"/>
                  </w:rPr>
                  <w:t>1,793,453.77</w:t>
                </w:r>
              </w:p>
            </w:tc>
            <w:tc>
              <w:tcPr>
                <w:tcW w:w="656" w:type="pct"/>
                <w:shd w:val="clear" w:color="auto" w:fill="auto"/>
                <w:vAlign w:val="center"/>
              </w:tcPr>
              <w:p>
                <w:pPr>
                  <w:jc w:val="right"/>
                  <w:rPr>
                    <w:sz w:val="18"/>
                    <w:szCs w:val="18"/>
                  </w:rPr>
                </w:pPr>
                <w:r>
                  <w:rPr>
                    <w:sz w:val="18"/>
                    <w:szCs w:val="18"/>
                  </w:rPr>
                  <w:t>49,925.80</w:t>
                </w:r>
              </w:p>
            </w:tc>
            <w:tc>
              <w:tcPr>
                <w:tcW w:w="722" w:type="pct"/>
                <w:shd w:val="clear" w:color="auto" w:fill="auto"/>
                <w:vAlign w:val="center"/>
              </w:tcPr>
              <w:p>
                <w:pPr>
                  <w:jc w:val="right"/>
                  <w:rPr>
                    <w:sz w:val="18"/>
                    <w:szCs w:val="18"/>
                  </w:rPr>
                </w:pPr>
                <w:r>
                  <w:rPr>
                    <w:sz w:val="18"/>
                    <w:szCs w:val="18"/>
                  </w:rPr>
                  <w:t>22,567,473.22</w:t>
                </w:r>
              </w:p>
            </w:tc>
            <w:tc>
              <w:tcPr>
                <w:tcW w:w="694" w:type="pct"/>
                <w:shd w:val="clear" w:color="auto" w:fill="auto"/>
                <w:vAlign w:val="center"/>
              </w:tcPr>
              <w:p>
                <w:pPr>
                  <w:jc w:val="right"/>
                  <w:rPr>
                    <w:sz w:val="18"/>
                    <w:szCs w:val="18"/>
                  </w:rPr>
                </w:pPr>
                <w:r>
                  <w:rPr>
                    <w:sz w:val="18"/>
                    <w:szCs w:val="18"/>
                  </w:rPr>
                  <w:t>24,449,976.05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f8ab01d348a04c4d883a00519ee0501a"/>
                <w:id w:val="-330066260"/>
                <w:lock w:val="sdtLocked"/>
              </w:sdtPr>
              <w:sdtContent>
                <w:tc>
                  <w:tcPr>
                    <w:tcW w:w="787" w:type="pct"/>
                    <w:gridSpan w:val="2"/>
                    <w:shd w:val="clear" w:color="auto" w:fill="auto"/>
                    <w:vAlign w:val="center"/>
                  </w:tcPr>
                  <w:p>
                    <w:pPr>
                      <w:rPr>
                        <w:szCs w:val="21"/>
                      </w:rPr>
                    </w:pPr>
                    <w:r>
                      <w:rPr>
                        <w:szCs w:val="21"/>
                      </w:rPr>
                      <w:t>(</w:t>
                    </w:r>
                    <w:r>
                      <w:rPr>
                        <w:rFonts w:hint="eastAsia"/>
                        <w:szCs w:val="21"/>
                      </w:rPr>
                      <w:t>1</w:t>
                    </w:r>
                    <w:r>
                      <w:rPr>
                        <w:szCs w:val="21"/>
                      </w:rPr>
                      <w:t>)</w:t>
                    </w:r>
                    <w:r>
                      <w:rPr>
                        <w:rFonts w:hint="eastAsia"/>
                        <w:szCs w:val="21"/>
                      </w:rPr>
                      <w:t>处置</w:t>
                    </w:r>
                  </w:p>
                </w:tc>
              </w:sdtContent>
            </w:sdt>
            <w:tc>
              <w:tcPr>
                <w:tcW w:w="765" w:type="pct"/>
                <w:gridSpan w:val="2"/>
                <w:shd w:val="clear" w:color="auto" w:fill="auto"/>
                <w:vAlign w:val="center"/>
              </w:tcPr>
              <w:p>
                <w:pPr>
                  <w:jc w:val="right"/>
                  <w:rPr>
                    <w:sz w:val="18"/>
                    <w:szCs w:val="18"/>
                  </w:rPr>
                </w:pPr>
              </w:p>
            </w:tc>
            <w:tc>
              <w:tcPr>
                <w:tcW w:w="721" w:type="pct"/>
                <w:shd w:val="clear" w:color="auto" w:fill="auto"/>
                <w:vAlign w:val="center"/>
              </w:tcPr>
              <w:p>
                <w:pPr>
                  <w:jc w:val="right"/>
                  <w:rPr>
                    <w:sz w:val="18"/>
                    <w:szCs w:val="18"/>
                  </w:rPr>
                </w:pPr>
                <w:r>
                  <w:rPr>
                    <w:sz w:val="18"/>
                    <w:szCs w:val="18"/>
                  </w:rPr>
                  <w:t>39,123.26</w:t>
                </w:r>
              </w:p>
            </w:tc>
            <w:tc>
              <w:tcPr>
                <w:tcW w:w="655" w:type="pct"/>
                <w:shd w:val="clear" w:color="auto" w:fill="auto"/>
                <w:vAlign w:val="center"/>
              </w:tcPr>
              <w:p>
                <w:pPr>
                  <w:jc w:val="right"/>
                  <w:rPr>
                    <w:sz w:val="18"/>
                    <w:szCs w:val="18"/>
                  </w:rPr>
                </w:pPr>
                <w:r>
                  <w:rPr>
                    <w:sz w:val="18"/>
                    <w:szCs w:val="18"/>
                  </w:rPr>
                  <w:t>1,793,453.77</w:t>
                </w:r>
              </w:p>
            </w:tc>
            <w:tc>
              <w:tcPr>
                <w:tcW w:w="656" w:type="pct"/>
                <w:shd w:val="clear" w:color="auto" w:fill="auto"/>
                <w:vAlign w:val="center"/>
              </w:tcPr>
              <w:p>
                <w:pPr>
                  <w:jc w:val="right"/>
                  <w:rPr>
                    <w:sz w:val="18"/>
                    <w:szCs w:val="18"/>
                  </w:rPr>
                </w:pPr>
                <w:r>
                  <w:rPr>
                    <w:sz w:val="18"/>
                    <w:szCs w:val="18"/>
                  </w:rPr>
                  <w:t>49,925.80</w:t>
                </w:r>
              </w:p>
            </w:tc>
            <w:tc>
              <w:tcPr>
                <w:tcW w:w="722" w:type="pct"/>
                <w:shd w:val="clear" w:color="auto" w:fill="auto"/>
                <w:vAlign w:val="center"/>
              </w:tcPr>
              <w:p>
                <w:pPr>
                  <w:jc w:val="right"/>
                  <w:rPr>
                    <w:sz w:val="18"/>
                    <w:szCs w:val="18"/>
                  </w:rPr>
                </w:pPr>
                <w:r>
                  <w:rPr>
                    <w:sz w:val="18"/>
                    <w:szCs w:val="18"/>
                  </w:rPr>
                  <w:t>19,837,968.51</w:t>
                </w:r>
              </w:p>
            </w:tc>
            <w:tc>
              <w:tcPr>
                <w:tcW w:w="694" w:type="pct"/>
                <w:shd w:val="clear" w:color="auto" w:fill="auto"/>
                <w:vAlign w:val="center"/>
              </w:tcPr>
              <w:p>
                <w:pPr>
                  <w:jc w:val="right"/>
                  <w:rPr>
                    <w:sz w:val="18"/>
                    <w:szCs w:val="18"/>
                  </w:rPr>
                </w:pPr>
                <w:r>
                  <w:rPr>
                    <w:sz w:val="18"/>
                    <w:szCs w:val="18"/>
                  </w:rPr>
                  <w:t>21,720,471.34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sdt>
              <w:sdtPr>
                <w:rPr>
                  <w:rFonts w:hint="eastAsia"/>
                  <w:szCs w:val="21"/>
                </w:rPr>
                <w:alias w:val="无形资产累计摊销减少项目名称"/>
                <w:tag w:val="_GBC_e20bf01c005c4657bce2d5dc94c6f570"/>
                <w:id w:val="-1480453444"/>
                <w:lock w:val="sdtLocked"/>
              </w:sdtPr>
              <w:sdtEndPr>
                <w:rPr>
                  <w:rFonts w:hint="eastAsia"/>
                  <w:szCs w:val="21"/>
                </w:rPr>
              </w:sdtEndPr>
              <w:sdtContent>
                <w:tc>
                  <w:tcPr>
                    <w:tcW w:w="787" w:type="pct"/>
                    <w:gridSpan w:val="2"/>
                    <w:shd w:val="clear" w:color="auto" w:fill="auto"/>
                  </w:tcPr>
                  <w:p>
                    <w:pPr>
                      <w:rPr>
                        <w:szCs w:val="21"/>
                      </w:rPr>
                    </w:pPr>
                    <w:r>
                      <w:rPr>
                        <w:rFonts w:hint="eastAsia"/>
                        <w:szCs w:val="21"/>
                      </w:rPr>
                      <w:t>(2)处置子公司</w:t>
                    </w:r>
                  </w:p>
                </w:tc>
              </w:sdtContent>
            </w:sdt>
            <w:sdt>
              <w:sdtPr>
                <w:rPr>
                  <w:rFonts w:hint="eastAsia"/>
                  <w:sz w:val="18"/>
                  <w:szCs w:val="18"/>
                </w:rPr>
                <w:alias w:val="无形资产土地使用权累计摊销减少项目金额"/>
                <w:tag w:val="_GBC_0591cbb2eacb4374b47f296494273974"/>
                <w:id w:val="-62342363"/>
                <w:lock w:val="sdtLocked"/>
                <w:showingPlcHdr/>
              </w:sdtPr>
              <w:sdtEndPr>
                <w:rPr>
                  <w:rFonts w:hint="eastAsia"/>
                  <w:sz w:val="18"/>
                  <w:szCs w:val="18"/>
                </w:rPr>
              </w:sdtEndPr>
              <w:sdtContent>
                <w:tc>
                  <w:tcPr>
                    <w:tcW w:w="765" w:type="pct"/>
                    <w:gridSpan w:val="2"/>
                    <w:shd w:val="clear" w:color="auto" w:fill="auto"/>
                    <w:vAlign w:val="center"/>
                  </w:tcPr>
                  <w:p>
                    <w:pPr>
                      <w:jc w:val="right"/>
                      <w:rPr>
                        <w:sz w:val="18"/>
                        <w:szCs w:val="18"/>
                      </w:rPr>
                    </w:pPr>
                  </w:p>
                </w:tc>
              </w:sdtContent>
            </w:sdt>
            <w:sdt>
              <w:sdtPr>
                <w:rPr>
                  <w:rFonts w:hint="eastAsia"/>
                  <w:sz w:val="18"/>
                  <w:szCs w:val="18"/>
                </w:rPr>
                <w:alias w:val="无形资产累计摊销减少项目金额"/>
                <w:tag w:val="_GBC_be9ede4d9d0048fd91d0892d19eb092d"/>
                <w:id w:val="-226689656"/>
                <w:lock w:val="sdtLocked"/>
              </w:sdtPr>
              <w:sdtEndPr>
                <w:rPr>
                  <w:rFonts w:hint="eastAsia"/>
                  <w:sz w:val="18"/>
                  <w:szCs w:val="18"/>
                </w:rPr>
              </w:sdtEndPr>
              <w:sdtContent>
                <w:tc>
                  <w:tcPr>
                    <w:tcW w:w="721" w:type="pct"/>
                    <w:shd w:val="clear" w:color="auto" w:fill="auto"/>
                    <w:vAlign w:val="center"/>
                  </w:tcPr>
                  <w:p>
                    <w:pPr>
                      <w:jc w:val="right"/>
                      <w:rPr>
                        <w:sz w:val="18"/>
                        <w:szCs w:val="18"/>
                      </w:rPr>
                    </w:pPr>
                  </w:p>
                </w:tc>
              </w:sdtContent>
            </w:sdt>
            <w:sdt>
              <w:sdtPr>
                <w:rPr>
                  <w:rFonts w:hint="eastAsia"/>
                  <w:sz w:val="18"/>
                  <w:szCs w:val="18"/>
                </w:rPr>
                <w:alias w:val="无形资产专利技术累计摊销减少项目金额"/>
                <w:tag w:val="_GBC_34bbf4b25cd34dbfb156f27fc0fd05ce"/>
                <w:id w:val="-1210875540"/>
                <w:lock w:val="sdtLocked"/>
              </w:sdtPr>
              <w:sdtEndPr>
                <w:rPr>
                  <w:rFonts w:hint="eastAsia"/>
                  <w:sz w:val="18"/>
                  <w:szCs w:val="18"/>
                </w:rPr>
              </w:sdtEndPr>
              <w:sdtContent>
                <w:tc>
                  <w:tcPr>
                    <w:tcW w:w="655" w:type="pct"/>
                    <w:shd w:val="clear" w:color="auto" w:fill="auto"/>
                    <w:vAlign w:val="center"/>
                  </w:tcPr>
                  <w:p>
                    <w:pPr>
                      <w:jc w:val="right"/>
                      <w:rPr>
                        <w:sz w:val="18"/>
                        <w:szCs w:val="18"/>
                      </w:rPr>
                    </w:pPr>
                  </w:p>
                </w:tc>
              </w:sdtContent>
            </w:sdt>
            <w:sdt>
              <w:sdtPr>
                <w:rPr>
                  <w:rFonts w:hint="eastAsia"/>
                  <w:sz w:val="18"/>
                  <w:szCs w:val="18"/>
                </w:rPr>
                <w:alias w:val="无形资产累计摊销减少项目金额"/>
                <w:tag w:val="_GBC_be9ede4d9d0048fd91d0892d19eb092d"/>
                <w:id w:val="1867173111"/>
                <w:lock w:val="sdtLocked"/>
              </w:sdtPr>
              <w:sdtEndPr>
                <w:rPr>
                  <w:rFonts w:hint="eastAsia"/>
                  <w:sz w:val="18"/>
                  <w:szCs w:val="18"/>
                </w:rPr>
              </w:sdtEndPr>
              <w:sdtContent>
                <w:tc>
                  <w:tcPr>
                    <w:tcW w:w="656" w:type="pct"/>
                    <w:shd w:val="clear" w:color="auto" w:fill="auto"/>
                    <w:vAlign w:val="center"/>
                  </w:tcPr>
                  <w:p>
                    <w:pPr>
                      <w:jc w:val="right"/>
                      <w:rPr>
                        <w:sz w:val="18"/>
                        <w:szCs w:val="18"/>
                      </w:rPr>
                    </w:pPr>
                  </w:p>
                </w:tc>
              </w:sdtContent>
            </w:sdt>
            <w:sdt>
              <w:sdtPr>
                <w:rPr>
                  <w:rFonts w:hint="eastAsia"/>
                  <w:sz w:val="18"/>
                  <w:szCs w:val="18"/>
                </w:rPr>
                <w:alias w:val="无形资产累计摊销减少项目金额"/>
                <w:tag w:val="_GBC_be9ede4d9d0048fd91d0892d19eb092d"/>
                <w:id w:val="-1762291735"/>
                <w:lock w:val="sdtLocked"/>
              </w:sdtPr>
              <w:sdtEndPr>
                <w:rPr>
                  <w:rFonts w:hint="eastAsia"/>
                  <w:sz w:val="18"/>
                  <w:szCs w:val="18"/>
                </w:rPr>
              </w:sdtEndPr>
              <w:sdtContent>
                <w:tc>
                  <w:tcPr>
                    <w:tcW w:w="722" w:type="pct"/>
                    <w:shd w:val="clear" w:color="auto" w:fill="auto"/>
                    <w:vAlign w:val="center"/>
                  </w:tcPr>
                  <w:p>
                    <w:pPr>
                      <w:jc w:val="right"/>
                      <w:rPr>
                        <w:sz w:val="18"/>
                        <w:szCs w:val="18"/>
                      </w:rPr>
                    </w:pPr>
                    <w:r>
                      <w:rPr>
                        <w:rFonts w:hint="eastAsia"/>
                        <w:sz w:val="18"/>
                        <w:szCs w:val="18"/>
                      </w:rPr>
                      <w:t>2,729,504.71</w:t>
                    </w:r>
                  </w:p>
                </w:tc>
              </w:sdtContent>
            </w:sdt>
            <w:sdt>
              <w:sdtPr>
                <w:rPr>
                  <w:rFonts w:hint="eastAsia"/>
                  <w:sz w:val="18"/>
                  <w:szCs w:val="18"/>
                </w:rPr>
                <w:alias w:val="无形资产累计摊销减少项目合计金额"/>
                <w:tag w:val="_GBC_ca3fa022f2904223a1f5609ec4477f5b"/>
                <w:id w:val="1313225226"/>
                <w:lock w:val="sdtLocked"/>
              </w:sdtPr>
              <w:sdtEndPr>
                <w:rPr>
                  <w:rFonts w:hint="eastAsia"/>
                  <w:sz w:val="18"/>
                  <w:szCs w:val="18"/>
                </w:rPr>
              </w:sdtEndPr>
              <w:sdtContent>
                <w:tc>
                  <w:tcPr>
                    <w:tcW w:w="694" w:type="pct"/>
                    <w:shd w:val="clear" w:color="auto" w:fill="auto"/>
                    <w:vAlign w:val="center"/>
                  </w:tcPr>
                  <w:p>
                    <w:pPr>
                      <w:jc w:val="right"/>
                      <w:rPr>
                        <w:sz w:val="18"/>
                        <w:szCs w:val="18"/>
                      </w:rPr>
                    </w:pPr>
                    <w:r>
                      <w:rPr>
                        <w:rFonts w:hint="eastAsia"/>
                        <w:sz w:val="18"/>
                        <w:szCs w:val="18"/>
                      </w:rPr>
                      <w:t>2,729,504.71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00974608625b4b68972908d459d17711"/>
                <w:id w:val="-1542283902"/>
                <w:lock w:val="sdtLocked"/>
              </w:sdtPr>
              <w:sdtContent>
                <w:tc>
                  <w:tcPr>
                    <w:tcW w:w="787" w:type="pct"/>
                    <w:gridSpan w:val="2"/>
                    <w:shd w:val="clear" w:color="auto" w:fill="auto"/>
                    <w:vAlign w:val="center"/>
                  </w:tcPr>
                  <w:p>
                    <w:pPr>
                      <w:rPr>
                        <w:szCs w:val="21"/>
                      </w:rPr>
                    </w:pPr>
                    <w:r>
                      <w:rPr>
                        <w:rFonts w:hint="eastAsia"/>
                        <w:szCs w:val="21"/>
                      </w:rPr>
                      <w:t>4.</w:t>
                    </w:r>
                    <w:r>
                      <w:rPr>
                        <w:szCs w:val="21"/>
                      </w:rPr>
                      <w:t>期末余额</w:t>
                    </w:r>
                  </w:p>
                </w:tc>
              </w:sdtContent>
            </w:sdt>
            <w:tc>
              <w:tcPr>
                <w:tcW w:w="765" w:type="pct"/>
                <w:gridSpan w:val="2"/>
                <w:shd w:val="clear" w:color="auto" w:fill="auto"/>
                <w:vAlign w:val="center"/>
              </w:tcPr>
              <w:p>
                <w:pPr>
                  <w:jc w:val="right"/>
                  <w:rPr>
                    <w:sz w:val="18"/>
                    <w:szCs w:val="18"/>
                  </w:rPr>
                </w:pPr>
                <w:r>
                  <w:rPr>
                    <w:sz w:val="18"/>
                    <w:szCs w:val="18"/>
                  </w:rPr>
                  <w:t>120,114,600.11</w:t>
                </w:r>
              </w:p>
            </w:tc>
            <w:tc>
              <w:tcPr>
                <w:tcW w:w="721" w:type="pct"/>
                <w:shd w:val="clear" w:color="auto" w:fill="auto"/>
                <w:vAlign w:val="center"/>
              </w:tcPr>
              <w:p>
                <w:pPr>
                  <w:jc w:val="right"/>
                  <w:rPr>
                    <w:sz w:val="18"/>
                    <w:szCs w:val="18"/>
                  </w:rPr>
                </w:pPr>
                <w:r>
                  <w:rPr>
                    <w:sz w:val="18"/>
                    <w:szCs w:val="18"/>
                  </w:rPr>
                  <w:t>4,617,467.62</w:t>
                </w:r>
              </w:p>
            </w:tc>
            <w:tc>
              <w:tcPr>
                <w:tcW w:w="655" w:type="pct"/>
                <w:shd w:val="clear" w:color="auto" w:fill="auto"/>
                <w:vAlign w:val="center"/>
              </w:tcPr>
              <w:p>
                <w:pPr>
                  <w:jc w:val="right"/>
                  <w:rPr>
                    <w:sz w:val="18"/>
                    <w:szCs w:val="18"/>
                  </w:rPr>
                </w:pPr>
                <w:r>
                  <w:rPr>
                    <w:sz w:val="18"/>
                    <w:szCs w:val="18"/>
                  </w:rPr>
                  <w:t>52,279,326.41</w:t>
                </w:r>
              </w:p>
            </w:tc>
            <w:tc>
              <w:tcPr>
                <w:tcW w:w="656" w:type="pct"/>
                <w:shd w:val="clear" w:color="auto" w:fill="auto"/>
                <w:vAlign w:val="center"/>
              </w:tcPr>
              <w:p>
                <w:pPr>
                  <w:jc w:val="right"/>
                  <w:rPr>
                    <w:sz w:val="18"/>
                    <w:szCs w:val="18"/>
                  </w:rPr>
                </w:pPr>
                <w:r>
                  <w:rPr>
                    <w:sz w:val="18"/>
                    <w:szCs w:val="18"/>
                  </w:rPr>
                  <w:t>41,771,490.50</w:t>
                </w:r>
              </w:p>
            </w:tc>
            <w:tc>
              <w:tcPr>
                <w:tcW w:w="722" w:type="pct"/>
                <w:shd w:val="clear" w:color="auto" w:fill="auto"/>
                <w:vAlign w:val="center"/>
              </w:tcPr>
              <w:p>
                <w:pPr>
                  <w:jc w:val="right"/>
                  <w:rPr>
                    <w:sz w:val="18"/>
                    <w:szCs w:val="18"/>
                  </w:rPr>
                </w:pPr>
                <w:r>
                  <w:rPr>
                    <w:sz w:val="18"/>
                    <w:szCs w:val="18"/>
                  </w:rPr>
                  <w:t>58,052,659.22</w:t>
                </w:r>
              </w:p>
            </w:tc>
            <w:tc>
              <w:tcPr>
                <w:tcW w:w="694" w:type="pct"/>
                <w:shd w:val="clear" w:color="auto" w:fill="auto"/>
                <w:vAlign w:val="center"/>
              </w:tcPr>
              <w:p>
                <w:pPr>
                  <w:jc w:val="right"/>
                  <w:rPr>
                    <w:sz w:val="18"/>
                    <w:szCs w:val="18"/>
                  </w:rPr>
                </w:pPr>
                <w:r>
                  <w:rPr>
                    <w:sz w:val="18"/>
                    <w:szCs w:val="18"/>
                  </w:rPr>
                  <w:t>276,835,543.86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f7d5f180eba449a29a01985d504a8cad"/>
                <w:id w:val="-496423249"/>
                <w:lock w:val="sdtLocked"/>
              </w:sdtPr>
              <w:sdtContent>
                <w:tc>
                  <w:tcPr>
                    <w:tcW w:w="5000" w:type="pct"/>
                    <w:gridSpan w:val="9"/>
                    <w:shd w:val="clear" w:color="auto" w:fill="auto"/>
                    <w:vAlign w:val="center"/>
                  </w:tcPr>
                  <w:p>
                    <w:pPr>
                      <w:rPr>
                        <w:szCs w:val="21"/>
                      </w:rPr>
                    </w:pPr>
                    <w:r>
                      <w:rPr>
                        <w:szCs w:val="21"/>
                      </w:rPr>
                      <w:t>三、减值准备</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d456d6b4542546f2b64c57daa1b24f6c"/>
                <w:id w:val="946429378"/>
                <w:lock w:val="sdtLocked"/>
              </w:sdtPr>
              <w:sdtContent>
                <w:tc>
                  <w:tcPr>
                    <w:tcW w:w="850" w:type="pct"/>
                    <w:gridSpan w:val="3"/>
                    <w:shd w:val="clear" w:color="auto" w:fill="auto"/>
                    <w:vAlign w:val="center"/>
                  </w:tcPr>
                  <w:p>
                    <w:pPr>
                      <w:rPr>
                        <w:szCs w:val="21"/>
                      </w:rPr>
                    </w:pPr>
                    <w:r>
                      <w:rPr>
                        <w:rFonts w:hint="eastAsia"/>
                        <w:szCs w:val="21"/>
                      </w:rPr>
                      <w:t>1.期</w:t>
                    </w:r>
                    <w:r>
                      <w:rPr>
                        <w:szCs w:val="21"/>
                      </w:rPr>
                      <w:t>初余额</w:t>
                    </w:r>
                  </w:p>
                </w:tc>
              </w:sdtContent>
            </w:sdt>
            <w:tc>
              <w:tcPr>
                <w:tcW w:w="702" w:type="pct"/>
                <w:shd w:val="clear" w:color="auto" w:fill="auto"/>
                <w:vAlign w:val="center"/>
              </w:tcPr>
              <w:p>
                <w:pPr>
                  <w:jc w:val="right"/>
                  <w:rPr>
                    <w:sz w:val="15"/>
                    <w:szCs w:val="15"/>
                  </w:rPr>
                </w:pPr>
              </w:p>
            </w:tc>
            <w:tc>
              <w:tcPr>
                <w:tcW w:w="721" w:type="pct"/>
                <w:shd w:val="clear" w:color="auto" w:fill="auto"/>
                <w:vAlign w:val="center"/>
              </w:tcPr>
              <w:p>
                <w:pPr>
                  <w:jc w:val="right"/>
                  <w:rPr>
                    <w:sz w:val="18"/>
                    <w:szCs w:val="18"/>
                  </w:rPr>
                </w:pPr>
                <w:r>
                  <w:rPr>
                    <w:sz w:val="18"/>
                    <w:szCs w:val="18"/>
                  </w:rPr>
                  <w:t>4,394.00</w:t>
                </w:r>
              </w:p>
            </w:tc>
            <w:tc>
              <w:tcPr>
                <w:tcW w:w="655" w:type="pct"/>
                <w:shd w:val="clear" w:color="auto" w:fill="auto"/>
                <w:vAlign w:val="center"/>
              </w:tcPr>
              <w:p>
                <w:pPr>
                  <w:jc w:val="right"/>
                  <w:rPr>
                    <w:sz w:val="18"/>
                    <w:szCs w:val="18"/>
                  </w:rPr>
                </w:pPr>
                <w:r>
                  <w:rPr>
                    <w:sz w:val="18"/>
                    <w:szCs w:val="18"/>
                  </w:rPr>
                  <w:t>18,585,012.93</w:t>
                </w:r>
              </w:p>
            </w:tc>
            <w:tc>
              <w:tcPr>
                <w:tcW w:w="656" w:type="pct"/>
                <w:shd w:val="clear" w:color="auto" w:fill="auto"/>
                <w:vAlign w:val="center"/>
              </w:tcPr>
              <w:p>
                <w:pPr>
                  <w:jc w:val="right"/>
                  <w:rPr>
                    <w:sz w:val="18"/>
                    <w:szCs w:val="18"/>
                  </w:rPr>
                </w:pPr>
                <w:r>
                  <w:rPr>
                    <w:sz w:val="18"/>
                    <w:szCs w:val="18"/>
                  </w:rPr>
                  <w:t>22,877,967.56</w:t>
                </w:r>
              </w:p>
            </w:tc>
            <w:tc>
              <w:tcPr>
                <w:tcW w:w="722" w:type="pct"/>
                <w:shd w:val="clear" w:color="auto" w:fill="auto"/>
                <w:vAlign w:val="center"/>
              </w:tcPr>
              <w:p>
                <w:pPr>
                  <w:jc w:val="right"/>
                  <w:rPr>
                    <w:sz w:val="18"/>
                    <w:szCs w:val="18"/>
                  </w:rPr>
                </w:pPr>
                <w:r>
                  <w:rPr>
                    <w:sz w:val="18"/>
                    <w:szCs w:val="18"/>
                  </w:rPr>
                  <w:t>162,043,768.16</w:t>
                </w:r>
              </w:p>
            </w:tc>
            <w:tc>
              <w:tcPr>
                <w:tcW w:w="694" w:type="pct"/>
                <w:shd w:val="clear" w:color="auto" w:fill="auto"/>
                <w:vAlign w:val="center"/>
              </w:tcPr>
              <w:p>
                <w:pPr>
                  <w:jc w:val="right"/>
                  <w:rPr>
                    <w:sz w:val="18"/>
                    <w:szCs w:val="18"/>
                  </w:rPr>
                </w:pPr>
                <w:r>
                  <w:rPr>
                    <w:sz w:val="18"/>
                    <w:szCs w:val="18"/>
                  </w:rPr>
                  <w:t>203,511,142.65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e2857e7aebd8427e95c78e58c21c30a8"/>
                <w:id w:val="921920187"/>
                <w:lock w:val="sdtLocked"/>
              </w:sdtPr>
              <w:sdtContent>
                <w:tc>
                  <w:tcPr>
                    <w:tcW w:w="850" w:type="pct"/>
                    <w:gridSpan w:val="3"/>
                    <w:shd w:val="clear" w:color="auto" w:fill="auto"/>
                    <w:vAlign w:val="center"/>
                  </w:tcPr>
                  <w:p>
                    <w:pPr>
                      <w:rPr>
                        <w:szCs w:val="21"/>
                      </w:rPr>
                    </w:pPr>
                    <w:r>
                      <w:rPr>
                        <w:szCs w:val="21"/>
                      </w:rPr>
                      <w:t>2.本期增加</w:t>
                    </w:r>
                    <w:r>
                      <w:rPr>
                        <w:rFonts w:hint="eastAsia"/>
                        <w:szCs w:val="21"/>
                      </w:rPr>
                      <w:t>金额</w:t>
                    </w:r>
                  </w:p>
                </w:tc>
              </w:sdtContent>
            </w:sdt>
            <w:tc>
              <w:tcPr>
                <w:tcW w:w="702" w:type="pct"/>
                <w:shd w:val="clear" w:color="auto" w:fill="auto"/>
                <w:vAlign w:val="center"/>
              </w:tcPr>
              <w:p>
                <w:pPr>
                  <w:jc w:val="right"/>
                  <w:rPr>
                    <w:rFonts w:ascii="Times New Roman" w:hAnsi="Times New Roman"/>
                  </w:rPr>
                </w:pPr>
              </w:p>
            </w:tc>
            <w:tc>
              <w:tcPr>
                <w:tcW w:w="721" w:type="pct"/>
                <w:shd w:val="clear" w:color="auto" w:fill="auto"/>
                <w:vAlign w:val="center"/>
              </w:tcPr>
              <w:p>
                <w:pPr>
                  <w:jc w:val="right"/>
                  <w:rPr>
                    <w:sz w:val="18"/>
                    <w:szCs w:val="18"/>
                  </w:rPr>
                </w:pPr>
                <w:r>
                  <w:rPr>
                    <w:sz w:val="18"/>
                    <w:szCs w:val="18"/>
                  </w:rPr>
                  <w:t>-390.45</w:t>
                </w:r>
              </w:p>
            </w:tc>
            <w:tc>
              <w:tcPr>
                <w:tcW w:w="655" w:type="pct"/>
                <w:shd w:val="clear" w:color="auto" w:fill="auto"/>
                <w:vAlign w:val="center"/>
              </w:tcPr>
              <w:p>
                <w:pPr>
                  <w:jc w:val="right"/>
                  <w:rPr>
                    <w:sz w:val="18"/>
                    <w:szCs w:val="18"/>
                  </w:rPr>
                </w:pPr>
                <w:r>
                  <w:rPr>
                    <w:sz w:val="18"/>
                    <w:szCs w:val="18"/>
                  </w:rPr>
                  <w:t>-137,932.39</w:t>
                </w:r>
              </w:p>
            </w:tc>
            <w:tc>
              <w:tcPr>
                <w:tcW w:w="656" w:type="pct"/>
                <w:shd w:val="clear" w:color="auto" w:fill="auto"/>
                <w:vAlign w:val="center"/>
              </w:tcPr>
              <w:p>
                <w:pPr>
                  <w:jc w:val="right"/>
                  <w:rPr>
                    <w:sz w:val="18"/>
                    <w:szCs w:val="18"/>
                  </w:rPr>
                </w:pPr>
                <w:r>
                  <w:rPr>
                    <w:sz w:val="18"/>
                    <w:szCs w:val="18"/>
                  </w:rPr>
                  <w:t>511,506.93</w:t>
                </w:r>
              </w:p>
            </w:tc>
            <w:tc>
              <w:tcPr>
                <w:tcW w:w="722" w:type="pct"/>
                <w:shd w:val="clear" w:color="auto" w:fill="auto"/>
                <w:vAlign w:val="center"/>
              </w:tcPr>
              <w:p>
                <w:pPr>
                  <w:jc w:val="right"/>
                  <w:rPr>
                    <w:sz w:val="18"/>
                    <w:szCs w:val="18"/>
                  </w:rPr>
                </w:pPr>
                <w:r>
                  <w:rPr>
                    <w:sz w:val="18"/>
                    <w:szCs w:val="18"/>
                  </w:rPr>
                  <w:t>-373,578.89</w:t>
                </w:r>
              </w:p>
            </w:tc>
            <w:tc>
              <w:tcPr>
                <w:tcW w:w="694" w:type="pct"/>
                <w:shd w:val="clear" w:color="auto" w:fill="auto"/>
                <w:vAlign w:val="center"/>
              </w:tcPr>
              <w:p>
                <w:pPr>
                  <w:jc w:val="right"/>
                  <w:rPr>
                    <w:sz w:val="18"/>
                    <w:szCs w:val="18"/>
                  </w:rPr>
                </w:pPr>
                <w:r>
                  <w:rPr>
                    <w:sz w:val="18"/>
                    <w:szCs w:val="18"/>
                  </w:rPr>
                  <w:t>-394.80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7e845556cb2643f09ea62762907b48f4"/>
                <w:id w:val="-65034588"/>
                <w:lock w:val="sdtLocked"/>
              </w:sdtPr>
              <w:sdtContent>
                <w:tc>
                  <w:tcPr>
                    <w:tcW w:w="850" w:type="pct"/>
                    <w:gridSpan w:val="3"/>
                    <w:shd w:val="clear" w:color="auto" w:fill="auto"/>
                    <w:vAlign w:val="center"/>
                  </w:tcPr>
                  <w:p>
                    <w:pPr>
                      <w:rPr>
                        <w:szCs w:val="21"/>
                      </w:rPr>
                    </w:pPr>
                    <w:r>
                      <w:rPr>
                        <w:rFonts w:hint="eastAsia"/>
                        <w:szCs w:val="21"/>
                      </w:rPr>
                      <w:t>（1）</w:t>
                    </w:r>
                    <w:r>
                      <w:rPr>
                        <w:szCs w:val="21"/>
                      </w:rPr>
                      <w:t>计提</w:t>
                    </w:r>
                  </w:p>
                </w:tc>
              </w:sdtContent>
            </w:sdt>
            <w:tc>
              <w:tcPr>
                <w:tcW w:w="702" w:type="pct"/>
                <w:shd w:val="clear" w:color="auto" w:fill="auto"/>
                <w:vAlign w:val="center"/>
              </w:tcPr>
              <w:p>
                <w:pPr>
                  <w:jc w:val="right"/>
                  <w:rPr>
                    <w:sz w:val="15"/>
                    <w:szCs w:val="15"/>
                  </w:rPr>
                </w:pPr>
              </w:p>
            </w:tc>
            <w:tc>
              <w:tcPr>
                <w:tcW w:w="721" w:type="pct"/>
                <w:shd w:val="clear" w:color="auto" w:fill="auto"/>
                <w:vAlign w:val="center"/>
              </w:tcPr>
              <w:p>
                <w:pPr>
                  <w:jc w:val="right"/>
                  <w:rPr>
                    <w:sz w:val="18"/>
                    <w:szCs w:val="18"/>
                  </w:rPr>
                </w:pPr>
              </w:p>
            </w:tc>
            <w:tc>
              <w:tcPr>
                <w:tcW w:w="655" w:type="pct"/>
                <w:shd w:val="clear" w:color="auto" w:fill="auto"/>
                <w:vAlign w:val="center"/>
              </w:tcPr>
              <w:p>
                <w:pPr>
                  <w:jc w:val="right"/>
                  <w:rPr>
                    <w:sz w:val="18"/>
                    <w:szCs w:val="18"/>
                  </w:rPr>
                </w:pPr>
              </w:p>
            </w:tc>
            <w:tc>
              <w:tcPr>
                <w:tcW w:w="656" w:type="pct"/>
                <w:shd w:val="clear" w:color="auto" w:fill="auto"/>
                <w:vAlign w:val="center"/>
              </w:tcPr>
              <w:p>
                <w:pPr>
                  <w:jc w:val="right"/>
                  <w:rPr>
                    <w:sz w:val="18"/>
                    <w:szCs w:val="18"/>
                  </w:rPr>
                </w:pPr>
              </w:p>
            </w:tc>
            <w:tc>
              <w:tcPr>
                <w:tcW w:w="722" w:type="pct"/>
                <w:shd w:val="clear" w:color="auto" w:fill="auto"/>
                <w:vAlign w:val="center"/>
              </w:tcPr>
              <w:p>
                <w:pPr>
                  <w:jc w:val="right"/>
                  <w:rPr>
                    <w:sz w:val="18"/>
                    <w:szCs w:val="18"/>
                  </w:rPr>
                </w:pPr>
              </w:p>
            </w:tc>
            <w:tc>
              <w:tcPr>
                <w:tcW w:w="694" w:type="pct"/>
                <w:shd w:val="clear" w:color="auto" w:fill="auto"/>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sdt>
              <w:sdtPr>
                <w:rPr>
                  <w:rFonts w:hint="eastAsia"/>
                  <w:szCs w:val="21"/>
                </w:rPr>
                <w:alias w:val="无形资产减值准备增加项目名称"/>
                <w:tag w:val="_GBC_fdeb1984cba24de4886851abaa7827c6"/>
                <w:id w:val="1313987190"/>
                <w:lock w:val="sdtLocked"/>
              </w:sdtPr>
              <w:sdtEndPr>
                <w:rPr>
                  <w:rFonts w:hint="eastAsia"/>
                  <w:szCs w:val="21"/>
                </w:rPr>
              </w:sdtEndPr>
              <w:sdtContent>
                <w:tc>
                  <w:tcPr>
                    <w:tcW w:w="850" w:type="pct"/>
                    <w:gridSpan w:val="3"/>
                    <w:shd w:val="clear" w:color="auto" w:fill="auto"/>
                  </w:tcPr>
                  <w:p>
                    <w:pPr>
                      <w:rPr>
                        <w:szCs w:val="21"/>
                      </w:rPr>
                    </w:pPr>
                    <w:r>
                      <w:rPr>
                        <w:rFonts w:hint="eastAsia"/>
                        <w:szCs w:val="21"/>
                      </w:rPr>
                      <w:t>（2）外币报表折算差额</w:t>
                    </w:r>
                  </w:p>
                </w:tc>
              </w:sdtContent>
            </w:sdt>
            <w:sdt>
              <w:sdtPr>
                <w:rPr>
                  <w:rFonts w:hint="eastAsia"/>
                  <w:sz w:val="15"/>
                  <w:szCs w:val="15"/>
                </w:rPr>
                <w:alias w:val="无形资产土地使用权减值准备增加项目金额"/>
                <w:tag w:val="_GBC_ab9e8b1569ce4c4e9e2b5c4423f9a18d"/>
                <w:id w:val="1542168898"/>
                <w:lock w:val="sdtLocked"/>
                <w:showingPlcHdr/>
              </w:sdtPr>
              <w:sdtEndPr>
                <w:rPr>
                  <w:rFonts w:hint="eastAsia"/>
                  <w:sz w:val="15"/>
                  <w:szCs w:val="15"/>
                </w:rPr>
              </w:sdtEndPr>
              <w:sdtContent>
                <w:tc>
                  <w:tcPr>
                    <w:tcW w:w="702" w:type="pct"/>
                    <w:shd w:val="clear" w:color="auto" w:fill="auto"/>
                    <w:vAlign w:val="center"/>
                  </w:tcPr>
                  <w:p>
                    <w:pPr>
                      <w:jc w:val="right"/>
                      <w:rPr>
                        <w:sz w:val="15"/>
                        <w:szCs w:val="15"/>
                      </w:rPr>
                    </w:pPr>
                  </w:p>
                </w:tc>
              </w:sdtContent>
            </w:sdt>
            <w:sdt>
              <w:sdtPr>
                <w:rPr>
                  <w:rFonts w:hint="eastAsia"/>
                  <w:sz w:val="18"/>
                  <w:szCs w:val="18"/>
                </w:rPr>
                <w:alias w:val="无形资产减值准备增加项目金额"/>
                <w:tag w:val="_GBC_5e3c951a83494ef79ba357bd5fbc7dac"/>
                <w:id w:val="-777022968"/>
                <w:lock w:val="sdtLocked"/>
              </w:sdtPr>
              <w:sdtEndPr>
                <w:rPr>
                  <w:rFonts w:hint="eastAsia"/>
                  <w:sz w:val="18"/>
                  <w:szCs w:val="18"/>
                </w:rPr>
              </w:sdtEndPr>
              <w:sdtContent>
                <w:tc>
                  <w:tcPr>
                    <w:tcW w:w="721" w:type="pct"/>
                    <w:shd w:val="clear" w:color="auto" w:fill="auto"/>
                    <w:vAlign w:val="center"/>
                  </w:tcPr>
                  <w:p>
                    <w:pPr>
                      <w:jc w:val="right"/>
                      <w:rPr>
                        <w:sz w:val="18"/>
                        <w:szCs w:val="18"/>
                      </w:rPr>
                    </w:pPr>
                    <w:r>
                      <w:rPr>
                        <w:rFonts w:hint="eastAsia"/>
                        <w:sz w:val="18"/>
                        <w:szCs w:val="18"/>
                      </w:rPr>
                      <w:t>-390.45</w:t>
                    </w:r>
                  </w:p>
                </w:tc>
              </w:sdtContent>
            </w:sdt>
            <w:sdt>
              <w:sdtPr>
                <w:rPr>
                  <w:rFonts w:hint="eastAsia"/>
                  <w:sz w:val="18"/>
                  <w:szCs w:val="18"/>
                </w:rPr>
                <w:alias w:val="无形资产专利权减值准备增加项目金额"/>
                <w:tag w:val="_GBC_2a93f1c2ee784636847577b249567977"/>
                <w:id w:val="-1421097701"/>
                <w:lock w:val="sdtLocked"/>
              </w:sdtPr>
              <w:sdtEndPr>
                <w:rPr>
                  <w:rFonts w:hint="eastAsia"/>
                  <w:sz w:val="18"/>
                  <w:szCs w:val="18"/>
                </w:rPr>
              </w:sdtEndPr>
              <w:sdtContent>
                <w:tc>
                  <w:tcPr>
                    <w:tcW w:w="655" w:type="pct"/>
                    <w:shd w:val="clear" w:color="auto" w:fill="auto"/>
                    <w:vAlign w:val="center"/>
                  </w:tcPr>
                  <w:p>
                    <w:pPr>
                      <w:ind w:right="600"/>
                      <w:jc w:val="right"/>
                      <w:rPr>
                        <w:sz w:val="18"/>
                        <w:szCs w:val="18"/>
                      </w:rPr>
                    </w:pPr>
                  </w:p>
                </w:tc>
              </w:sdtContent>
            </w:sdt>
            <w:sdt>
              <w:sdtPr>
                <w:rPr>
                  <w:rFonts w:hint="eastAsia"/>
                  <w:sz w:val="18"/>
                  <w:szCs w:val="18"/>
                </w:rPr>
                <w:alias w:val="无形资产减值准备增加项目金额"/>
                <w:tag w:val="_GBC_5e3c951a83494ef79ba357bd5fbc7dac"/>
                <w:id w:val="96539651"/>
                <w:lock w:val="sdtLocked"/>
              </w:sdtPr>
              <w:sdtEndPr>
                <w:rPr>
                  <w:rFonts w:hint="eastAsia"/>
                  <w:sz w:val="18"/>
                  <w:szCs w:val="18"/>
                </w:rPr>
              </w:sdtEndPr>
              <w:sdtContent>
                <w:tc>
                  <w:tcPr>
                    <w:tcW w:w="656" w:type="pct"/>
                    <w:shd w:val="clear" w:color="auto" w:fill="auto"/>
                    <w:vAlign w:val="center"/>
                  </w:tcPr>
                  <w:p>
                    <w:pPr>
                      <w:jc w:val="right"/>
                      <w:rPr>
                        <w:sz w:val="18"/>
                        <w:szCs w:val="18"/>
                      </w:rPr>
                    </w:pPr>
                    <w:r>
                      <w:rPr>
                        <w:rFonts w:hint="eastAsia"/>
                        <w:sz w:val="18"/>
                        <w:szCs w:val="18"/>
                      </w:rPr>
                      <w:t>-4.35</w:t>
                    </w:r>
                  </w:p>
                </w:tc>
              </w:sdtContent>
            </w:sdt>
            <w:sdt>
              <w:sdtPr>
                <w:rPr>
                  <w:rFonts w:hint="eastAsia"/>
                  <w:sz w:val="18"/>
                  <w:szCs w:val="18"/>
                </w:rPr>
                <w:alias w:val="无形资产减值准备增加项目金额"/>
                <w:tag w:val="_GBC_5e3c951a83494ef79ba357bd5fbc7dac"/>
                <w:id w:val="292715982"/>
                <w:lock w:val="sdtLocked"/>
              </w:sdtPr>
              <w:sdtEndPr>
                <w:rPr>
                  <w:rFonts w:hint="eastAsia"/>
                  <w:sz w:val="18"/>
                  <w:szCs w:val="18"/>
                </w:rPr>
              </w:sdtEndPr>
              <w:sdtContent>
                <w:tc>
                  <w:tcPr>
                    <w:tcW w:w="722" w:type="pct"/>
                    <w:shd w:val="clear" w:color="auto" w:fill="auto"/>
                    <w:vAlign w:val="center"/>
                  </w:tcPr>
                  <w:p>
                    <w:pPr>
                      <w:jc w:val="right"/>
                      <w:rPr>
                        <w:sz w:val="18"/>
                        <w:szCs w:val="18"/>
                      </w:rPr>
                    </w:pPr>
                  </w:p>
                </w:tc>
              </w:sdtContent>
            </w:sdt>
            <w:sdt>
              <w:sdtPr>
                <w:rPr>
                  <w:rFonts w:hint="eastAsia"/>
                  <w:sz w:val="18"/>
                  <w:szCs w:val="18"/>
                </w:rPr>
                <w:alias w:val="无形资产减值准备增加项目合计金额"/>
                <w:tag w:val="_GBC_6b45ef0c9ecd4a5d965577e7bab2a1bd"/>
                <w:id w:val="-1245803306"/>
                <w:lock w:val="sdtLocked"/>
              </w:sdtPr>
              <w:sdtEndPr>
                <w:rPr>
                  <w:rFonts w:hint="eastAsia"/>
                  <w:sz w:val="18"/>
                  <w:szCs w:val="18"/>
                </w:rPr>
              </w:sdtEndPr>
              <w:sdtContent>
                <w:tc>
                  <w:tcPr>
                    <w:tcW w:w="694" w:type="pct"/>
                    <w:shd w:val="clear" w:color="auto" w:fill="auto"/>
                    <w:vAlign w:val="center"/>
                  </w:tcPr>
                  <w:p>
                    <w:pPr>
                      <w:jc w:val="right"/>
                      <w:rPr>
                        <w:sz w:val="18"/>
                        <w:szCs w:val="18"/>
                      </w:rPr>
                    </w:pPr>
                    <w:r>
                      <w:rPr>
                        <w:rFonts w:hint="eastAsia"/>
                        <w:sz w:val="18"/>
                        <w:szCs w:val="18"/>
                      </w:rPr>
                      <w:t>-394.80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 w:hRule="atLeast"/>
            </w:trPr>
            <w:sdt>
              <w:sdtPr>
                <w:rPr>
                  <w:rFonts w:hint="eastAsia"/>
                  <w:szCs w:val="21"/>
                </w:rPr>
                <w:alias w:val="无形资产减值准备增加项目名称"/>
                <w:tag w:val="_GBC_fdeb1984cba24de4886851abaa7827c6"/>
                <w:id w:val="1580325786"/>
                <w:lock w:val="sdtLocked"/>
              </w:sdtPr>
              <w:sdtEndPr>
                <w:rPr>
                  <w:rFonts w:hint="eastAsia"/>
                  <w:szCs w:val="21"/>
                </w:rPr>
              </w:sdtEndPr>
              <w:sdtContent>
                <w:tc>
                  <w:tcPr>
                    <w:tcW w:w="850" w:type="pct"/>
                    <w:gridSpan w:val="3"/>
                    <w:shd w:val="clear" w:color="auto" w:fill="auto"/>
                  </w:tcPr>
                  <w:p>
                    <w:pPr>
                      <w:rPr>
                        <w:szCs w:val="21"/>
                      </w:rPr>
                    </w:pPr>
                    <w:r>
                      <w:rPr>
                        <w:rFonts w:hint="eastAsia"/>
                        <w:szCs w:val="21"/>
                      </w:rPr>
                      <w:t>（3）重分类</w:t>
                    </w:r>
                  </w:p>
                </w:tc>
              </w:sdtContent>
            </w:sdt>
            <w:sdt>
              <w:sdtPr>
                <w:rPr>
                  <w:rFonts w:hint="eastAsia"/>
                  <w:sz w:val="15"/>
                  <w:szCs w:val="15"/>
                </w:rPr>
                <w:alias w:val="无形资产土地使用权减值准备增加项目金额"/>
                <w:tag w:val="_GBC_ab9e8b1569ce4c4e9e2b5c4423f9a18d"/>
                <w:id w:val="-11542948"/>
                <w:lock w:val="sdtLocked"/>
              </w:sdtPr>
              <w:sdtEndPr>
                <w:rPr>
                  <w:rFonts w:hint="eastAsia"/>
                  <w:sz w:val="15"/>
                  <w:szCs w:val="15"/>
                </w:rPr>
              </w:sdtEndPr>
              <w:sdtContent>
                <w:tc>
                  <w:tcPr>
                    <w:tcW w:w="702" w:type="pct"/>
                    <w:shd w:val="clear" w:color="auto" w:fill="auto"/>
                    <w:vAlign w:val="center"/>
                  </w:tcPr>
                  <w:p>
                    <w:pPr>
                      <w:jc w:val="right"/>
                      <w:rPr>
                        <w:sz w:val="15"/>
                        <w:szCs w:val="15"/>
                      </w:rPr>
                    </w:pPr>
                  </w:p>
                </w:tc>
              </w:sdtContent>
            </w:sdt>
            <w:sdt>
              <w:sdtPr>
                <w:rPr>
                  <w:rFonts w:hint="eastAsia"/>
                  <w:sz w:val="18"/>
                  <w:szCs w:val="18"/>
                </w:rPr>
                <w:alias w:val="无形资产减值准备增加项目金额"/>
                <w:tag w:val="_GBC_5e3c951a83494ef79ba357bd5fbc7dac"/>
                <w:id w:val="-708342638"/>
                <w:lock w:val="sdtLocked"/>
              </w:sdtPr>
              <w:sdtEndPr>
                <w:rPr>
                  <w:rFonts w:hint="eastAsia"/>
                  <w:sz w:val="18"/>
                  <w:szCs w:val="18"/>
                </w:rPr>
              </w:sdtEndPr>
              <w:sdtContent>
                <w:tc>
                  <w:tcPr>
                    <w:tcW w:w="721" w:type="pct"/>
                    <w:shd w:val="clear" w:color="auto" w:fill="auto"/>
                    <w:vAlign w:val="center"/>
                  </w:tcPr>
                  <w:p>
                    <w:pPr>
                      <w:jc w:val="right"/>
                      <w:rPr>
                        <w:sz w:val="18"/>
                        <w:szCs w:val="18"/>
                      </w:rPr>
                    </w:pPr>
                  </w:p>
                </w:tc>
              </w:sdtContent>
            </w:sdt>
            <w:sdt>
              <w:sdtPr>
                <w:rPr>
                  <w:rFonts w:hint="eastAsia"/>
                  <w:sz w:val="18"/>
                  <w:szCs w:val="18"/>
                </w:rPr>
                <w:alias w:val="无形资产专利权减值准备增加项目金额"/>
                <w:tag w:val="_GBC_2a93f1c2ee784636847577b249567977"/>
                <w:id w:val="700432757"/>
                <w:lock w:val="sdtLocked"/>
              </w:sdtPr>
              <w:sdtEndPr>
                <w:rPr>
                  <w:rFonts w:hint="eastAsia"/>
                  <w:sz w:val="18"/>
                  <w:szCs w:val="18"/>
                </w:rPr>
              </w:sdtEndPr>
              <w:sdtContent>
                <w:tc>
                  <w:tcPr>
                    <w:tcW w:w="655" w:type="pct"/>
                    <w:shd w:val="clear" w:color="auto" w:fill="auto"/>
                    <w:vAlign w:val="center"/>
                  </w:tcPr>
                  <w:p>
                    <w:pPr>
                      <w:jc w:val="right"/>
                      <w:rPr>
                        <w:sz w:val="18"/>
                        <w:szCs w:val="18"/>
                      </w:rPr>
                    </w:pPr>
                    <w:r>
                      <w:rPr>
                        <w:rFonts w:hint="eastAsia"/>
                        <w:sz w:val="18"/>
                        <w:szCs w:val="18"/>
                      </w:rPr>
                      <w:t>-137,932.39</w:t>
                    </w:r>
                  </w:p>
                </w:tc>
              </w:sdtContent>
            </w:sdt>
            <w:sdt>
              <w:sdtPr>
                <w:rPr>
                  <w:rFonts w:hint="eastAsia"/>
                  <w:sz w:val="18"/>
                  <w:szCs w:val="18"/>
                </w:rPr>
                <w:alias w:val="无形资产减值准备增加项目金额"/>
                <w:tag w:val="_GBC_5e3c951a83494ef79ba357bd5fbc7dac"/>
                <w:id w:val="176927698"/>
                <w:lock w:val="sdtLocked"/>
              </w:sdtPr>
              <w:sdtEndPr>
                <w:rPr>
                  <w:rFonts w:hint="eastAsia"/>
                  <w:sz w:val="18"/>
                  <w:szCs w:val="18"/>
                </w:rPr>
              </w:sdtEndPr>
              <w:sdtContent>
                <w:tc>
                  <w:tcPr>
                    <w:tcW w:w="656" w:type="pct"/>
                    <w:shd w:val="clear" w:color="auto" w:fill="auto"/>
                    <w:vAlign w:val="center"/>
                  </w:tcPr>
                  <w:p>
                    <w:pPr>
                      <w:jc w:val="right"/>
                      <w:rPr>
                        <w:sz w:val="18"/>
                        <w:szCs w:val="18"/>
                      </w:rPr>
                    </w:pPr>
                    <w:r>
                      <w:rPr>
                        <w:rFonts w:hint="eastAsia"/>
                        <w:sz w:val="18"/>
                        <w:szCs w:val="18"/>
                      </w:rPr>
                      <w:t>511,511.28</w:t>
                    </w:r>
                  </w:p>
                </w:tc>
              </w:sdtContent>
            </w:sdt>
            <w:sdt>
              <w:sdtPr>
                <w:rPr>
                  <w:rFonts w:hint="eastAsia"/>
                  <w:sz w:val="18"/>
                  <w:szCs w:val="18"/>
                </w:rPr>
                <w:alias w:val="无形资产减值准备增加项目金额"/>
                <w:tag w:val="_GBC_5e3c951a83494ef79ba357bd5fbc7dac"/>
                <w:id w:val="-710499363"/>
                <w:lock w:val="sdtLocked"/>
              </w:sdtPr>
              <w:sdtEndPr>
                <w:rPr>
                  <w:rFonts w:hint="eastAsia"/>
                  <w:sz w:val="18"/>
                  <w:szCs w:val="18"/>
                </w:rPr>
              </w:sdtEndPr>
              <w:sdtContent>
                <w:tc>
                  <w:tcPr>
                    <w:tcW w:w="722" w:type="pct"/>
                    <w:shd w:val="clear" w:color="auto" w:fill="auto"/>
                    <w:vAlign w:val="center"/>
                  </w:tcPr>
                  <w:p>
                    <w:pPr>
                      <w:jc w:val="right"/>
                      <w:rPr>
                        <w:sz w:val="18"/>
                        <w:szCs w:val="18"/>
                      </w:rPr>
                    </w:pPr>
                    <w:r>
                      <w:rPr>
                        <w:rFonts w:hint="eastAsia"/>
                        <w:sz w:val="18"/>
                        <w:szCs w:val="18"/>
                      </w:rPr>
                      <w:t>-373,578.89</w:t>
                    </w:r>
                  </w:p>
                </w:tc>
              </w:sdtContent>
            </w:sdt>
            <w:sdt>
              <w:sdtPr>
                <w:rPr>
                  <w:rFonts w:hint="eastAsia"/>
                  <w:sz w:val="18"/>
                  <w:szCs w:val="18"/>
                </w:rPr>
                <w:alias w:val="无形资产减值准备增加项目合计金额"/>
                <w:tag w:val="_GBC_6b45ef0c9ecd4a5d965577e7bab2a1bd"/>
                <w:id w:val="-1341080376"/>
                <w:lock w:val="sdtLocked"/>
              </w:sdtPr>
              <w:sdtEndPr>
                <w:rPr>
                  <w:rFonts w:hint="eastAsia"/>
                  <w:sz w:val="18"/>
                  <w:szCs w:val="18"/>
                </w:rPr>
              </w:sdtEndPr>
              <w:sdtContent>
                <w:tc>
                  <w:tcPr>
                    <w:tcW w:w="694" w:type="pct"/>
                    <w:shd w:val="clear" w:color="auto" w:fill="auto"/>
                    <w:vAlign w:val="center"/>
                  </w:tcPr>
                  <w:p>
                    <w:pPr>
                      <w:jc w:val="right"/>
                      <w:rPr>
                        <w:sz w:val="18"/>
                        <w:szCs w:val="18"/>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82ae87c72cfb4360abe17ac07d374fa6"/>
                <w:id w:val="-1169088053"/>
                <w:lock w:val="sdtLocked"/>
              </w:sdtPr>
              <w:sdtContent>
                <w:tc>
                  <w:tcPr>
                    <w:tcW w:w="850" w:type="pct"/>
                    <w:gridSpan w:val="3"/>
                    <w:shd w:val="clear" w:color="auto" w:fill="auto"/>
                    <w:vAlign w:val="center"/>
                  </w:tcPr>
                  <w:p>
                    <w:pPr>
                      <w:rPr>
                        <w:szCs w:val="21"/>
                      </w:rPr>
                    </w:pPr>
                    <w:r>
                      <w:rPr>
                        <w:rFonts w:hint="eastAsia"/>
                        <w:szCs w:val="21"/>
                      </w:rPr>
                      <w:t>3.</w:t>
                    </w:r>
                    <w:r>
                      <w:rPr>
                        <w:szCs w:val="21"/>
                      </w:rPr>
                      <w:t>本期减少</w:t>
                    </w:r>
                    <w:r>
                      <w:rPr>
                        <w:rFonts w:hint="eastAsia"/>
                        <w:szCs w:val="21"/>
                      </w:rPr>
                      <w:t>金额</w:t>
                    </w:r>
                  </w:p>
                </w:tc>
              </w:sdtContent>
            </w:sdt>
            <w:tc>
              <w:tcPr>
                <w:tcW w:w="702" w:type="pct"/>
                <w:shd w:val="clear" w:color="auto" w:fill="auto"/>
                <w:vAlign w:val="center"/>
              </w:tcPr>
              <w:p>
                <w:pPr>
                  <w:jc w:val="right"/>
                  <w:rPr>
                    <w:sz w:val="24"/>
                  </w:rPr>
                </w:pPr>
              </w:p>
            </w:tc>
            <w:tc>
              <w:tcPr>
                <w:tcW w:w="721" w:type="pct"/>
                <w:shd w:val="clear" w:color="auto" w:fill="auto"/>
                <w:vAlign w:val="center"/>
              </w:tcPr>
              <w:p>
                <w:pPr>
                  <w:jc w:val="right"/>
                  <w:rPr>
                    <w:sz w:val="18"/>
                    <w:szCs w:val="18"/>
                  </w:rPr>
                </w:pPr>
              </w:p>
            </w:tc>
            <w:tc>
              <w:tcPr>
                <w:tcW w:w="655" w:type="pct"/>
                <w:shd w:val="clear" w:color="auto" w:fill="auto"/>
                <w:vAlign w:val="center"/>
              </w:tcPr>
              <w:p>
                <w:pPr>
                  <w:jc w:val="right"/>
                  <w:rPr>
                    <w:sz w:val="18"/>
                    <w:szCs w:val="18"/>
                  </w:rPr>
                </w:pPr>
              </w:p>
            </w:tc>
            <w:tc>
              <w:tcPr>
                <w:tcW w:w="656" w:type="pct"/>
                <w:shd w:val="clear" w:color="auto" w:fill="auto"/>
                <w:vAlign w:val="center"/>
              </w:tcPr>
              <w:p>
                <w:pPr>
                  <w:jc w:val="right"/>
                  <w:rPr>
                    <w:sz w:val="18"/>
                    <w:szCs w:val="18"/>
                  </w:rPr>
                </w:pPr>
              </w:p>
            </w:tc>
            <w:tc>
              <w:tcPr>
                <w:tcW w:w="722" w:type="pct"/>
                <w:shd w:val="clear" w:color="auto" w:fill="auto"/>
                <w:vAlign w:val="center"/>
              </w:tcPr>
              <w:p>
                <w:pPr>
                  <w:jc w:val="right"/>
                  <w:rPr>
                    <w:sz w:val="18"/>
                    <w:szCs w:val="18"/>
                  </w:rPr>
                </w:pPr>
                <w:r>
                  <w:rPr>
                    <w:sz w:val="18"/>
                    <w:szCs w:val="18"/>
                  </w:rPr>
                  <w:t>14,057,127.94</w:t>
                </w:r>
              </w:p>
            </w:tc>
            <w:tc>
              <w:tcPr>
                <w:tcW w:w="694" w:type="pct"/>
                <w:shd w:val="clear" w:color="auto" w:fill="auto"/>
                <w:vAlign w:val="center"/>
              </w:tcPr>
              <w:p>
                <w:pPr>
                  <w:jc w:val="right"/>
                  <w:rPr>
                    <w:sz w:val="18"/>
                    <w:szCs w:val="18"/>
                  </w:rPr>
                </w:pPr>
                <w:r>
                  <w:rPr>
                    <w:sz w:val="18"/>
                    <w:szCs w:val="18"/>
                  </w:rPr>
                  <w:t>14,057,127.94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4281f362df094494bb5ac71abc4524c7"/>
                <w:id w:val="-1234539554"/>
                <w:lock w:val="sdtLocked"/>
              </w:sdtPr>
              <w:sdtContent>
                <w:tc>
                  <w:tcPr>
                    <w:tcW w:w="850" w:type="pct"/>
                    <w:gridSpan w:val="3"/>
                    <w:shd w:val="clear" w:color="auto" w:fill="auto"/>
                    <w:vAlign w:val="center"/>
                  </w:tcPr>
                  <w:p>
                    <w:pPr>
                      <w:rPr>
                        <w:szCs w:val="21"/>
                      </w:rPr>
                    </w:pPr>
                    <w:r>
                      <w:rPr>
                        <w:szCs w:val="21"/>
                      </w:rPr>
                      <w:t>(</w:t>
                    </w:r>
                    <w:r>
                      <w:rPr>
                        <w:rFonts w:hint="eastAsia"/>
                        <w:szCs w:val="21"/>
                      </w:rPr>
                      <w:t>1</w:t>
                    </w:r>
                    <w:r>
                      <w:rPr>
                        <w:szCs w:val="21"/>
                      </w:rPr>
                      <w:t>)</w:t>
                    </w:r>
                    <w:r>
                      <w:rPr>
                        <w:rFonts w:hint="eastAsia"/>
                        <w:szCs w:val="21"/>
                      </w:rPr>
                      <w:t>处置</w:t>
                    </w:r>
                  </w:p>
                </w:tc>
              </w:sdtContent>
            </w:sdt>
            <w:tc>
              <w:tcPr>
                <w:tcW w:w="702" w:type="pct"/>
                <w:shd w:val="clear" w:color="auto" w:fill="auto"/>
                <w:vAlign w:val="center"/>
              </w:tcPr>
              <w:p>
                <w:pPr>
                  <w:jc w:val="right"/>
                  <w:rPr>
                    <w:sz w:val="24"/>
                  </w:rPr>
                </w:pPr>
              </w:p>
            </w:tc>
            <w:tc>
              <w:tcPr>
                <w:tcW w:w="721" w:type="pct"/>
                <w:shd w:val="clear" w:color="auto" w:fill="auto"/>
                <w:vAlign w:val="center"/>
              </w:tcPr>
              <w:p>
                <w:pPr>
                  <w:jc w:val="right"/>
                  <w:rPr>
                    <w:sz w:val="18"/>
                    <w:szCs w:val="18"/>
                  </w:rPr>
                </w:pPr>
              </w:p>
            </w:tc>
            <w:tc>
              <w:tcPr>
                <w:tcW w:w="655" w:type="pct"/>
                <w:shd w:val="clear" w:color="auto" w:fill="auto"/>
                <w:vAlign w:val="center"/>
              </w:tcPr>
              <w:p>
                <w:pPr>
                  <w:jc w:val="right"/>
                  <w:rPr>
                    <w:sz w:val="18"/>
                    <w:szCs w:val="18"/>
                  </w:rPr>
                </w:pPr>
              </w:p>
            </w:tc>
            <w:tc>
              <w:tcPr>
                <w:tcW w:w="656" w:type="pct"/>
                <w:shd w:val="clear" w:color="auto" w:fill="auto"/>
                <w:vAlign w:val="center"/>
              </w:tcPr>
              <w:p>
                <w:pPr>
                  <w:jc w:val="right"/>
                  <w:rPr>
                    <w:sz w:val="18"/>
                    <w:szCs w:val="18"/>
                  </w:rPr>
                </w:pPr>
              </w:p>
            </w:tc>
            <w:tc>
              <w:tcPr>
                <w:tcW w:w="722" w:type="pct"/>
                <w:shd w:val="clear" w:color="auto" w:fill="auto"/>
                <w:vAlign w:val="center"/>
              </w:tcPr>
              <w:p>
                <w:pPr>
                  <w:jc w:val="right"/>
                  <w:rPr>
                    <w:sz w:val="18"/>
                    <w:szCs w:val="18"/>
                  </w:rPr>
                </w:pPr>
                <w:r>
                  <w:rPr>
                    <w:sz w:val="18"/>
                    <w:szCs w:val="18"/>
                  </w:rPr>
                  <w:t>14,057,127.94</w:t>
                </w:r>
              </w:p>
            </w:tc>
            <w:tc>
              <w:tcPr>
                <w:tcW w:w="694" w:type="pct"/>
                <w:shd w:val="clear" w:color="auto" w:fill="auto"/>
                <w:vAlign w:val="center"/>
              </w:tcPr>
              <w:p>
                <w:pPr>
                  <w:jc w:val="right"/>
                  <w:rPr>
                    <w:sz w:val="18"/>
                    <w:szCs w:val="18"/>
                  </w:rPr>
                </w:pPr>
                <w:r>
                  <w:rPr>
                    <w:sz w:val="18"/>
                    <w:szCs w:val="18"/>
                  </w:rPr>
                  <w:t>14,057,127.94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9428ef0f2bd34dc7821d00833f5252c1"/>
                <w:id w:val="55751895"/>
                <w:lock w:val="sdtLocked"/>
              </w:sdtPr>
              <w:sdtContent>
                <w:tc>
                  <w:tcPr>
                    <w:tcW w:w="850" w:type="pct"/>
                    <w:gridSpan w:val="3"/>
                    <w:shd w:val="clear" w:color="auto" w:fill="auto"/>
                    <w:vAlign w:val="center"/>
                  </w:tcPr>
                  <w:p>
                    <w:pPr>
                      <w:rPr>
                        <w:szCs w:val="21"/>
                      </w:rPr>
                    </w:pPr>
                    <w:r>
                      <w:rPr>
                        <w:rFonts w:hint="eastAsia"/>
                        <w:szCs w:val="21"/>
                      </w:rPr>
                      <w:t>4.</w:t>
                    </w:r>
                    <w:r>
                      <w:rPr>
                        <w:szCs w:val="21"/>
                      </w:rPr>
                      <w:t>期末余额</w:t>
                    </w:r>
                  </w:p>
                </w:tc>
              </w:sdtContent>
            </w:sdt>
            <w:tc>
              <w:tcPr>
                <w:tcW w:w="702" w:type="pct"/>
                <w:shd w:val="clear" w:color="auto" w:fill="auto"/>
                <w:vAlign w:val="center"/>
              </w:tcPr>
              <w:p>
                <w:pPr>
                  <w:jc w:val="right"/>
                  <w:rPr>
                    <w:sz w:val="24"/>
                  </w:rPr>
                </w:pPr>
              </w:p>
            </w:tc>
            <w:tc>
              <w:tcPr>
                <w:tcW w:w="721" w:type="pct"/>
                <w:shd w:val="clear" w:color="auto" w:fill="auto"/>
                <w:vAlign w:val="center"/>
              </w:tcPr>
              <w:p>
                <w:pPr>
                  <w:jc w:val="right"/>
                  <w:rPr>
                    <w:sz w:val="18"/>
                    <w:szCs w:val="18"/>
                  </w:rPr>
                </w:pPr>
                <w:r>
                  <w:rPr>
                    <w:sz w:val="18"/>
                    <w:szCs w:val="18"/>
                  </w:rPr>
                  <w:t>4,003.55</w:t>
                </w:r>
              </w:p>
            </w:tc>
            <w:tc>
              <w:tcPr>
                <w:tcW w:w="655" w:type="pct"/>
                <w:shd w:val="clear" w:color="auto" w:fill="auto"/>
                <w:vAlign w:val="center"/>
              </w:tcPr>
              <w:p>
                <w:pPr>
                  <w:jc w:val="right"/>
                  <w:rPr>
                    <w:sz w:val="18"/>
                    <w:szCs w:val="18"/>
                  </w:rPr>
                </w:pPr>
                <w:r>
                  <w:rPr>
                    <w:sz w:val="18"/>
                    <w:szCs w:val="18"/>
                  </w:rPr>
                  <w:t>18,447,080.54</w:t>
                </w:r>
              </w:p>
            </w:tc>
            <w:tc>
              <w:tcPr>
                <w:tcW w:w="656" w:type="pct"/>
                <w:shd w:val="clear" w:color="auto" w:fill="auto"/>
                <w:vAlign w:val="center"/>
              </w:tcPr>
              <w:p>
                <w:pPr>
                  <w:jc w:val="right"/>
                  <w:rPr>
                    <w:sz w:val="18"/>
                    <w:szCs w:val="18"/>
                  </w:rPr>
                </w:pPr>
                <w:r>
                  <w:rPr>
                    <w:sz w:val="18"/>
                    <w:szCs w:val="18"/>
                  </w:rPr>
                  <w:t>23,389,474.49</w:t>
                </w:r>
              </w:p>
            </w:tc>
            <w:tc>
              <w:tcPr>
                <w:tcW w:w="722" w:type="pct"/>
                <w:shd w:val="clear" w:color="auto" w:fill="auto"/>
                <w:vAlign w:val="center"/>
              </w:tcPr>
              <w:p>
                <w:pPr>
                  <w:jc w:val="right"/>
                  <w:rPr>
                    <w:sz w:val="18"/>
                    <w:szCs w:val="18"/>
                  </w:rPr>
                </w:pPr>
                <w:r>
                  <w:rPr>
                    <w:sz w:val="18"/>
                    <w:szCs w:val="18"/>
                  </w:rPr>
                  <w:t>147,613,061.33</w:t>
                </w:r>
              </w:p>
            </w:tc>
            <w:tc>
              <w:tcPr>
                <w:tcW w:w="694" w:type="pct"/>
                <w:shd w:val="clear" w:color="auto" w:fill="auto"/>
                <w:vAlign w:val="center"/>
              </w:tcPr>
              <w:p>
                <w:pPr>
                  <w:jc w:val="right"/>
                  <w:rPr>
                    <w:sz w:val="18"/>
                    <w:szCs w:val="18"/>
                  </w:rPr>
                </w:pPr>
                <w:r>
                  <w:rPr>
                    <w:sz w:val="18"/>
                    <w:szCs w:val="18"/>
                  </w:rPr>
                  <w:t>189,453,619.91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4b0672b3afec475f9c6133950914fc81"/>
                <w:id w:val="73868171"/>
                <w:lock w:val="sdtLocked"/>
              </w:sdtPr>
              <w:sdtContent>
                <w:tc>
                  <w:tcPr>
                    <w:tcW w:w="5000" w:type="pct"/>
                    <w:gridSpan w:val="9"/>
                    <w:shd w:val="clear" w:color="auto" w:fill="auto"/>
                    <w:vAlign w:val="center"/>
                  </w:tcPr>
                  <w:p>
                    <w:pPr>
                      <w:rPr>
                        <w:szCs w:val="21"/>
                      </w:rPr>
                    </w:pPr>
                    <w:r>
                      <w:rPr>
                        <w:szCs w:val="21"/>
                      </w:rPr>
                      <w:t>四、账面价值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1fc70ce7dba842249c5899f16f4ea2f4"/>
                <w:id w:val="-677199516"/>
                <w:lock w:val="sdtLocked"/>
              </w:sdtPr>
              <w:sdtContent>
                <w:tc>
                  <w:tcPr>
                    <w:tcW w:w="850" w:type="pct"/>
                    <w:gridSpan w:val="3"/>
                    <w:shd w:val="clear" w:color="auto" w:fill="auto"/>
                    <w:vAlign w:val="center"/>
                  </w:tcPr>
                  <w:p>
                    <w:pPr>
                      <w:rPr>
                        <w:szCs w:val="21"/>
                      </w:rPr>
                    </w:pPr>
                    <w:r>
                      <w:rPr>
                        <w:szCs w:val="21"/>
                      </w:rPr>
                      <w:t>1.期末账面价值</w:t>
                    </w:r>
                  </w:p>
                </w:tc>
              </w:sdtContent>
            </w:sdt>
            <w:tc>
              <w:tcPr>
                <w:tcW w:w="702" w:type="pct"/>
                <w:shd w:val="clear" w:color="auto" w:fill="auto"/>
                <w:vAlign w:val="center"/>
              </w:tcPr>
              <w:p>
                <w:pPr>
                  <w:jc w:val="right"/>
                  <w:rPr>
                    <w:sz w:val="18"/>
                    <w:szCs w:val="18"/>
                  </w:rPr>
                </w:pPr>
                <w:r>
                  <w:rPr>
                    <w:sz w:val="18"/>
                    <w:szCs w:val="18"/>
                  </w:rPr>
                  <w:t>489,333,833.71</w:t>
                </w:r>
              </w:p>
            </w:tc>
            <w:tc>
              <w:tcPr>
                <w:tcW w:w="721" w:type="pct"/>
                <w:shd w:val="clear" w:color="auto" w:fill="auto"/>
                <w:vAlign w:val="center"/>
              </w:tcPr>
              <w:p>
                <w:pPr>
                  <w:jc w:val="right"/>
                  <w:rPr>
                    <w:sz w:val="18"/>
                    <w:szCs w:val="18"/>
                  </w:rPr>
                </w:pPr>
                <w:r>
                  <w:rPr>
                    <w:sz w:val="18"/>
                    <w:szCs w:val="18"/>
                  </w:rPr>
                  <w:t>1,483,822.16</w:t>
                </w:r>
              </w:p>
            </w:tc>
            <w:tc>
              <w:tcPr>
                <w:tcW w:w="655" w:type="pct"/>
                <w:shd w:val="clear" w:color="auto" w:fill="auto"/>
                <w:vAlign w:val="center"/>
              </w:tcPr>
              <w:p>
                <w:pPr>
                  <w:jc w:val="right"/>
                  <w:rPr>
                    <w:sz w:val="18"/>
                    <w:szCs w:val="18"/>
                  </w:rPr>
                </w:pPr>
                <w:r>
                  <w:rPr>
                    <w:sz w:val="18"/>
                    <w:szCs w:val="18"/>
                  </w:rPr>
                  <w:t>11,591,319.39</w:t>
                </w:r>
              </w:p>
            </w:tc>
            <w:tc>
              <w:tcPr>
                <w:tcW w:w="656" w:type="pct"/>
                <w:shd w:val="clear" w:color="auto" w:fill="auto"/>
                <w:vAlign w:val="center"/>
              </w:tcPr>
              <w:p>
                <w:pPr>
                  <w:jc w:val="right"/>
                  <w:rPr>
                    <w:sz w:val="18"/>
                    <w:szCs w:val="18"/>
                  </w:rPr>
                </w:pPr>
                <w:r>
                  <w:rPr>
                    <w:sz w:val="18"/>
                    <w:szCs w:val="18"/>
                  </w:rPr>
                  <w:t>1,992,689.14</w:t>
                </w:r>
              </w:p>
            </w:tc>
            <w:tc>
              <w:tcPr>
                <w:tcW w:w="722" w:type="pct"/>
                <w:shd w:val="clear" w:color="auto" w:fill="auto"/>
                <w:vAlign w:val="center"/>
              </w:tcPr>
              <w:p>
                <w:pPr>
                  <w:jc w:val="right"/>
                  <w:rPr>
                    <w:sz w:val="18"/>
                    <w:szCs w:val="18"/>
                  </w:rPr>
                </w:pPr>
                <w:r>
                  <w:rPr>
                    <w:sz w:val="18"/>
                    <w:szCs w:val="18"/>
                  </w:rPr>
                  <w:t>21,419,214.93</w:t>
                </w:r>
              </w:p>
            </w:tc>
            <w:tc>
              <w:tcPr>
                <w:tcW w:w="694" w:type="pct"/>
                <w:shd w:val="clear" w:color="auto" w:fill="auto"/>
                <w:vAlign w:val="center"/>
              </w:tcPr>
              <w:p>
                <w:pPr>
                  <w:jc w:val="right"/>
                  <w:rPr>
                    <w:sz w:val="18"/>
                    <w:szCs w:val="18"/>
                  </w:rPr>
                </w:pPr>
                <w:r>
                  <w:rPr>
                    <w:sz w:val="18"/>
                    <w:szCs w:val="18"/>
                  </w:rPr>
                  <w:t>525,820,879.33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sdt>
              <w:sdtPr>
                <w:tag w:val="_PLD_b71bc5d491a34e85a1ce292ad355233a"/>
                <w:id w:val="2105841845"/>
                <w:lock w:val="sdtLocked"/>
              </w:sdtPr>
              <w:sdtContent>
                <w:tc>
                  <w:tcPr>
                    <w:tcW w:w="850" w:type="pct"/>
                    <w:gridSpan w:val="3"/>
                    <w:shd w:val="clear" w:color="auto" w:fill="auto"/>
                    <w:vAlign w:val="center"/>
                  </w:tcPr>
                  <w:p>
                    <w:pPr>
                      <w:rPr>
                        <w:szCs w:val="21"/>
                      </w:rPr>
                    </w:pPr>
                    <w:r>
                      <w:rPr>
                        <w:szCs w:val="21"/>
                      </w:rPr>
                      <w:t xml:space="preserve"> 2.</w:t>
                    </w:r>
                    <w:r>
                      <w:rPr>
                        <w:rFonts w:hint="eastAsia"/>
                        <w:szCs w:val="21"/>
                      </w:rPr>
                      <w:t>期初</w:t>
                    </w:r>
                    <w:r>
                      <w:rPr>
                        <w:szCs w:val="21"/>
                      </w:rPr>
                      <w:t>账面价值</w:t>
                    </w:r>
                  </w:p>
                </w:tc>
              </w:sdtContent>
            </w:sdt>
            <w:tc>
              <w:tcPr>
                <w:tcW w:w="702" w:type="pct"/>
                <w:shd w:val="clear" w:color="auto" w:fill="auto"/>
                <w:vAlign w:val="center"/>
              </w:tcPr>
              <w:p>
                <w:pPr>
                  <w:jc w:val="right"/>
                  <w:rPr>
                    <w:sz w:val="18"/>
                    <w:szCs w:val="18"/>
                  </w:rPr>
                </w:pPr>
                <w:r>
                  <w:rPr>
                    <w:sz w:val="18"/>
                    <w:szCs w:val="18"/>
                  </w:rPr>
                  <w:t>502,044,580.03</w:t>
                </w:r>
              </w:p>
            </w:tc>
            <w:tc>
              <w:tcPr>
                <w:tcW w:w="721" w:type="pct"/>
                <w:shd w:val="clear" w:color="auto" w:fill="auto"/>
                <w:vAlign w:val="center"/>
              </w:tcPr>
              <w:p>
                <w:pPr>
                  <w:jc w:val="right"/>
                  <w:rPr>
                    <w:sz w:val="18"/>
                    <w:szCs w:val="18"/>
                  </w:rPr>
                </w:pPr>
                <w:r>
                  <w:rPr>
                    <w:sz w:val="18"/>
                    <w:szCs w:val="18"/>
                  </w:rPr>
                  <w:t>2,022,693.98</w:t>
                </w:r>
              </w:p>
            </w:tc>
            <w:tc>
              <w:tcPr>
                <w:tcW w:w="655" w:type="pct"/>
                <w:shd w:val="clear" w:color="auto" w:fill="auto"/>
                <w:vAlign w:val="center"/>
              </w:tcPr>
              <w:p>
                <w:pPr>
                  <w:jc w:val="right"/>
                  <w:rPr>
                    <w:sz w:val="18"/>
                    <w:szCs w:val="18"/>
                  </w:rPr>
                </w:pPr>
                <w:r>
                  <w:rPr>
                    <w:sz w:val="18"/>
                    <w:szCs w:val="18"/>
                  </w:rPr>
                  <w:t>16,453,083.24</w:t>
                </w:r>
              </w:p>
            </w:tc>
            <w:tc>
              <w:tcPr>
                <w:tcW w:w="656" w:type="pct"/>
                <w:shd w:val="clear" w:color="auto" w:fill="auto"/>
                <w:vAlign w:val="center"/>
              </w:tcPr>
              <w:p>
                <w:pPr>
                  <w:jc w:val="right"/>
                  <w:rPr>
                    <w:sz w:val="18"/>
                    <w:szCs w:val="18"/>
                  </w:rPr>
                </w:pPr>
                <w:r>
                  <w:rPr>
                    <w:sz w:val="18"/>
                    <w:szCs w:val="18"/>
                  </w:rPr>
                  <w:t>2,991,167.64</w:t>
                </w:r>
              </w:p>
            </w:tc>
            <w:tc>
              <w:tcPr>
                <w:tcW w:w="722" w:type="pct"/>
                <w:shd w:val="clear" w:color="auto" w:fill="auto"/>
                <w:vAlign w:val="center"/>
              </w:tcPr>
              <w:p>
                <w:pPr>
                  <w:jc w:val="right"/>
                  <w:rPr>
                    <w:sz w:val="18"/>
                    <w:szCs w:val="18"/>
                  </w:rPr>
                </w:pPr>
                <w:r>
                  <w:rPr>
                    <w:sz w:val="18"/>
                    <w:szCs w:val="18"/>
                  </w:rPr>
                  <w:t>26,667,239.09</w:t>
                </w:r>
              </w:p>
            </w:tc>
            <w:tc>
              <w:tcPr>
                <w:tcW w:w="694" w:type="pct"/>
                <w:shd w:val="clear" w:color="auto" w:fill="auto"/>
                <w:vAlign w:val="center"/>
              </w:tcPr>
              <w:p>
                <w:pPr>
                  <w:jc w:val="right"/>
                  <w:rPr>
                    <w:sz w:val="18"/>
                    <w:szCs w:val="18"/>
                  </w:rPr>
                </w:pPr>
                <w:r>
                  <w:rPr>
                    <w:sz w:val="18"/>
                    <w:szCs w:val="18"/>
                  </w:rPr>
                  <w:t>550,178,763.98</w:t>
                </w:r>
              </w:p>
            </w:tc>
          </w:tr>
        </w:tbl>
        <w:p/>
        <w:p>
          <w:pPr>
            <w:snapToGrid w:val="0"/>
            <w:spacing w:line="240" w:lineRule="atLeast"/>
            <w:rPr>
              <w:szCs w:val="21"/>
            </w:rPr>
          </w:pPr>
          <w:r>
            <w:rPr>
              <w:rFonts w:hint="eastAsia"/>
              <w:szCs w:val="21"/>
            </w:rPr>
            <w:t>本期末通过公司内部研发形成的无形资产占无形资产余额的比例</w:t>
          </w:r>
          <w:sdt>
            <w:sdtPr>
              <w:rPr>
                <w:szCs w:val="21"/>
              </w:rPr>
              <w:alias w:val="通过公司内部研发形成的无形资产占无形资产账面价值的比例"/>
              <w:tag w:val="_GBC_a5caf6c87458439c8916b866a1bdf523"/>
              <w:id w:val="-1143355430"/>
              <w:lock w:val="sdtLocked"/>
              <w:placeholder>
                <w:docPart w:val="GBC22222222222222222222222222222"/>
              </w:placeholder>
            </w:sdtPr>
            <w:sdtEndPr>
              <w:rPr>
                <w:szCs w:val="21"/>
              </w:rPr>
            </w:sdtEndPr>
            <w:sdtContent>
              <w:r>
                <w:rPr>
                  <w:rFonts w:hint="eastAsia"/>
                  <w:szCs w:val="21"/>
                </w:rPr>
                <w:t>0</w:t>
              </w:r>
            </w:sdtContent>
          </w:sdt>
        </w:p>
        <w:p>
          <w:pPr>
            <w:snapToGrid w:val="0"/>
            <w:spacing w:line="240" w:lineRule="atLeast"/>
            <w:rPr>
              <w:szCs w:val="21"/>
            </w:rPr>
          </w:pPr>
        </w:p>
      </w:sdtContent>
    </w:sdt>
    <w:bookmarkEnd w:id="186"/>
    <w:sdt>
      <w:sdtPr>
        <w:rPr>
          <w:rFonts w:hint="eastAsia" w:ascii="宋体" w:hAnsi="宋体" w:eastAsia="宋体" w:cs="宋体"/>
          <w:b w:val="0"/>
          <w:bCs w:val="0"/>
          <w:kern w:val="0"/>
          <w:szCs w:val="24"/>
        </w:rPr>
        <w:alias w:val="模块:未办妥产权证书的土地使用权情况："/>
        <w:tag w:val="_SEC_1b15a58332a3426ebeab40769f9c3df1"/>
        <w:id w:val="-107820834"/>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3"/>
              <w:numId w:val="92"/>
            </w:numPr>
            <w:ind w:left="426" w:hanging="426"/>
          </w:pPr>
          <w:r>
            <w:rPr>
              <w:rFonts w:hint="eastAsia"/>
            </w:rPr>
            <w:t>未办妥产权证书的土地使用权情况</w:t>
          </w:r>
        </w:p>
        <w:p>
          <w:pPr>
            <w:rPr>
              <w:szCs w:val="21"/>
            </w:rPr>
          </w:pPr>
          <w:sdt>
            <w:sdtPr>
              <w:alias w:val="是否适用：未办妥产权证书的土地使用权情况[双击切换]"/>
              <w:tag w:val="_GBC_62bb02d09b844cb69dfe16466ac211c9"/>
              <w:id w:val="590206323"/>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Content>
    </w:sdt>
    <w:sdt>
      <w:sdtPr>
        <w:rPr>
          <w:szCs w:val="21"/>
        </w:rPr>
        <w:alias w:val="模块:无形资产说明"/>
        <w:tag w:val="_SEC_eb6a679b93d847e9a41997ee579c0c0b"/>
        <w:id w:val="1034151817"/>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无形资产的说明[双击切换]"/>
            <w:tag w:val="_GBC_ff92654365f04f7ba71b01dd8af2f696"/>
            <w:id w:val="171554972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szCs w:val="21"/>
            </w:rPr>
          </w:pPr>
        </w:p>
      </w:sdtContent>
    </w:sdt>
    <w:sdt>
      <w:sdtPr>
        <w:rPr>
          <w:rFonts w:hint="eastAsia" w:ascii="宋体" w:hAnsi="宋体" w:cs="宋体"/>
          <w:b w:val="0"/>
          <w:bCs w:val="0"/>
          <w:kern w:val="0"/>
          <w:szCs w:val="21"/>
        </w:rPr>
        <w:alias w:val="模块:公司开发项目支出"/>
        <w:tag w:val="_SEC_cf72b8a1a8b94a6db030e4d63349f86b"/>
        <w:id w:val="655505821"/>
        <w:lock w:val="sdtLocked"/>
        <w:placeholder>
          <w:docPart w:val="GBC22222222222222222222222222222"/>
        </w:placeholder>
      </w:sdtPr>
      <w:sdtEndPr>
        <w:rPr>
          <w:rFonts w:hint="default" w:ascii="宋体" w:hAnsi="宋体" w:cstheme="minorBidi"/>
          <w:b w:val="0"/>
          <w:bCs w:val="0"/>
          <w:kern w:val="2"/>
          <w:szCs w:val="21"/>
        </w:rPr>
      </w:sdtEndPr>
      <w:sdtContent>
        <w:p>
          <w:pPr>
            <w:pStyle w:val="213"/>
            <w:numPr>
              <w:ilvl w:val="0"/>
              <w:numId w:val="77"/>
            </w:numPr>
            <w:tabs>
              <w:tab w:val="left" w:pos="504"/>
            </w:tabs>
            <w:rPr>
              <w:rFonts w:ascii="宋体" w:hAnsi="宋体"/>
              <w:kern w:val="0"/>
              <w:szCs w:val="21"/>
            </w:rPr>
          </w:pPr>
          <w:r>
            <w:rPr>
              <w:rFonts w:hint="eastAsia" w:ascii="宋体" w:hAnsi="宋体"/>
              <w:szCs w:val="21"/>
            </w:rPr>
            <w:t>开发</w:t>
          </w:r>
          <w:r>
            <w:rPr>
              <w:rFonts w:hint="eastAsia" w:ascii="宋体" w:hAnsi="宋体"/>
              <w:kern w:val="0"/>
              <w:szCs w:val="21"/>
            </w:rPr>
            <w:t>支出</w:t>
          </w:r>
        </w:p>
        <w:sdt>
          <w:sdtPr>
            <w:alias w:val="是否适用：开发支出[双击切换]"/>
            <w:tag w:val="_GBC_ba9b0ed4b3c84b5a929932077b5d61e7"/>
            <w:id w:val="-51615357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公司内部研究开发项目支出"/>
              <w:tag w:val="_GBC_3fc5e73d112445bb972221c6fe3e05ee"/>
              <w:id w:val="175431694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公司内部研究开发项目支出"/>
              <w:tag w:val="_GBC_7dd8a196c4f049808e5efd8a13b762c9"/>
              <w:id w:val="-18456307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1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1649"/>
            <w:gridCol w:w="1544"/>
            <w:gridCol w:w="493"/>
            <w:gridCol w:w="692"/>
            <w:gridCol w:w="1649"/>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a25841d706450a928c6aa01ac5b3f1"/>
                <w:id w:val="-1548446256"/>
                <w:lock w:val="sdtLocked"/>
              </w:sdtPr>
              <w:sdtContent>
                <w:tc>
                  <w:tcPr>
                    <w:tcW w:w="476" w:type="pct"/>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6f9d9c3619e14d709826785bf3eb1991"/>
                <w:id w:val="-1423724910"/>
                <w:lock w:val="sdtLocked"/>
              </w:sdtPr>
              <w:sdtContent>
                <w:tc>
                  <w:tcPr>
                    <w:tcW w:w="924" w:type="pct"/>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szCs w:val="21"/>
                      </w:rPr>
                    </w:pPr>
                    <w:r>
                      <w:rPr>
                        <w:rFonts w:hint="eastAsia"/>
                        <w:szCs w:val="21"/>
                      </w:rPr>
                      <w:t>期初</w:t>
                    </w:r>
                  </w:p>
                  <w:p>
                    <w:pPr>
                      <w:autoSpaceDE w:val="0"/>
                      <w:autoSpaceDN w:val="0"/>
                      <w:adjustRightInd w:val="0"/>
                      <w:jc w:val="center"/>
                      <w:rPr>
                        <w:szCs w:val="21"/>
                      </w:rPr>
                    </w:pPr>
                    <w:r>
                      <w:rPr>
                        <w:rFonts w:hint="eastAsia"/>
                        <w:szCs w:val="21"/>
                      </w:rPr>
                      <w:t>余额</w:t>
                    </w:r>
                  </w:p>
                </w:tc>
              </w:sdtContent>
            </w:sdt>
            <w:sdt>
              <w:sdtPr>
                <w:tag w:val="_PLD_a11ce629481449dfb01b8cd09e9b4e04"/>
                <w:id w:val="2088653811"/>
                <w:lock w:val="sdtLocked"/>
              </w:sdtPr>
              <w:sdtContent>
                <w:tc>
                  <w:tcPr>
                    <w:tcW w:w="1112" w:type="pct"/>
                    <w:gridSpan w:val="2"/>
                    <w:tcBorders>
                      <w:top w:val="single" w:color="auto" w:sz="4" w:space="0"/>
                      <w:left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本期增加金额</w:t>
                    </w:r>
                  </w:p>
                </w:tc>
              </w:sdtContent>
            </w:sdt>
            <w:sdt>
              <w:sdtPr>
                <w:tag w:val="_PLD_3bb17eb3dcf44e849e229169fe2ddc41"/>
                <w:id w:val="-114914948"/>
                <w:lock w:val="sdtLocked"/>
              </w:sdtPr>
              <w:sdtContent>
                <w:tc>
                  <w:tcPr>
                    <w:tcW w:w="1289" w:type="pct"/>
                    <w:gridSpan w:val="2"/>
                    <w:tcBorders>
                      <w:top w:val="single" w:color="auto" w:sz="4" w:space="0"/>
                      <w:left w:val="single" w:color="auto" w:sz="4" w:space="0"/>
                      <w:bottom w:val="single" w:color="auto" w:sz="4" w:space="0"/>
                      <w:right w:val="single" w:color="auto" w:sz="4" w:space="0"/>
                    </w:tcBorders>
                    <w:vAlign w:val="center"/>
                  </w:tcPr>
                  <w:p>
                    <w:pPr>
                      <w:ind w:left="-65" w:right="5" w:hanging="48"/>
                      <w:jc w:val="center"/>
                      <w:rPr>
                        <w:szCs w:val="21"/>
                      </w:rPr>
                    </w:pPr>
                    <w:r>
                      <w:rPr>
                        <w:rFonts w:hint="eastAsia"/>
                        <w:szCs w:val="21"/>
                      </w:rPr>
                      <w:t>本期减少金额</w:t>
                    </w:r>
                  </w:p>
                </w:tc>
              </w:sdtContent>
            </w:sdt>
            <w:sdt>
              <w:sdtPr>
                <w:tag w:val="_PLD_9bc254debcea49cc97e21752028432c4"/>
                <w:id w:val="-1513689682"/>
                <w:lock w:val="sdtLocked"/>
              </w:sdtPr>
              <w:sdtContent>
                <w:tc>
                  <w:tcPr>
                    <w:tcW w:w="924" w:type="pct"/>
                    <w:vMerge w:val="restart"/>
                    <w:tcBorders>
                      <w:top w:val="single" w:color="auto" w:sz="4" w:space="0"/>
                      <w:left w:val="single" w:color="auto" w:sz="4" w:space="0"/>
                      <w:right w:val="single" w:color="auto" w:sz="4" w:space="0"/>
                    </w:tcBorders>
                    <w:vAlign w:val="center"/>
                  </w:tcPr>
                  <w:p>
                    <w:pPr>
                      <w:autoSpaceDE w:val="0"/>
                      <w:autoSpaceDN w:val="0"/>
                      <w:adjustRightInd w:val="0"/>
                      <w:jc w:val="center"/>
                      <w:rPr>
                        <w:szCs w:val="21"/>
                      </w:rPr>
                    </w:pPr>
                    <w:r>
                      <w:rPr>
                        <w:rFonts w:hint="eastAsia"/>
                        <w:szCs w:val="21"/>
                      </w:rPr>
                      <w:t>期末</w:t>
                    </w:r>
                  </w:p>
                  <w:p>
                    <w:pPr>
                      <w:autoSpaceDE w:val="0"/>
                      <w:autoSpaceDN w:val="0"/>
                      <w:adjustRightInd w:val="0"/>
                      <w:jc w:val="center"/>
                      <w:rPr>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vMerge w:val="continue"/>
                <w:tcBorders>
                  <w:left w:val="single" w:color="auto" w:sz="4" w:space="0"/>
                  <w:bottom w:val="single" w:color="auto" w:sz="4" w:space="0"/>
                  <w:right w:val="single" w:color="auto" w:sz="4" w:space="0"/>
                </w:tcBorders>
              </w:tcPr>
              <w:p>
                <w:pPr>
                  <w:autoSpaceDE w:val="0"/>
                  <w:autoSpaceDN w:val="0"/>
                  <w:adjustRightInd w:val="0"/>
                  <w:rPr>
                    <w:szCs w:val="21"/>
                  </w:rPr>
                </w:pPr>
              </w:p>
            </w:tc>
            <w:tc>
              <w:tcPr>
                <w:tcW w:w="924" w:type="pct"/>
                <w:vMerge w:val="continue"/>
                <w:tcBorders>
                  <w:left w:val="single" w:color="auto" w:sz="4" w:space="0"/>
                  <w:bottom w:val="single" w:color="auto" w:sz="4" w:space="0"/>
                  <w:right w:val="single" w:color="auto" w:sz="4" w:space="0"/>
                </w:tcBorders>
              </w:tcPr>
              <w:p>
                <w:pPr>
                  <w:autoSpaceDE w:val="0"/>
                  <w:autoSpaceDN w:val="0"/>
                  <w:adjustRightInd w:val="0"/>
                  <w:jc w:val="center"/>
                  <w:rPr>
                    <w:szCs w:val="21"/>
                  </w:rPr>
                </w:pPr>
              </w:p>
            </w:tc>
            <w:sdt>
              <w:sdtPr>
                <w:tag w:val="_PLD_42969c2b5ce74e81ab894d823c9a48f5"/>
                <w:id w:val="-1733848294"/>
                <w:lock w:val="sdtLocked"/>
              </w:sdtPr>
              <w:sdtContent>
                <w:tc>
                  <w:tcPr>
                    <w:tcW w:w="863" w:type="pct"/>
                    <w:tcBorders>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内部开发支出</w:t>
                    </w:r>
                  </w:p>
                </w:tc>
              </w:sdtContent>
            </w:sdt>
            <w:sdt>
              <w:sdtPr>
                <w:tag w:val="_PLD_68b0e8ab5b834cb5a819b131088c08d2"/>
                <w:id w:val="-1113208940"/>
                <w:lock w:val="sdtLocked"/>
              </w:sdtPr>
              <w:sdtContent>
                <w:tc>
                  <w:tcPr>
                    <w:tcW w:w="249" w:type="pct"/>
                    <w:tcBorders>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其他</w:t>
                    </w:r>
                  </w:p>
                </w:tc>
              </w:sdtContent>
            </w:sdt>
            <w:sdt>
              <w:sdtPr>
                <w:tag w:val="_PLD_72efc2f3d8e94e5cb6aa211504688737"/>
                <w:id w:val="-847092133"/>
                <w:lock w:val="sdtLocked"/>
              </w:sdtPr>
              <w:sdtContent>
                <w:tc>
                  <w:tcPr>
                    <w:tcW w:w="36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确认为无形资产</w:t>
                    </w:r>
                  </w:p>
                </w:tc>
              </w:sdtContent>
            </w:sdt>
            <w:sdt>
              <w:sdtPr>
                <w:tag w:val="_PLD_c8b2163a86cc46d797f19b243ce30919"/>
                <w:id w:val="-51389726"/>
                <w:lock w:val="sdtLocked"/>
              </w:sdtPr>
              <w:sdtContent>
                <w:tc>
                  <w:tcPr>
                    <w:tcW w:w="924"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转入当期损益</w:t>
                    </w:r>
                  </w:p>
                </w:tc>
              </w:sdtContent>
            </w:sdt>
            <w:tc>
              <w:tcPr>
                <w:tcW w:w="924" w:type="pct"/>
                <w:vMerge w:val="continue"/>
                <w:tcBorders>
                  <w:left w:val="single" w:color="auto" w:sz="4" w:space="0"/>
                  <w:bottom w:val="single" w:color="auto" w:sz="4" w:space="0"/>
                  <w:right w:val="single" w:color="auto" w:sz="4" w:space="0"/>
                </w:tcBorders>
              </w:tcPr>
              <w:p>
                <w:pPr>
                  <w:autoSpaceDE w:val="0"/>
                  <w:autoSpaceDN w:val="0"/>
                  <w:adjustRightInd w:val="0"/>
                  <w:jc w:val="center"/>
                  <w:rPr>
                    <w:color w:val="222222"/>
                    <w:szCs w:val="21"/>
                  </w:rPr>
                </w:pPr>
              </w:p>
            </w:tc>
          </w:tr>
          <w:sdt>
            <w:sdtPr>
              <w:rPr>
                <w:rFonts w:hint="eastAsia" w:asciiTheme="minorHAnsi" w:hAnsiTheme="minorHAnsi" w:eastAsiaTheme="minorEastAsia" w:cstheme="minorBidi"/>
                <w:kern w:val="2"/>
                <w:szCs w:val="21"/>
              </w:rPr>
              <w:alias w:val="公司开发项目支出明细"/>
              <w:tag w:val="_TUP_78b09714397f4c5a8e5d166530dadf82"/>
              <w:id w:val="-2125841029"/>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pct"/>
                    <w:tcBorders>
                      <w:top w:val="single" w:color="auto" w:sz="4" w:space="0"/>
                      <w:left w:val="single" w:color="auto" w:sz="4" w:space="0"/>
                      <w:bottom w:val="single" w:color="auto" w:sz="4" w:space="0"/>
                      <w:right w:val="single" w:color="auto" w:sz="4" w:space="0"/>
                    </w:tcBorders>
                  </w:tcPr>
                  <w:p>
                    <w:pPr>
                      <w:rPr>
                        <w:szCs w:val="21"/>
                      </w:rPr>
                    </w:pPr>
                    <w:r>
                      <w:t>整车设计开发</w:t>
                    </w:r>
                  </w:p>
                </w:tc>
                <w:tc>
                  <w:tcPr>
                    <w:tcW w:w="92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53,571,352.45</w:t>
                    </w:r>
                  </w:p>
                </w:tc>
                <w:tc>
                  <w:tcPr>
                    <w:tcW w:w="863" w:type="pct"/>
                    <w:tcBorders>
                      <w:top w:val="single" w:color="auto" w:sz="4" w:space="0"/>
                      <w:left w:val="single" w:color="auto" w:sz="4" w:space="0"/>
                      <w:bottom w:val="single" w:color="auto" w:sz="4" w:space="0"/>
                      <w:right w:val="single" w:color="auto" w:sz="4" w:space="0"/>
                    </w:tcBorders>
                    <w:vAlign w:val="center"/>
                  </w:tcPr>
                  <w:p>
                    <w:pPr>
                      <w:jc w:val="right"/>
                      <w:rPr>
                        <w:sz w:val="24"/>
                      </w:rPr>
                    </w:pPr>
                    <w:r>
                      <w:t>1,268,145.54</w:t>
                    </w:r>
                  </w:p>
                </w:tc>
                <w:tc>
                  <w:tcPr>
                    <w:tcW w:w="249" w:type="pct"/>
                    <w:tcBorders>
                      <w:top w:val="single" w:color="auto" w:sz="4" w:space="0"/>
                      <w:left w:val="single" w:color="auto" w:sz="4" w:space="0"/>
                      <w:bottom w:val="single" w:color="auto" w:sz="4" w:space="0"/>
                      <w:right w:val="single" w:color="auto" w:sz="4" w:space="0"/>
                    </w:tcBorders>
                    <w:vAlign w:val="center"/>
                  </w:tcPr>
                  <w:p>
                    <w:pPr>
                      <w:jc w:val="right"/>
                      <w:rPr>
                        <w:sz w:val="18"/>
                        <w:szCs w:val="18"/>
                      </w:rPr>
                    </w:pPr>
                  </w:p>
                </w:tc>
                <w:tc>
                  <w:tcPr>
                    <w:tcW w:w="365" w:type="pct"/>
                    <w:tcBorders>
                      <w:top w:val="single" w:color="auto" w:sz="4" w:space="0"/>
                      <w:left w:val="single" w:color="auto" w:sz="4" w:space="0"/>
                      <w:bottom w:val="single" w:color="auto" w:sz="4" w:space="0"/>
                      <w:right w:val="single" w:color="auto" w:sz="4" w:space="0"/>
                    </w:tcBorders>
                    <w:vAlign w:val="center"/>
                  </w:tcPr>
                  <w:p>
                    <w:pPr>
                      <w:jc w:val="right"/>
                      <w:rPr>
                        <w:sz w:val="18"/>
                        <w:szCs w:val="18"/>
                      </w:rPr>
                    </w:pPr>
                  </w:p>
                </w:tc>
                <w:tc>
                  <w:tcPr>
                    <w:tcW w:w="924" w:type="pct"/>
                    <w:tcBorders>
                      <w:top w:val="single" w:color="auto" w:sz="4" w:space="0"/>
                      <w:left w:val="single" w:color="auto" w:sz="4" w:space="0"/>
                      <w:bottom w:val="single" w:color="auto" w:sz="4" w:space="0"/>
                      <w:right w:val="single" w:color="auto" w:sz="4" w:space="0"/>
                    </w:tcBorders>
                    <w:vAlign w:val="center"/>
                  </w:tcPr>
                  <w:p>
                    <w:pPr>
                      <w:jc w:val="right"/>
                      <w:rPr>
                        <w:sz w:val="24"/>
                      </w:rPr>
                    </w:pPr>
                    <w:r>
                      <w:t>41,809,233.49</w:t>
                    </w:r>
                  </w:p>
                </w:tc>
                <w:tc>
                  <w:tcPr>
                    <w:tcW w:w="92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13,030,264.50</w:t>
                    </w:r>
                  </w:p>
                </w:tc>
              </w:tr>
            </w:sdtContent>
          </w:sdt>
          <w:sdt>
            <w:sdtPr>
              <w:rPr>
                <w:rFonts w:hint="eastAsia" w:asciiTheme="minorHAnsi" w:hAnsiTheme="minorHAnsi" w:eastAsiaTheme="minorEastAsia" w:cstheme="minorBidi"/>
                <w:kern w:val="2"/>
                <w:szCs w:val="21"/>
              </w:rPr>
              <w:alias w:val="公司开发项目支出明细"/>
              <w:tag w:val="_TUP_78b09714397f4c5a8e5d166530dadf82"/>
              <w:id w:val="-1039814166"/>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5" w:type="pct"/>
                    <w:tcBorders>
                      <w:top w:val="single" w:color="auto" w:sz="4" w:space="0"/>
                      <w:left w:val="single" w:color="auto" w:sz="4" w:space="0"/>
                      <w:bottom w:val="single" w:color="auto" w:sz="4" w:space="0"/>
                      <w:right w:val="single" w:color="auto" w:sz="4" w:space="0"/>
                    </w:tcBorders>
                  </w:tcPr>
                  <w:p>
                    <w:pPr>
                      <w:rPr>
                        <w:szCs w:val="21"/>
                      </w:rPr>
                    </w:pPr>
                    <w:r>
                      <w:rPr>
                        <w:rFonts w:hint="eastAsia" w:asciiTheme="minorHAnsi" w:hAnsiTheme="minorHAnsi" w:eastAsiaTheme="minorEastAsia" w:cstheme="minorBidi"/>
                        <w:kern w:val="2"/>
                        <w:szCs w:val="21"/>
                      </w:rPr>
                      <w:t>ERP系统升级项目</w:t>
                    </w:r>
                  </w:p>
                </w:tc>
                <w:tc>
                  <w:tcPr>
                    <w:tcW w:w="963"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902"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264,334.61</w:t>
                    </w:r>
                  </w:p>
                </w:tc>
                <w:tc>
                  <w:tcPr>
                    <w:tcW w:w="288"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0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963"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963"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264,334.61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b6a1466b8044ba80feb6879d1c4887"/>
                <w:id w:val="-789815490"/>
                <w:lock w:val="sdtLocked"/>
              </w:sdtPr>
              <w:sdtContent>
                <w:tc>
                  <w:tcPr>
                    <w:tcW w:w="47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92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53,571,352.45</w:t>
                </w:r>
              </w:p>
            </w:tc>
            <w:tc>
              <w:tcPr>
                <w:tcW w:w="863" w:type="pct"/>
                <w:tcBorders>
                  <w:top w:val="single" w:color="auto" w:sz="4" w:space="0"/>
                  <w:left w:val="single" w:color="auto" w:sz="4" w:space="0"/>
                  <w:bottom w:val="single" w:color="auto" w:sz="4" w:space="0"/>
                  <w:right w:val="single" w:color="auto" w:sz="4" w:space="0"/>
                </w:tcBorders>
                <w:vAlign w:val="center"/>
              </w:tcPr>
              <w:p>
                <w:pPr>
                  <w:jc w:val="right"/>
                  <w:rPr>
                    <w:sz w:val="24"/>
                  </w:rPr>
                </w:pPr>
                <w:r>
                  <w:t>1,532,480.15</w:t>
                </w:r>
              </w:p>
            </w:tc>
            <w:tc>
              <w:tcPr>
                <w:tcW w:w="249" w:type="pct"/>
                <w:tcBorders>
                  <w:top w:val="single" w:color="auto" w:sz="4" w:space="0"/>
                  <w:left w:val="single" w:color="auto" w:sz="4" w:space="0"/>
                  <w:bottom w:val="single" w:color="auto" w:sz="4" w:space="0"/>
                  <w:right w:val="single" w:color="auto" w:sz="4" w:space="0"/>
                </w:tcBorders>
                <w:vAlign w:val="center"/>
              </w:tcPr>
              <w:p>
                <w:pPr>
                  <w:jc w:val="right"/>
                  <w:rPr>
                    <w:sz w:val="18"/>
                    <w:szCs w:val="18"/>
                  </w:rPr>
                </w:pPr>
              </w:p>
            </w:tc>
            <w:tc>
              <w:tcPr>
                <w:tcW w:w="365" w:type="pct"/>
                <w:tcBorders>
                  <w:top w:val="single" w:color="auto" w:sz="4" w:space="0"/>
                  <w:left w:val="single" w:color="auto" w:sz="4" w:space="0"/>
                  <w:bottom w:val="single" w:color="auto" w:sz="4" w:space="0"/>
                  <w:right w:val="single" w:color="auto" w:sz="4" w:space="0"/>
                </w:tcBorders>
                <w:vAlign w:val="center"/>
              </w:tcPr>
              <w:p>
                <w:pPr>
                  <w:jc w:val="right"/>
                  <w:rPr>
                    <w:sz w:val="18"/>
                    <w:szCs w:val="18"/>
                  </w:rPr>
                </w:pPr>
              </w:p>
            </w:tc>
            <w:tc>
              <w:tcPr>
                <w:tcW w:w="924" w:type="pct"/>
                <w:tcBorders>
                  <w:top w:val="single" w:color="auto" w:sz="4" w:space="0"/>
                  <w:left w:val="single" w:color="auto" w:sz="4" w:space="0"/>
                  <w:bottom w:val="single" w:color="auto" w:sz="4" w:space="0"/>
                  <w:right w:val="single" w:color="auto" w:sz="4" w:space="0"/>
                </w:tcBorders>
                <w:vAlign w:val="center"/>
              </w:tcPr>
              <w:p>
                <w:pPr>
                  <w:jc w:val="right"/>
                  <w:rPr>
                    <w:sz w:val="24"/>
                  </w:rPr>
                </w:pPr>
                <w:r>
                  <w:t>41,809,233.49</w:t>
                </w:r>
              </w:p>
            </w:tc>
            <w:tc>
              <w:tcPr>
                <w:tcW w:w="92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13,294,599.11</w:t>
                </w:r>
              </w:p>
            </w:tc>
          </w:tr>
        </w:tbl>
        <w:p/>
        <w:p>
          <w:pPr>
            <w:snapToGrid w:val="0"/>
            <w:spacing w:line="240" w:lineRule="atLeast"/>
            <w:rPr>
              <w:szCs w:val="21"/>
            </w:rPr>
          </w:pPr>
          <w:r>
            <w:rPr>
              <w:rFonts w:hint="eastAsia"/>
              <w:szCs w:val="21"/>
            </w:rPr>
            <w:t>其他说明</w:t>
          </w:r>
        </w:p>
        <w:sdt>
          <w:sdtPr>
            <w:rPr>
              <w:rFonts w:hint="eastAsia"/>
              <w:szCs w:val="21"/>
            </w:rPr>
            <w:alias w:val="公司内部研究开发项目的说明"/>
            <w:tag w:val="_GBC_0a75fb4573f247efb933bf6775d2de07"/>
            <w:id w:val="1783385149"/>
            <w:lock w:val="sdtLocked"/>
            <w:placeholder>
              <w:docPart w:val="GBC22222222222222222222222222222"/>
            </w:placeholder>
          </w:sdtPr>
          <w:sdtEndPr>
            <w:rPr>
              <w:rFonts w:hint="eastAsia"/>
              <w:szCs w:val="21"/>
            </w:rPr>
          </w:sdtEndPr>
          <w:sdtContent>
            <w:p>
              <w:pPr>
                <w:snapToGrid w:val="0"/>
                <w:spacing w:line="240" w:lineRule="atLeast"/>
                <w:rPr>
                  <w:szCs w:val="21"/>
                </w:rPr>
              </w:pPr>
              <w:r>
                <w:rPr>
                  <w:rFonts w:hint="eastAsia"/>
                  <w:szCs w:val="21"/>
                </w:rPr>
                <w:t>无</w:t>
              </w:r>
            </w:p>
          </w:sdtContent>
        </w:sdt>
        <w:p>
          <w:pPr>
            <w:snapToGrid w:val="0"/>
            <w:spacing w:line="240" w:lineRule="atLeast"/>
            <w:rPr>
              <w:szCs w:val="21"/>
            </w:rPr>
          </w:pPr>
        </w:p>
      </w:sdtContent>
    </w:sdt>
    <w:sdt>
      <w:sdtPr>
        <w:rPr>
          <w:rFonts w:hint="eastAsia" w:ascii="宋体" w:hAnsi="宋体" w:cs="宋体"/>
          <w:b w:val="0"/>
          <w:bCs w:val="0"/>
          <w:kern w:val="0"/>
          <w:szCs w:val="21"/>
        </w:rPr>
        <w:alias w:val="模块:商誉"/>
        <w:tag w:val="_SEC_c1b37e49b4784cd69e2bf4154039a71f"/>
        <w:id w:val="-638343378"/>
        <w:lock w:val="sdtLocked"/>
        <w:placeholder>
          <w:docPart w:val="GBC22222222222222222222222222222"/>
        </w:placeholder>
      </w:sdtPr>
      <w:sdtEndPr>
        <w:rPr>
          <w:rFonts w:hint="eastAsia" w:ascii="宋体" w:hAnsi="宋体" w:cstheme="minorBidi"/>
          <w:b w:val="0"/>
          <w:bCs w:val="0"/>
          <w:kern w:val="2"/>
          <w:szCs w:val="21"/>
        </w:rPr>
      </w:sdtEndPr>
      <w:sdtContent>
        <w:p>
          <w:pPr>
            <w:pStyle w:val="213"/>
            <w:numPr>
              <w:ilvl w:val="0"/>
              <w:numId w:val="77"/>
            </w:numPr>
            <w:tabs>
              <w:tab w:val="left" w:pos="504"/>
            </w:tabs>
            <w:rPr>
              <w:rFonts w:ascii="宋体" w:hAnsi="宋体"/>
              <w:szCs w:val="21"/>
            </w:rPr>
          </w:pPr>
          <w:r>
            <w:rPr>
              <w:rFonts w:hint="eastAsia" w:ascii="宋体" w:hAnsi="宋体"/>
              <w:szCs w:val="21"/>
            </w:rPr>
            <w:t>商誉</w:t>
          </w:r>
        </w:p>
        <w:p>
          <w:pPr>
            <w:pStyle w:val="214"/>
            <w:numPr>
              <w:ilvl w:val="3"/>
              <w:numId w:val="93"/>
            </w:numPr>
            <w:ind w:left="426" w:hanging="426"/>
          </w:pPr>
          <w:r>
            <w:rPr>
              <w:rFonts w:hint="eastAsia"/>
            </w:rPr>
            <w:t>商誉账面原值</w:t>
          </w:r>
        </w:p>
        <w:sdt>
          <w:sdtPr>
            <w:alias w:val="是否适用：商誉账面原值[双击切换]"/>
            <w:tag w:val="_GBC_ef393f0687ab4747a43cd96895a18dcb"/>
            <w:id w:val="-208668530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商誉"/>
              <w:tag w:val="_GBC_1969cb3272364bc49f9ccb754d95df61"/>
              <w:id w:val="51373835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793075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61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7"/>
            <w:gridCol w:w="1740"/>
            <w:gridCol w:w="1135"/>
            <w:gridCol w:w="1114"/>
            <w:gridCol w:w="1679"/>
            <w:gridCol w:w="1122"/>
            <w:gridCol w:w="1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sdt>
              <w:sdtPr>
                <w:tag w:val="_PLD_321a0416f313455db9437f8692d7d27e"/>
                <w:id w:val="1131984697"/>
                <w:lock w:val="sdtLocked"/>
              </w:sdtPr>
              <w:sdtContent>
                <w:tc>
                  <w:tcPr>
                    <w:tcW w:w="930" w:type="pct"/>
                    <w:vMerge w:val="restart"/>
                    <w:shd w:val="clear" w:color="auto" w:fill="auto"/>
                    <w:vAlign w:val="center"/>
                  </w:tcPr>
                  <w:p>
                    <w:pPr>
                      <w:autoSpaceDE w:val="0"/>
                      <w:autoSpaceDN w:val="0"/>
                      <w:adjustRightInd w:val="0"/>
                      <w:snapToGrid w:val="0"/>
                      <w:jc w:val="center"/>
                      <w:rPr>
                        <w:szCs w:val="21"/>
                      </w:rPr>
                    </w:pPr>
                    <w:r>
                      <w:rPr>
                        <w:rFonts w:hint="eastAsia"/>
                        <w:szCs w:val="21"/>
                      </w:rPr>
                      <w:t>被投资单位名称或形成商誉的事项</w:t>
                    </w:r>
                  </w:p>
                </w:tc>
              </w:sdtContent>
            </w:sdt>
            <w:sdt>
              <w:sdtPr>
                <w:tag w:val="_PLD_f188a95931d64e73a28589bedff91f08"/>
                <w:id w:val="1835730074"/>
                <w:lock w:val="sdtLocked"/>
              </w:sdtPr>
              <w:sdtContent>
                <w:tc>
                  <w:tcPr>
                    <w:tcW w:w="831" w:type="pct"/>
                    <w:vMerge w:val="restart"/>
                    <w:shd w:val="clear" w:color="auto" w:fill="auto"/>
                    <w:vAlign w:val="center"/>
                  </w:tcPr>
                  <w:p>
                    <w:pPr>
                      <w:autoSpaceDE w:val="0"/>
                      <w:autoSpaceDN w:val="0"/>
                      <w:adjustRightInd w:val="0"/>
                      <w:snapToGrid w:val="0"/>
                      <w:jc w:val="center"/>
                      <w:rPr>
                        <w:szCs w:val="21"/>
                      </w:rPr>
                    </w:pPr>
                    <w:r>
                      <w:rPr>
                        <w:rFonts w:hint="eastAsia"/>
                        <w:szCs w:val="21"/>
                      </w:rPr>
                      <w:t>期初余额</w:t>
                    </w:r>
                  </w:p>
                </w:tc>
              </w:sdtContent>
            </w:sdt>
            <w:sdt>
              <w:sdtPr>
                <w:tag w:val="_PLD_fe0863051d574b7da3ab0c8be387303e"/>
                <w:id w:val="-574127278"/>
                <w:lock w:val="sdtLocked"/>
              </w:sdtPr>
              <w:sdtContent>
                <w:tc>
                  <w:tcPr>
                    <w:tcW w:w="1074" w:type="pct"/>
                    <w:gridSpan w:val="2"/>
                    <w:shd w:val="clear" w:color="auto" w:fill="auto"/>
                    <w:vAlign w:val="center"/>
                  </w:tcPr>
                  <w:p>
                    <w:pPr>
                      <w:autoSpaceDE w:val="0"/>
                      <w:autoSpaceDN w:val="0"/>
                      <w:adjustRightInd w:val="0"/>
                      <w:snapToGrid w:val="0"/>
                      <w:jc w:val="center"/>
                      <w:rPr>
                        <w:szCs w:val="21"/>
                      </w:rPr>
                    </w:pPr>
                    <w:r>
                      <w:rPr>
                        <w:rFonts w:hint="eastAsia"/>
                        <w:szCs w:val="21"/>
                      </w:rPr>
                      <w:t>本期增加</w:t>
                    </w:r>
                  </w:p>
                </w:tc>
              </w:sdtContent>
            </w:sdt>
            <w:sdt>
              <w:sdtPr>
                <w:tag w:val="_PLD_ce868c17962f49c4aa34996033f79dd2"/>
                <w:id w:val="1008022196"/>
                <w:lock w:val="sdtLocked"/>
              </w:sdtPr>
              <w:sdtContent>
                <w:tc>
                  <w:tcPr>
                    <w:tcW w:w="1338" w:type="pct"/>
                    <w:gridSpan w:val="2"/>
                    <w:shd w:val="clear" w:color="auto" w:fill="auto"/>
                    <w:vAlign w:val="center"/>
                  </w:tcPr>
                  <w:p>
                    <w:pPr>
                      <w:autoSpaceDE w:val="0"/>
                      <w:autoSpaceDN w:val="0"/>
                      <w:adjustRightInd w:val="0"/>
                      <w:snapToGrid w:val="0"/>
                      <w:jc w:val="center"/>
                      <w:rPr>
                        <w:szCs w:val="21"/>
                      </w:rPr>
                    </w:pPr>
                    <w:r>
                      <w:rPr>
                        <w:rFonts w:hint="eastAsia"/>
                        <w:szCs w:val="21"/>
                      </w:rPr>
                      <w:t>本期减少</w:t>
                    </w:r>
                  </w:p>
                </w:tc>
              </w:sdtContent>
            </w:sdt>
            <w:sdt>
              <w:sdtPr>
                <w:tag w:val="_PLD_9b7450bb10fb432a80b42e729cd30f12"/>
                <w:id w:val="1842896154"/>
                <w:lock w:val="sdtLocked"/>
              </w:sdtPr>
              <w:sdtContent>
                <w:tc>
                  <w:tcPr>
                    <w:tcW w:w="828" w:type="pct"/>
                    <w:vMerge w:val="restart"/>
                    <w:shd w:val="clear" w:color="auto" w:fill="auto"/>
                    <w:vAlign w:val="center"/>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930" w:type="pct"/>
                <w:vMerge w:val="continue"/>
                <w:shd w:val="clear" w:color="auto" w:fill="auto"/>
              </w:tcPr>
              <w:p>
                <w:pPr>
                  <w:autoSpaceDE w:val="0"/>
                  <w:autoSpaceDN w:val="0"/>
                  <w:adjustRightInd w:val="0"/>
                  <w:snapToGrid w:val="0"/>
                  <w:jc w:val="center"/>
                  <w:rPr>
                    <w:szCs w:val="21"/>
                  </w:rPr>
                </w:pPr>
              </w:p>
            </w:tc>
            <w:tc>
              <w:tcPr>
                <w:tcW w:w="831" w:type="pct"/>
                <w:vMerge w:val="continue"/>
                <w:shd w:val="clear" w:color="auto" w:fill="auto"/>
              </w:tcPr>
              <w:p>
                <w:pPr>
                  <w:autoSpaceDE w:val="0"/>
                  <w:autoSpaceDN w:val="0"/>
                  <w:adjustRightInd w:val="0"/>
                  <w:snapToGrid w:val="0"/>
                  <w:jc w:val="center"/>
                  <w:rPr>
                    <w:szCs w:val="21"/>
                  </w:rPr>
                </w:pPr>
              </w:p>
            </w:tc>
            <w:sdt>
              <w:sdtPr>
                <w:tag w:val="_PLD_84318b21f9b643c3b358d0716c43d0ec"/>
                <w:id w:val="280609349"/>
                <w:lock w:val="sdtLocked"/>
              </w:sdtPr>
              <w:sdtContent>
                <w:tc>
                  <w:tcPr>
                    <w:tcW w:w="542" w:type="pct"/>
                    <w:shd w:val="clear" w:color="auto" w:fill="auto"/>
                    <w:vAlign w:val="center"/>
                  </w:tcPr>
                  <w:p>
                    <w:pPr>
                      <w:autoSpaceDE w:val="0"/>
                      <w:autoSpaceDN w:val="0"/>
                      <w:adjustRightInd w:val="0"/>
                      <w:snapToGrid w:val="0"/>
                      <w:jc w:val="center"/>
                      <w:rPr>
                        <w:szCs w:val="21"/>
                      </w:rPr>
                    </w:pPr>
                    <w:r>
                      <w:rPr>
                        <w:rFonts w:hint="eastAsia"/>
                        <w:szCs w:val="21"/>
                      </w:rPr>
                      <w:t>企业合并形成的</w:t>
                    </w:r>
                  </w:p>
                </w:tc>
              </w:sdtContent>
            </w:sdt>
            <w:sdt>
              <w:sdtPr>
                <w:rPr>
                  <w:szCs w:val="21"/>
                </w:rPr>
                <w:alias w:val="商誉账面原值本期增加额项目名称"/>
                <w:tag w:val="_GBC_fe66c6d60c044d9ea6469875d95f3d99"/>
                <w:id w:val="642473707"/>
                <w:lock w:val="sdtLocked"/>
              </w:sdtPr>
              <w:sdtEndPr>
                <w:rPr>
                  <w:rFonts w:hint="eastAsia"/>
                  <w:szCs w:val="21"/>
                </w:rPr>
              </w:sdtEndPr>
              <w:sdtContent>
                <w:tc>
                  <w:tcPr>
                    <w:tcW w:w="532" w:type="pct"/>
                    <w:shd w:val="clear" w:color="auto" w:fill="auto"/>
                    <w:vAlign w:val="center"/>
                  </w:tcPr>
                  <w:p>
                    <w:pPr>
                      <w:autoSpaceDE w:val="0"/>
                      <w:autoSpaceDN w:val="0"/>
                      <w:adjustRightInd w:val="0"/>
                      <w:snapToGrid w:val="0"/>
                      <w:jc w:val="center"/>
                      <w:rPr>
                        <w:szCs w:val="21"/>
                      </w:rPr>
                    </w:pPr>
                    <w:r>
                      <w:rPr>
                        <w:rFonts w:hint="eastAsia"/>
                        <w:szCs w:val="21"/>
                      </w:rPr>
                      <w:t>其他</w:t>
                    </w:r>
                  </w:p>
                </w:tc>
              </w:sdtContent>
            </w:sdt>
            <w:sdt>
              <w:sdtPr>
                <w:tag w:val="_PLD_6983282e8b8843a39f6925589e64f7d6"/>
                <w:id w:val="-1393041950"/>
                <w:lock w:val="sdtLocked"/>
              </w:sdtPr>
              <w:sdtContent>
                <w:tc>
                  <w:tcPr>
                    <w:tcW w:w="802" w:type="pct"/>
                    <w:shd w:val="clear" w:color="auto" w:fill="auto"/>
                    <w:vAlign w:val="center"/>
                  </w:tcPr>
                  <w:p>
                    <w:pPr>
                      <w:autoSpaceDE w:val="0"/>
                      <w:autoSpaceDN w:val="0"/>
                      <w:adjustRightInd w:val="0"/>
                      <w:snapToGrid w:val="0"/>
                      <w:jc w:val="center"/>
                      <w:rPr>
                        <w:szCs w:val="21"/>
                      </w:rPr>
                    </w:pPr>
                    <w:r>
                      <w:rPr>
                        <w:rFonts w:hint="eastAsia"/>
                        <w:szCs w:val="21"/>
                      </w:rPr>
                      <w:t>处置</w:t>
                    </w:r>
                  </w:p>
                </w:tc>
              </w:sdtContent>
            </w:sdt>
            <w:sdt>
              <w:sdtPr>
                <w:rPr>
                  <w:szCs w:val="21"/>
                </w:rPr>
                <w:alias w:val="商誉账面原值本期减少额项目名称"/>
                <w:tag w:val="_GBC_8b97f290d55f4abf952a5db1e21a7423"/>
                <w:id w:val="-1715572951"/>
                <w:lock w:val="sdtLocked"/>
              </w:sdtPr>
              <w:sdtEndPr>
                <w:rPr>
                  <w:rFonts w:hint="eastAsia"/>
                  <w:szCs w:val="21"/>
                </w:rPr>
              </w:sdtEndPr>
              <w:sdtContent>
                <w:tc>
                  <w:tcPr>
                    <w:tcW w:w="536" w:type="pct"/>
                    <w:shd w:val="clear" w:color="auto" w:fill="auto"/>
                    <w:vAlign w:val="center"/>
                  </w:tcPr>
                  <w:p>
                    <w:pPr>
                      <w:autoSpaceDE w:val="0"/>
                      <w:autoSpaceDN w:val="0"/>
                      <w:adjustRightInd w:val="0"/>
                      <w:snapToGrid w:val="0"/>
                      <w:jc w:val="center"/>
                      <w:rPr>
                        <w:szCs w:val="21"/>
                      </w:rPr>
                    </w:pPr>
                    <w:r>
                      <w:rPr>
                        <w:rFonts w:hint="eastAsia"/>
                        <w:szCs w:val="21"/>
                      </w:rPr>
                      <w:t>其他</w:t>
                    </w:r>
                  </w:p>
                </w:tc>
              </w:sdtContent>
            </w:sdt>
            <w:tc>
              <w:tcPr>
                <w:tcW w:w="828" w:type="pct"/>
                <w:vMerge w:val="continue"/>
                <w:shd w:val="clear" w:color="auto" w:fill="auto"/>
              </w:tcPr>
              <w:p>
                <w:pPr>
                  <w:autoSpaceDE w:val="0"/>
                  <w:autoSpaceDN w:val="0"/>
                  <w:adjustRightInd w:val="0"/>
                  <w:snapToGrid w:val="0"/>
                  <w:jc w:val="center"/>
                  <w:rPr>
                    <w:szCs w:val="21"/>
                  </w:rPr>
                </w:pPr>
              </w:p>
            </w:tc>
          </w:tr>
          <w:sdt>
            <w:sdtPr>
              <w:rPr>
                <w:szCs w:val="21"/>
              </w:rPr>
              <w:alias w:val="商誉明细"/>
              <w:tag w:val="_TUP_cb7b206e3e324731903e20055ee50cd8"/>
              <w:id w:val="-52973105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力帆-越南摩托车制造联营公司</w:t>
                    </w:r>
                  </w:p>
                </w:tc>
                <w:tc>
                  <w:tcPr>
                    <w:tcW w:w="831" w:type="pct"/>
                    <w:shd w:val="clear" w:color="auto" w:fill="auto"/>
                    <w:vAlign w:val="center"/>
                  </w:tcPr>
                  <w:p>
                    <w:pPr>
                      <w:autoSpaceDE w:val="0"/>
                      <w:autoSpaceDN w:val="0"/>
                      <w:adjustRightInd w:val="0"/>
                      <w:snapToGrid w:val="0"/>
                      <w:jc w:val="right"/>
                      <w:rPr>
                        <w:szCs w:val="21"/>
                      </w:rPr>
                    </w:pPr>
                    <w:r>
                      <w:t>2,000,000.00</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r>
                      <w:t>2,000,000.00</w:t>
                    </w:r>
                  </w:p>
                </w:tc>
              </w:tr>
            </w:sdtContent>
          </w:sdt>
          <w:sdt>
            <w:sdtPr>
              <w:rPr>
                <w:szCs w:val="21"/>
              </w:rPr>
              <w:alias w:val="商誉明细"/>
              <w:tag w:val="_TUP_cb7b206e3e324731903e20055ee50cd8"/>
              <w:id w:val="187071709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乌拉圭汽车公司BESINEY S.A</w:t>
                    </w:r>
                  </w:p>
                </w:tc>
                <w:tc>
                  <w:tcPr>
                    <w:tcW w:w="831" w:type="pct"/>
                    <w:shd w:val="clear" w:color="auto" w:fill="auto"/>
                    <w:vAlign w:val="center"/>
                  </w:tcPr>
                  <w:p>
                    <w:pPr>
                      <w:autoSpaceDE w:val="0"/>
                      <w:autoSpaceDN w:val="0"/>
                      <w:adjustRightInd w:val="0"/>
                      <w:snapToGrid w:val="0"/>
                      <w:jc w:val="right"/>
                      <w:rPr>
                        <w:szCs w:val="21"/>
                      </w:rPr>
                    </w:pPr>
                    <w:r>
                      <w:t>29,178,454.15</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r>
                      <w:t>29,178,454.15</w:t>
                    </w:r>
                  </w:p>
                </w:tc>
              </w:tr>
            </w:sdtContent>
          </w:sdt>
          <w:sdt>
            <w:sdtPr>
              <w:rPr>
                <w:szCs w:val="21"/>
              </w:rPr>
              <w:alias w:val="商誉明细"/>
              <w:tag w:val="_TUP_cb7b206e3e324731903e20055ee50cd8"/>
              <w:id w:val="175323613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乌拉圭发动机公司ANIKTO   S.A</w:t>
                    </w:r>
                  </w:p>
                </w:tc>
                <w:tc>
                  <w:tcPr>
                    <w:tcW w:w="831" w:type="pct"/>
                    <w:shd w:val="clear" w:color="auto" w:fill="auto"/>
                    <w:vAlign w:val="center"/>
                  </w:tcPr>
                  <w:p>
                    <w:pPr>
                      <w:autoSpaceDE w:val="0"/>
                      <w:autoSpaceDN w:val="0"/>
                      <w:adjustRightInd w:val="0"/>
                      <w:snapToGrid w:val="0"/>
                      <w:jc w:val="right"/>
                      <w:rPr>
                        <w:szCs w:val="21"/>
                      </w:rPr>
                    </w:pPr>
                    <w:r>
                      <w:t>37,982.75</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r>
                      <w:t>37,982.75</w:t>
                    </w:r>
                  </w:p>
                </w:tc>
              </w:tr>
            </w:sdtContent>
          </w:sdt>
          <w:sdt>
            <w:sdtPr>
              <w:rPr>
                <w:szCs w:val="21"/>
              </w:rPr>
              <w:alias w:val="商誉明细"/>
              <w:tag w:val="_TUP_cb7b206e3e324731903e20055ee50cd8"/>
              <w:id w:val="169055998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重庆力帆内燃机有限公司</w:t>
                    </w:r>
                  </w:p>
                </w:tc>
                <w:tc>
                  <w:tcPr>
                    <w:tcW w:w="831" w:type="pct"/>
                    <w:shd w:val="clear" w:color="auto" w:fill="auto"/>
                    <w:vAlign w:val="center"/>
                  </w:tcPr>
                  <w:p>
                    <w:pPr>
                      <w:autoSpaceDE w:val="0"/>
                      <w:autoSpaceDN w:val="0"/>
                      <w:adjustRightInd w:val="0"/>
                      <w:snapToGrid w:val="0"/>
                      <w:jc w:val="right"/>
                      <w:rPr>
                        <w:szCs w:val="21"/>
                      </w:rPr>
                    </w:pPr>
                    <w:r>
                      <w:t>11,867,279.04</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r>
                      <w:t>11,867,279.04</w:t>
                    </w:r>
                  </w:p>
                </w:tc>
              </w:tr>
            </w:sdtContent>
          </w:sdt>
          <w:sdt>
            <w:sdtPr>
              <w:rPr>
                <w:szCs w:val="21"/>
              </w:rPr>
              <w:alias w:val="商誉明细"/>
              <w:tag w:val="_TUP_cb7b206e3e324731903e20055ee50cd8"/>
              <w:id w:val="116883925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上海新概念出租汽车有限公司</w:t>
                    </w:r>
                  </w:p>
                </w:tc>
                <w:tc>
                  <w:tcPr>
                    <w:tcW w:w="831" w:type="pct"/>
                    <w:shd w:val="clear" w:color="auto" w:fill="auto"/>
                    <w:vAlign w:val="center"/>
                  </w:tcPr>
                  <w:p>
                    <w:pPr>
                      <w:autoSpaceDE w:val="0"/>
                      <w:autoSpaceDN w:val="0"/>
                      <w:adjustRightInd w:val="0"/>
                      <w:snapToGrid w:val="0"/>
                      <w:jc w:val="right"/>
                      <w:rPr>
                        <w:szCs w:val="21"/>
                      </w:rPr>
                    </w:pPr>
                    <w:r>
                      <w:t>10,705,082.93</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r>
                      <w:t>10,705,082.93</w:t>
                    </w: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p>
                </w:tc>
              </w:tr>
            </w:sdtContent>
          </w:sdt>
          <w:sdt>
            <w:sdtPr>
              <w:rPr>
                <w:szCs w:val="21"/>
              </w:rPr>
              <w:alias w:val="商誉明细"/>
              <w:tag w:val="_TUP_cb7b206e3e324731903e20055ee50cd8"/>
              <w:id w:val="155349818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重庆无线绿洲通信技术有限公司</w:t>
                    </w:r>
                  </w:p>
                </w:tc>
                <w:tc>
                  <w:tcPr>
                    <w:tcW w:w="831" w:type="pct"/>
                    <w:shd w:val="clear" w:color="auto" w:fill="auto"/>
                    <w:vAlign w:val="center"/>
                  </w:tcPr>
                  <w:p>
                    <w:pPr>
                      <w:autoSpaceDE w:val="0"/>
                      <w:autoSpaceDN w:val="0"/>
                      <w:adjustRightInd w:val="0"/>
                      <w:snapToGrid w:val="0"/>
                      <w:jc w:val="right"/>
                      <w:rPr>
                        <w:szCs w:val="21"/>
                      </w:rPr>
                    </w:pPr>
                    <w:r>
                      <w:t>304,436,913.82</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r>
                      <w:t>304,436,913.82</w:t>
                    </w:r>
                  </w:p>
                </w:tc>
              </w:tr>
            </w:sdtContent>
          </w:sdt>
          <w:sdt>
            <w:sdtPr>
              <w:rPr>
                <w:szCs w:val="21"/>
              </w:rPr>
              <w:alias w:val="商誉明细"/>
              <w:tag w:val="_TUP_cb7b206e3e324731903e20055ee50cd8"/>
              <w:id w:val="193940035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930" w:type="pct"/>
                    <w:shd w:val="clear" w:color="auto" w:fill="auto"/>
                  </w:tcPr>
                  <w:p>
                    <w:pPr>
                      <w:autoSpaceDE w:val="0"/>
                      <w:autoSpaceDN w:val="0"/>
                      <w:adjustRightInd w:val="0"/>
                      <w:snapToGrid w:val="0"/>
                      <w:rPr>
                        <w:szCs w:val="21"/>
                      </w:rPr>
                    </w:pPr>
                    <w:r>
                      <w:t>重庆润田房地产开发有限公司</w:t>
                    </w:r>
                  </w:p>
                </w:tc>
                <w:tc>
                  <w:tcPr>
                    <w:tcW w:w="831" w:type="pct"/>
                    <w:shd w:val="clear" w:color="auto" w:fill="auto"/>
                    <w:vAlign w:val="center"/>
                  </w:tcPr>
                  <w:p>
                    <w:pPr>
                      <w:autoSpaceDE w:val="0"/>
                      <w:autoSpaceDN w:val="0"/>
                      <w:adjustRightInd w:val="0"/>
                      <w:snapToGrid w:val="0"/>
                      <w:jc w:val="right"/>
                      <w:rPr>
                        <w:szCs w:val="21"/>
                      </w:rPr>
                    </w:pPr>
                    <w:r>
                      <w:t>319,273,772.27</w:t>
                    </w:r>
                  </w:p>
                </w:tc>
                <w:tc>
                  <w:tcPr>
                    <w:tcW w:w="542" w:type="pct"/>
                    <w:shd w:val="clear" w:color="auto" w:fill="auto"/>
                    <w:vAlign w:val="center"/>
                  </w:tcPr>
                  <w:p>
                    <w:pPr>
                      <w:autoSpaceDE w:val="0"/>
                      <w:autoSpaceDN w:val="0"/>
                      <w:adjustRightInd w:val="0"/>
                      <w:snapToGrid w:val="0"/>
                      <w:jc w:val="right"/>
                      <w:rPr>
                        <w:szCs w:val="21"/>
                      </w:rPr>
                    </w:pPr>
                  </w:p>
                </w:tc>
                <w:tc>
                  <w:tcPr>
                    <w:tcW w:w="532" w:type="pct"/>
                    <w:shd w:val="clear" w:color="auto" w:fill="auto"/>
                    <w:vAlign w:val="center"/>
                  </w:tcPr>
                  <w:p>
                    <w:pPr>
                      <w:autoSpaceDE w:val="0"/>
                      <w:autoSpaceDN w:val="0"/>
                      <w:adjustRightInd w:val="0"/>
                      <w:snapToGrid w:val="0"/>
                      <w:jc w:val="right"/>
                      <w:rPr>
                        <w:szCs w:val="21"/>
                      </w:rPr>
                    </w:pPr>
                  </w:p>
                </w:tc>
                <w:tc>
                  <w:tcPr>
                    <w:tcW w:w="802" w:type="pct"/>
                    <w:shd w:val="clear" w:color="auto" w:fill="auto"/>
                    <w:vAlign w:val="center"/>
                  </w:tcPr>
                  <w:p>
                    <w:pPr>
                      <w:autoSpaceDE w:val="0"/>
                      <w:autoSpaceDN w:val="0"/>
                      <w:adjustRightInd w:val="0"/>
                      <w:snapToGrid w:val="0"/>
                      <w:jc w:val="right"/>
                      <w:rPr>
                        <w:szCs w:val="21"/>
                      </w:rPr>
                    </w:pPr>
                  </w:p>
                </w:tc>
                <w:tc>
                  <w:tcPr>
                    <w:tcW w:w="536" w:type="pct"/>
                    <w:shd w:val="clear" w:color="auto" w:fill="auto"/>
                    <w:vAlign w:val="center"/>
                  </w:tcPr>
                  <w:p>
                    <w:pPr>
                      <w:autoSpaceDE w:val="0"/>
                      <w:autoSpaceDN w:val="0"/>
                      <w:adjustRightInd w:val="0"/>
                      <w:snapToGrid w:val="0"/>
                      <w:jc w:val="right"/>
                      <w:rPr>
                        <w:szCs w:val="21"/>
                      </w:rPr>
                    </w:pPr>
                  </w:p>
                </w:tc>
                <w:tc>
                  <w:tcPr>
                    <w:tcW w:w="828" w:type="pct"/>
                    <w:shd w:val="clear" w:color="auto" w:fill="auto"/>
                    <w:vAlign w:val="center"/>
                  </w:tcPr>
                  <w:p>
                    <w:pPr>
                      <w:autoSpaceDE w:val="0"/>
                      <w:autoSpaceDN w:val="0"/>
                      <w:adjustRightInd w:val="0"/>
                      <w:snapToGrid w:val="0"/>
                      <w:jc w:val="right"/>
                      <w:rPr>
                        <w:szCs w:val="21"/>
                      </w:rPr>
                    </w:pPr>
                    <w:r>
                      <w:t>319,273,772.27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sdt>
              <w:sdtPr>
                <w:tag w:val="_PLD_c49dc0bb40674733845e63fbaa2cd124"/>
                <w:id w:val="-1740250414"/>
                <w:lock w:val="sdtLocked"/>
              </w:sdtPr>
              <w:sdtContent>
                <w:tc>
                  <w:tcPr>
                    <w:tcW w:w="930" w:type="pct"/>
                    <w:shd w:val="clear" w:color="auto" w:fill="auto"/>
                    <w:vAlign w:val="center"/>
                  </w:tcPr>
                  <w:p>
                    <w:pPr>
                      <w:autoSpaceDE w:val="0"/>
                      <w:autoSpaceDN w:val="0"/>
                      <w:adjustRightInd w:val="0"/>
                      <w:snapToGrid w:val="0"/>
                      <w:jc w:val="center"/>
                      <w:rPr>
                        <w:szCs w:val="21"/>
                        <w:u w:val="double"/>
                      </w:rPr>
                    </w:pPr>
                    <w:r>
                      <w:rPr>
                        <w:rFonts w:hint="eastAsia"/>
                        <w:szCs w:val="21"/>
                      </w:rPr>
                      <w:t>合计</w:t>
                    </w:r>
                  </w:p>
                </w:tc>
              </w:sdtContent>
            </w:sdt>
            <w:tc>
              <w:tcPr>
                <w:tcW w:w="831" w:type="pct"/>
                <w:shd w:val="clear" w:color="auto" w:fill="auto"/>
                <w:vAlign w:val="center"/>
              </w:tcPr>
              <w:p>
                <w:pPr>
                  <w:jc w:val="right"/>
                  <w:rPr>
                    <w:sz w:val="24"/>
                  </w:rPr>
                </w:pPr>
                <w:r>
                  <w:t>677,499,484.96</w:t>
                </w:r>
              </w:p>
            </w:tc>
            <w:tc>
              <w:tcPr>
                <w:tcW w:w="542" w:type="pct"/>
                <w:shd w:val="clear" w:color="auto" w:fill="auto"/>
                <w:vAlign w:val="center"/>
              </w:tcPr>
              <w:p>
                <w:pPr>
                  <w:jc w:val="right"/>
                  <w:rPr>
                    <w:sz w:val="24"/>
                  </w:rPr>
                </w:pPr>
              </w:p>
            </w:tc>
            <w:tc>
              <w:tcPr>
                <w:tcW w:w="532" w:type="pct"/>
                <w:shd w:val="clear" w:color="auto" w:fill="auto"/>
                <w:vAlign w:val="center"/>
              </w:tcPr>
              <w:p>
                <w:pPr>
                  <w:jc w:val="right"/>
                  <w:rPr>
                    <w:sz w:val="24"/>
                  </w:rPr>
                </w:pPr>
              </w:p>
            </w:tc>
            <w:tc>
              <w:tcPr>
                <w:tcW w:w="802" w:type="pct"/>
                <w:shd w:val="clear" w:color="auto" w:fill="auto"/>
                <w:vAlign w:val="center"/>
              </w:tcPr>
              <w:p>
                <w:pPr>
                  <w:jc w:val="right"/>
                  <w:rPr>
                    <w:sz w:val="24"/>
                  </w:rPr>
                </w:pPr>
                <w:r>
                  <w:t>10,705,082.93</w:t>
                </w:r>
              </w:p>
            </w:tc>
            <w:tc>
              <w:tcPr>
                <w:tcW w:w="536" w:type="pct"/>
                <w:shd w:val="clear" w:color="auto" w:fill="auto"/>
                <w:vAlign w:val="center"/>
              </w:tcPr>
              <w:p>
                <w:pPr>
                  <w:jc w:val="right"/>
                  <w:rPr>
                    <w:sz w:val="24"/>
                  </w:rPr>
                </w:pPr>
              </w:p>
            </w:tc>
            <w:tc>
              <w:tcPr>
                <w:tcW w:w="828" w:type="pct"/>
                <w:shd w:val="clear" w:color="auto" w:fill="auto"/>
                <w:vAlign w:val="center"/>
              </w:tcPr>
              <w:p>
                <w:pPr>
                  <w:jc w:val="right"/>
                  <w:rPr>
                    <w:sz w:val="24"/>
                  </w:rPr>
                </w:pPr>
                <w:r>
                  <w:t>666,794,402.03</w:t>
                </w:r>
              </w:p>
            </w:tc>
          </w:tr>
        </w:tbl>
        <w:p/>
        <w:p>
          <w:pPr>
            <w:pStyle w:val="214"/>
            <w:numPr>
              <w:ilvl w:val="3"/>
              <w:numId w:val="93"/>
            </w:numPr>
            <w:ind w:left="426" w:hanging="426"/>
          </w:pPr>
          <w:r>
            <w:rPr>
              <w:rFonts w:hint="eastAsia"/>
            </w:rPr>
            <w:t>商誉减值准备</w:t>
          </w:r>
        </w:p>
        <w:sdt>
          <w:sdtPr>
            <w:alias w:val="是否适用：商誉减值准备[双击切换]"/>
            <w:tag w:val="_GBC_6da4c3df55cf453f9753bb7045db7e9c"/>
            <w:id w:val="1875018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商誉减值准备"/>
              <w:tag w:val="_GBC_f57fd757a9b44c6ebaa3d245d43745bc"/>
              <w:id w:val="10122730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商誉减值准备"/>
              <w:tag w:val="_GBC_c1f3995384ba4c438db9d1f743b78f7d"/>
              <w:id w:val="-205563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687"/>
            <w:gridCol w:w="716"/>
            <w:gridCol w:w="694"/>
            <w:gridCol w:w="1581"/>
            <w:gridCol w:w="750"/>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sdt>
              <w:sdtPr>
                <w:tag w:val="_PLD_18986b1742bd44dfbf2a33ba8f31cdbc"/>
                <w:id w:val="-186293803"/>
                <w:lock w:val="sdtLocked"/>
              </w:sdtPr>
              <w:sdtContent>
                <w:tc>
                  <w:tcPr>
                    <w:tcW w:w="829" w:type="pct"/>
                    <w:vMerge w:val="restart"/>
                    <w:shd w:val="clear" w:color="auto" w:fill="auto"/>
                    <w:vAlign w:val="center"/>
                  </w:tcPr>
                  <w:p>
                    <w:pPr>
                      <w:autoSpaceDE w:val="0"/>
                      <w:autoSpaceDN w:val="0"/>
                      <w:adjustRightInd w:val="0"/>
                      <w:snapToGrid w:val="0"/>
                      <w:jc w:val="center"/>
                      <w:rPr>
                        <w:szCs w:val="21"/>
                      </w:rPr>
                    </w:pPr>
                    <w:r>
                      <w:rPr>
                        <w:rFonts w:hint="eastAsia"/>
                        <w:szCs w:val="21"/>
                      </w:rPr>
                      <w:t>被投资单位名称或形成商誉的事项</w:t>
                    </w:r>
                  </w:p>
                </w:tc>
              </w:sdtContent>
            </w:sdt>
            <w:sdt>
              <w:sdtPr>
                <w:tag w:val="_PLD_f4fc332b28b44b9498c110ad4ae0a59b"/>
                <w:id w:val="2011862196"/>
                <w:lock w:val="sdtLocked"/>
              </w:sdtPr>
              <w:sdtContent>
                <w:tc>
                  <w:tcPr>
                    <w:tcW w:w="989" w:type="pct"/>
                    <w:vMerge w:val="restart"/>
                    <w:shd w:val="clear" w:color="auto" w:fill="auto"/>
                    <w:vAlign w:val="center"/>
                  </w:tcPr>
                  <w:p>
                    <w:pPr>
                      <w:autoSpaceDE w:val="0"/>
                      <w:autoSpaceDN w:val="0"/>
                      <w:adjustRightInd w:val="0"/>
                      <w:snapToGrid w:val="0"/>
                      <w:jc w:val="center"/>
                      <w:rPr>
                        <w:szCs w:val="21"/>
                      </w:rPr>
                    </w:pPr>
                    <w:r>
                      <w:rPr>
                        <w:rFonts w:hint="eastAsia"/>
                        <w:szCs w:val="21"/>
                      </w:rPr>
                      <w:t>期初余额</w:t>
                    </w:r>
                  </w:p>
                </w:tc>
              </w:sdtContent>
            </w:sdt>
            <w:sdt>
              <w:sdtPr>
                <w:tag w:val="_PLD_9c5ef388bfe9420c986843182b04de06"/>
                <w:id w:val="712775493"/>
                <w:lock w:val="sdtLocked"/>
              </w:sdtPr>
              <w:sdtContent>
                <w:tc>
                  <w:tcPr>
                    <w:tcW w:w="827" w:type="pct"/>
                    <w:gridSpan w:val="2"/>
                    <w:shd w:val="clear" w:color="auto" w:fill="auto"/>
                    <w:vAlign w:val="center"/>
                  </w:tcPr>
                  <w:p>
                    <w:pPr>
                      <w:autoSpaceDE w:val="0"/>
                      <w:autoSpaceDN w:val="0"/>
                      <w:adjustRightInd w:val="0"/>
                      <w:snapToGrid w:val="0"/>
                      <w:jc w:val="center"/>
                      <w:rPr>
                        <w:szCs w:val="21"/>
                      </w:rPr>
                    </w:pPr>
                    <w:r>
                      <w:rPr>
                        <w:rFonts w:hint="eastAsia"/>
                        <w:szCs w:val="21"/>
                      </w:rPr>
                      <w:t>本期增加</w:t>
                    </w:r>
                  </w:p>
                </w:tc>
              </w:sdtContent>
            </w:sdt>
            <w:sdt>
              <w:sdtPr>
                <w:tag w:val="_PLD_2d0c2da11bf944d99d5a113a6d874ecf"/>
                <w:id w:val="55986989"/>
                <w:lock w:val="sdtLocked"/>
              </w:sdtPr>
              <w:sdtContent>
                <w:tc>
                  <w:tcPr>
                    <w:tcW w:w="1367" w:type="pct"/>
                    <w:gridSpan w:val="2"/>
                    <w:shd w:val="clear" w:color="auto" w:fill="auto"/>
                    <w:vAlign w:val="center"/>
                  </w:tcPr>
                  <w:p>
                    <w:pPr>
                      <w:autoSpaceDE w:val="0"/>
                      <w:autoSpaceDN w:val="0"/>
                      <w:adjustRightInd w:val="0"/>
                      <w:snapToGrid w:val="0"/>
                      <w:jc w:val="center"/>
                      <w:rPr>
                        <w:szCs w:val="21"/>
                      </w:rPr>
                    </w:pPr>
                    <w:r>
                      <w:rPr>
                        <w:rFonts w:hint="eastAsia"/>
                        <w:szCs w:val="21"/>
                      </w:rPr>
                      <w:t>本期减少</w:t>
                    </w:r>
                  </w:p>
                </w:tc>
              </w:sdtContent>
            </w:sdt>
            <w:sdt>
              <w:sdtPr>
                <w:tag w:val="_PLD_507192cf6da34101afd3a25ed1e4bd77"/>
                <w:id w:val="1327245682"/>
                <w:lock w:val="sdtLocked"/>
              </w:sdtPr>
              <w:sdtContent>
                <w:tc>
                  <w:tcPr>
                    <w:tcW w:w="989" w:type="pct"/>
                    <w:vMerge w:val="restart"/>
                    <w:shd w:val="clear" w:color="auto" w:fill="auto"/>
                    <w:vAlign w:val="center"/>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29" w:type="pct"/>
                <w:vMerge w:val="continue"/>
                <w:shd w:val="clear" w:color="auto" w:fill="auto"/>
              </w:tcPr>
              <w:p>
                <w:pPr>
                  <w:autoSpaceDE w:val="0"/>
                  <w:autoSpaceDN w:val="0"/>
                  <w:adjustRightInd w:val="0"/>
                  <w:snapToGrid w:val="0"/>
                  <w:rPr>
                    <w:szCs w:val="21"/>
                  </w:rPr>
                </w:pPr>
              </w:p>
            </w:tc>
            <w:tc>
              <w:tcPr>
                <w:tcW w:w="989" w:type="pct"/>
                <w:vMerge w:val="continue"/>
                <w:shd w:val="clear" w:color="auto" w:fill="auto"/>
                <w:vAlign w:val="center"/>
              </w:tcPr>
              <w:p>
                <w:pPr>
                  <w:autoSpaceDE w:val="0"/>
                  <w:autoSpaceDN w:val="0"/>
                  <w:adjustRightInd w:val="0"/>
                  <w:snapToGrid w:val="0"/>
                  <w:jc w:val="right"/>
                  <w:rPr>
                    <w:szCs w:val="21"/>
                  </w:rPr>
                </w:pPr>
              </w:p>
            </w:tc>
            <w:sdt>
              <w:sdtPr>
                <w:tag w:val="_PLD_134cadb6536146b0bc898de0da7123f7"/>
                <w:id w:val="1132589983"/>
                <w:lock w:val="sdtLocked"/>
              </w:sdtPr>
              <w:sdtContent>
                <w:tc>
                  <w:tcPr>
                    <w:tcW w:w="420" w:type="pct"/>
                    <w:shd w:val="clear" w:color="auto" w:fill="auto"/>
                    <w:vAlign w:val="center"/>
                  </w:tcPr>
                  <w:p>
                    <w:pPr>
                      <w:autoSpaceDE w:val="0"/>
                      <w:autoSpaceDN w:val="0"/>
                      <w:adjustRightInd w:val="0"/>
                      <w:snapToGrid w:val="0"/>
                      <w:jc w:val="center"/>
                      <w:rPr>
                        <w:szCs w:val="21"/>
                      </w:rPr>
                    </w:pPr>
                    <w:r>
                      <w:rPr>
                        <w:rFonts w:hint="eastAsia"/>
                        <w:szCs w:val="21"/>
                      </w:rPr>
                      <w:t>计提</w:t>
                    </w:r>
                  </w:p>
                </w:tc>
              </w:sdtContent>
            </w:sdt>
            <w:sdt>
              <w:sdtPr>
                <w:rPr>
                  <w:szCs w:val="21"/>
                </w:rPr>
                <w:alias w:val="商誉减值准备本期增加额项目名称"/>
                <w:tag w:val="_GBC_2c15441a628d4a48b74e3cdf1b3d9e5c"/>
                <w:id w:val="-1897035974"/>
                <w:lock w:val="sdtLocked"/>
                <w:showingPlcHdr/>
              </w:sdtPr>
              <w:sdtEndPr>
                <w:rPr>
                  <w:rFonts w:hint="eastAsia"/>
                  <w:szCs w:val="21"/>
                </w:rPr>
              </w:sdtEndPr>
              <w:sdtContent>
                <w:tc>
                  <w:tcPr>
                    <w:tcW w:w="406" w:type="pct"/>
                    <w:shd w:val="clear" w:color="auto" w:fill="auto"/>
                    <w:vAlign w:val="center"/>
                  </w:tcPr>
                  <w:p>
                    <w:pPr>
                      <w:autoSpaceDE w:val="0"/>
                      <w:autoSpaceDN w:val="0"/>
                      <w:adjustRightInd w:val="0"/>
                      <w:snapToGrid w:val="0"/>
                      <w:jc w:val="center"/>
                      <w:rPr>
                        <w:szCs w:val="21"/>
                      </w:rPr>
                    </w:pPr>
                    <w:r>
                      <w:rPr>
                        <w:rFonts w:hint="eastAsia"/>
                        <w:szCs w:val="21"/>
                      </w:rPr>
                      <w:t>　</w:t>
                    </w:r>
                  </w:p>
                </w:tc>
              </w:sdtContent>
            </w:sdt>
            <w:sdt>
              <w:sdtPr>
                <w:tag w:val="_PLD_675bb5fa156e4d8089849da08384815e"/>
                <w:id w:val="338438426"/>
                <w:lock w:val="sdtLocked"/>
              </w:sdtPr>
              <w:sdtContent>
                <w:tc>
                  <w:tcPr>
                    <w:tcW w:w="927" w:type="pct"/>
                    <w:shd w:val="clear" w:color="auto" w:fill="auto"/>
                    <w:vAlign w:val="center"/>
                  </w:tcPr>
                  <w:p>
                    <w:pPr>
                      <w:autoSpaceDE w:val="0"/>
                      <w:autoSpaceDN w:val="0"/>
                      <w:adjustRightInd w:val="0"/>
                      <w:snapToGrid w:val="0"/>
                      <w:jc w:val="center"/>
                      <w:rPr>
                        <w:szCs w:val="21"/>
                      </w:rPr>
                    </w:pPr>
                    <w:r>
                      <w:rPr>
                        <w:rFonts w:hint="eastAsia"/>
                        <w:szCs w:val="21"/>
                      </w:rPr>
                      <w:t>处置</w:t>
                    </w:r>
                  </w:p>
                </w:tc>
              </w:sdtContent>
            </w:sdt>
            <w:sdt>
              <w:sdtPr>
                <w:rPr>
                  <w:szCs w:val="21"/>
                </w:rPr>
                <w:alias w:val="商誉减值准备本期减少额项目名称"/>
                <w:tag w:val="_GBC_11c989867bfa4423aff2c855748ad460"/>
                <w:id w:val="251791723"/>
                <w:lock w:val="sdtLocked"/>
                <w:showingPlcHdr/>
              </w:sdtPr>
              <w:sdtEndPr>
                <w:rPr>
                  <w:rFonts w:hint="eastAsia"/>
                  <w:szCs w:val="21"/>
                </w:rPr>
              </w:sdtEndPr>
              <w:sdtContent>
                <w:tc>
                  <w:tcPr>
                    <w:tcW w:w="440" w:type="pct"/>
                    <w:shd w:val="clear" w:color="auto" w:fill="auto"/>
                    <w:vAlign w:val="center"/>
                  </w:tcPr>
                  <w:p>
                    <w:pPr>
                      <w:autoSpaceDE w:val="0"/>
                      <w:autoSpaceDN w:val="0"/>
                      <w:adjustRightInd w:val="0"/>
                      <w:snapToGrid w:val="0"/>
                      <w:jc w:val="center"/>
                      <w:rPr>
                        <w:szCs w:val="21"/>
                      </w:rPr>
                    </w:pPr>
                    <w:r>
                      <w:rPr>
                        <w:rFonts w:hint="eastAsia"/>
                        <w:szCs w:val="21"/>
                      </w:rPr>
                      <w:t>　</w:t>
                    </w:r>
                  </w:p>
                </w:tc>
              </w:sdtContent>
            </w:sdt>
            <w:tc>
              <w:tcPr>
                <w:tcW w:w="989" w:type="pct"/>
                <w:vMerge w:val="continue"/>
                <w:shd w:val="clear" w:color="auto" w:fill="auto"/>
              </w:tcPr>
              <w:p>
                <w:pPr>
                  <w:autoSpaceDE w:val="0"/>
                  <w:autoSpaceDN w:val="0"/>
                  <w:adjustRightInd w:val="0"/>
                  <w:snapToGrid w:val="0"/>
                  <w:jc w:val="center"/>
                  <w:rPr>
                    <w:szCs w:val="21"/>
                  </w:rPr>
                </w:pPr>
              </w:p>
            </w:tc>
          </w:tr>
          <w:sdt>
            <w:sdtPr>
              <w:rPr>
                <w:szCs w:val="21"/>
              </w:rPr>
              <w:alias w:val="商誉减值准备明细"/>
              <w:tag w:val="_TUP_d37e114a0e6649c2a767f2004a3d01f8"/>
              <w:id w:val="-178502678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9" w:type="pct"/>
                    <w:shd w:val="clear" w:color="auto" w:fill="auto"/>
                  </w:tcPr>
                  <w:p>
                    <w:pPr>
                      <w:autoSpaceDE w:val="0"/>
                      <w:autoSpaceDN w:val="0"/>
                      <w:adjustRightInd w:val="0"/>
                      <w:snapToGrid w:val="0"/>
                      <w:rPr>
                        <w:szCs w:val="21"/>
                      </w:rPr>
                    </w:pPr>
                    <w:r>
                      <w:t>力帆-越南摩托车制造联营公司</w:t>
                    </w:r>
                  </w:p>
                </w:tc>
                <w:tc>
                  <w:tcPr>
                    <w:tcW w:w="989" w:type="pct"/>
                    <w:shd w:val="clear" w:color="auto" w:fill="auto"/>
                    <w:vAlign w:val="center"/>
                  </w:tcPr>
                  <w:p>
                    <w:pPr>
                      <w:autoSpaceDE w:val="0"/>
                      <w:autoSpaceDN w:val="0"/>
                      <w:adjustRightInd w:val="0"/>
                      <w:snapToGrid w:val="0"/>
                      <w:jc w:val="right"/>
                      <w:rPr>
                        <w:szCs w:val="21"/>
                      </w:rPr>
                    </w:pPr>
                    <w:r>
                      <w:t>2,000,000.00</w:t>
                    </w:r>
                  </w:p>
                </w:tc>
                <w:tc>
                  <w:tcPr>
                    <w:tcW w:w="420" w:type="pct"/>
                    <w:shd w:val="clear" w:color="auto" w:fill="auto"/>
                    <w:vAlign w:val="center"/>
                  </w:tcPr>
                  <w:p>
                    <w:pPr>
                      <w:autoSpaceDE w:val="0"/>
                      <w:autoSpaceDN w:val="0"/>
                      <w:adjustRightInd w:val="0"/>
                      <w:snapToGrid w:val="0"/>
                      <w:jc w:val="right"/>
                      <w:rPr>
                        <w:szCs w:val="21"/>
                      </w:rPr>
                    </w:pPr>
                  </w:p>
                </w:tc>
                <w:tc>
                  <w:tcPr>
                    <w:tcW w:w="406" w:type="pct"/>
                    <w:shd w:val="clear" w:color="auto" w:fill="auto"/>
                    <w:vAlign w:val="center"/>
                  </w:tcPr>
                  <w:p>
                    <w:pPr>
                      <w:autoSpaceDE w:val="0"/>
                      <w:autoSpaceDN w:val="0"/>
                      <w:adjustRightInd w:val="0"/>
                      <w:snapToGrid w:val="0"/>
                      <w:jc w:val="right"/>
                      <w:rPr>
                        <w:szCs w:val="21"/>
                      </w:rPr>
                    </w:pPr>
                  </w:p>
                </w:tc>
                <w:tc>
                  <w:tcPr>
                    <w:tcW w:w="927" w:type="pct"/>
                    <w:shd w:val="clear" w:color="auto" w:fill="auto"/>
                    <w:vAlign w:val="center"/>
                  </w:tcPr>
                  <w:p>
                    <w:pPr>
                      <w:autoSpaceDE w:val="0"/>
                      <w:autoSpaceDN w:val="0"/>
                      <w:adjustRightInd w:val="0"/>
                      <w:snapToGrid w:val="0"/>
                      <w:jc w:val="right"/>
                      <w:rPr>
                        <w:szCs w:val="21"/>
                      </w:rPr>
                    </w:pPr>
                  </w:p>
                </w:tc>
                <w:tc>
                  <w:tcPr>
                    <w:tcW w:w="440" w:type="pct"/>
                    <w:shd w:val="clear" w:color="auto" w:fill="auto"/>
                    <w:vAlign w:val="center"/>
                  </w:tcPr>
                  <w:p>
                    <w:pPr>
                      <w:autoSpaceDE w:val="0"/>
                      <w:autoSpaceDN w:val="0"/>
                      <w:adjustRightInd w:val="0"/>
                      <w:snapToGrid w:val="0"/>
                      <w:jc w:val="right"/>
                      <w:rPr>
                        <w:szCs w:val="21"/>
                      </w:rPr>
                    </w:pPr>
                  </w:p>
                </w:tc>
                <w:tc>
                  <w:tcPr>
                    <w:tcW w:w="989" w:type="pct"/>
                    <w:shd w:val="clear" w:color="auto" w:fill="auto"/>
                    <w:vAlign w:val="center"/>
                  </w:tcPr>
                  <w:p>
                    <w:pPr>
                      <w:autoSpaceDE w:val="0"/>
                      <w:autoSpaceDN w:val="0"/>
                      <w:adjustRightInd w:val="0"/>
                      <w:snapToGrid w:val="0"/>
                      <w:jc w:val="right"/>
                      <w:rPr>
                        <w:szCs w:val="21"/>
                      </w:rPr>
                    </w:pPr>
                    <w:r>
                      <w:t>2,000,000.00</w:t>
                    </w:r>
                  </w:p>
                </w:tc>
              </w:tr>
            </w:sdtContent>
          </w:sdt>
          <w:sdt>
            <w:sdtPr>
              <w:rPr>
                <w:szCs w:val="21"/>
              </w:rPr>
              <w:alias w:val="商誉减值准备明细"/>
              <w:tag w:val="_TUP_d37e114a0e6649c2a767f2004a3d01f8"/>
              <w:id w:val="183988372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9" w:type="pct"/>
                    <w:shd w:val="clear" w:color="auto" w:fill="auto"/>
                  </w:tcPr>
                  <w:p>
                    <w:pPr>
                      <w:autoSpaceDE w:val="0"/>
                      <w:autoSpaceDN w:val="0"/>
                      <w:adjustRightInd w:val="0"/>
                      <w:snapToGrid w:val="0"/>
                      <w:rPr>
                        <w:szCs w:val="21"/>
                      </w:rPr>
                    </w:pPr>
                    <w:r>
                      <w:t>乌拉圭汽车公司BESINEY S.A</w:t>
                    </w:r>
                  </w:p>
                </w:tc>
                <w:tc>
                  <w:tcPr>
                    <w:tcW w:w="989" w:type="pct"/>
                    <w:shd w:val="clear" w:color="auto" w:fill="auto"/>
                    <w:vAlign w:val="center"/>
                  </w:tcPr>
                  <w:p>
                    <w:pPr>
                      <w:autoSpaceDE w:val="0"/>
                      <w:autoSpaceDN w:val="0"/>
                      <w:adjustRightInd w:val="0"/>
                      <w:snapToGrid w:val="0"/>
                      <w:jc w:val="right"/>
                      <w:rPr>
                        <w:szCs w:val="21"/>
                      </w:rPr>
                    </w:pPr>
                    <w:r>
                      <w:t>29,178,454.15</w:t>
                    </w:r>
                  </w:p>
                </w:tc>
                <w:tc>
                  <w:tcPr>
                    <w:tcW w:w="420" w:type="pct"/>
                    <w:shd w:val="clear" w:color="auto" w:fill="auto"/>
                    <w:vAlign w:val="center"/>
                  </w:tcPr>
                  <w:p>
                    <w:pPr>
                      <w:autoSpaceDE w:val="0"/>
                      <w:autoSpaceDN w:val="0"/>
                      <w:adjustRightInd w:val="0"/>
                      <w:snapToGrid w:val="0"/>
                      <w:jc w:val="right"/>
                      <w:rPr>
                        <w:szCs w:val="21"/>
                      </w:rPr>
                    </w:pPr>
                  </w:p>
                </w:tc>
                <w:tc>
                  <w:tcPr>
                    <w:tcW w:w="406" w:type="pct"/>
                    <w:shd w:val="clear" w:color="auto" w:fill="auto"/>
                    <w:vAlign w:val="center"/>
                  </w:tcPr>
                  <w:p>
                    <w:pPr>
                      <w:autoSpaceDE w:val="0"/>
                      <w:autoSpaceDN w:val="0"/>
                      <w:adjustRightInd w:val="0"/>
                      <w:snapToGrid w:val="0"/>
                      <w:jc w:val="right"/>
                      <w:rPr>
                        <w:szCs w:val="21"/>
                      </w:rPr>
                    </w:pPr>
                  </w:p>
                </w:tc>
                <w:tc>
                  <w:tcPr>
                    <w:tcW w:w="927" w:type="pct"/>
                    <w:shd w:val="clear" w:color="auto" w:fill="auto"/>
                    <w:vAlign w:val="center"/>
                  </w:tcPr>
                  <w:p>
                    <w:pPr>
                      <w:autoSpaceDE w:val="0"/>
                      <w:autoSpaceDN w:val="0"/>
                      <w:adjustRightInd w:val="0"/>
                      <w:snapToGrid w:val="0"/>
                      <w:jc w:val="right"/>
                      <w:rPr>
                        <w:szCs w:val="21"/>
                      </w:rPr>
                    </w:pPr>
                  </w:p>
                </w:tc>
                <w:tc>
                  <w:tcPr>
                    <w:tcW w:w="440" w:type="pct"/>
                    <w:shd w:val="clear" w:color="auto" w:fill="auto"/>
                    <w:vAlign w:val="center"/>
                  </w:tcPr>
                  <w:p>
                    <w:pPr>
                      <w:autoSpaceDE w:val="0"/>
                      <w:autoSpaceDN w:val="0"/>
                      <w:adjustRightInd w:val="0"/>
                      <w:snapToGrid w:val="0"/>
                      <w:jc w:val="right"/>
                      <w:rPr>
                        <w:szCs w:val="21"/>
                      </w:rPr>
                    </w:pPr>
                  </w:p>
                </w:tc>
                <w:tc>
                  <w:tcPr>
                    <w:tcW w:w="989" w:type="pct"/>
                    <w:shd w:val="clear" w:color="auto" w:fill="auto"/>
                    <w:vAlign w:val="center"/>
                  </w:tcPr>
                  <w:p>
                    <w:pPr>
                      <w:autoSpaceDE w:val="0"/>
                      <w:autoSpaceDN w:val="0"/>
                      <w:adjustRightInd w:val="0"/>
                      <w:snapToGrid w:val="0"/>
                      <w:jc w:val="right"/>
                      <w:rPr>
                        <w:szCs w:val="21"/>
                      </w:rPr>
                    </w:pPr>
                    <w:r>
                      <w:t>29,178,454.15</w:t>
                    </w:r>
                  </w:p>
                </w:tc>
              </w:tr>
            </w:sdtContent>
          </w:sdt>
          <w:sdt>
            <w:sdtPr>
              <w:rPr>
                <w:szCs w:val="21"/>
              </w:rPr>
              <w:alias w:val="商誉减值准备明细"/>
              <w:tag w:val="_TUP_d37e114a0e6649c2a767f2004a3d01f8"/>
              <w:id w:val="169125332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9" w:type="pct"/>
                    <w:shd w:val="clear" w:color="auto" w:fill="auto"/>
                  </w:tcPr>
                  <w:p>
                    <w:pPr>
                      <w:autoSpaceDE w:val="0"/>
                      <w:autoSpaceDN w:val="0"/>
                      <w:adjustRightInd w:val="0"/>
                      <w:snapToGrid w:val="0"/>
                      <w:rPr>
                        <w:szCs w:val="21"/>
                      </w:rPr>
                    </w:pPr>
                    <w:r>
                      <w:t>乌拉圭发动机公司ANIKTO   S.A</w:t>
                    </w:r>
                  </w:p>
                </w:tc>
                <w:tc>
                  <w:tcPr>
                    <w:tcW w:w="989" w:type="pct"/>
                    <w:shd w:val="clear" w:color="auto" w:fill="auto"/>
                    <w:vAlign w:val="center"/>
                  </w:tcPr>
                  <w:p>
                    <w:pPr>
                      <w:autoSpaceDE w:val="0"/>
                      <w:autoSpaceDN w:val="0"/>
                      <w:adjustRightInd w:val="0"/>
                      <w:snapToGrid w:val="0"/>
                      <w:jc w:val="right"/>
                      <w:rPr>
                        <w:szCs w:val="21"/>
                      </w:rPr>
                    </w:pPr>
                    <w:r>
                      <w:t>37,982.75</w:t>
                    </w:r>
                  </w:p>
                </w:tc>
                <w:tc>
                  <w:tcPr>
                    <w:tcW w:w="420" w:type="pct"/>
                    <w:shd w:val="clear" w:color="auto" w:fill="auto"/>
                    <w:vAlign w:val="center"/>
                  </w:tcPr>
                  <w:p>
                    <w:pPr>
                      <w:autoSpaceDE w:val="0"/>
                      <w:autoSpaceDN w:val="0"/>
                      <w:adjustRightInd w:val="0"/>
                      <w:snapToGrid w:val="0"/>
                      <w:jc w:val="right"/>
                      <w:rPr>
                        <w:szCs w:val="21"/>
                      </w:rPr>
                    </w:pPr>
                  </w:p>
                </w:tc>
                <w:tc>
                  <w:tcPr>
                    <w:tcW w:w="406" w:type="pct"/>
                    <w:shd w:val="clear" w:color="auto" w:fill="auto"/>
                    <w:vAlign w:val="center"/>
                  </w:tcPr>
                  <w:p>
                    <w:pPr>
                      <w:autoSpaceDE w:val="0"/>
                      <w:autoSpaceDN w:val="0"/>
                      <w:adjustRightInd w:val="0"/>
                      <w:snapToGrid w:val="0"/>
                      <w:jc w:val="right"/>
                      <w:rPr>
                        <w:szCs w:val="21"/>
                      </w:rPr>
                    </w:pPr>
                  </w:p>
                </w:tc>
                <w:tc>
                  <w:tcPr>
                    <w:tcW w:w="927" w:type="pct"/>
                    <w:shd w:val="clear" w:color="auto" w:fill="auto"/>
                    <w:vAlign w:val="center"/>
                  </w:tcPr>
                  <w:p>
                    <w:pPr>
                      <w:autoSpaceDE w:val="0"/>
                      <w:autoSpaceDN w:val="0"/>
                      <w:adjustRightInd w:val="0"/>
                      <w:snapToGrid w:val="0"/>
                      <w:jc w:val="right"/>
                      <w:rPr>
                        <w:szCs w:val="21"/>
                      </w:rPr>
                    </w:pPr>
                  </w:p>
                </w:tc>
                <w:tc>
                  <w:tcPr>
                    <w:tcW w:w="440" w:type="pct"/>
                    <w:shd w:val="clear" w:color="auto" w:fill="auto"/>
                    <w:vAlign w:val="center"/>
                  </w:tcPr>
                  <w:p>
                    <w:pPr>
                      <w:autoSpaceDE w:val="0"/>
                      <w:autoSpaceDN w:val="0"/>
                      <w:adjustRightInd w:val="0"/>
                      <w:snapToGrid w:val="0"/>
                      <w:jc w:val="right"/>
                      <w:rPr>
                        <w:szCs w:val="21"/>
                      </w:rPr>
                    </w:pPr>
                  </w:p>
                </w:tc>
                <w:tc>
                  <w:tcPr>
                    <w:tcW w:w="989" w:type="pct"/>
                    <w:shd w:val="clear" w:color="auto" w:fill="auto"/>
                    <w:vAlign w:val="center"/>
                  </w:tcPr>
                  <w:p>
                    <w:pPr>
                      <w:autoSpaceDE w:val="0"/>
                      <w:autoSpaceDN w:val="0"/>
                      <w:adjustRightInd w:val="0"/>
                      <w:snapToGrid w:val="0"/>
                      <w:jc w:val="right"/>
                      <w:rPr>
                        <w:szCs w:val="21"/>
                      </w:rPr>
                    </w:pPr>
                    <w:r>
                      <w:t>37,982.75</w:t>
                    </w:r>
                  </w:p>
                </w:tc>
              </w:tr>
            </w:sdtContent>
          </w:sdt>
          <w:sdt>
            <w:sdtPr>
              <w:rPr>
                <w:szCs w:val="21"/>
              </w:rPr>
              <w:alias w:val="商誉减值准备明细"/>
              <w:tag w:val="_TUP_d37e114a0e6649c2a767f2004a3d01f8"/>
              <w:id w:val="188952996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9" w:type="pct"/>
                    <w:shd w:val="clear" w:color="auto" w:fill="auto"/>
                  </w:tcPr>
                  <w:p>
                    <w:pPr>
                      <w:autoSpaceDE w:val="0"/>
                      <w:autoSpaceDN w:val="0"/>
                      <w:adjustRightInd w:val="0"/>
                      <w:snapToGrid w:val="0"/>
                      <w:rPr>
                        <w:szCs w:val="21"/>
                      </w:rPr>
                    </w:pPr>
                    <w:r>
                      <w:t>重庆力帆内燃机有限公司</w:t>
                    </w:r>
                  </w:p>
                </w:tc>
                <w:tc>
                  <w:tcPr>
                    <w:tcW w:w="989" w:type="pct"/>
                    <w:shd w:val="clear" w:color="auto" w:fill="auto"/>
                    <w:vAlign w:val="center"/>
                  </w:tcPr>
                  <w:p>
                    <w:pPr>
                      <w:autoSpaceDE w:val="0"/>
                      <w:autoSpaceDN w:val="0"/>
                      <w:adjustRightInd w:val="0"/>
                      <w:snapToGrid w:val="0"/>
                      <w:jc w:val="right"/>
                      <w:rPr>
                        <w:szCs w:val="21"/>
                      </w:rPr>
                    </w:pPr>
                    <w:r>
                      <w:t>11,867,279.04</w:t>
                    </w:r>
                  </w:p>
                </w:tc>
                <w:tc>
                  <w:tcPr>
                    <w:tcW w:w="420" w:type="pct"/>
                    <w:shd w:val="clear" w:color="auto" w:fill="auto"/>
                    <w:vAlign w:val="center"/>
                  </w:tcPr>
                  <w:p>
                    <w:pPr>
                      <w:autoSpaceDE w:val="0"/>
                      <w:autoSpaceDN w:val="0"/>
                      <w:adjustRightInd w:val="0"/>
                      <w:snapToGrid w:val="0"/>
                      <w:jc w:val="right"/>
                      <w:rPr>
                        <w:szCs w:val="21"/>
                      </w:rPr>
                    </w:pPr>
                  </w:p>
                </w:tc>
                <w:tc>
                  <w:tcPr>
                    <w:tcW w:w="406" w:type="pct"/>
                    <w:shd w:val="clear" w:color="auto" w:fill="auto"/>
                    <w:vAlign w:val="center"/>
                  </w:tcPr>
                  <w:p>
                    <w:pPr>
                      <w:autoSpaceDE w:val="0"/>
                      <w:autoSpaceDN w:val="0"/>
                      <w:adjustRightInd w:val="0"/>
                      <w:snapToGrid w:val="0"/>
                      <w:jc w:val="right"/>
                      <w:rPr>
                        <w:szCs w:val="21"/>
                      </w:rPr>
                    </w:pPr>
                  </w:p>
                </w:tc>
                <w:tc>
                  <w:tcPr>
                    <w:tcW w:w="927" w:type="pct"/>
                    <w:shd w:val="clear" w:color="auto" w:fill="auto"/>
                    <w:vAlign w:val="center"/>
                  </w:tcPr>
                  <w:p>
                    <w:pPr>
                      <w:autoSpaceDE w:val="0"/>
                      <w:autoSpaceDN w:val="0"/>
                      <w:adjustRightInd w:val="0"/>
                      <w:snapToGrid w:val="0"/>
                      <w:jc w:val="right"/>
                      <w:rPr>
                        <w:szCs w:val="21"/>
                      </w:rPr>
                    </w:pPr>
                  </w:p>
                </w:tc>
                <w:tc>
                  <w:tcPr>
                    <w:tcW w:w="440" w:type="pct"/>
                    <w:shd w:val="clear" w:color="auto" w:fill="auto"/>
                    <w:vAlign w:val="center"/>
                  </w:tcPr>
                  <w:p>
                    <w:pPr>
                      <w:autoSpaceDE w:val="0"/>
                      <w:autoSpaceDN w:val="0"/>
                      <w:adjustRightInd w:val="0"/>
                      <w:snapToGrid w:val="0"/>
                      <w:jc w:val="right"/>
                      <w:rPr>
                        <w:szCs w:val="21"/>
                      </w:rPr>
                    </w:pPr>
                  </w:p>
                </w:tc>
                <w:tc>
                  <w:tcPr>
                    <w:tcW w:w="989" w:type="pct"/>
                    <w:shd w:val="clear" w:color="auto" w:fill="auto"/>
                    <w:vAlign w:val="center"/>
                  </w:tcPr>
                  <w:p>
                    <w:pPr>
                      <w:autoSpaceDE w:val="0"/>
                      <w:autoSpaceDN w:val="0"/>
                      <w:adjustRightInd w:val="0"/>
                      <w:snapToGrid w:val="0"/>
                      <w:jc w:val="right"/>
                      <w:rPr>
                        <w:szCs w:val="21"/>
                      </w:rPr>
                    </w:pPr>
                    <w:r>
                      <w:t>11,867,279.04</w:t>
                    </w:r>
                  </w:p>
                </w:tc>
              </w:tr>
            </w:sdtContent>
          </w:sdt>
          <w:sdt>
            <w:sdtPr>
              <w:rPr>
                <w:szCs w:val="21"/>
              </w:rPr>
              <w:alias w:val="商誉减值准备明细"/>
              <w:tag w:val="_TUP_d37e114a0e6649c2a767f2004a3d01f8"/>
              <w:id w:val="112596167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9" w:type="pct"/>
                    <w:shd w:val="clear" w:color="auto" w:fill="auto"/>
                  </w:tcPr>
                  <w:p>
                    <w:pPr>
                      <w:autoSpaceDE w:val="0"/>
                      <w:autoSpaceDN w:val="0"/>
                      <w:adjustRightInd w:val="0"/>
                      <w:snapToGrid w:val="0"/>
                      <w:rPr>
                        <w:szCs w:val="21"/>
                      </w:rPr>
                    </w:pPr>
                    <w:r>
                      <w:t>上海新概念出租汽车有限公司</w:t>
                    </w:r>
                  </w:p>
                </w:tc>
                <w:tc>
                  <w:tcPr>
                    <w:tcW w:w="989" w:type="pct"/>
                    <w:shd w:val="clear" w:color="auto" w:fill="auto"/>
                    <w:vAlign w:val="center"/>
                  </w:tcPr>
                  <w:p>
                    <w:pPr>
                      <w:autoSpaceDE w:val="0"/>
                      <w:autoSpaceDN w:val="0"/>
                      <w:adjustRightInd w:val="0"/>
                      <w:snapToGrid w:val="0"/>
                      <w:jc w:val="right"/>
                      <w:rPr>
                        <w:szCs w:val="21"/>
                      </w:rPr>
                    </w:pPr>
                    <w:r>
                      <w:t>10,705,082.93</w:t>
                    </w:r>
                  </w:p>
                </w:tc>
                <w:tc>
                  <w:tcPr>
                    <w:tcW w:w="420" w:type="pct"/>
                    <w:shd w:val="clear" w:color="auto" w:fill="auto"/>
                    <w:vAlign w:val="center"/>
                  </w:tcPr>
                  <w:p>
                    <w:pPr>
                      <w:autoSpaceDE w:val="0"/>
                      <w:autoSpaceDN w:val="0"/>
                      <w:adjustRightInd w:val="0"/>
                      <w:snapToGrid w:val="0"/>
                      <w:jc w:val="right"/>
                      <w:rPr>
                        <w:szCs w:val="21"/>
                      </w:rPr>
                    </w:pPr>
                  </w:p>
                </w:tc>
                <w:tc>
                  <w:tcPr>
                    <w:tcW w:w="406" w:type="pct"/>
                    <w:shd w:val="clear" w:color="auto" w:fill="auto"/>
                    <w:vAlign w:val="center"/>
                  </w:tcPr>
                  <w:p>
                    <w:pPr>
                      <w:autoSpaceDE w:val="0"/>
                      <w:autoSpaceDN w:val="0"/>
                      <w:adjustRightInd w:val="0"/>
                      <w:snapToGrid w:val="0"/>
                      <w:jc w:val="right"/>
                      <w:rPr>
                        <w:szCs w:val="21"/>
                      </w:rPr>
                    </w:pPr>
                  </w:p>
                </w:tc>
                <w:tc>
                  <w:tcPr>
                    <w:tcW w:w="927" w:type="pct"/>
                    <w:shd w:val="clear" w:color="auto" w:fill="auto"/>
                    <w:vAlign w:val="center"/>
                  </w:tcPr>
                  <w:p>
                    <w:pPr>
                      <w:autoSpaceDE w:val="0"/>
                      <w:autoSpaceDN w:val="0"/>
                      <w:adjustRightInd w:val="0"/>
                      <w:snapToGrid w:val="0"/>
                      <w:jc w:val="right"/>
                      <w:rPr>
                        <w:szCs w:val="21"/>
                      </w:rPr>
                    </w:pPr>
                    <w:r>
                      <w:t>10,705,082.93</w:t>
                    </w:r>
                  </w:p>
                </w:tc>
                <w:tc>
                  <w:tcPr>
                    <w:tcW w:w="440" w:type="pct"/>
                    <w:shd w:val="clear" w:color="auto" w:fill="auto"/>
                    <w:vAlign w:val="center"/>
                  </w:tcPr>
                  <w:p>
                    <w:pPr>
                      <w:autoSpaceDE w:val="0"/>
                      <w:autoSpaceDN w:val="0"/>
                      <w:adjustRightInd w:val="0"/>
                      <w:snapToGrid w:val="0"/>
                      <w:jc w:val="right"/>
                      <w:rPr>
                        <w:szCs w:val="21"/>
                      </w:rPr>
                    </w:pPr>
                  </w:p>
                </w:tc>
                <w:tc>
                  <w:tcPr>
                    <w:tcW w:w="989" w:type="pct"/>
                    <w:shd w:val="clear" w:color="auto" w:fill="auto"/>
                    <w:vAlign w:val="center"/>
                  </w:tcPr>
                  <w:p>
                    <w:pPr>
                      <w:autoSpaceDE w:val="0"/>
                      <w:autoSpaceDN w:val="0"/>
                      <w:adjustRightInd w:val="0"/>
                      <w:snapToGrid w:val="0"/>
                      <w:jc w:val="right"/>
                      <w:rPr>
                        <w:szCs w:val="21"/>
                      </w:rPr>
                    </w:pPr>
                  </w:p>
                </w:tc>
              </w:tr>
            </w:sdtContent>
          </w:sdt>
          <w:sdt>
            <w:sdtPr>
              <w:rPr>
                <w:szCs w:val="21"/>
              </w:rPr>
              <w:alias w:val="商誉减值准备明细"/>
              <w:tag w:val="_TUP_d37e114a0e6649c2a767f2004a3d01f8"/>
              <w:id w:val="127482697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829" w:type="pct"/>
                    <w:shd w:val="clear" w:color="auto" w:fill="auto"/>
                  </w:tcPr>
                  <w:p>
                    <w:pPr>
                      <w:autoSpaceDE w:val="0"/>
                      <w:autoSpaceDN w:val="0"/>
                      <w:adjustRightInd w:val="0"/>
                      <w:snapToGrid w:val="0"/>
                      <w:rPr>
                        <w:szCs w:val="21"/>
                      </w:rPr>
                    </w:pPr>
                    <w:r>
                      <w:t>重庆无线绿洲通信技术有限公司</w:t>
                    </w:r>
                  </w:p>
                </w:tc>
                <w:tc>
                  <w:tcPr>
                    <w:tcW w:w="989" w:type="pct"/>
                    <w:shd w:val="clear" w:color="auto" w:fill="auto"/>
                    <w:vAlign w:val="center"/>
                  </w:tcPr>
                  <w:p>
                    <w:pPr>
                      <w:autoSpaceDE w:val="0"/>
                      <w:autoSpaceDN w:val="0"/>
                      <w:adjustRightInd w:val="0"/>
                      <w:snapToGrid w:val="0"/>
                      <w:jc w:val="right"/>
                      <w:rPr>
                        <w:szCs w:val="21"/>
                      </w:rPr>
                    </w:pPr>
                    <w:r>
                      <w:t>304,436,913.82</w:t>
                    </w:r>
                  </w:p>
                </w:tc>
                <w:tc>
                  <w:tcPr>
                    <w:tcW w:w="420" w:type="pct"/>
                    <w:shd w:val="clear" w:color="auto" w:fill="auto"/>
                    <w:vAlign w:val="center"/>
                  </w:tcPr>
                  <w:p>
                    <w:pPr>
                      <w:autoSpaceDE w:val="0"/>
                      <w:autoSpaceDN w:val="0"/>
                      <w:adjustRightInd w:val="0"/>
                      <w:snapToGrid w:val="0"/>
                      <w:jc w:val="right"/>
                      <w:rPr>
                        <w:szCs w:val="21"/>
                      </w:rPr>
                    </w:pPr>
                  </w:p>
                </w:tc>
                <w:tc>
                  <w:tcPr>
                    <w:tcW w:w="406" w:type="pct"/>
                    <w:shd w:val="clear" w:color="auto" w:fill="auto"/>
                    <w:vAlign w:val="center"/>
                  </w:tcPr>
                  <w:p>
                    <w:pPr>
                      <w:autoSpaceDE w:val="0"/>
                      <w:autoSpaceDN w:val="0"/>
                      <w:adjustRightInd w:val="0"/>
                      <w:snapToGrid w:val="0"/>
                      <w:jc w:val="right"/>
                      <w:rPr>
                        <w:szCs w:val="21"/>
                      </w:rPr>
                    </w:pPr>
                  </w:p>
                </w:tc>
                <w:tc>
                  <w:tcPr>
                    <w:tcW w:w="927" w:type="pct"/>
                    <w:shd w:val="clear" w:color="auto" w:fill="auto"/>
                    <w:vAlign w:val="center"/>
                  </w:tcPr>
                  <w:p>
                    <w:pPr>
                      <w:autoSpaceDE w:val="0"/>
                      <w:autoSpaceDN w:val="0"/>
                      <w:adjustRightInd w:val="0"/>
                      <w:snapToGrid w:val="0"/>
                      <w:jc w:val="right"/>
                      <w:rPr>
                        <w:szCs w:val="21"/>
                      </w:rPr>
                    </w:pPr>
                  </w:p>
                </w:tc>
                <w:tc>
                  <w:tcPr>
                    <w:tcW w:w="440" w:type="pct"/>
                    <w:shd w:val="clear" w:color="auto" w:fill="auto"/>
                    <w:vAlign w:val="center"/>
                  </w:tcPr>
                  <w:p>
                    <w:pPr>
                      <w:autoSpaceDE w:val="0"/>
                      <w:autoSpaceDN w:val="0"/>
                      <w:adjustRightInd w:val="0"/>
                      <w:snapToGrid w:val="0"/>
                      <w:jc w:val="right"/>
                      <w:rPr>
                        <w:szCs w:val="21"/>
                      </w:rPr>
                    </w:pPr>
                  </w:p>
                </w:tc>
                <w:tc>
                  <w:tcPr>
                    <w:tcW w:w="989" w:type="pct"/>
                    <w:shd w:val="clear" w:color="auto" w:fill="auto"/>
                    <w:vAlign w:val="center"/>
                  </w:tcPr>
                  <w:p>
                    <w:pPr>
                      <w:autoSpaceDE w:val="0"/>
                      <w:autoSpaceDN w:val="0"/>
                      <w:adjustRightInd w:val="0"/>
                      <w:snapToGrid w:val="0"/>
                      <w:jc w:val="right"/>
                      <w:rPr>
                        <w:szCs w:val="21"/>
                      </w:rPr>
                    </w:pPr>
                    <w:r>
                      <w:t>304,436,913.82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sdt>
              <w:sdtPr>
                <w:tag w:val="_PLD_f745c6a175e34a8dbcb334c50e840038"/>
                <w:id w:val="-1582829385"/>
                <w:lock w:val="sdtLocked"/>
              </w:sdtPr>
              <w:sdtContent>
                <w:tc>
                  <w:tcPr>
                    <w:tcW w:w="829" w:type="pct"/>
                    <w:shd w:val="clear" w:color="auto" w:fill="auto"/>
                    <w:vAlign w:val="center"/>
                  </w:tcPr>
                  <w:p>
                    <w:pPr>
                      <w:autoSpaceDE w:val="0"/>
                      <w:autoSpaceDN w:val="0"/>
                      <w:adjustRightInd w:val="0"/>
                      <w:snapToGrid w:val="0"/>
                      <w:jc w:val="center"/>
                      <w:rPr>
                        <w:szCs w:val="21"/>
                        <w:u w:val="double"/>
                      </w:rPr>
                    </w:pPr>
                    <w:r>
                      <w:rPr>
                        <w:rFonts w:hint="eastAsia"/>
                        <w:szCs w:val="21"/>
                      </w:rPr>
                      <w:t>合计</w:t>
                    </w:r>
                  </w:p>
                </w:tc>
              </w:sdtContent>
            </w:sdt>
            <w:tc>
              <w:tcPr>
                <w:tcW w:w="989" w:type="pct"/>
                <w:shd w:val="clear" w:color="auto" w:fill="auto"/>
                <w:vAlign w:val="center"/>
              </w:tcPr>
              <w:p>
                <w:pPr>
                  <w:jc w:val="right"/>
                  <w:rPr>
                    <w:sz w:val="24"/>
                  </w:rPr>
                </w:pPr>
                <w:r>
                  <w:t>358,225,712.69</w:t>
                </w:r>
              </w:p>
            </w:tc>
            <w:tc>
              <w:tcPr>
                <w:tcW w:w="420" w:type="pct"/>
                <w:shd w:val="clear" w:color="auto" w:fill="auto"/>
                <w:vAlign w:val="center"/>
              </w:tcPr>
              <w:p>
                <w:pPr>
                  <w:jc w:val="right"/>
                  <w:rPr>
                    <w:sz w:val="24"/>
                  </w:rPr>
                </w:pPr>
              </w:p>
            </w:tc>
            <w:tc>
              <w:tcPr>
                <w:tcW w:w="406" w:type="pct"/>
                <w:shd w:val="clear" w:color="auto" w:fill="auto"/>
                <w:vAlign w:val="center"/>
              </w:tcPr>
              <w:p>
                <w:pPr>
                  <w:jc w:val="right"/>
                  <w:rPr>
                    <w:sz w:val="24"/>
                  </w:rPr>
                </w:pPr>
              </w:p>
            </w:tc>
            <w:tc>
              <w:tcPr>
                <w:tcW w:w="927" w:type="pct"/>
                <w:shd w:val="clear" w:color="auto" w:fill="auto"/>
                <w:vAlign w:val="center"/>
              </w:tcPr>
              <w:p>
                <w:pPr>
                  <w:jc w:val="right"/>
                  <w:rPr>
                    <w:sz w:val="24"/>
                  </w:rPr>
                </w:pPr>
                <w:r>
                  <w:rPr>
                    <w:rFonts w:hint="eastAsia"/>
                  </w:rPr>
                  <w:t>10,705,082.93</w:t>
                </w:r>
              </w:p>
            </w:tc>
            <w:tc>
              <w:tcPr>
                <w:tcW w:w="440" w:type="pct"/>
                <w:shd w:val="clear" w:color="auto" w:fill="auto"/>
                <w:vAlign w:val="center"/>
              </w:tcPr>
              <w:p>
                <w:pPr>
                  <w:jc w:val="right"/>
                  <w:rPr>
                    <w:sz w:val="24"/>
                  </w:rPr>
                </w:pPr>
              </w:p>
            </w:tc>
            <w:tc>
              <w:tcPr>
                <w:tcW w:w="989" w:type="pct"/>
                <w:shd w:val="clear" w:color="auto" w:fill="auto"/>
                <w:vAlign w:val="center"/>
              </w:tcPr>
              <w:p>
                <w:pPr>
                  <w:jc w:val="right"/>
                  <w:rPr>
                    <w:sz w:val="24"/>
                  </w:rPr>
                </w:pPr>
                <w:r>
                  <w:t>347,520,629.76</w:t>
                </w:r>
              </w:p>
            </w:tc>
          </w:tr>
        </w:tbl>
        <w:p/>
        <w:p>
          <w:pPr>
            <w:pStyle w:val="214"/>
            <w:numPr>
              <w:ilvl w:val="3"/>
              <w:numId w:val="93"/>
            </w:numPr>
            <w:spacing w:before="0" w:after="0" w:line="360" w:lineRule="auto"/>
            <w:ind w:left="424" w:hanging="424" w:hangingChars="201"/>
          </w:pPr>
          <w:r>
            <w:rPr>
              <w:rFonts w:hint="eastAsia"/>
            </w:rPr>
            <w:t>商誉所在资产组或资产组组合的相关信息</w:t>
          </w:r>
        </w:p>
        <w:sdt>
          <w:sdtPr>
            <w:alias w:val="是否适用：商誉所在资产组或资产组组合的相关信息[双击切换]"/>
            <w:tag w:val="_GBC_9f9bd4d9cf084d4594694aa545981d14"/>
            <w:id w:val="306673524"/>
            <w:lock w:val="sdtLocked"/>
            <w:placeholder>
              <w:docPart w:val="GBC22222222222222222222222222222"/>
            </w:placeholder>
          </w:sdtPr>
          <w:sdtContent>
            <w:p>
              <w:pPr>
                <w:spacing w:line="360" w:lineRule="auto"/>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rPr>
              <w:rFonts w:cs="Times New Roman"/>
              <w:kern w:val="2"/>
              <w:szCs w:val="21"/>
            </w:rPr>
            <w:alias w:val="商誉所在资产组或资产组组合的相关信息"/>
            <w:tag w:val="_GBC_d540451a44004e2eb93cec5d8156d58b"/>
            <w:id w:val="-418023522"/>
            <w:lock w:val="sdtLocked"/>
            <w:placeholder>
              <w:docPart w:val="GBC22222222222222222222222222222"/>
            </w:placeholder>
          </w:sdtPr>
          <w:sdtEndPr>
            <w:rPr>
              <w:rFonts w:cs="Times New Roman"/>
              <w:kern w:val="2"/>
              <w:szCs w:val="21"/>
            </w:rPr>
          </w:sdtEndPr>
          <w:sdtContent>
            <w:p>
              <w:pPr>
                <w:spacing w:line="360" w:lineRule="auto"/>
              </w:pPr>
              <w:r>
                <w:rPr>
                  <w:rFonts w:hint="eastAsia"/>
                </w:rPr>
                <w:t>重庆润田房地产开发有限公司商誉所在资产组为存货、投资性房地产。</w:t>
              </w:r>
            </w:p>
            <w:p>
              <w:pPr>
                <w:pStyle w:val="276"/>
                <w:widowControl w:val="0"/>
                <w:tabs>
                  <w:tab w:val="left" w:pos="196"/>
                  <w:tab w:val="left" w:pos="426"/>
                </w:tabs>
                <w:spacing w:line="360" w:lineRule="auto"/>
                <w:ind w:left="0" w:leftChars="0" w:firstLine="420" w:firstLineChars="200"/>
                <w:jc w:val="both"/>
              </w:pPr>
            </w:p>
          </w:sdtContent>
        </w:sdt>
        <w:p>
          <w:pPr>
            <w:pStyle w:val="214"/>
            <w:numPr>
              <w:ilvl w:val="3"/>
              <w:numId w:val="93"/>
            </w:numPr>
            <w:spacing w:before="0" w:after="0" w:line="360" w:lineRule="auto"/>
            <w:ind w:left="424" w:hanging="424" w:hangingChars="201"/>
          </w:pPr>
          <w:r>
            <w:rPr>
              <w:rFonts w:hint="eastAsia"/>
            </w:rPr>
            <w:t>说明商誉减值测试过程、关键参数（例如预计未来现金流量现值时的预测期增长率、稳定期增长率、利润率、折现率、预测期等，如适用）及商誉减值损失的确认方法</w:t>
          </w:r>
        </w:p>
        <w:sdt>
          <w:sdtPr>
            <w:alias w:val="是否适用：说明商誉减值测试过程、参数及商誉减值损失的确认方法[双击切换]"/>
            <w:tag w:val="_GBC_538215f0e019491d8a00405b6ad9554f"/>
            <w:id w:val="1120567179"/>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宋体"/>
              <w:kern w:val="0"/>
              <w:szCs w:val="24"/>
            </w:rPr>
            <w:alias w:val="商誉的说明"/>
            <w:tag w:val="_GBC_f7e726246cb744668218aa3e519baa11"/>
            <w:id w:val="1264810240"/>
            <w:lock w:val="sdtLocked"/>
            <w:placeholder>
              <w:docPart w:val="GBC22222222222222222222222222222"/>
            </w:placeholder>
          </w:sdtPr>
          <w:sdtEndPr>
            <w:rPr>
              <w:rFonts w:cs="Times New Roman"/>
              <w:kern w:val="2"/>
              <w:szCs w:val="21"/>
            </w:rPr>
          </w:sdtEndPr>
          <w:sdtContent>
            <w:p>
              <w:pPr>
                <w:pStyle w:val="284"/>
                <w:widowControl w:val="0"/>
                <w:tabs>
                  <w:tab w:val="left" w:pos="196"/>
                  <w:tab w:val="left" w:pos="426"/>
                </w:tabs>
                <w:spacing w:line="360" w:lineRule="auto"/>
                <w:ind w:left="0" w:leftChars="0" w:firstLine="420" w:firstLineChars="200"/>
                <w:jc w:val="both"/>
              </w:pPr>
              <w:r>
                <w:rPr>
                  <w:rFonts w:hint="eastAsia"/>
                </w:rPr>
                <w:t>重庆润田房地产开发有限公司商誉减值按照包含商誉资产组预计未来现金流量的现值与包含商誉资产组账面价值差额计算。对存货采用假设开发法估计其未来现金流量，折现利率1</w:t>
              </w:r>
              <w:r>
                <w:t>4.67</w:t>
              </w:r>
              <w:r>
                <w:rPr>
                  <w:rFonts w:hint="eastAsia"/>
                </w:rPr>
                <w:t>%；对投资性房地产采用收益法估计其未来现金流量，租金的年增长率为3%，空置率为5%，折现利率6%。</w:t>
              </w:r>
            </w:p>
            <w:p>
              <w:pPr>
                <w:pStyle w:val="284"/>
                <w:widowControl w:val="0"/>
                <w:spacing w:line="360" w:lineRule="auto"/>
                <w:ind w:left="0" w:leftChars="0" w:firstLine="420" w:firstLineChars="200"/>
                <w:jc w:val="both"/>
              </w:pPr>
            </w:p>
          </w:sdtContent>
        </w:sdt>
        <w:p>
          <w:pPr>
            <w:pStyle w:val="214"/>
            <w:numPr>
              <w:ilvl w:val="3"/>
              <w:numId w:val="93"/>
            </w:numPr>
            <w:spacing w:before="0" w:after="0" w:line="360" w:lineRule="auto"/>
            <w:ind w:left="426" w:hanging="426"/>
            <w:rPr>
              <w:szCs w:val="21"/>
            </w:rPr>
          </w:pPr>
          <w:r>
            <w:rPr>
              <w:rFonts w:hint="eastAsia"/>
              <w:szCs w:val="21"/>
            </w:rPr>
            <w:t>商誉减值测试的影响</w:t>
          </w:r>
        </w:p>
        <w:sdt>
          <w:sdtPr>
            <w:rPr>
              <w:szCs w:val="21"/>
            </w:rPr>
            <w:alias w:val="是否适用：商誉减值测试的影响[双击切换]"/>
            <w:tag w:val="_GBC_6e248399119945f99696928d9d08c459"/>
            <w:id w:val="1185716934"/>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p>
          <w:pPr>
            <w:spacing w:line="360" w:lineRule="auto"/>
          </w:pPr>
          <w:r>
            <w:rPr>
              <w:rFonts w:hint="eastAsia"/>
            </w:rPr>
            <w:t>其他说明</w:t>
          </w:r>
        </w:p>
        <w:sdt>
          <w:sdtPr>
            <w:alias w:val="是否适用：商誉其他需要说明的事项[双击切换]"/>
            <w:tag w:val="_GBC_99f8ebd0cb464294bea4051ad19cf581"/>
            <w:id w:val="216558347"/>
            <w:lock w:val="sdtLocked"/>
            <w:placeholder>
              <w:docPart w:val="GBC22222222222222222222222222222"/>
            </w:placeholder>
          </w:sdtPr>
          <w:sdtContent>
            <w:p>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rPr>
              <w:rFonts w:cstheme="minorBidi"/>
              <w:kern w:val="2"/>
              <w:szCs w:val="21"/>
            </w:rPr>
          </w:pPr>
        </w:p>
      </w:sdtContent>
    </w:sdt>
    <w:sdt>
      <w:sdtPr>
        <w:rPr>
          <w:rFonts w:hint="eastAsia" w:ascii="宋体" w:hAnsi="宋体" w:cs="宋体"/>
          <w:b w:val="0"/>
          <w:bCs w:val="0"/>
          <w:kern w:val="0"/>
          <w:szCs w:val="21"/>
        </w:rPr>
        <w:alias w:val="模块:长期待摊费用"/>
        <w:tag w:val="_SEC_a4ccbe4057b4410cb2b998d6b11165cd"/>
        <w:id w:val="1727030557"/>
        <w:lock w:val="sdtLocked"/>
        <w:placeholder>
          <w:docPart w:val="GBC22222222222222222222222222222"/>
        </w:placeholder>
      </w:sdtPr>
      <w:sdtEndPr>
        <w:rPr>
          <w:rFonts w:hint="default" w:ascii="宋体" w:hAnsi="宋体" w:cstheme="minorBidi"/>
          <w:b w:val="0"/>
          <w:bCs w:val="0"/>
          <w:kern w:val="2"/>
          <w:szCs w:val="21"/>
        </w:rPr>
      </w:sdtEndPr>
      <w:sdtContent>
        <w:p>
          <w:pPr>
            <w:pStyle w:val="213"/>
            <w:numPr>
              <w:ilvl w:val="0"/>
              <w:numId w:val="77"/>
            </w:numPr>
            <w:tabs>
              <w:tab w:val="left" w:pos="504"/>
            </w:tabs>
            <w:rPr>
              <w:rFonts w:ascii="宋体" w:hAnsi="宋体"/>
              <w:szCs w:val="21"/>
            </w:rPr>
          </w:pPr>
          <w:r>
            <w:rPr>
              <w:rFonts w:hint="eastAsia" w:ascii="宋体" w:hAnsi="宋体"/>
              <w:szCs w:val="21"/>
            </w:rPr>
            <w:t>长期待摊费用</w:t>
          </w:r>
        </w:p>
        <w:sdt>
          <w:sdtPr>
            <w:alias w:val="是否适用：长期待摊费用[双击切换]"/>
            <w:tag w:val="_GBC_cbcb541b65cd4be6b93f357c0fdd9f09"/>
            <w:id w:val="3678945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待摊费用"/>
              <w:tag w:val="_GBC_bcda40ca2da04d5da4a9e3293430f9ac"/>
              <w:id w:val="-176121982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6375679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1"/>
            <w:gridCol w:w="1476"/>
            <w:gridCol w:w="1378"/>
            <w:gridCol w:w="1476"/>
            <w:gridCol w:w="1400"/>
            <w:gridCol w:w="14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0e367624f544f28430d4fa9dc10540"/>
                <w:id w:val="1918207142"/>
                <w:lock w:val="sdtLocked"/>
              </w:sdtPr>
              <w:sdtContent>
                <w:tc>
                  <w:tcPr>
                    <w:tcW w:w="800" w:type="pct"/>
                  </w:tcPr>
                  <w:p>
                    <w:pPr>
                      <w:widowControl w:val="0"/>
                      <w:jc w:val="center"/>
                      <w:rPr>
                        <w:szCs w:val="21"/>
                      </w:rPr>
                    </w:pPr>
                    <w:r>
                      <w:rPr>
                        <w:rFonts w:hint="eastAsia"/>
                        <w:szCs w:val="21"/>
                      </w:rPr>
                      <w:t>项目</w:t>
                    </w:r>
                  </w:p>
                </w:tc>
              </w:sdtContent>
            </w:sdt>
            <w:sdt>
              <w:sdtPr>
                <w:tag w:val="_PLD_e9e93178bf6e4ae6b25e934d80cadf90"/>
                <w:id w:val="1107617277"/>
                <w:lock w:val="sdtLocked"/>
              </w:sdtPr>
              <w:sdtContent>
                <w:tc>
                  <w:tcPr>
                    <w:tcW w:w="827" w:type="pct"/>
                  </w:tcPr>
                  <w:p>
                    <w:pPr>
                      <w:widowControl w:val="0"/>
                      <w:jc w:val="center"/>
                      <w:rPr>
                        <w:szCs w:val="21"/>
                      </w:rPr>
                    </w:pPr>
                    <w:r>
                      <w:rPr>
                        <w:rFonts w:hint="eastAsia"/>
                        <w:szCs w:val="21"/>
                      </w:rPr>
                      <w:t>期初余额</w:t>
                    </w:r>
                  </w:p>
                </w:tc>
              </w:sdtContent>
            </w:sdt>
            <w:sdt>
              <w:sdtPr>
                <w:tag w:val="_PLD_b0304019406b49bba87fd5d26e9e77a3"/>
                <w:id w:val="-2017446264"/>
                <w:lock w:val="sdtLocked"/>
              </w:sdtPr>
              <w:sdtContent>
                <w:tc>
                  <w:tcPr>
                    <w:tcW w:w="827" w:type="pct"/>
                  </w:tcPr>
                  <w:p>
                    <w:pPr>
                      <w:widowControl w:val="0"/>
                      <w:jc w:val="center"/>
                      <w:rPr>
                        <w:szCs w:val="21"/>
                      </w:rPr>
                    </w:pPr>
                    <w:r>
                      <w:rPr>
                        <w:rFonts w:hint="eastAsia"/>
                        <w:szCs w:val="21"/>
                      </w:rPr>
                      <w:t>本期增加金额</w:t>
                    </w:r>
                  </w:p>
                </w:tc>
              </w:sdtContent>
            </w:sdt>
            <w:sdt>
              <w:sdtPr>
                <w:tag w:val="_PLD_e1350bea96cf4f45a6200cab08f11722"/>
                <w:id w:val="1515110791"/>
                <w:lock w:val="sdtLocked"/>
              </w:sdtPr>
              <w:sdtContent>
                <w:tc>
                  <w:tcPr>
                    <w:tcW w:w="827" w:type="pct"/>
                  </w:tcPr>
                  <w:p>
                    <w:pPr>
                      <w:widowControl w:val="0"/>
                      <w:jc w:val="center"/>
                      <w:rPr>
                        <w:szCs w:val="21"/>
                      </w:rPr>
                    </w:pPr>
                    <w:r>
                      <w:rPr>
                        <w:rFonts w:hint="eastAsia"/>
                        <w:szCs w:val="21"/>
                      </w:rPr>
                      <w:t>本期摊销金额</w:t>
                    </w:r>
                  </w:p>
                </w:tc>
              </w:sdtContent>
            </w:sdt>
            <w:sdt>
              <w:sdtPr>
                <w:tag w:val="_PLD_dd7c0d5ab3334691b3e0047d34ecb634"/>
                <w:id w:val="-783268621"/>
                <w:lock w:val="sdtLocked"/>
              </w:sdtPr>
              <w:sdtContent>
                <w:tc>
                  <w:tcPr>
                    <w:tcW w:w="840" w:type="pct"/>
                  </w:tcPr>
                  <w:p>
                    <w:pPr>
                      <w:widowControl w:val="0"/>
                      <w:jc w:val="center"/>
                      <w:rPr>
                        <w:szCs w:val="21"/>
                      </w:rPr>
                    </w:pPr>
                    <w:r>
                      <w:rPr>
                        <w:rFonts w:hint="eastAsia"/>
                        <w:szCs w:val="21"/>
                      </w:rPr>
                      <w:t>其他减少金额</w:t>
                    </w:r>
                  </w:p>
                </w:tc>
              </w:sdtContent>
            </w:sdt>
            <w:sdt>
              <w:sdtPr>
                <w:tag w:val="_PLD_3ab32d124e7942f1b1f82c0287c9220f"/>
                <w:id w:val="1950584417"/>
                <w:lock w:val="sdtLocked"/>
              </w:sdtPr>
              <w:sdtContent>
                <w:tc>
                  <w:tcPr>
                    <w:tcW w:w="879" w:type="pct"/>
                  </w:tcPr>
                  <w:p>
                    <w:pPr>
                      <w:widowControl w:val="0"/>
                      <w:jc w:val="center"/>
                      <w:rPr>
                        <w:szCs w:val="21"/>
                      </w:rPr>
                    </w:pPr>
                    <w:r>
                      <w:rPr>
                        <w:rFonts w:hint="eastAsia"/>
                        <w:szCs w:val="21"/>
                      </w:rPr>
                      <w:t>期末余额</w:t>
                    </w:r>
                  </w:p>
                </w:tc>
              </w:sdtContent>
            </w:sdt>
          </w:tr>
          <w:sdt>
            <w:sdtPr>
              <w:rPr>
                <w:rFonts w:hint="eastAsia" w:asciiTheme="minorHAnsi" w:hAnsiTheme="minorHAnsi" w:eastAsiaTheme="minorEastAsia" w:cstheme="minorBidi"/>
                <w:kern w:val="2"/>
                <w:szCs w:val="21"/>
              </w:rPr>
              <w:alias w:val="长期待摊费用明细"/>
              <w:tag w:val="_TUP_969d22a473614010ab4861b5a43a6426"/>
              <w:id w:val="208502791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0" w:type="pct"/>
                  </w:tcPr>
                  <w:p>
                    <w:pPr>
                      <w:widowControl w:val="0"/>
                      <w:jc w:val="center"/>
                      <w:rPr>
                        <w:szCs w:val="21"/>
                      </w:rPr>
                    </w:pPr>
                    <w:r>
                      <w:t>装修费</w:t>
                    </w:r>
                  </w:p>
                </w:tc>
                <w:tc>
                  <w:tcPr>
                    <w:tcW w:w="827" w:type="pct"/>
                  </w:tcPr>
                  <w:p>
                    <w:pPr>
                      <w:widowControl w:val="0"/>
                      <w:jc w:val="right"/>
                      <w:rPr>
                        <w:szCs w:val="21"/>
                      </w:rPr>
                    </w:pPr>
                    <w:r>
                      <w:t>3,133,097.35</w:t>
                    </w:r>
                  </w:p>
                </w:tc>
                <w:tc>
                  <w:tcPr>
                    <w:tcW w:w="827" w:type="pct"/>
                  </w:tcPr>
                  <w:p>
                    <w:pPr>
                      <w:widowControl w:val="0"/>
                      <w:jc w:val="right"/>
                      <w:rPr>
                        <w:szCs w:val="21"/>
                      </w:rPr>
                    </w:pPr>
                  </w:p>
                </w:tc>
                <w:tc>
                  <w:tcPr>
                    <w:tcW w:w="827" w:type="pct"/>
                  </w:tcPr>
                  <w:p>
                    <w:pPr>
                      <w:widowControl w:val="0"/>
                      <w:jc w:val="right"/>
                      <w:rPr>
                        <w:szCs w:val="21"/>
                      </w:rPr>
                    </w:pPr>
                    <w:r>
                      <w:t>3,133,097.35</w:t>
                    </w:r>
                  </w:p>
                </w:tc>
                <w:tc>
                  <w:tcPr>
                    <w:tcW w:w="840" w:type="pct"/>
                  </w:tcPr>
                  <w:p>
                    <w:pPr>
                      <w:widowControl w:val="0"/>
                      <w:jc w:val="right"/>
                      <w:rPr>
                        <w:szCs w:val="21"/>
                      </w:rPr>
                    </w:pPr>
                  </w:p>
                </w:tc>
                <w:tc>
                  <w:tcPr>
                    <w:tcW w:w="879" w:type="pct"/>
                  </w:tcPr>
                  <w:p>
                    <w:pPr>
                      <w:widowControl w:val="0"/>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85142c73eaf41d992f4f52a1502d9a8"/>
                <w:id w:val="1211845831"/>
                <w:lock w:val="sdtLocked"/>
              </w:sdtPr>
              <w:sdtContent>
                <w:tc>
                  <w:tcPr>
                    <w:tcW w:w="800" w:type="pct"/>
                  </w:tcPr>
                  <w:p>
                    <w:pPr>
                      <w:widowControl w:val="0"/>
                      <w:jc w:val="center"/>
                      <w:rPr>
                        <w:szCs w:val="21"/>
                      </w:rPr>
                    </w:pPr>
                    <w:r>
                      <w:rPr>
                        <w:rFonts w:hint="eastAsia"/>
                        <w:szCs w:val="21"/>
                      </w:rPr>
                      <w:t>合计</w:t>
                    </w:r>
                  </w:p>
                </w:tc>
              </w:sdtContent>
            </w:sdt>
            <w:tc>
              <w:tcPr>
                <w:tcW w:w="827" w:type="pct"/>
                <w:vAlign w:val="center"/>
              </w:tcPr>
              <w:p>
                <w:pPr>
                  <w:widowControl w:val="0"/>
                  <w:jc w:val="both"/>
                  <w:rPr>
                    <w:sz w:val="24"/>
                  </w:rPr>
                </w:pPr>
                <w:r>
                  <w:t>3,133,097.35</w:t>
                </w:r>
              </w:p>
            </w:tc>
            <w:tc>
              <w:tcPr>
                <w:tcW w:w="827" w:type="pct"/>
                <w:vAlign w:val="center"/>
              </w:tcPr>
              <w:p>
                <w:pPr>
                  <w:widowControl w:val="0"/>
                  <w:jc w:val="both"/>
                  <w:rPr>
                    <w:sz w:val="24"/>
                  </w:rPr>
                </w:pPr>
              </w:p>
            </w:tc>
            <w:tc>
              <w:tcPr>
                <w:tcW w:w="827" w:type="pct"/>
                <w:vAlign w:val="center"/>
              </w:tcPr>
              <w:p>
                <w:pPr>
                  <w:widowControl w:val="0"/>
                  <w:jc w:val="both"/>
                  <w:rPr>
                    <w:sz w:val="24"/>
                  </w:rPr>
                </w:pPr>
                <w:r>
                  <w:t>3,133,097.35</w:t>
                </w:r>
              </w:p>
            </w:tc>
            <w:tc>
              <w:tcPr>
                <w:tcW w:w="840" w:type="pct"/>
              </w:tcPr>
              <w:p>
                <w:pPr>
                  <w:widowControl w:val="0"/>
                  <w:jc w:val="right"/>
                  <w:rPr>
                    <w:szCs w:val="21"/>
                  </w:rPr>
                </w:pPr>
              </w:p>
            </w:tc>
            <w:tc>
              <w:tcPr>
                <w:tcW w:w="879" w:type="pct"/>
              </w:tcPr>
              <w:p>
                <w:pPr>
                  <w:widowControl w:val="0"/>
                  <w:jc w:val="right"/>
                  <w:rPr>
                    <w:szCs w:val="21"/>
                  </w:rPr>
                </w:pPr>
              </w:p>
            </w:tc>
          </w:tr>
        </w:tbl>
        <w:p/>
        <w:p>
          <w:pPr>
            <w:rPr>
              <w:szCs w:val="21"/>
            </w:rPr>
          </w:pPr>
          <w:r>
            <w:rPr>
              <w:rFonts w:hint="eastAsia"/>
              <w:szCs w:val="21"/>
            </w:rPr>
            <w:t>其他说明：</w:t>
          </w:r>
        </w:p>
        <w:sdt>
          <w:sdtPr>
            <w:rPr>
              <w:szCs w:val="21"/>
            </w:rPr>
            <w:alias w:val="长期待摊费用的说明"/>
            <w:tag w:val="_GBC_c30bd5dcf50e4808a29b1b204a96f4c2"/>
            <w:id w:val="-1099640008"/>
            <w:lock w:val="sdtLocked"/>
          </w:sdtPr>
          <w:sdtEndPr>
            <w:rPr>
              <w:szCs w:val="21"/>
            </w:rPr>
          </w:sdtEndPr>
          <w:sdtContent>
            <w:p>
              <w:r>
                <w:rPr>
                  <w:rFonts w:hint="eastAsia"/>
                  <w:szCs w:val="21"/>
                </w:rPr>
                <w:t>无</w:t>
              </w:r>
            </w:p>
          </w:sdtContent>
        </w:sdt>
        <w:p>
          <w:pPr>
            <w:rPr>
              <w:szCs w:val="21"/>
            </w:rPr>
          </w:pPr>
        </w:p>
      </w:sdtContent>
    </w:sdt>
    <w:p>
      <w:pPr>
        <w:pStyle w:val="213"/>
        <w:numPr>
          <w:ilvl w:val="0"/>
          <w:numId w:val="77"/>
        </w:numPr>
        <w:tabs>
          <w:tab w:val="left" w:pos="504"/>
        </w:tabs>
        <w:rPr>
          <w:rFonts w:ascii="宋体" w:hAnsi="宋体"/>
          <w:szCs w:val="21"/>
        </w:rPr>
      </w:pPr>
      <w:r>
        <w:rPr>
          <w:rFonts w:hint="eastAsia" w:ascii="宋体" w:hAnsi="宋体"/>
          <w:szCs w:val="21"/>
        </w:rPr>
        <w:t>递延所得税资产/ 递延所得税负债</w:t>
      </w:r>
    </w:p>
    <w:sdt>
      <w:sdtPr>
        <w:rPr>
          <w:rFonts w:hint="eastAsia" w:ascii="宋体" w:hAnsi="宋体" w:eastAsia="宋体" w:cs="宋体"/>
          <w:b w:val="0"/>
          <w:bCs w:val="0"/>
          <w:kern w:val="0"/>
          <w:szCs w:val="21"/>
        </w:rPr>
        <w:alias w:val="模块:递延所得税资产和递延所得税负债不以抵销后的净额列示"/>
        <w:tag w:val="_SEC_c648f0f0efdc4d4c85ff3f48a55f50ee"/>
        <w:id w:val="1842049141"/>
        <w:lock w:val="sdtLocked"/>
        <w:placeholder>
          <w:docPart w:val="GBC22222222222222222222222222222"/>
        </w:placeholder>
      </w:sdtPr>
      <w:sdtEndPr>
        <w:rPr>
          <w:rFonts w:hint="eastAsia" w:ascii="宋体" w:hAnsi="宋体" w:eastAsia="宋体" w:cstheme="minorBidi"/>
          <w:b w:val="0"/>
          <w:bCs w:val="0"/>
          <w:kern w:val="2"/>
          <w:szCs w:val="21"/>
        </w:rPr>
      </w:sdtEndPr>
      <w:sdtContent>
        <w:p>
          <w:pPr>
            <w:pStyle w:val="5"/>
            <w:numPr>
              <w:ilvl w:val="0"/>
              <w:numId w:val="94"/>
            </w:numPr>
            <w:ind w:left="426" w:hanging="426"/>
          </w:pPr>
          <w:bookmarkStart w:id="187" w:name="_Toc215903151"/>
          <w:bookmarkEnd w:id="187"/>
          <w:bookmarkStart w:id="188" w:name="_Hlk24103450"/>
          <w:r>
            <w:rPr>
              <w:rFonts w:hint="eastAsia"/>
            </w:rPr>
            <w:t>未经抵销的递延所得税资产</w:t>
          </w:r>
        </w:p>
        <w:sdt>
          <w:sdtPr>
            <w:alias w:val="是否适用：未经抵销的递延所得税资产[双击切换]"/>
            <w:tag w:val="_GBC_ba4415ee4af24efe852073192d94c115"/>
            <w:id w:val="-350335824"/>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1896"/>
            <w:gridCol w:w="1686"/>
            <w:gridCol w:w="1896"/>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006c9e7b70844cd8ef6f2cbb5161589"/>
                <w:id w:val="31776551"/>
                <w:lock w:val="sdtLocked"/>
              </w:sdtPr>
              <w:sdtContent>
                <w:tc>
                  <w:tcPr>
                    <w:tcW w:w="1350" w:type="pct"/>
                    <w:vMerge w:val="restart"/>
                    <w:shd w:val="clear" w:color="auto" w:fill="auto"/>
                    <w:vAlign w:val="center"/>
                  </w:tcPr>
                  <w:p>
                    <w:pPr>
                      <w:jc w:val="center"/>
                      <w:rPr>
                        <w:szCs w:val="21"/>
                      </w:rPr>
                    </w:pPr>
                    <w:r>
                      <w:rPr>
                        <w:rFonts w:hint="eastAsia"/>
                        <w:szCs w:val="21"/>
                      </w:rPr>
                      <w:t>项目</w:t>
                    </w:r>
                  </w:p>
                </w:tc>
              </w:sdtContent>
            </w:sdt>
            <w:sdt>
              <w:sdtPr>
                <w:tag w:val="_PLD_9380d941020241f39819205f4df8c355"/>
                <w:id w:val="31776552"/>
                <w:lock w:val="sdtLocked"/>
              </w:sdtPr>
              <w:sdtContent>
                <w:tc>
                  <w:tcPr>
                    <w:tcW w:w="1822" w:type="pct"/>
                    <w:gridSpan w:val="2"/>
                    <w:shd w:val="clear" w:color="auto" w:fill="auto"/>
                    <w:vAlign w:val="center"/>
                  </w:tcPr>
                  <w:p>
                    <w:pPr>
                      <w:jc w:val="center"/>
                      <w:rPr>
                        <w:szCs w:val="21"/>
                      </w:rPr>
                    </w:pPr>
                    <w:r>
                      <w:rPr>
                        <w:rFonts w:hint="eastAsia"/>
                        <w:szCs w:val="21"/>
                      </w:rPr>
                      <w:t>期末余额</w:t>
                    </w:r>
                  </w:p>
                </w:tc>
              </w:sdtContent>
            </w:sdt>
            <w:sdt>
              <w:sdtPr>
                <w:tag w:val="_PLD_40d587838e534f37a8f9a9e7e2020671"/>
                <w:id w:val="31776553"/>
                <w:lock w:val="sdtLocked"/>
              </w:sdtPr>
              <w:sdtContent>
                <w:tc>
                  <w:tcPr>
                    <w:tcW w:w="1828" w:type="pct"/>
                    <w:gridSpan w:val="2"/>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vMerge w:val="continue"/>
                <w:shd w:val="clear" w:color="auto" w:fill="auto"/>
                <w:vAlign w:val="center"/>
              </w:tcPr>
              <w:p>
                <w:pPr>
                  <w:jc w:val="center"/>
                  <w:rPr>
                    <w:b/>
                    <w:szCs w:val="21"/>
                  </w:rPr>
                </w:pPr>
              </w:p>
            </w:tc>
            <w:sdt>
              <w:sdtPr>
                <w:tag w:val="_PLD_c239006a5e6040d58bedd94ab36e9784"/>
                <w:id w:val="31776554"/>
                <w:lock w:val="sdtLocked"/>
              </w:sdtPr>
              <w:sdtContent>
                <w:tc>
                  <w:tcPr>
                    <w:tcW w:w="912" w:type="pct"/>
                    <w:shd w:val="clear" w:color="auto" w:fill="auto"/>
                    <w:vAlign w:val="center"/>
                  </w:tcPr>
                  <w:p>
                    <w:pPr>
                      <w:jc w:val="center"/>
                      <w:rPr>
                        <w:szCs w:val="21"/>
                      </w:rPr>
                    </w:pPr>
                    <w:r>
                      <w:rPr>
                        <w:rFonts w:hint="eastAsia"/>
                        <w:szCs w:val="21"/>
                      </w:rPr>
                      <w:t>可抵扣暂时性差异</w:t>
                    </w:r>
                  </w:p>
                </w:tc>
              </w:sdtContent>
            </w:sdt>
            <w:sdt>
              <w:sdtPr>
                <w:tag w:val="_PLD_1559717fc58743e19a1e868ac528fbc0"/>
                <w:id w:val="31776555"/>
                <w:lock w:val="sdtLocked"/>
              </w:sdtPr>
              <w:sdtContent>
                <w:tc>
                  <w:tcPr>
                    <w:tcW w:w="910"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sdt>
              <w:sdtPr>
                <w:tag w:val="_PLD_de171afb73ff474dbccc47c2cec6d4f1"/>
                <w:id w:val="31776556"/>
                <w:lock w:val="sdtLocked"/>
              </w:sdtPr>
              <w:sdtContent>
                <w:tc>
                  <w:tcPr>
                    <w:tcW w:w="919" w:type="pct"/>
                    <w:shd w:val="clear" w:color="auto" w:fill="auto"/>
                    <w:vAlign w:val="center"/>
                  </w:tcPr>
                  <w:p>
                    <w:pPr>
                      <w:jc w:val="center"/>
                      <w:rPr>
                        <w:szCs w:val="21"/>
                      </w:rPr>
                    </w:pPr>
                    <w:r>
                      <w:rPr>
                        <w:rFonts w:hint="eastAsia"/>
                        <w:szCs w:val="21"/>
                      </w:rPr>
                      <w:t>可抵扣暂时性差异</w:t>
                    </w:r>
                  </w:p>
                </w:tc>
              </w:sdtContent>
            </w:sdt>
            <w:sdt>
              <w:sdtPr>
                <w:tag w:val="_PLD_bafc90864e7347e5bb50ec31a5dffe05"/>
                <w:id w:val="31776557"/>
                <w:lock w:val="sdtLocked"/>
              </w:sdtPr>
              <w:sdtContent>
                <w:tc>
                  <w:tcPr>
                    <w:tcW w:w="909"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资产</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a9dd5d10d8174be9a4f6ad53ac178647"/>
                <w:id w:val="31776558"/>
                <w:lock w:val="sdtLocked"/>
              </w:sdtPr>
              <w:sdtContent>
                <w:tc>
                  <w:tcPr>
                    <w:tcW w:w="1350" w:type="pct"/>
                    <w:shd w:val="clear" w:color="auto" w:fill="auto"/>
                    <w:vAlign w:val="center"/>
                  </w:tcPr>
                  <w:p>
                    <w:pPr>
                      <w:jc w:val="both"/>
                      <w:rPr>
                        <w:szCs w:val="21"/>
                      </w:rPr>
                    </w:pPr>
                    <w:r>
                      <w:rPr>
                        <w:rFonts w:hint="eastAsia"/>
                        <w:szCs w:val="21"/>
                      </w:rPr>
                      <w:t>资产减值准备</w:t>
                    </w:r>
                  </w:p>
                </w:tc>
              </w:sdtContent>
            </w:sdt>
            <w:tc>
              <w:tcPr>
                <w:tcW w:w="912" w:type="pct"/>
                <w:shd w:val="clear" w:color="auto" w:fill="auto"/>
                <w:vAlign w:val="center"/>
              </w:tcPr>
              <w:p>
                <w:pPr>
                  <w:jc w:val="right"/>
                  <w:rPr>
                    <w:szCs w:val="21"/>
                  </w:rPr>
                </w:pPr>
                <w:r>
                  <w:t>3,323,898,772.49</w:t>
                </w:r>
              </w:p>
            </w:tc>
            <w:tc>
              <w:tcPr>
                <w:tcW w:w="910" w:type="pct"/>
                <w:shd w:val="clear" w:color="auto" w:fill="auto"/>
                <w:vAlign w:val="center"/>
              </w:tcPr>
              <w:p>
                <w:pPr>
                  <w:jc w:val="right"/>
                  <w:rPr>
                    <w:szCs w:val="21"/>
                  </w:rPr>
                </w:pPr>
                <w:r>
                  <w:t>499,839,746.69</w:t>
                </w:r>
              </w:p>
            </w:tc>
            <w:tc>
              <w:tcPr>
                <w:tcW w:w="919" w:type="pct"/>
                <w:shd w:val="clear" w:color="auto" w:fill="auto"/>
                <w:vAlign w:val="center"/>
              </w:tcPr>
              <w:p>
                <w:pPr>
                  <w:jc w:val="right"/>
                  <w:rPr>
                    <w:szCs w:val="21"/>
                  </w:rPr>
                </w:pPr>
                <w:r>
                  <w:t>4,453,385,344.42</w:t>
                </w:r>
              </w:p>
            </w:tc>
            <w:tc>
              <w:tcPr>
                <w:tcW w:w="909" w:type="pct"/>
                <w:shd w:val="clear" w:color="auto" w:fill="auto"/>
                <w:vAlign w:val="center"/>
              </w:tcPr>
              <w:p>
                <w:pPr>
                  <w:jc w:val="right"/>
                  <w:rPr>
                    <w:szCs w:val="21"/>
                  </w:rPr>
                </w:pPr>
                <w:r>
                  <w:t>672,861,827.41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d888a9019bdb4ec39459c5bfe650b183"/>
                <w:id w:val="31776559"/>
                <w:lock w:val="sdtLocked"/>
              </w:sdtPr>
              <w:sdtContent>
                <w:tc>
                  <w:tcPr>
                    <w:tcW w:w="1350" w:type="pct"/>
                    <w:shd w:val="clear" w:color="auto" w:fill="auto"/>
                    <w:vAlign w:val="center"/>
                  </w:tcPr>
                  <w:p>
                    <w:pPr>
                      <w:jc w:val="both"/>
                      <w:rPr>
                        <w:szCs w:val="21"/>
                      </w:rPr>
                    </w:pPr>
                    <w:r>
                      <w:rPr>
                        <w:rFonts w:hint="eastAsia"/>
                        <w:szCs w:val="21"/>
                      </w:rPr>
                      <w:t>内部交易未实现利润</w:t>
                    </w:r>
                  </w:p>
                </w:tc>
              </w:sdtContent>
            </w:sdt>
            <w:tc>
              <w:tcPr>
                <w:tcW w:w="912" w:type="pct"/>
                <w:shd w:val="clear" w:color="auto" w:fill="auto"/>
                <w:vAlign w:val="center"/>
              </w:tcPr>
              <w:p>
                <w:pPr>
                  <w:jc w:val="right"/>
                  <w:rPr>
                    <w:szCs w:val="21"/>
                  </w:rPr>
                </w:pPr>
                <w:r>
                  <w:t>13,031,762.47</w:t>
                </w:r>
              </w:p>
            </w:tc>
            <w:tc>
              <w:tcPr>
                <w:tcW w:w="910" w:type="pct"/>
                <w:shd w:val="clear" w:color="auto" w:fill="auto"/>
                <w:vAlign w:val="center"/>
              </w:tcPr>
              <w:p>
                <w:pPr>
                  <w:jc w:val="right"/>
                  <w:rPr>
                    <w:szCs w:val="21"/>
                  </w:rPr>
                </w:pPr>
                <w:r>
                  <w:t>2,358,960.30</w:t>
                </w:r>
              </w:p>
            </w:tc>
            <w:tc>
              <w:tcPr>
                <w:tcW w:w="919" w:type="pct"/>
                <w:shd w:val="clear" w:color="auto" w:fill="auto"/>
                <w:vAlign w:val="center"/>
              </w:tcPr>
              <w:p>
                <w:pPr>
                  <w:jc w:val="right"/>
                  <w:rPr>
                    <w:szCs w:val="21"/>
                  </w:rPr>
                </w:pPr>
                <w:r>
                  <w:t>2,964,116.12</w:t>
                </w:r>
              </w:p>
            </w:tc>
            <w:tc>
              <w:tcPr>
                <w:tcW w:w="909" w:type="pct"/>
                <w:shd w:val="clear" w:color="auto" w:fill="auto"/>
                <w:vAlign w:val="center"/>
              </w:tcPr>
              <w:p>
                <w:pPr>
                  <w:jc w:val="right"/>
                  <w:rPr>
                    <w:szCs w:val="21"/>
                  </w:rPr>
                </w:pPr>
                <w:r>
                  <w:t>444,617.42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412e3f8d0e1642ae9adf17341ca2fd4f"/>
                <w:id w:val="31776560"/>
                <w:lock w:val="sdtLocked"/>
              </w:sdtPr>
              <w:sdtContent>
                <w:tc>
                  <w:tcPr>
                    <w:tcW w:w="1350" w:type="pct"/>
                    <w:tcBorders>
                      <w:bottom w:val="single" w:color="auto" w:sz="4" w:space="0"/>
                    </w:tcBorders>
                    <w:shd w:val="clear" w:color="auto" w:fill="auto"/>
                    <w:vAlign w:val="center"/>
                  </w:tcPr>
                  <w:p>
                    <w:pPr>
                      <w:jc w:val="both"/>
                      <w:rPr>
                        <w:szCs w:val="21"/>
                      </w:rPr>
                    </w:pPr>
                    <w:r>
                      <w:rPr>
                        <w:rFonts w:hint="eastAsia"/>
                        <w:szCs w:val="21"/>
                      </w:rPr>
                      <w:t>可抵扣亏损</w:t>
                    </w:r>
                  </w:p>
                </w:tc>
              </w:sdtContent>
            </w:sdt>
            <w:tc>
              <w:tcPr>
                <w:tcW w:w="912" w:type="pct"/>
                <w:shd w:val="clear" w:color="auto" w:fill="auto"/>
                <w:vAlign w:val="center"/>
              </w:tcPr>
              <w:p>
                <w:pPr>
                  <w:jc w:val="right"/>
                  <w:rPr>
                    <w:szCs w:val="21"/>
                  </w:rPr>
                </w:pPr>
                <w:r>
                  <w:t>2,486,116,831.91</w:t>
                </w:r>
              </w:p>
            </w:tc>
            <w:tc>
              <w:tcPr>
                <w:tcW w:w="910" w:type="pct"/>
                <w:shd w:val="clear" w:color="auto" w:fill="auto"/>
                <w:vAlign w:val="center"/>
              </w:tcPr>
              <w:p>
                <w:pPr>
                  <w:jc w:val="right"/>
                  <w:rPr>
                    <w:szCs w:val="21"/>
                  </w:rPr>
                </w:pPr>
                <w:r>
                  <w:t>374,937,139.30</w:t>
                </w:r>
              </w:p>
            </w:tc>
            <w:tc>
              <w:tcPr>
                <w:tcW w:w="919" w:type="pct"/>
                <w:shd w:val="clear" w:color="auto" w:fill="auto"/>
                <w:vAlign w:val="center"/>
              </w:tcPr>
              <w:p>
                <w:pPr>
                  <w:jc w:val="right"/>
                  <w:rPr>
                    <w:szCs w:val="21"/>
                  </w:rPr>
                </w:pPr>
                <w:r>
                  <w:t>1,270,501,079.86</w:t>
                </w:r>
              </w:p>
            </w:tc>
            <w:tc>
              <w:tcPr>
                <w:tcW w:w="909" w:type="pct"/>
                <w:shd w:val="clear" w:color="auto" w:fill="auto"/>
                <w:vAlign w:val="center"/>
              </w:tcPr>
              <w:p>
                <w:pPr>
                  <w:jc w:val="right"/>
                  <w:rPr>
                    <w:szCs w:val="21"/>
                  </w:rPr>
                </w:pPr>
                <w:r>
                  <w:t>193,012,285.11</w:t>
                </w:r>
              </w:p>
            </w:tc>
          </w:tr>
          <w:sdt>
            <w:sdtPr>
              <w:rPr>
                <w:szCs w:val="21"/>
              </w:rPr>
              <w:alias w:val="递延所得税资产明细"/>
              <w:tag w:val="_TUP_703575bf8b6048788dc624e748111109"/>
              <w:id w:val="3177656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jc w:val="both"/>
                      <w:rPr>
                        <w:szCs w:val="21"/>
                      </w:rPr>
                    </w:pPr>
                    <w:r>
                      <w:t>预计负债</w:t>
                    </w:r>
                  </w:p>
                </w:tc>
                <w:tc>
                  <w:tcPr>
                    <w:tcW w:w="912" w:type="pct"/>
                    <w:shd w:val="clear" w:color="auto" w:fill="auto"/>
                    <w:vAlign w:val="center"/>
                  </w:tcPr>
                  <w:p>
                    <w:pPr>
                      <w:jc w:val="right"/>
                      <w:rPr>
                        <w:szCs w:val="21"/>
                      </w:rPr>
                    </w:pPr>
                    <w:r>
                      <w:t>49,991,125.58</w:t>
                    </w:r>
                  </w:p>
                </w:tc>
                <w:tc>
                  <w:tcPr>
                    <w:tcW w:w="910" w:type="pct"/>
                    <w:shd w:val="clear" w:color="auto" w:fill="auto"/>
                    <w:vAlign w:val="center"/>
                  </w:tcPr>
                  <w:p>
                    <w:pPr>
                      <w:jc w:val="right"/>
                      <w:rPr>
                        <w:szCs w:val="21"/>
                      </w:rPr>
                    </w:pPr>
                    <w:r>
                      <w:t>7,498,668.84</w:t>
                    </w:r>
                  </w:p>
                </w:tc>
                <w:tc>
                  <w:tcPr>
                    <w:tcW w:w="919" w:type="pct"/>
                    <w:shd w:val="clear" w:color="auto" w:fill="auto"/>
                    <w:vAlign w:val="center"/>
                  </w:tcPr>
                  <w:p>
                    <w:pPr>
                      <w:jc w:val="right"/>
                      <w:rPr>
                        <w:szCs w:val="21"/>
                      </w:rPr>
                    </w:pPr>
                    <w:r>
                      <w:t>56,108,573.00</w:t>
                    </w:r>
                  </w:p>
                </w:tc>
                <w:tc>
                  <w:tcPr>
                    <w:tcW w:w="909" w:type="pct"/>
                    <w:shd w:val="clear" w:color="auto" w:fill="auto"/>
                    <w:vAlign w:val="center"/>
                  </w:tcPr>
                  <w:p>
                    <w:pPr>
                      <w:jc w:val="right"/>
                      <w:rPr>
                        <w:szCs w:val="21"/>
                      </w:rPr>
                    </w:pPr>
                    <w:r>
                      <w:t>8,416,285.95</w:t>
                    </w:r>
                  </w:p>
                </w:tc>
              </w:tr>
            </w:sdtContent>
          </w:sdt>
          <w:sdt>
            <w:sdtPr>
              <w:rPr>
                <w:szCs w:val="21"/>
              </w:rPr>
              <w:alias w:val="递延所得税资产明细"/>
              <w:tag w:val="_TUP_703575bf8b6048788dc624e748111109"/>
              <w:id w:val="3177656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350" w:type="pct"/>
                    <w:shd w:val="clear" w:color="auto" w:fill="auto"/>
                    <w:vAlign w:val="center"/>
                  </w:tcPr>
                  <w:p>
                    <w:pPr>
                      <w:jc w:val="both"/>
                      <w:rPr>
                        <w:szCs w:val="21"/>
                      </w:rPr>
                    </w:pPr>
                    <w:r>
                      <w:t>其他权益工具投资公允价值变动</w:t>
                    </w:r>
                  </w:p>
                </w:tc>
                <w:tc>
                  <w:tcPr>
                    <w:tcW w:w="912" w:type="pct"/>
                    <w:shd w:val="clear" w:color="auto" w:fill="auto"/>
                    <w:vAlign w:val="center"/>
                  </w:tcPr>
                  <w:p>
                    <w:pPr>
                      <w:jc w:val="right"/>
                      <w:rPr>
                        <w:szCs w:val="21"/>
                      </w:rPr>
                    </w:pPr>
                  </w:p>
                </w:tc>
                <w:tc>
                  <w:tcPr>
                    <w:tcW w:w="910" w:type="pct"/>
                    <w:shd w:val="clear" w:color="auto" w:fill="auto"/>
                    <w:vAlign w:val="center"/>
                  </w:tcPr>
                  <w:p>
                    <w:pPr>
                      <w:jc w:val="right"/>
                      <w:rPr>
                        <w:szCs w:val="21"/>
                      </w:rPr>
                    </w:pPr>
                  </w:p>
                </w:tc>
                <w:tc>
                  <w:tcPr>
                    <w:tcW w:w="919" w:type="pct"/>
                    <w:shd w:val="clear" w:color="auto" w:fill="auto"/>
                    <w:vAlign w:val="center"/>
                  </w:tcPr>
                  <w:p>
                    <w:pPr>
                      <w:jc w:val="right"/>
                      <w:rPr>
                        <w:szCs w:val="21"/>
                      </w:rPr>
                    </w:pPr>
                    <w:r>
                      <w:t>15,750,000.00</w:t>
                    </w:r>
                  </w:p>
                </w:tc>
                <w:tc>
                  <w:tcPr>
                    <w:tcW w:w="909" w:type="pct"/>
                    <w:shd w:val="clear" w:color="auto" w:fill="auto"/>
                    <w:vAlign w:val="center"/>
                  </w:tcPr>
                  <w:p>
                    <w:pPr>
                      <w:jc w:val="right"/>
                      <w:rPr>
                        <w:szCs w:val="21"/>
                      </w:rPr>
                    </w:pPr>
                    <w:r>
                      <w:t>2,362,500.00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6fc9224998ff4043b5f3c058cb2e9971"/>
                <w:id w:val="31776563"/>
                <w:lock w:val="sdtLocked"/>
              </w:sdtPr>
              <w:sdtContent>
                <w:tc>
                  <w:tcPr>
                    <w:tcW w:w="1350" w:type="pct"/>
                    <w:shd w:val="clear" w:color="auto" w:fill="auto"/>
                    <w:vAlign w:val="center"/>
                  </w:tcPr>
                  <w:p>
                    <w:pPr>
                      <w:jc w:val="center"/>
                      <w:rPr>
                        <w:szCs w:val="21"/>
                      </w:rPr>
                    </w:pPr>
                    <w:r>
                      <w:rPr>
                        <w:rFonts w:hint="eastAsia"/>
                        <w:szCs w:val="21"/>
                      </w:rPr>
                      <w:t>合计</w:t>
                    </w:r>
                  </w:p>
                </w:tc>
              </w:sdtContent>
            </w:sdt>
            <w:tc>
              <w:tcPr>
                <w:tcW w:w="912" w:type="pct"/>
                <w:shd w:val="clear" w:color="auto" w:fill="auto"/>
              </w:tcPr>
              <w:p>
                <w:pPr>
                  <w:jc w:val="right"/>
                  <w:rPr>
                    <w:szCs w:val="21"/>
                  </w:rPr>
                </w:pPr>
                <w:r>
                  <w:t>5,873,038,492.45</w:t>
                </w:r>
              </w:p>
            </w:tc>
            <w:tc>
              <w:tcPr>
                <w:tcW w:w="910" w:type="pct"/>
                <w:shd w:val="clear" w:color="auto" w:fill="auto"/>
              </w:tcPr>
              <w:p>
                <w:pPr>
                  <w:jc w:val="right"/>
                  <w:rPr>
                    <w:szCs w:val="21"/>
                  </w:rPr>
                </w:pPr>
                <w:r>
                  <w:t>884,634,515.13</w:t>
                </w:r>
              </w:p>
            </w:tc>
            <w:tc>
              <w:tcPr>
                <w:tcW w:w="919" w:type="pct"/>
                <w:shd w:val="clear" w:color="auto" w:fill="auto"/>
              </w:tcPr>
              <w:p>
                <w:pPr>
                  <w:jc w:val="right"/>
                  <w:rPr>
                    <w:szCs w:val="21"/>
                  </w:rPr>
                </w:pPr>
                <w:r>
                  <w:t>5,798,709,113.40</w:t>
                </w:r>
              </w:p>
            </w:tc>
            <w:tc>
              <w:tcPr>
                <w:tcW w:w="909" w:type="pct"/>
                <w:shd w:val="clear" w:color="auto" w:fill="auto"/>
              </w:tcPr>
              <w:p>
                <w:pPr>
                  <w:jc w:val="right"/>
                  <w:rPr>
                    <w:szCs w:val="21"/>
                  </w:rPr>
                </w:pPr>
                <w:r>
                  <w:t>877,097,515.89</w:t>
                </w:r>
              </w:p>
            </w:tc>
          </w:tr>
        </w:tbl>
        <w:p/>
        <w:p>
          <w:pPr>
            <w:pStyle w:val="5"/>
            <w:numPr>
              <w:ilvl w:val="0"/>
              <w:numId w:val="94"/>
            </w:numPr>
            <w:ind w:left="426" w:hanging="426"/>
          </w:pPr>
          <w:r>
            <w:rPr>
              <w:rFonts w:hint="eastAsia"/>
            </w:rPr>
            <w:t>未经抵销的递延所得税负债</w:t>
          </w:r>
        </w:p>
        <w:p>
          <w:sdt>
            <w:sdtPr>
              <w:alias w:val="是否适用：未经抵销的递延所得税负债[双击切换]"/>
              <w:tag w:val="_GBC_e7d8f83d611d4464afa60fcd4c2b0690"/>
              <w:id w:val="1396550404"/>
              <w:lock w:val="sdtLocked"/>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未经抵销的递延所得税负债"/>
              <w:tag w:val="_GBC_20c1fd2b551d429d888a1c48c5ee9c5a"/>
              <w:id w:val="290627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896"/>
            <w:gridCol w:w="1686"/>
            <w:gridCol w:w="1896"/>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9bdb30dce784b4a9efd1b5efd6964fb"/>
                <w:id w:val="31775935"/>
                <w:lock w:val="sdtLocked"/>
              </w:sdtPr>
              <w:sdtContent>
                <w:tc>
                  <w:tcPr>
                    <w:tcW w:w="800" w:type="pct"/>
                    <w:vMerge w:val="restart"/>
                    <w:shd w:val="clear" w:color="auto" w:fill="auto"/>
                    <w:vAlign w:val="center"/>
                  </w:tcPr>
                  <w:p>
                    <w:pPr>
                      <w:jc w:val="center"/>
                      <w:rPr>
                        <w:szCs w:val="21"/>
                      </w:rPr>
                    </w:pPr>
                    <w:r>
                      <w:rPr>
                        <w:rFonts w:hint="eastAsia"/>
                        <w:szCs w:val="21"/>
                      </w:rPr>
                      <w:t>项目</w:t>
                    </w:r>
                  </w:p>
                </w:tc>
              </w:sdtContent>
            </w:sdt>
            <w:sdt>
              <w:sdtPr>
                <w:tag w:val="_PLD_600f3752c404468197724275bf44cd43"/>
                <w:id w:val="31775936"/>
                <w:lock w:val="sdtLocked"/>
              </w:sdtPr>
              <w:sdtContent>
                <w:tc>
                  <w:tcPr>
                    <w:tcW w:w="2100" w:type="pct"/>
                    <w:gridSpan w:val="2"/>
                    <w:shd w:val="clear" w:color="auto" w:fill="auto"/>
                    <w:vAlign w:val="center"/>
                  </w:tcPr>
                  <w:p>
                    <w:pPr>
                      <w:jc w:val="center"/>
                      <w:rPr>
                        <w:szCs w:val="21"/>
                      </w:rPr>
                    </w:pPr>
                    <w:r>
                      <w:rPr>
                        <w:rFonts w:hint="eastAsia"/>
                        <w:szCs w:val="21"/>
                      </w:rPr>
                      <w:t>期末余额</w:t>
                    </w:r>
                  </w:p>
                </w:tc>
              </w:sdtContent>
            </w:sdt>
            <w:sdt>
              <w:sdtPr>
                <w:tag w:val="_PLD_7e4b2554e2544865b74424edbdb55d4b"/>
                <w:id w:val="31775937"/>
                <w:lock w:val="sdtLocked"/>
              </w:sdtPr>
              <w:sdtContent>
                <w:tc>
                  <w:tcPr>
                    <w:tcW w:w="2100" w:type="pct"/>
                    <w:gridSpan w:val="2"/>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0" w:type="pct"/>
                <w:vMerge w:val="continue"/>
                <w:shd w:val="clear" w:color="auto" w:fill="auto"/>
                <w:vAlign w:val="center"/>
              </w:tcPr>
              <w:p>
                <w:pPr>
                  <w:jc w:val="center"/>
                  <w:rPr>
                    <w:b/>
                    <w:szCs w:val="21"/>
                  </w:rPr>
                </w:pPr>
              </w:p>
            </w:tc>
            <w:sdt>
              <w:sdtPr>
                <w:tag w:val="_PLD_2db432e06e184a41a8eb727ebb64ec40"/>
                <w:id w:val="31775938"/>
                <w:lock w:val="sdtLocked"/>
              </w:sdtPr>
              <w:sdtContent>
                <w:tc>
                  <w:tcPr>
                    <w:tcW w:w="1112" w:type="pct"/>
                    <w:shd w:val="clear" w:color="auto" w:fill="auto"/>
                    <w:vAlign w:val="center"/>
                  </w:tcPr>
                  <w:p>
                    <w:pPr>
                      <w:jc w:val="center"/>
                      <w:rPr>
                        <w:szCs w:val="21"/>
                      </w:rPr>
                    </w:pPr>
                    <w:r>
                      <w:rPr>
                        <w:rFonts w:hint="eastAsia" w:ascii="Arial" w:hAnsi="Arial"/>
                        <w:szCs w:val="21"/>
                      </w:rPr>
                      <w:t>应纳税暂时性差异</w:t>
                    </w:r>
                  </w:p>
                </w:tc>
              </w:sdtContent>
            </w:sdt>
            <w:sdt>
              <w:sdtPr>
                <w:tag w:val="_PLD_b3dd3e66f628452aab8284dc189a458b"/>
                <w:id w:val="31775939"/>
                <w:lock w:val="sdtLocked"/>
              </w:sdtPr>
              <w:sdtContent>
                <w:tc>
                  <w:tcPr>
                    <w:tcW w:w="989"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sdt>
              <w:sdtPr>
                <w:tag w:val="_PLD_3e69493cf6a2462eab1eaf8ece87a89d"/>
                <w:id w:val="31775940"/>
                <w:lock w:val="sdtLocked"/>
              </w:sdtPr>
              <w:sdtContent>
                <w:tc>
                  <w:tcPr>
                    <w:tcW w:w="1112" w:type="pct"/>
                    <w:shd w:val="clear" w:color="auto" w:fill="auto"/>
                    <w:vAlign w:val="center"/>
                  </w:tcPr>
                  <w:p>
                    <w:pPr>
                      <w:jc w:val="center"/>
                      <w:rPr>
                        <w:szCs w:val="21"/>
                      </w:rPr>
                    </w:pPr>
                    <w:r>
                      <w:rPr>
                        <w:rFonts w:hint="eastAsia" w:ascii="Arial" w:hAnsi="Arial"/>
                        <w:szCs w:val="21"/>
                      </w:rPr>
                      <w:t>应纳税暂时性差异</w:t>
                    </w:r>
                  </w:p>
                </w:tc>
              </w:sdtContent>
            </w:sdt>
            <w:sdt>
              <w:sdtPr>
                <w:tag w:val="_PLD_ad4c3389a4a04a96990ace5203f3adbb"/>
                <w:id w:val="31775941"/>
                <w:lock w:val="sdtLocked"/>
              </w:sdtPr>
              <w:sdtContent>
                <w:tc>
                  <w:tcPr>
                    <w:tcW w:w="989" w:type="pct"/>
                    <w:shd w:val="clear" w:color="auto" w:fill="auto"/>
                    <w:vAlign w:val="center"/>
                  </w:tcPr>
                  <w:p>
                    <w:pPr>
                      <w:jc w:val="center"/>
                      <w:rPr>
                        <w:szCs w:val="21"/>
                      </w:rPr>
                    </w:pPr>
                    <w:r>
                      <w:rPr>
                        <w:rFonts w:hint="eastAsia"/>
                        <w:szCs w:val="21"/>
                      </w:rPr>
                      <w:t>递延所得税</w:t>
                    </w:r>
                  </w:p>
                  <w:p>
                    <w:pPr>
                      <w:jc w:val="center"/>
                      <w:rPr>
                        <w:szCs w:val="21"/>
                      </w:rPr>
                    </w:pPr>
                    <w:r>
                      <w:rPr>
                        <w:rFonts w:hint="eastAsia"/>
                        <w:szCs w:val="21"/>
                      </w:rPr>
                      <w:t>负债</w:t>
                    </w:r>
                  </w:p>
                </w:tc>
              </w:sdtContent>
            </w:sdt>
          </w:tr>
          <w:sdt>
            <w:sdtPr>
              <w:rPr>
                <w:szCs w:val="21"/>
              </w:rPr>
              <w:alias w:val="递延所得税负债明细"/>
              <w:tag w:val="_TUP_8036f0bdcd3a43a38ae605c99228b929"/>
              <w:id w:val="3177594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0" w:type="pct"/>
                    <w:shd w:val="clear" w:color="auto" w:fill="auto"/>
                    <w:vAlign w:val="center"/>
                  </w:tcPr>
                  <w:p>
                    <w:pPr>
                      <w:rPr>
                        <w:szCs w:val="21"/>
                      </w:rPr>
                    </w:pPr>
                    <w:r>
                      <w:t>投资成本小于被购买股权可辨认净资产公允价值的差额</w:t>
                    </w:r>
                  </w:p>
                </w:tc>
                <w:tc>
                  <w:tcPr>
                    <w:tcW w:w="1112" w:type="pct"/>
                    <w:shd w:val="clear" w:color="auto" w:fill="auto"/>
                    <w:vAlign w:val="center"/>
                  </w:tcPr>
                  <w:p>
                    <w:pPr>
                      <w:jc w:val="right"/>
                      <w:rPr>
                        <w:szCs w:val="21"/>
                      </w:rPr>
                    </w:pPr>
                    <w:r>
                      <w:t>40,070,292.33</w:t>
                    </w:r>
                  </w:p>
                </w:tc>
                <w:tc>
                  <w:tcPr>
                    <w:tcW w:w="989" w:type="pct"/>
                    <w:shd w:val="clear" w:color="auto" w:fill="auto"/>
                    <w:vAlign w:val="center"/>
                  </w:tcPr>
                  <w:p>
                    <w:pPr>
                      <w:jc w:val="right"/>
                      <w:rPr>
                        <w:szCs w:val="21"/>
                      </w:rPr>
                    </w:pPr>
                    <w:r>
                      <w:t>6,010,543.85</w:t>
                    </w:r>
                  </w:p>
                </w:tc>
                <w:tc>
                  <w:tcPr>
                    <w:tcW w:w="1112" w:type="pct"/>
                    <w:shd w:val="clear" w:color="auto" w:fill="auto"/>
                    <w:vAlign w:val="center"/>
                  </w:tcPr>
                  <w:p>
                    <w:pPr>
                      <w:jc w:val="right"/>
                      <w:rPr>
                        <w:szCs w:val="21"/>
                      </w:rPr>
                    </w:pPr>
                    <w:r>
                      <w:t>40,070,292.33</w:t>
                    </w:r>
                  </w:p>
                </w:tc>
                <w:tc>
                  <w:tcPr>
                    <w:tcW w:w="989" w:type="pct"/>
                    <w:shd w:val="clear" w:color="auto" w:fill="auto"/>
                    <w:vAlign w:val="center"/>
                  </w:tcPr>
                  <w:p>
                    <w:pPr>
                      <w:jc w:val="right"/>
                      <w:rPr>
                        <w:szCs w:val="21"/>
                      </w:rPr>
                    </w:pPr>
                    <w:r>
                      <w:t>6,010,543.85</w:t>
                    </w:r>
                  </w:p>
                </w:tc>
              </w:tr>
            </w:sdtContent>
          </w:sdt>
          <w:sdt>
            <w:sdtPr>
              <w:rPr>
                <w:szCs w:val="21"/>
              </w:rPr>
              <w:alias w:val="递延所得税负债明细"/>
              <w:tag w:val="_TUP_8036f0bdcd3a43a38ae605c99228b929"/>
              <w:id w:val="3177594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0" w:type="pct"/>
                    <w:shd w:val="clear" w:color="auto" w:fill="auto"/>
                    <w:vAlign w:val="center"/>
                  </w:tcPr>
                  <w:p>
                    <w:pPr>
                      <w:rPr>
                        <w:szCs w:val="21"/>
                      </w:rPr>
                    </w:pPr>
                    <w:r>
                      <w:t>投资性房地产公允价值计量变动以及税法计提的折旧和摊销</w:t>
                    </w:r>
                  </w:p>
                </w:tc>
                <w:tc>
                  <w:tcPr>
                    <w:tcW w:w="1112" w:type="pct"/>
                    <w:shd w:val="clear" w:color="auto" w:fill="auto"/>
                    <w:vAlign w:val="center"/>
                  </w:tcPr>
                  <w:p>
                    <w:pPr>
                      <w:jc w:val="right"/>
                      <w:rPr>
                        <w:szCs w:val="21"/>
                      </w:rPr>
                    </w:pPr>
                    <w:r>
                      <w:t>2,231,084,293.26</w:t>
                    </w:r>
                  </w:p>
                </w:tc>
                <w:tc>
                  <w:tcPr>
                    <w:tcW w:w="989" w:type="pct"/>
                    <w:shd w:val="clear" w:color="auto" w:fill="auto"/>
                    <w:vAlign w:val="center"/>
                  </w:tcPr>
                  <w:p>
                    <w:pPr>
                      <w:jc w:val="right"/>
                      <w:rPr>
                        <w:szCs w:val="21"/>
                      </w:rPr>
                    </w:pPr>
                    <w:r>
                      <w:t>552,016,051.37</w:t>
                    </w:r>
                  </w:p>
                </w:tc>
                <w:tc>
                  <w:tcPr>
                    <w:tcW w:w="1112" w:type="pct"/>
                    <w:shd w:val="clear" w:color="auto" w:fill="auto"/>
                    <w:vAlign w:val="center"/>
                  </w:tcPr>
                  <w:p>
                    <w:pPr>
                      <w:jc w:val="right"/>
                      <w:rPr>
                        <w:szCs w:val="21"/>
                      </w:rPr>
                    </w:pPr>
                    <w:r>
                      <w:t>1,780,542,985.56</w:t>
                    </w:r>
                  </w:p>
                </w:tc>
                <w:tc>
                  <w:tcPr>
                    <w:tcW w:w="989" w:type="pct"/>
                    <w:shd w:val="clear" w:color="auto" w:fill="auto"/>
                    <w:vAlign w:val="center"/>
                  </w:tcPr>
                  <w:p>
                    <w:pPr>
                      <w:jc w:val="right"/>
                      <w:rPr>
                        <w:szCs w:val="21"/>
                      </w:rPr>
                    </w:pPr>
                    <w:r>
                      <w:t>436,331,404.76</w:t>
                    </w:r>
                  </w:p>
                </w:tc>
              </w:tr>
            </w:sdtContent>
          </w:sdt>
          <w:sdt>
            <w:sdtPr>
              <w:rPr>
                <w:szCs w:val="21"/>
              </w:rPr>
              <w:alias w:val="递延所得税负债明细"/>
              <w:tag w:val="_TUP_8036f0bdcd3a43a38ae605c99228b929"/>
              <w:id w:val="3177594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0" w:type="pct"/>
                    <w:shd w:val="clear" w:color="auto" w:fill="auto"/>
                    <w:vAlign w:val="center"/>
                  </w:tcPr>
                  <w:p>
                    <w:pPr>
                      <w:rPr>
                        <w:szCs w:val="21"/>
                      </w:rPr>
                    </w:pPr>
                    <w:r>
                      <w:t>固定资产加速折旧</w:t>
                    </w:r>
                  </w:p>
                </w:tc>
                <w:tc>
                  <w:tcPr>
                    <w:tcW w:w="1112" w:type="pct"/>
                    <w:shd w:val="clear" w:color="auto" w:fill="auto"/>
                    <w:vAlign w:val="center"/>
                  </w:tcPr>
                  <w:p>
                    <w:pPr>
                      <w:jc w:val="right"/>
                      <w:rPr>
                        <w:szCs w:val="21"/>
                      </w:rPr>
                    </w:pPr>
                    <w:r>
                      <w:t>9,221,186.18</w:t>
                    </w:r>
                  </w:p>
                </w:tc>
                <w:tc>
                  <w:tcPr>
                    <w:tcW w:w="989" w:type="pct"/>
                    <w:shd w:val="clear" w:color="auto" w:fill="auto"/>
                    <w:vAlign w:val="center"/>
                  </w:tcPr>
                  <w:p>
                    <w:pPr>
                      <w:jc w:val="right"/>
                      <w:rPr>
                        <w:szCs w:val="21"/>
                      </w:rPr>
                    </w:pPr>
                    <w:r>
                      <w:t>1,383,177.93</w:t>
                    </w:r>
                  </w:p>
                </w:tc>
                <w:tc>
                  <w:tcPr>
                    <w:tcW w:w="1112" w:type="pct"/>
                    <w:shd w:val="clear" w:color="auto" w:fill="auto"/>
                    <w:vAlign w:val="center"/>
                  </w:tcPr>
                  <w:p>
                    <w:pPr>
                      <w:jc w:val="right"/>
                      <w:rPr>
                        <w:szCs w:val="21"/>
                      </w:rPr>
                    </w:pPr>
                    <w:r>
                      <w:t>12,428,770.43</w:t>
                    </w:r>
                  </w:p>
                </w:tc>
                <w:tc>
                  <w:tcPr>
                    <w:tcW w:w="989" w:type="pct"/>
                    <w:shd w:val="clear" w:color="auto" w:fill="auto"/>
                    <w:vAlign w:val="center"/>
                  </w:tcPr>
                  <w:p>
                    <w:pPr>
                      <w:jc w:val="right"/>
                      <w:rPr>
                        <w:szCs w:val="21"/>
                      </w:rPr>
                    </w:pPr>
                    <w:r>
                      <w:t>1,864,315.56</w:t>
                    </w:r>
                  </w:p>
                </w:tc>
              </w:tr>
            </w:sdtContent>
          </w:sdt>
          <w:sdt>
            <w:sdtPr>
              <w:rPr>
                <w:szCs w:val="21"/>
              </w:rPr>
              <w:alias w:val="递延所得税负债明细"/>
              <w:tag w:val="_TUP_8036f0bdcd3a43a38ae605c99228b929"/>
              <w:id w:val="3177594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0" w:type="pct"/>
                    <w:shd w:val="clear" w:color="auto" w:fill="auto"/>
                    <w:vAlign w:val="center"/>
                  </w:tcPr>
                  <w:p>
                    <w:pPr>
                      <w:rPr>
                        <w:szCs w:val="21"/>
                      </w:rPr>
                    </w:pPr>
                    <w:r>
                      <w:t>内部交易未实现亏损</w:t>
                    </w:r>
                  </w:p>
                </w:tc>
                <w:tc>
                  <w:tcPr>
                    <w:tcW w:w="1112" w:type="pct"/>
                    <w:shd w:val="clear" w:color="auto" w:fill="auto"/>
                    <w:vAlign w:val="center"/>
                  </w:tcPr>
                  <w:p>
                    <w:pPr>
                      <w:jc w:val="right"/>
                      <w:rPr>
                        <w:szCs w:val="21"/>
                      </w:rPr>
                    </w:pPr>
                  </w:p>
                </w:tc>
                <w:tc>
                  <w:tcPr>
                    <w:tcW w:w="989" w:type="pct"/>
                    <w:shd w:val="clear" w:color="auto" w:fill="auto"/>
                    <w:vAlign w:val="center"/>
                  </w:tcPr>
                  <w:p>
                    <w:pPr>
                      <w:jc w:val="right"/>
                      <w:rPr>
                        <w:szCs w:val="21"/>
                      </w:rPr>
                    </w:pPr>
                  </w:p>
                </w:tc>
                <w:tc>
                  <w:tcPr>
                    <w:tcW w:w="1112" w:type="pct"/>
                    <w:shd w:val="clear" w:color="auto" w:fill="auto"/>
                    <w:vAlign w:val="center"/>
                  </w:tcPr>
                  <w:p>
                    <w:pPr>
                      <w:jc w:val="right"/>
                      <w:rPr>
                        <w:szCs w:val="21"/>
                      </w:rPr>
                    </w:pPr>
                    <w:r>
                      <w:t>6,448,774.29</w:t>
                    </w:r>
                  </w:p>
                </w:tc>
                <w:tc>
                  <w:tcPr>
                    <w:tcW w:w="989" w:type="pct"/>
                    <w:shd w:val="clear" w:color="auto" w:fill="auto"/>
                    <w:vAlign w:val="center"/>
                  </w:tcPr>
                  <w:p>
                    <w:pPr>
                      <w:jc w:val="right"/>
                      <w:rPr>
                        <w:szCs w:val="21"/>
                      </w:rPr>
                    </w:pPr>
                    <w:r>
                      <w:t>945,772.65</w:t>
                    </w:r>
                  </w:p>
                </w:tc>
              </w:tr>
            </w:sdtContent>
          </w:sdt>
          <w:sdt>
            <w:sdtPr>
              <w:rPr>
                <w:szCs w:val="21"/>
              </w:rPr>
              <w:alias w:val="递延所得税负债明细"/>
              <w:tag w:val="_TUP_8036f0bdcd3a43a38ae605c99228b929"/>
              <w:id w:val="3177594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0" w:type="pct"/>
                    <w:shd w:val="clear" w:color="auto" w:fill="auto"/>
                    <w:vAlign w:val="center"/>
                  </w:tcPr>
                  <w:p>
                    <w:pPr>
                      <w:rPr>
                        <w:szCs w:val="21"/>
                      </w:rPr>
                    </w:pPr>
                    <w:r>
                      <w:t>非同一控制企业合并资产评估增值</w:t>
                    </w:r>
                  </w:p>
                </w:tc>
                <w:tc>
                  <w:tcPr>
                    <w:tcW w:w="1112" w:type="pct"/>
                    <w:shd w:val="clear" w:color="auto" w:fill="auto"/>
                    <w:vAlign w:val="center"/>
                  </w:tcPr>
                  <w:p>
                    <w:pPr>
                      <w:jc w:val="right"/>
                      <w:rPr>
                        <w:szCs w:val="21"/>
                      </w:rPr>
                    </w:pPr>
                    <w:r>
                      <w:t>373,847,320.27</w:t>
                    </w:r>
                  </w:p>
                </w:tc>
                <w:tc>
                  <w:tcPr>
                    <w:tcW w:w="989" w:type="pct"/>
                    <w:shd w:val="clear" w:color="auto" w:fill="auto"/>
                    <w:vAlign w:val="center"/>
                  </w:tcPr>
                  <w:p>
                    <w:pPr>
                      <w:jc w:val="right"/>
                      <w:rPr>
                        <w:szCs w:val="21"/>
                      </w:rPr>
                    </w:pPr>
                    <w:r>
                      <w:t>93,461,830.07</w:t>
                    </w:r>
                  </w:p>
                </w:tc>
                <w:tc>
                  <w:tcPr>
                    <w:tcW w:w="1112" w:type="pct"/>
                    <w:shd w:val="clear" w:color="auto" w:fill="auto"/>
                    <w:vAlign w:val="center"/>
                  </w:tcPr>
                  <w:p>
                    <w:pPr>
                      <w:jc w:val="right"/>
                      <w:rPr>
                        <w:szCs w:val="21"/>
                      </w:rPr>
                    </w:pPr>
                    <w:r>
                      <w:t>704,715,232.00</w:t>
                    </w:r>
                  </w:p>
                </w:tc>
                <w:tc>
                  <w:tcPr>
                    <w:tcW w:w="989" w:type="pct"/>
                    <w:shd w:val="clear" w:color="auto" w:fill="auto"/>
                    <w:vAlign w:val="center"/>
                  </w:tcPr>
                  <w:p>
                    <w:pPr>
                      <w:jc w:val="right"/>
                      <w:rPr>
                        <w:szCs w:val="21"/>
                      </w:rPr>
                    </w:pPr>
                    <w:r>
                      <w:t>176,178,808.00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b75c52751ee84b8da27bd6f8290a4521"/>
                <w:id w:val="31775947"/>
                <w:lock w:val="sdtLocked"/>
              </w:sdtPr>
              <w:sdtContent>
                <w:tc>
                  <w:tcPr>
                    <w:tcW w:w="800" w:type="pct"/>
                    <w:shd w:val="clear" w:color="auto" w:fill="auto"/>
                    <w:vAlign w:val="center"/>
                  </w:tcPr>
                  <w:p>
                    <w:pPr>
                      <w:jc w:val="center"/>
                      <w:rPr>
                        <w:szCs w:val="21"/>
                      </w:rPr>
                    </w:pPr>
                    <w:r>
                      <w:rPr>
                        <w:rFonts w:hint="eastAsia"/>
                        <w:szCs w:val="21"/>
                      </w:rPr>
                      <w:t>合计</w:t>
                    </w:r>
                  </w:p>
                </w:tc>
              </w:sdtContent>
            </w:sdt>
            <w:tc>
              <w:tcPr>
                <w:tcW w:w="1112" w:type="pct"/>
                <w:shd w:val="clear" w:color="auto" w:fill="auto"/>
                <w:vAlign w:val="center"/>
              </w:tcPr>
              <w:p>
                <w:pPr>
                  <w:rPr>
                    <w:sz w:val="24"/>
                  </w:rPr>
                </w:pPr>
                <w:r>
                  <w:t>2,654,223,092.04</w:t>
                </w:r>
              </w:p>
            </w:tc>
            <w:tc>
              <w:tcPr>
                <w:tcW w:w="989" w:type="pct"/>
                <w:shd w:val="clear" w:color="auto" w:fill="auto"/>
                <w:vAlign w:val="center"/>
              </w:tcPr>
              <w:p>
                <w:pPr>
                  <w:rPr>
                    <w:sz w:val="24"/>
                  </w:rPr>
                </w:pPr>
                <w:r>
                  <w:t>652,871,603.22</w:t>
                </w:r>
              </w:p>
            </w:tc>
            <w:tc>
              <w:tcPr>
                <w:tcW w:w="1112" w:type="pct"/>
                <w:shd w:val="clear" w:color="auto" w:fill="auto"/>
                <w:vAlign w:val="center"/>
              </w:tcPr>
              <w:p>
                <w:pPr>
                  <w:rPr>
                    <w:sz w:val="24"/>
                  </w:rPr>
                </w:pPr>
                <w:r>
                  <w:t>2,544,206,054.61</w:t>
                </w:r>
              </w:p>
            </w:tc>
            <w:tc>
              <w:tcPr>
                <w:tcW w:w="989" w:type="pct"/>
                <w:shd w:val="clear" w:color="auto" w:fill="auto"/>
                <w:vAlign w:val="center"/>
              </w:tcPr>
              <w:p>
                <w:pPr>
                  <w:rPr>
                    <w:sz w:val="24"/>
                  </w:rPr>
                </w:pPr>
                <w:r>
                  <w:t>621,330,844.82</w:t>
                </w:r>
              </w:p>
            </w:tc>
          </w:tr>
        </w:tbl>
        <w:p/>
        <w:p>
          <w:pPr>
            <w:pStyle w:val="5"/>
            <w:numPr>
              <w:ilvl w:val="0"/>
              <w:numId w:val="94"/>
            </w:numPr>
            <w:ind w:left="426" w:hanging="426"/>
          </w:pPr>
          <w:r>
            <w:rPr>
              <w:rFonts w:hint="eastAsia"/>
            </w:rPr>
            <w:t>以抵销后净额列示的递延所得税资产或负债</w:t>
          </w:r>
        </w:p>
        <w:sdt>
          <w:sdtPr>
            <w:alias w:val="是否适用：以抵销后净额列示的递延所得税资产或负债[双击切换]"/>
            <w:tag w:val="_GBC_adbd88aca1694de2a14c265a3fb12290"/>
            <w:id w:val="423611132"/>
            <w:lock w:val="sdtLocked"/>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5"/>
            <w:numPr>
              <w:ilvl w:val="0"/>
              <w:numId w:val="94"/>
            </w:numPr>
            <w:ind w:left="426" w:hanging="426"/>
          </w:pPr>
          <w:r>
            <w:rPr>
              <w:rFonts w:hint="eastAsia"/>
            </w:rPr>
            <w:t>未确认递延所得税资产明细</w:t>
          </w:r>
        </w:p>
        <w:sdt>
          <w:sdtPr>
            <w:alias w:val="是否适用：未确认递延所得税资产明细[双击切换]"/>
            <w:tag w:val="_GBC_713996bf5e4d4c6988835fbf892c5ef2"/>
            <w:id w:val="-1696689033"/>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2905"/>
            <w:gridCol w:w="2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91af0f9b93ef459d823e4bc33d9190d6"/>
                <w:id w:val="31777924"/>
                <w:lock w:val="sdtLocked"/>
              </w:sdtPr>
              <w:sdtContent>
                <w:tc>
                  <w:tcPr>
                    <w:tcW w:w="159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项目</w:t>
                    </w:r>
                  </w:p>
                </w:tc>
              </w:sdtContent>
            </w:sdt>
            <w:sdt>
              <w:sdtPr>
                <w:tag w:val="_PLD_2c2dee2efbd6433784024156b3454ba7"/>
                <w:id w:val="31777925"/>
                <w:lock w:val="sdtLocked"/>
              </w:sdtPr>
              <w:sdtContent>
                <w:tc>
                  <w:tcPr>
                    <w:tcW w:w="170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期末余额</w:t>
                    </w:r>
                  </w:p>
                </w:tc>
              </w:sdtContent>
            </w:sdt>
            <w:sdt>
              <w:sdtPr>
                <w:tag w:val="_PLD_d5059c87582d4e558703d63a8a2d5399"/>
                <w:id w:val="31777926"/>
                <w:lock w:val="sdtLocked"/>
              </w:sdtPr>
              <w:sdtContent>
                <w:tc>
                  <w:tcPr>
                    <w:tcW w:w="170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cfc7718db484ea1b986c6371393d8ea"/>
                <w:id w:val="31777927"/>
                <w:lock w:val="sdtLocked"/>
              </w:sdtPr>
              <w:sdtContent>
                <w:tc>
                  <w:tcPr>
                    <w:tcW w:w="159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可抵扣亏损</w:t>
                    </w:r>
                  </w:p>
                </w:tc>
              </w:sdtContent>
            </w:sdt>
            <w:tc>
              <w:tcPr>
                <w:tcW w:w="1703" w:type="pct"/>
                <w:tcBorders>
                  <w:top w:val="single" w:color="auto" w:sz="4" w:space="0"/>
                  <w:left w:val="single" w:color="auto" w:sz="4" w:space="0"/>
                  <w:bottom w:val="single" w:color="auto" w:sz="4" w:space="0"/>
                  <w:right w:val="single" w:color="auto" w:sz="4" w:space="0"/>
                </w:tcBorders>
                <w:vAlign w:val="center"/>
              </w:tcPr>
              <w:p>
                <w:pPr>
                  <w:jc w:val="right"/>
                  <w:rPr>
                    <w:sz w:val="24"/>
                  </w:rPr>
                </w:pPr>
                <w:r>
                  <w:t>1,365,922,484.33</w:t>
                </w: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sz w:val="24"/>
                  </w:rPr>
                </w:pPr>
                <w:r>
                  <w:t>1,477,369,863.14</w:t>
                </w:r>
              </w:p>
            </w:tc>
          </w:tr>
          <w:sdt>
            <w:sdtPr>
              <w:rPr>
                <w:rFonts w:hint="eastAsia"/>
                <w:szCs w:val="21"/>
              </w:rPr>
              <w:alias w:val="未确认递延所得税资产明细"/>
              <w:tag w:val="_TUP_2338498f31b74bb68e5506a291ab93b9"/>
              <w:id w:val="3177792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tcPr>
                  <w:p>
                    <w:pPr>
                      <w:rPr>
                        <w:szCs w:val="21"/>
                      </w:rPr>
                    </w:pPr>
                    <w:r>
                      <w:t>资产减值准备</w:t>
                    </w:r>
                  </w:p>
                </w:tc>
                <w:tc>
                  <w:tcPr>
                    <w:tcW w:w="1703" w:type="pct"/>
                    <w:tcBorders>
                      <w:top w:val="single" w:color="auto" w:sz="4" w:space="0"/>
                      <w:left w:val="single" w:color="auto" w:sz="4" w:space="0"/>
                      <w:bottom w:val="single" w:color="auto" w:sz="4" w:space="0"/>
                      <w:right w:val="single" w:color="auto" w:sz="4" w:space="0"/>
                    </w:tcBorders>
                  </w:tcPr>
                  <w:p>
                    <w:pPr>
                      <w:jc w:val="right"/>
                      <w:rPr>
                        <w:szCs w:val="21"/>
                      </w:rPr>
                    </w:pPr>
                    <w:r>
                      <w:t>493,064,357.36</w:t>
                    </w:r>
                  </w:p>
                </w:tc>
                <w:tc>
                  <w:tcPr>
                    <w:tcW w:w="1701" w:type="pct"/>
                    <w:tcBorders>
                      <w:top w:val="single" w:color="auto" w:sz="4" w:space="0"/>
                      <w:left w:val="single" w:color="auto" w:sz="4" w:space="0"/>
                      <w:bottom w:val="single" w:color="auto" w:sz="4" w:space="0"/>
                      <w:right w:val="single" w:color="auto" w:sz="4" w:space="0"/>
                    </w:tcBorders>
                  </w:tcPr>
                  <w:p>
                    <w:pPr>
                      <w:jc w:val="right"/>
                      <w:rPr>
                        <w:szCs w:val="21"/>
                      </w:rPr>
                    </w:pPr>
                    <w:r>
                      <w:t>537,447,111.41</w:t>
                    </w:r>
                  </w:p>
                </w:tc>
              </w:tr>
            </w:sdtContent>
          </w:sdt>
          <w:sdt>
            <w:sdtPr>
              <w:rPr>
                <w:rFonts w:hint="eastAsia"/>
                <w:szCs w:val="21"/>
              </w:rPr>
              <w:alias w:val="未确认递延所得税资产明细"/>
              <w:tag w:val="_TUP_2338498f31b74bb68e5506a291ab93b9"/>
              <w:id w:val="3177792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596" w:type="pct"/>
                    <w:tcBorders>
                      <w:top w:val="single" w:color="auto" w:sz="4" w:space="0"/>
                      <w:left w:val="single" w:color="auto" w:sz="4" w:space="0"/>
                      <w:bottom w:val="single" w:color="auto" w:sz="4" w:space="0"/>
                      <w:right w:val="single" w:color="auto" w:sz="4" w:space="0"/>
                    </w:tcBorders>
                  </w:tcPr>
                  <w:p>
                    <w:pPr>
                      <w:rPr>
                        <w:szCs w:val="21"/>
                      </w:rPr>
                    </w:pPr>
                    <w:r>
                      <w:t>预计负债</w:t>
                    </w:r>
                  </w:p>
                </w:tc>
                <w:tc>
                  <w:tcPr>
                    <w:tcW w:w="1703" w:type="pct"/>
                    <w:tcBorders>
                      <w:top w:val="single" w:color="auto" w:sz="4" w:space="0"/>
                      <w:left w:val="single" w:color="auto" w:sz="4" w:space="0"/>
                      <w:bottom w:val="single" w:color="auto" w:sz="4" w:space="0"/>
                      <w:right w:val="single" w:color="auto" w:sz="4" w:space="0"/>
                    </w:tcBorders>
                  </w:tcPr>
                  <w:p>
                    <w:pPr>
                      <w:jc w:val="right"/>
                      <w:rPr>
                        <w:szCs w:val="21"/>
                      </w:rPr>
                    </w:pPr>
                    <w:r>
                      <w:t>6,207,063.04</w:t>
                    </w:r>
                  </w:p>
                </w:tc>
                <w:tc>
                  <w:tcPr>
                    <w:tcW w:w="1701" w:type="pct"/>
                    <w:tcBorders>
                      <w:top w:val="single" w:color="auto" w:sz="4" w:space="0"/>
                      <w:left w:val="single" w:color="auto" w:sz="4" w:space="0"/>
                      <w:bottom w:val="single" w:color="auto" w:sz="4" w:space="0"/>
                      <w:right w:val="single" w:color="auto" w:sz="4" w:space="0"/>
                    </w:tcBorders>
                  </w:tcPr>
                  <w:p>
                    <w:pPr>
                      <w:jc w:val="right"/>
                      <w:rPr>
                        <w:szCs w:val="21"/>
                      </w:rPr>
                    </w:pPr>
                    <w:r>
                      <w:t>9,772,260.46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b4b8beb920a4500aa2e3d35f8842374"/>
                <w:id w:val="31777930"/>
                <w:lock w:val="sdtLocked"/>
              </w:sdtPr>
              <w:sdtContent>
                <w:tc>
                  <w:tcPr>
                    <w:tcW w:w="159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1703" w:type="pct"/>
                <w:tcBorders>
                  <w:top w:val="single" w:color="auto" w:sz="4" w:space="0"/>
                  <w:left w:val="single" w:color="auto" w:sz="4" w:space="0"/>
                  <w:bottom w:val="single" w:color="auto" w:sz="4" w:space="0"/>
                  <w:right w:val="single" w:color="auto" w:sz="4" w:space="0"/>
                </w:tcBorders>
                <w:vAlign w:val="center"/>
              </w:tcPr>
              <w:p>
                <w:pPr>
                  <w:jc w:val="right"/>
                  <w:rPr>
                    <w:sz w:val="24"/>
                  </w:rPr>
                </w:pPr>
                <w:r>
                  <w:t>1,865,193,904.73</w:t>
                </w:r>
              </w:p>
            </w:tc>
            <w:tc>
              <w:tcPr>
                <w:tcW w:w="1701" w:type="pct"/>
                <w:tcBorders>
                  <w:top w:val="single" w:color="auto" w:sz="4" w:space="0"/>
                  <w:left w:val="single" w:color="auto" w:sz="4" w:space="0"/>
                  <w:bottom w:val="single" w:color="auto" w:sz="4" w:space="0"/>
                  <w:right w:val="single" w:color="auto" w:sz="4" w:space="0"/>
                </w:tcBorders>
                <w:vAlign w:val="center"/>
              </w:tcPr>
              <w:p>
                <w:pPr>
                  <w:jc w:val="right"/>
                  <w:rPr>
                    <w:sz w:val="24"/>
                  </w:rPr>
                </w:pPr>
                <w:r>
                  <w:t>2,024,589,235.01</w:t>
                </w:r>
              </w:p>
            </w:tc>
          </w:tr>
        </w:tbl>
        <w:p/>
        <w:p>
          <w:pPr>
            <w:pStyle w:val="5"/>
            <w:numPr>
              <w:ilvl w:val="0"/>
              <w:numId w:val="94"/>
            </w:numPr>
            <w:ind w:left="426" w:hanging="426"/>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217593369"/>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65"/>
            <w:gridCol w:w="2154"/>
            <w:gridCol w:w="2190"/>
            <w:gridCol w:w="2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2bad95d2ced4c2f8958303268f6cd2b"/>
                <w:id w:val="31778530"/>
                <w:lock w:val="sdtLocked"/>
              </w:sdtPr>
              <w:sdtContent>
                <w:tc>
                  <w:tcPr>
                    <w:tcW w:w="115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年份</w:t>
                    </w:r>
                  </w:p>
                </w:tc>
              </w:sdtContent>
            </w:sdt>
            <w:sdt>
              <w:sdtPr>
                <w:tag w:val="_PLD_20395d1e877346dbbdb29c15ffdda67a"/>
                <w:id w:val="31778531"/>
                <w:lock w:val="sdtLocked"/>
              </w:sdtPr>
              <w:sdtContent>
                <w:tc>
                  <w:tcPr>
                    <w:tcW w:w="126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期末金额</w:t>
                    </w:r>
                  </w:p>
                </w:tc>
              </w:sdtContent>
            </w:sdt>
            <w:sdt>
              <w:sdtPr>
                <w:tag w:val="_PLD_7c3e310eca854a9283aca385397086c3"/>
                <w:id w:val="31778532"/>
                <w:lock w:val="sdtLocked"/>
              </w:sdtPr>
              <w:sdtContent>
                <w:tc>
                  <w:tcPr>
                    <w:tcW w:w="128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期初金额</w:t>
                    </w:r>
                  </w:p>
                </w:tc>
              </w:sdtContent>
            </w:sdt>
            <w:sdt>
              <w:sdtPr>
                <w:tag w:val="_PLD_39d10c26cbf24b4481db02bd3f33378d"/>
                <w:id w:val="31778533"/>
                <w:lock w:val="sdtLocked"/>
              </w:sdtPr>
              <w:sdtContent>
                <w:tc>
                  <w:tcPr>
                    <w:tcW w:w="130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备注</w:t>
                    </w:r>
                  </w:p>
                </w:tc>
              </w:sdtContent>
            </w:sdt>
          </w:tr>
          <w:sdt>
            <w:sdtPr>
              <w:rPr>
                <w:rFonts w:hint="eastAsia"/>
                <w:szCs w:val="21"/>
              </w:rPr>
              <w:alias w:val="未确认递延所得税资产的可抵扣亏损到期明细"/>
              <w:tag w:val="_TUP_4069c4f2b7c24917ae9bee619d1dc277"/>
              <w:id w:val="3177853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2021年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67,539,814.52</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3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2022年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r>
                      <w:t>65,013,477.10</w:t>
                    </w: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325,846,937.69</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3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2023年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r>
                      <w:t>332,706,582.84</w:t>
                    </w: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342,371,685.96</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3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2024年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r>
                      <w:t>585,789,526.12</w:t>
                    </w: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593,007,793.77</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3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2025年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r>
                      <w:t>77,222,742.01</w:t>
                    </w: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122,690,287.97</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4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2026年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r>
                      <w:t>305,190,156.26</w:t>
                    </w: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2,782,644.55</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4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2027年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10,785,353.74</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42"/>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2028年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10,042,635.88</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rFonts w:hint="eastAsia"/>
                <w:szCs w:val="21"/>
              </w:rPr>
              <w:alias w:val="未确认递延所得税资产的可抵扣亏损到期明细"/>
              <w:tag w:val="_TUP_4069c4f2b7c24917ae9bee619d1dc277"/>
              <w:id w:val="3177854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t>2029年</w:t>
                    </w:r>
                  </w:p>
                </w:tc>
                <w:tc>
                  <w:tcPr>
                    <w:tcW w:w="1263"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4" w:type="pct"/>
                    <w:tcBorders>
                      <w:top w:val="single" w:color="auto" w:sz="4" w:space="0"/>
                      <w:left w:val="single" w:color="auto" w:sz="4" w:space="0"/>
                      <w:bottom w:val="single" w:color="auto" w:sz="4" w:space="0"/>
                      <w:right w:val="single" w:color="auto" w:sz="4" w:space="0"/>
                    </w:tcBorders>
                  </w:tcPr>
                  <w:p>
                    <w:pPr>
                      <w:jc w:val="right"/>
                      <w:rPr>
                        <w:szCs w:val="21"/>
                      </w:rPr>
                    </w:pPr>
                    <w:r>
                      <w:t>2,302,709.06</w:t>
                    </w:r>
                  </w:p>
                </w:tc>
                <w:tc>
                  <w:tcPr>
                    <w:tcW w:w="1301" w:type="pct"/>
                    <w:tcBorders>
                      <w:top w:val="single" w:color="auto" w:sz="4" w:space="0"/>
                      <w:left w:val="single" w:color="auto" w:sz="4" w:space="0"/>
                      <w:bottom w:val="single" w:color="auto" w:sz="4" w:space="0"/>
                      <w:right w:val="single" w:color="auto" w:sz="4" w:space="0"/>
                    </w:tcBorders>
                  </w:tcPr>
                  <w:p>
                    <w:pPr>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37ec918eb0c94f5e8b9115c21e913433"/>
                <w:id w:val="31778544"/>
                <w:lock w:val="sdtLocked"/>
              </w:sdtPr>
              <w:sdtContent>
                <w:tc>
                  <w:tcPr>
                    <w:tcW w:w="1152" w:type="pct"/>
                    <w:tcBorders>
                      <w:top w:val="single" w:color="auto" w:sz="4" w:space="0"/>
                      <w:left w:val="single" w:color="auto" w:sz="4" w:space="0"/>
                      <w:bottom w:val="single" w:color="auto" w:sz="4" w:space="0"/>
                      <w:right w:val="single" w:color="auto" w:sz="4" w:space="0"/>
                    </w:tcBorders>
                    <w:vAlign w:val="bottom"/>
                  </w:tcPr>
                  <w:p>
                    <w:pPr>
                      <w:jc w:val="center"/>
                      <w:rPr>
                        <w:szCs w:val="21"/>
                      </w:rPr>
                    </w:pPr>
                    <w:r>
                      <w:rPr>
                        <w:rFonts w:hint="eastAsia"/>
                        <w:szCs w:val="21"/>
                      </w:rPr>
                      <w:t>合计</w:t>
                    </w:r>
                  </w:p>
                </w:tc>
              </w:sdtContent>
            </w:sdt>
            <w:tc>
              <w:tcPr>
                <w:tcW w:w="1263" w:type="pct"/>
                <w:tcBorders>
                  <w:top w:val="single" w:color="auto" w:sz="4" w:space="0"/>
                  <w:left w:val="single" w:color="auto" w:sz="4" w:space="0"/>
                  <w:bottom w:val="single" w:color="auto" w:sz="4" w:space="0"/>
                  <w:right w:val="single" w:color="auto" w:sz="4" w:space="0"/>
                </w:tcBorders>
                <w:vAlign w:val="center"/>
              </w:tcPr>
              <w:p>
                <w:pPr>
                  <w:jc w:val="right"/>
                  <w:rPr>
                    <w:sz w:val="24"/>
                  </w:rPr>
                </w:pPr>
                <w:r>
                  <w:t>1,365,922,484.33</w:t>
                </w:r>
              </w:p>
            </w:tc>
            <w:tc>
              <w:tcPr>
                <w:tcW w:w="1284" w:type="pct"/>
                <w:tcBorders>
                  <w:top w:val="single" w:color="auto" w:sz="4" w:space="0"/>
                  <w:left w:val="single" w:color="auto" w:sz="4" w:space="0"/>
                  <w:bottom w:val="single" w:color="auto" w:sz="4" w:space="0"/>
                  <w:right w:val="single" w:color="auto" w:sz="4" w:space="0"/>
                </w:tcBorders>
                <w:vAlign w:val="center"/>
              </w:tcPr>
              <w:p>
                <w:pPr>
                  <w:jc w:val="right"/>
                  <w:rPr>
                    <w:sz w:val="24"/>
                  </w:rPr>
                </w:pPr>
                <w:r>
                  <w:t>1,477,369,863.14</w:t>
                </w:r>
              </w:p>
            </w:tc>
            <w:tc>
              <w:tcPr>
                <w:tcW w:w="1301"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w:t>
                </w:r>
              </w:p>
            </w:tc>
          </w:tr>
        </w:tbl>
        <w:p>
          <w:pPr>
            <w:rPr>
              <w:color w:val="FF00FF"/>
              <w:szCs w:val="21"/>
            </w:rPr>
          </w:pPr>
        </w:p>
      </w:sdtContent>
    </w:sdt>
    <w:bookmarkEnd w:id="188"/>
    <w:sdt>
      <w:sdtPr>
        <w:rPr>
          <w:rFonts w:hint="eastAsia"/>
          <w:szCs w:val="21"/>
        </w:rPr>
        <w:alias w:val="模块:递延所得税资产和递延所得税负债的说明"/>
        <w:tag w:val="_SEC_94657e8367544e5fa63e4b88008d6713"/>
        <w:id w:val="-824044106"/>
        <w:lock w:val="sdtLocked"/>
        <w:placeholder>
          <w:docPart w:val="GBC22222222222222222222222222222"/>
        </w:placeholder>
      </w:sdtPr>
      <w:sdtEndPr>
        <w:rPr>
          <w:rFonts w:hint="default"/>
          <w:szCs w:val="21"/>
        </w:rPr>
      </w:sdtEndPr>
      <w:sdtContent>
        <w:p>
          <w:pPr>
            <w:rPr>
              <w:szCs w:val="21"/>
            </w:rPr>
          </w:pPr>
          <w:r>
            <w:rPr>
              <w:rFonts w:hint="eastAsia"/>
              <w:szCs w:val="21"/>
            </w:rPr>
            <w:t>其他说明：</w:t>
          </w:r>
        </w:p>
        <w:sdt>
          <w:sdtPr>
            <w:rPr>
              <w:szCs w:val="21"/>
            </w:rPr>
            <w:alias w:val="是否适用：递延所得税资产和递延所得税负债的说明[双击切换]"/>
            <w:tag w:val="_GBC_7f4fae30d73847918bda2bbfa91008fe"/>
            <w:id w:val="-158291027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ascii="宋体" w:hAnsi="宋体" w:cs="宋体"/>
          <w:b w:val="0"/>
          <w:bCs w:val="0"/>
          <w:kern w:val="0"/>
          <w:szCs w:val="21"/>
        </w:rPr>
        <w:alias w:val="模块:其他非流动资产"/>
        <w:tag w:val="_SEC_61a5a51558394b4f935a5e79bf462096"/>
        <w:id w:val="-498579436"/>
        <w:lock w:val="sdtLocked"/>
        <w:placeholder>
          <w:docPart w:val="GBC22222222222222222222222222222"/>
        </w:placeholder>
      </w:sdtPr>
      <w:sdtEndPr>
        <w:rPr>
          <w:rFonts w:ascii="宋体" w:hAnsi="宋体" w:cs="宋体"/>
          <w:b w:val="0"/>
          <w:bCs w:val="0"/>
          <w:kern w:val="0"/>
          <w:szCs w:val="21"/>
        </w:rPr>
      </w:sdtEndPr>
      <w:sdtContent>
        <w:p>
          <w:pPr>
            <w:pStyle w:val="213"/>
            <w:numPr>
              <w:ilvl w:val="0"/>
              <w:numId w:val="77"/>
            </w:numPr>
            <w:tabs>
              <w:tab w:val="left" w:pos="504"/>
            </w:tabs>
            <w:rPr>
              <w:szCs w:val="21"/>
            </w:rPr>
          </w:pPr>
          <w:r>
            <w:rPr>
              <w:rFonts w:hint="eastAsia"/>
              <w:szCs w:val="21"/>
            </w:rPr>
            <w:t>其他非流动资产</w:t>
          </w:r>
        </w:p>
        <w:sdt>
          <w:sdtPr>
            <w:alias w:val="是否适用：其他非流动资产[双击切换]"/>
            <w:tag w:val="_GBC_a847828a70d64218a7f8a07dc593d18b"/>
            <w:id w:val="102267272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pStyle w:val="213"/>
        <w:numPr>
          <w:ilvl w:val="0"/>
          <w:numId w:val="77"/>
        </w:numPr>
        <w:tabs>
          <w:tab w:val="left" w:pos="504"/>
        </w:tabs>
        <w:rPr>
          <w:rFonts w:ascii="宋体" w:hAnsi="宋体"/>
          <w:szCs w:val="21"/>
        </w:rPr>
      </w:pPr>
      <w:bookmarkStart w:id="189" w:name="_Hlk534978811"/>
      <w:bookmarkEnd w:id="189"/>
      <w:r>
        <w:rPr>
          <w:rFonts w:hint="eastAsia" w:ascii="宋体" w:hAnsi="宋体"/>
          <w:szCs w:val="21"/>
        </w:rPr>
        <w:t>短期借款</w:t>
      </w:r>
    </w:p>
    <w:sdt>
      <w:sdtPr>
        <w:rPr>
          <w:rFonts w:hint="eastAsia" w:ascii="宋体" w:hAnsi="宋体" w:eastAsia="宋体" w:cs="宋体"/>
          <w:b w:val="0"/>
          <w:bCs w:val="0"/>
          <w:kern w:val="0"/>
          <w:szCs w:val="24"/>
        </w:rPr>
        <w:alias w:val="模块:短期借款分类"/>
        <w:tag w:val="_SEC_5e661212a7bc42d1ac34de3b0e67574d"/>
        <w:id w:val="174007578"/>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214"/>
            <w:numPr>
              <w:ilvl w:val="0"/>
              <w:numId w:val="95"/>
            </w:numPr>
            <w:ind w:left="426" w:hanging="426"/>
          </w:pPr>
          <w:r>
            <w:rPr>
              <w:rFonts w:hint="eastAsia"/>
            </w:rPr>
            <w:t>短期借款分类</w:t>
          </w:r>
        </w:p>
        <w:sdt>
          <w:sdtPr>
            <w:alias w:val="是否适用：短期借款分类[双击切换]"/>
            <w:tag w:val="_GBC_d7624f1054024527b72d59c4122e81cb"/>
            <w:id w:val="199729721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借款分类"/>
              <w:tag w:val="_GBC_8d30fbb8785645499f9234dccd6e5b81"/>
              <w:id w:val="-179335622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9844610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702"/>
            <w:gridCol w:w="2826"/>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sdt>
              <w:sdtPr>
                <w:tag w:val="_PLD_7d518e78e06f4dc9b46aae7b6b47fd01"/>
                <w:id w:val="856701123"/>
                <w:lock w:val="sdtLocked"/>
              </w:sdtPr>
              <w:sdtContent>
                <w:tc>
                  <w:tcPr>
                    <w:tcW w:w="1614" w:type="pct"/>
                    <w:vAlign w:val="center"/>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sdtContent>
            </w:sdt>
            <w:sdt>
              <w:sdtPr>
                <w:tag w:val="_PLD_cda187315847461e8ed854d1807d3b14"/>
                <w:id w:val="-709111908"/>
                <w:lock w:val="sdtLocked"/>
              </w:sdtPr>
              <w:sdtContent>
                <w:tc>
                  <w:tcPr>
                    <w:tcW w:w="1688" w:type="pct"/>
                    <w:vAlign w:val="center"/>
                  </w:tcPr>
                  <w:p>
                    <w:pPr>
                      <w:jc w:val="center"/>
                      <w:rPr>
                        <w:color w:val="000000" w:themeColor="text1"/>
                        <w:szCs w:val="21"/>
                      </w:rPr>
                    </w:pPr>
                    <w:r>
                      <w:rPr>
                        <w:rFonts w:hint="eastAsia"/>
                        <w:color w:val="000000" w:themeColor="text1"/>
                        <w:szCs w:val="21"/>
                      </w:rPr>
                      <w:t>期末余额</w:t>
                    </w:r>
                  </w:p>
                </w:tc>
              </w:sdtContent>
            </w:sdt>
            <w:sdt>
              <w:sdtPr>
                <w:tag w:val="_PLD_805e4b849be14c0ab0ca7f324971119b"/>
                <w:id w:val="-374315928"/>
                <w:lock w:val="sdtLocked"/>
              </w:sdtPr>
              <w:sdtContent>
                <w:tc>
                  <w:tcPr>
                    <w:tcW w:w="1698" w:type="pct"/>
                    <w:vAlign w:val="center"/>
                  </w:tcPr>
                  <w:p>
                    <w:pPr>
                      <w:jc w:val="center"/>
                      <w:rPr>
                        <w:color w:val="000000" w:themeColor="text1"/>
                        <w:szCs w:val="21"/>
                      </w:rPr>
                    </w:pPr>
                    <w:r>
                      <w:rPr>
                        <w:rFonts w:hint="eastAsia"/>
                        <w:color w:val="000000" w:themeColor="text1"/>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shd w:val="clear" w:color="auto" w:fill="auto"/>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抵押借款</w:t>
                </w:r>
              </w:p>
            </w:tc>
            <w:tc>
              <w:tcPr>
                <w:tcW w:w="1688" w:type="pct"/>
                <w:shd w:val="clear" w:color="auto" w:fill="auto"/>
                <w:vAlign w:val="center"/>
              </w:tcPr>
              <w:p>
                <w:pPr>
                  <w:jc w:val="right"/>
                  <w:rPr>
                    <w:sz w:val="24"/>
                  </w:rPr>
                </w:pPr>
                <w:r>
                  <w:t>14,000,000.00</w:t>
                </w:r>
              </w:p>
            </w:tc>
            <w:tc>
              <w:tcPr>
                <w:tcW w:w="1698" w:type="pct"/>
                <w:shd w:val="clear" w:color="auto" w:fill="auto"/>
                <w:vAlign w:val="center"/>
              </w:tcPr>
              <w:p>
                <w:pPr>
                  <w:jc w:val="right"/>
                  <w:rPr>
                    <w:sz w:val="24"/>
                  </w:rPr>
                </w:pPr>
                <w:r>
                  <w:t>28,000,000.00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shd w:val="clear" w:color="auto" w:fill="auto"/>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保证借款</w:t>
                </w:r>
              </w:p>
            </w:tc>
            <w:tc>
              <w:tcPr>
                <w:tcW w:w="1688" w:type="pct"/>
                <w:shd w:val="clear" w:color="auto" w:fill="auto"/>
                <w:vAlign w:val="center"/>
              </w:tcPr>
              <w:p>
                <w:pPr>
                  <w:jc w:val="right"/>
                  <w:rPr>
                    <w:sz w:val="24"/>
                  </w:rPr>
                </w:pPr>
              </w:p>
            </w:tc>
            <w:tc>
              <w:tcPr>
                <w:tcW w:w="1698" w:type="pct"/>
                <w:shd w:val="clear" w:color="auto" w:fill="auto"/>
                <w:vAlign w:val="center"/>
              </w:tcPr>
              <w:p>
                <w:pPr>
                  <w:jc w:val="right"/>
                  <w:rPr>
                    <w:sz w:val="24"/>
                  </w:rPr>
                </w:pPr>
                <w:r>
                  <w:t>9,900,000.00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Pr>
            <w:tc>
              <w:tcPr>
                <w:tcW w:w="1614" w:type="pct"/>
                <w:vAlign w:val="center"/>
              </w:tcPr>
              <w:p>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tc>
              <w:tcPr>
                <w:tcW w:w="1688" w:type="pct"/>
                <w:vAlign w:val="center"/>
              </w:tcPr>
              <w:p>
                <w:pPr>
                  <w:jc w:val="right"/>
                  <w:rPr>
                    <w:sz w:val="24"/>
                  </w:rPr>
                </w:pPr>
                <w:r>
                  <w:t>14,000,000.00</w:t>
                </w:r>
              </w:p>
            </w:tc>
            <w:tc>
              <w:tcPr>
                <w:tcW w:w="1698" w:type="pct"/>
                <w:vAlign w:val="center"/>
              </w:tcPr>
              <w:p>
                <w:pPr>
                  <w:jc w:val="right"/>
                  <w:rPr>
                    <w:sz w:val="24"/>
                  </w:rPr>
                </w:pPr>
                <w:r>
                  <w:t>37,900,000.00</w:t>
                </w:r>
              </w:p>
            </w:tc>
          </w:tr>
        </w:tbl>
        <w:p>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167437322"/>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p>
          <w:pPr>
            <w:snapToGrid w:val="0"/>
            <w:spacing w:line="240" w:lineRule="atLeast"/>
            <w:rPr>
              <w:color w:val="000000" w:themeColor="text1"/>
              <w:szCs w:val="21"/>
            </w:rPr>
          </w:pPr>
        </w:p>
      </w:sdtContent>
    </w:sdt>
    <w:sdt>
      <w:sdtPr>
        <w:rPr>
          <w:rFonts w:hint="eastAsia" w:ascii="宋体" w:hAnsi="宋体" w:eastAsia="宋体" w:cs="宋体"/>
          <w:b w:val="0"/>
          <w:bCs w:val="0"/>
          <w:kern w:val="0"/>
          <w:szCs w:val="24"/>
        </w:rPr>
        <w:alias w:val="模块:已到期未偿还的短期借款情况"/>
        <w:tag w:val="_SEC_b35d2ea88a124242b0bd88394a858993"/>
        <w:id w:val="2058434122"/>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214"/>
            <w:numPr>
              <w:ilvl w:val="0"/>
              <w:numId w:val="95"/>
            </w:numPr>
            <w:ind w:left="426" w:hanging="426"/>
          </w:pPr>
          <w:r>
            <w:rPr>
              <w:rFonts w:hint="eastAsia"/>
            </w:rPr>
            <w:t>已逾期未偿还的短期借款情况</w:t>
          </w:r>
        </w:p>
        <w:sdt>
          <w:sdtPr>
            <w:alias w:val="是否适用：已逾期未偿还的短期借款情况[双击切换]"/>
            <w:tag w:val="_GBC_b92057263cbf4b81a96df7b9d664c576"/>
            <w:id w:val="-129174658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
          <w:r>
            <w:t>其中重要的已逾期未偿还的短期借款情况如下：</w:t>
          </w:r>
        </w:p>
        <w:sdt>
          <w:sdtPr>
            <w:alias w:val="是否适用：其中重要的已逾期未偿还的短期借款情况[双击切换]"/>
            <w:tag w:val="_GBC_7c9437a678604c0382802a3e97f4d126"/>
            <w:id w:val="-1445999276"/>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短期借款的说明"/>
        <w:tag w:val="_SEC_7331bb834b364e3baab9f33a89c455ca"/>
        <w:id w:val="646943789"/>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szCs w:val="21"/>
            </w:rPr>
            <w:alias w:val="是否适用：短期借款的说明[双击切换]"/>
            <w:tag w:val="_GBC_c52256f82238457bbb4708bc99652730"/>
            <w:id w:val="-13842326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sdt>
      <w:sdtPr>
        <w:rPr>
          <w:rFonts w:hint="eastAsia" w:ascii="宋体" w:hAnsi="宋体" w:cs="宋体"/>
          <w:b w:val="0"/>
          <w:bCs w:val="0"/>
          <w:kern w:val="0"/>
          <w:szCs w:val="21"/>
        </w:rPr>
        <w:alias w:val="模块:交易性金融负债"/>
        <w:tag w:val="_SEC_76cb151d14e6437cbef4c8c5df1588bd"/>
        <w:id w:val="1038556341"/>
        <w:lock w:val="sdtLocked"/>
        <w:placeholder>
          <w:docPart w:val="GBC22222222222222222222222222222"/>
        </w:placeholder>
      </w:sdtPr>
      <w:sdtEndPr>
        <w:rPr>
          <w:rFonts w:hint="default" w:ascii="宋体" w:hAnsi="宋体" w:cs="宋体"/>
          <w:b w:val="0"/>
          <w:bCs w:val="0"/>
          <w:kern w:val="0"/>
          <w:szCs w:val="21"/>
        </w:rPr>
      </w:sdtEndPr>
      <w:sdtContent>
        <w:p>
          <w:pPr>
            <w:pStyle w:val="213"/>
            <w:numPr>
              <w:ilvl w:val="0"/>
              <w:numId w:val="77"/>
            </w:numPr>
            <w:tabs>
              <w:tab w:val="left" w:pos="504"/>
            </w:tabs>
            <w:rPr>
              <w:szCs w:val="21"/>
            </w:rPr>
          </w:pPr>
          <w:bookmarkStart w:id="190" w:name="_Hlk533422954"/>
          <w:bookmarkStart w:id="191" w:name="_Hlk533670147"/>
          <w:r>
            <w:rPr>
              <w:rFonts w:hint="eastAsia"/>
              <w:szCs w:val="21"/>
            </w:rPr>
            <w:t>交易性金融负债</w:t>
          </w:r>
        </w:p>
        <w:sdt>
          <w:sdtPr>
            <w:rPr>
              <w:szCs w:val="21"/>
            </w:rPr>
            <w:alias w:val="是否适用：交易性金融负债[双击切换]"/>
            <w:tag w:val="_GBC_c7e98597070f45a4a30160e35e818445"/>
            <w:id w:val="-75011857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190"/>
    <w:bookmarkEnd w:id="191"/>
    <w:sdt>
      <w:sdtPr>
        <w:rPr>
          <w:rFonts w:hint="eastAsia" w:ascii="宋体" w:hAnsi="宋体" w:cs="宋体"/>
          <w:b w:val="0"/>
          <w:bCs w:val="0"/>
          <w:kern w:val="0"/>
          <w:szCs w:val="21"/>
        </w:rPr>
        <w:alias w:val="模块:衍生金融负债"/>
        <w:tag w:val="_SEC_55cf02a075b245feae9823bc0e924f07"/>
        <w:id w:val="96526141"/>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tabs>
              <w:tab w:val="left" w:pos="504"/>
            </w:tabs>
            <w:rPr>
              <w:szCs w:val="21"/>
            </w:rPr>
          </w:pPr>
          <w:r>
            <w:rPr>
              <w:rFonts w:hint="eastAsia"/>
              <w:szCs w:val="21"/>
            </w:rPr>
            <w:t>衍生</w:t>
          </w:r>
          <w:r>
            <w:rPr>
              <w:rFonts w:hint="eastAsia"/>
            </w:rPr>
            <w:t>金融</w:t>
          </w:r>
          <w:r>
            <w:rPr>
              <w:rFonts w:hint="eastAsia"/>
              <w:szCs w:val="21"/>
            </w:rPr>
            <w:t>负债</w:t>
          </w:r>
        </w:p>
        <w:p>
          <w:pPr>
            <w:rPr>
              <w:szCs w:val="21"/>
            </w:rPr>
          </w:pPr>
          <w:sdt>
            <w:sdtPr>
              <w:rPr>
                <w:szCs w:val="21"/>
              </w:rPr>
              <w:alias w:val="是否适用：衍生金融负债[双击切换]"/>
              <w:tag w:val="_GBC_9a70de9cca174edeb1bce62f4a47d15c"/>
              <w:id w:val="-1479447469"/>
              <w:lock w:val="sdtLocked"/>
              <w:placeholder>
                <w:docPart w:val="GBC22222222222222222222222222222"/>
              </w:placeholder>
            </w:sdtPr>
            <w:sdtEndPr>
              <w:rPr>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p>
          <w:pPr>
            <w:rPr>
              <w:szCs w:val="21"/>
            </w:rPr>
          </w:pPr>
        </w:p>
      </w:sdtContent>
    </w:sdt>
    <w:p>
      <w:pPr>
        <w:pStyle w:val="213"/>
        <w:numPr>
          <w:ilvl w:val="0"/>
          <w:numId w:val="77"/>
        </w:numPr>
        <w:tabs>
          <w:tab w:val="left" w:pos="504"/>
        </w:tabs>
        <w:rPr>
          <w:szCs w:val="21"/>
        </w:rPr>
      </w:pPr>
      <w:r>
        <w:rPr>
          <w:rFonts w:hint="eastAsia"/>
        </w:rPr>
        <w:t>应付票据</w:t>
      </w:r>
    </w:p>
    <w:p>
      <w:pPr>
        <w:pStyle w:val="214"/>
        <w:numPr>
          <w:ilvl w:val="0"/>
          <w:numId w:val="96"/>
        </w:numPr>
        <w:ind w:left="426" w:hanging="426"/>
      </w:pPr>
      <w:r>
        <w:rPr>
          <w:rFonts w:hint="eastAsia"/>
        </w:rPr>
        <w:t>应付票据列示</w:t>
      </w:r>
    </w:p>
    <w:sdt>
      <w:sdtPr>
        <w:alias w:val="是否适用：应付票据[双击切换]"/>
        <w:tag w:val="_GBC_c0116f9cd6f34dcfa483a1f112dac85a"/>
        <w:id w:val="-1907213164"/>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应付票据"/>
        <w:tag w:val="_SEC_42d38d00af52480383edb08e04ca3f9e"/>
        <w:id w:val="-1637712822"/>
        <w:lock w:val="sdtLocked"/>
        <w:placeholder>
          <w:docPart w:val="GBC22222222222222222222222222222"/>
        </w:placeholder>
      </w:sdtPr>
      <w:sdtEndPr>
        <w:rPr>
          <w:rFonts w:hint="default" w:cstheme="minorBidi"/>
          <w:b w:val="0"/>
          <w:bCs w:val="0"/>
          <w:szCs w:val="21"/>
        </w:rPr>
      </w:sdtEndPr>
      <w:sdtContent>
        <w:p>
          <w:pPr>
            <w:jc w:val="right"/>
          </w:pPr>
          <w:bookmarkStart w:id="192" w:name="_Hlk24103817"/>
          <w:r>
            <w:rPr>
              <w:rFonts w:hint="eastAsia"/>
            </w:rPr>
            <w:t>单位：</w:t>
          </w:r>
          <w:sdt>
            <w:sdtPr>
              <w:rPr>
                <w:rFonts w:hint="eastAsia"/>
              </w:rPr>
              <w:alias w:val="单位：财务附注：应付票据"/>
              <w:tag w:val="_GBC_15d55f1cad24473fb8cfaa98468213e2"/>
              <w:id w:val="10538909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36224848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216"/>
            <w:gridCol w:w="3201"/>
            <w:gridCol w:w="311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tag w:val="_PLD_73e624e5fe424f71bbf918594e2a1c9a"/>
                <w:id w:val="-1121071660"/>
                <w:lock w:val="sdtLocked"/>
              </w:sdt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种类</w:t>
                    </w:r>
                  </w:p>
                </w:tc>
              </w:sdtContent>
            </w:sdt>
            <w:sdt>
              <w:sdtPr>
                <w:tag w:val="_PLD_cca40679bdc548d8af0315d52fd2660e"/>
                <w:id w:val="-1381175339"/>
                <w:lock w:val="sdtLocked"/>
              </w:sdtPr>
              <w:sdtContent>
                <w:tc>
                  <w:tcPr>
                    <w:tcW w:w="1877"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429209ce46840dba67a32ae31e71913"/>
                <w:id w:val="437340729"/>
                <w:lock w:val="sdtLocked"/>
              </w:sdtPr>
              <w:sdtContent>
                <w:tc>
                  <w:tcPr>
                    <w:tcW w:w="1824"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tag w:val="_PLD_8355a82a67d34753a3fc963fb2f86238"/>
                <w:id w:val="-944002449"/>
                <w:lock w:val="sdtLocked"/>
              </w:sdt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jc w:val="center"/>
                      <w:rPr>
                        <w:szCs w:val="21"/>
                      </w:rPr>
                    </w:pPr>
                    <w:r>
                      <w:rPr>
                        <w:rFonts w:hint="eastAsia"/>
                        <w:szCs w:val="21"/>
                      </w:rPr>
                      <w:t>商业承兑汇票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4"/>
                  </w:rPr>
                </w:pPr>
              </w:p>
            </w:tc>
            <w:tc>
              <w:tcPr>
                <w:tcW w:w="1824"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rPr>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tag w:val="_PLD_f377c5f3aa1b4c669a448f31632245aa"/>
                <w:id w:val="-1205170239"/>
                <w:lock w:val="sdtLocked"/>
              </w:sdtPr>
              <w:sdtContent>
                <w:tc>
                  <w:tcPr>
                    <w:tcW w:w="1299" w:type="pct"/>
                    <w:tcBorders>
                      <w:top w:val="single" w:color="auto" w:sz="6" w:space="0"/>
                      <w:left w:val="single" w:color="auto" w:sz="6" w:space="0"/>
                      <w:bottom w:val="single" w:color="auto" w:sz="6" w:space="0"/>
                      <w:right w:val="single" w:color="auto" w:sz="6" w:space="0"/>
                    </w:tcBorders>
                    <w:shd w:val="clear" w:color="auto" w:fill="auto"/>
                  </w:tcPr>
                  <w:p>
                    <w:pPr>
                      <w:autoSpaceDE w:val="0"/>
                      <w:autoSpaceDN w:val="0"/>
                      <w:adjustRightInd w:val="0"/>
                      <w:snapToGrid w:val="0"/>
                      <w:spacing w:line="240" w:lineRule="atLeast"/>
                      <w:jc w:val="center"/>
                      <w:rPr>
                        <w:szCs w:val="21"/>
                      </w:rPr>
                    </w:pPr>
                    <w:r>
                      <w:rPr>
                        <w:rFonts w:hint="eastAsia"/>
                        <w:szCs w:val="21"/>
                      </w:rPr>
                      <w:t>银行承兑汇票</w:t>
                    </w:r>
                  </w:p>
                </w:tc>
              </w:sdtContent>
            </w:sdt>
            <w:tc>
              <w:tcPr>
                <w:tcW w:w="1877"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sz w:val="24"/>
                  </w:rPr>
                </w:pPr>
                <w:r>
                  <w:t>137,500,000.00</w:t>
                </w:r>
              </w:p>
            </w:tc>
            <w:tc>
              <w:tcPr>
                <w:tcW w:w="1824"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sz w:val="24"/>
                  </w:rPr>
                </w:pPr>
                <w:r>
                  <w:t>79,134,886.07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Pr>
            <w:sdt>
              <w:sdtPr>
                <w:tag w:val="_PLD_d9ecb67ca389423d99aef124c2e3d0b9"/>
                <w:id w:val="-1383402229"/>
                <w:lock w:val="sdtLocked"/>
              </w:sdtPr>
              <w:sdtContent>
                <w:tc>
                  <w:tcPr>
                    <w:tcW w:w="1299"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合计</w:t>
                    </w:r>
                  </w:p>
                </w:tc>
              </w:sdtContent>
            </w:sdt>
            <w:tc>
              <w:tcPr>
                <w:tcW w:w="1877" w:type="pct"/>
                <w:tcBorders>
                  <w:top w:val="single" w:color="auto" w:sz="6" w:space="0"/>
                  <w:left w:val="single" w:color="auto" w:sz="6" w:space="0"/>
                  <w:bottom w:val="single" w:color="auto" w:sz="6" w:space="0"/>
                  <w:right w:val="single" w:color="auto" w:sz="6" w:space="0"/>
                </w:tcBorders>
                <w:vAlign w:val="center"/>
              </w:tcPr>
              <w:p>
                <w:pPr>
                  <w:jc w:val="right"/>
                  <w:rPr>
                    <w:sz w:val="24"/>
                  </w:rPr>
                </w:pPr>
                <w:r>
                  <w:t>137,500,000.00</w:t>
                </w:r>
              </w:p>
            </w:tc>
            <w:tc>
              <w:tcPr>
                <w:tcW w:w="1824" w:type="pct"/>
                <w:tcBorders>
                  <w:top w:val="single" w:color="auto" w:sz="6" w:space="0"/>
                  <w:left w:val="single" w:color="auto" w:sz="6" w:space="0"/>
                  <w:bottom w:val="single" w:color="auto" w:sz="6" w:space="0"/>
                  <w:right w:val="single" w:color="auto" w:sz="6" w:space="0"/>
                </w:tcBorders>
                <w:vAlign w:val="center"/>
              </w:tcPr>
              <w:p>
                <w:pPr>
                  <w:jc w:val="right"/>
                  <w:rPr>
                    <w:sz w:val="24"/>
                  </w:rPr>
                </w:pPr>
                <w:r>
                  <w:t>79,134,886.07</w:t>
                </w:r>
              </w:p>
            </w:tc>
          </w:tr>
        </w:tbl>
        <w:p>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526681757"/>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sdtContent>
    </w:sdt>
    <w:bookmarkEnd w:id="192"/>
    <w:p>
      <w:pPr>
        <w:rPr>
          <w:szCs w:val="21"/>
        </w:rPr>
      </w:pPr>
    </w:p>
    <w:p>
      <w:pPr>
        <w:pStyle w:val="213"/>
        <w:numPr>
          <w:ilvl w:val="0"/>
          <w:numId w:val="77"/>
        </w:numPr>
        <w:tabs>
          <w:tab w:val="left" w:pos="504"/>
        </w:tabs>
      </w:pPr>
      <w:r>
        <w:rPr>
          <w:rFonts w:hint="eastAsia"/>
        </w:rPr>
        <w:t>应付账款</w:t>
      </w:r>
    </w:p>
    <w:sdt>
      <w:sdtPr>
        <w:rPr>
          <w:rFonts w:hint="eastAsia" w:ascii="宋体" w:hAnsi="宋体" w:eastAsia="宋体" w:cs="宋体"/>
          <w:b w:val="0"/>
          <w:bCs w:val="0"/>
          <w:kern w:val="0"/>
          <w:szCs w:val="24"/>
        </w:rPr>
        <w:alias w:val="模块:应付账款情况"/>
        <w:tag w:val="_SEC_6983b90893c6404eb7c7286ec627bbd3"/>
        <w:id w:val="141883159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0"/>
              <w:numId w:val="97"/>
            </w:numPr>
            <w:ind w:left="426" w:hanging="426"/>
          </w:pPr>
          <w:r>
            <w:rPr>
              <w:rFonts w:hint="eastAsia"/>
            </w:rPr>
            <w:t>应付账款列示</w:t>
          </w:r>
        </w:p>
        <w:sdt>
          <w:sdtPr>
            <w:alias w:val="是否适用：应付账款列示[双击切换]"/>
            <w:tag w:val="_GBC_dfb190a9e762454c9f89eb6be64b6eae"/>
            <w:id w:val="210892339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付账款情况"/>
              <w:tag w:val="_GBC_c14fe17937b74139aa7e100941fb21e9"/>
              <w:id w:val="113738554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10468098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7"/>
            <w:gridCol w:w="2702"/>
            <w:gridCol w:w="3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270d78e97cf4a1cb18154c5c5dafe58"/>
                <w:id w:val="-342085329"/>
                <w:lock w:val="sdtLocked"/>
              </w:sdtPr>
              <w:sdtContent>
                <w:tc>
                  <w:tcPr>
                    <w:tcW w:w="1570" w:type="pct"/>
                    <w:shd w:val="clear" w:color="auto" w:fill="auto"/>
                  </w:tcPr>
                  <w:p>
                    <w:pPr>
                      <w:jc w:val="center"/>
                      <w:rPr>
                        <w:szCs w:val="21"/>
                      </w:rPr>
                    </w:pPr>
                    <w:r>
                      <w:rPr>
                        <w:rFonts w:hint="eastAsia"/>
                        <w:szCs w:val="21"/>
                      </w:rPr>
                      <w:t>项目</w:t>
                    </w:r>
                  </w:p>
                </w:tc>
              </w:sdtContent>
            </w:sdt>
            <w:sdt>
              <w:sdtPr>
                <w:tag w:val="_PLD_56127cd5754c44aaacae0a1320139a7a"/>
                <w:id w:val="1000090848"/>
                <w:lock w:val="sdtLocked"/>
              </w:sdtPr>
              <w:sdtContent>
                <w:tc>
                  <w:tcPr>
                    <w:tcW w:w="1584" w:type="pct"/>
                    <w:shd w:val="clear" w:color="auto" w:fill="auto"/>
                  </w:tcPr>
                  <w:p>
                    <w:pPr>
                      <w:jc w:val="center"/>
                      <w:rPr>
                        <w:szCs w:val="21"/>
                      </w:rPr>
                    </w:pPr>
                    <w:r>
                      <w:rPr>
                        <w:rFonts w:hint="eastAsia"/>
                        <w:szCs w:val="21"/>
                      </w:rPr>
                      <w:t>期末余额</w:t>
                    </w:r>
                  </w:p>
                </w:tc>
              </w:sdtContent>
            </w:sdt>
            <w:sdt>
              <w:sdtPr>
                <w:tag w:val="_PLD_27c6d2ca479446539fe00ab23ee1dc13"/>
                <w:id w:val="-426585461"/>
                <w:lock w:val="sdtLocked"/>
              </w:sdtPr>
              <w:sdtContent>
                <w:tc>
                  <w:tcPr>
                    <w:tcW w:w="1846" w:type="pct"/>
                    <w:shd w:val="clear" w:color="auto" w:fill="auto"/>
                  </w:tcPr>
                  <w:p>
                    <w:pPr>
                      <w:jc w:val="center"/>
                      <w:rPr>
                        <w:szCs w:val="21"/>
                      </w:rPr>
                    </w:pPr>
                    <w:r>
                      <w:rPr>
                        <w:rFonts w:hint="eastAsia"/>
                        <w:szCs w:val="21"/>
                      </w:rPr>
                      <w:t>期初余额</w:t>
                    </w:r>
                  </w:p>
                </w:tc>
              </w:sdtContent>
            </w:sdt>
          </w:tr>
          <w:sdt>
            <w:sdtPr>
              <w:rPr>
                <w:rFonts w:hint="eastAsia"/>
                <w:szCs w:val="21"/>
              </w:rPr>
              <w:alias w:val="应付账款情况明细"/>
              <w:tag w:val="_TUP_f092ddb351f143359436bc8808c3f1ee"/>
              <w:id w:val="196060365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t>应付材料款</w:t>
                    </w:r>
                  </w:p>
                </w:tc>
                <w:tc>
                  <w:tcPr>
                    <w:tcW w:w="1584" w:type="pct"/>
                    <w:shd w:val="clear" w:color="auto" w:fill="auto"/>
                  </w:tcPr>
                  <w:p>
                    <w:pPr>
                      <w:jc w:val="right"/>
                      <w:rPr>
                        <w:szCs w:val="21"/>
                      </w:rPr>
                    </w:pPr>
                    <w:r>
                      <w:t>938,776,955.51</w:t>
                    </w:r>
                  </w:p>
                </w:tc>
                <w:tc>
                  <w:tcPr>
                    <w:tcW w:w="1846" w:type="pct"/>
                    <w:shd w:val="clear" w:color="auto" w:fill="auto"/>
                  </w:tcPr>
                  <w:p>
                    <w:pPr>
                      <w:jc w:val="right"/>
                      <w:rPr>
                        <w:szCs w:val="21"/>
                      </w:rPr>
                    </w:pPr>
                    <w:r>
                      <w:t>552,176,498.25</w:t>
                    </w:r>
                  </w:p>
                </w:tc>
              </w:tr>
            </w:sdtContent>
          </w:sdt>
          <w:sdt>
            <w:sdtPr>
              <w:rPr>
                <w:rFonts w:hint="eastAsia"/>
                <w:szCs w:val="21"/>
              </w:rPr>
              <w:alias w:val="应付账款情况明细"/>
              <w:tag w:val="_TUP_f092ddb351f143359436bc8808c3f1ee"/>
              <w:id w:val="206351030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shd w:val="clear" w:color="auto" w:fill="auto"/>
                  </w:tcPr>
                  <w:p>
                    <w:pPr>
                      <w:rPr>
                        <w:szCs w:val="21"/>
                      </w:rPr>
                    </w:pPr>
                    <w:r>
                      <w:t>应付工程款</w:t>
                    </w:r>
                  </w:p>
                </w:tc>
                <w:tc>
                  <w:tcPr>
                    <w:tcW w:w="1584" w:type="pct"/>
                    <w:shd w:val="clear" w:color="auto" w:fill="auto"/>
                  </w:tcPr>
                  <w:p>
                    <w:pPr>
                      <w:jc w:val="right"/>
                      <w:rPr>
                        <w:szCs w:val="21"/>
                      </w:rPr>
                    </w:pPr>
                    <w:r>
                      <w:t>102,527,380.44</w:t>
                    </w:r>
                  </w:p>
                </w:tc>
                <w:tc>
                  <w:tcPr>
                    <w:tcW w:w="1846" w:type="pct"/>
                    <w:shd w:val="clear" w:color="auto" w:fill="auto"/>
                  </w:tcPr>
                  <w:p>
                    <w:pPr>
                      <w:jc w:val="right"/>
                      <w:rPr>
                        <w:szCs w:val="21"/>
                      </w:rPr>
                    </w:pPr>
                    <w:r>
                      <w:t>201,666,565.71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c494311a3a446fa9ed8956bb8a7f277"/>
                <w:id w:val="1736128183"/>
                <w:lock w:val="sdtLocked"/>
              </w:sdtPr>
              <w:sdtContent>
                <w:tc>
                  <w:tcPr>
                    <w:tcW w:w="1570" w:type="pct"/>
                    <w:shd w:val="clear" w:color="auto" w:fill="auto"/>
                  </w:tcPr>
                  <w:p>
                    <w:pPr>
                      <w:jc w:val="center"/>
                      <w:rPr>
                        <w:color w:val="000000" w:themeColor="text1"/>
                        <w:szCs w:val="21"/>
                      </w:rPr>
                    </w:pPr>
                    <w:r>
                      <w:rPr>
                        <w:rFonts w:hint="eastAsia"/>
                        <w:color w:val="000000" w:themeColor="text1"/>
                        <w:szCs w:val="21"/>
                      </w:rPr>
                      <w:t>合计</w:t>
                    </w:r>
                  </w:p>
                </w:tc>
              </w:sdtContent>
            </w:sdt>
            <w:tc>
              <w:tcPr>
                <w:tcW w:w="1584" w:type="pct"/>
                <w:shd w:val="clear" w:color="auto" w:fill="auto"/>
                <w:vAlign w:val="center"/>
              </w:tcPr>
              <w:p>
                <w:pPr>
                  <w:jc w:val="right"/>
                  <w:rPr>
                    <w:sz w:val="24"/>
                  </w:rPr>
                </w:pPr>
                <w:r>
                  <w:t>1,041,304,335.95</w:t>
                </w:r>
              </w:p>
            </w:tc>
            <w:tc>
              <w:tcPr>
                <w:tcW w:w="1846" w:type="pct"/>
                <w:shd w:val="clear" w:color="auto" w:fill="auto"/>
                <w:vAlign w:val="center"/>
              </w:tcPr>
              <w:p>
                <w:pPr>
                  <w:jc w:val="right"/>
                  <w:rPr>
                    <w:sz w:val="24"/>
                  </w:rPr>
                </w:pPr>
                <w:r>
                  <w:t>753,843,063.96</w:t>
                </w:r>
              </w:p>
            </w:tc>
          </w:tr>
        </w:tbl>
        <w:p/>
      </w:sdtContent>
    </w:sdt>
    <w:sdt>
      <w:sdtPr>
        <w:rPr>
          <w:rFonts w:hint="eastAsia" w:eastAsia="宋体" w:asciiTheme="minorHAnsi" w:hAnsiTheme="minorHAnsi" w:cstheme="minorBidi"/>
          <w:b w:val="0"/>
          <w:bCs w:val="0"/>
          <w:kern w:val="0"/>
          <w:szCs w:val="22"/>
        </w:rPr>
        <w:alias w:val="模块:重要的账龄超过1年的应付账款单位：元币种：人民币项目期末..."/>
        <w:tag w:val="_SEC_f6472fc9df314a45ae6f3743495113f0"/>
        <w:id w:val="187727377"/>
        <w:lock w:val="sdtLocked"/>
        <w:placeholder>
          <w:docPart w:val="GBC22222222222222222222222222222"/>
        </w:placeholder>
      </w:sdtPr>
      <w:sdtEndPr>
        <w:rPr>
          <w:rFonts w:hint="eastAsia" w:eastAsia="宋体" w:asciiTheme="minorHAnsi" w:hAnsiTheme="minorHAnsi" w:cstheme="minorBidi"/>
          <w:b w:val="0"/>
          <w:bCs w:val="0"/>
          <w:kern w:val="0"/>
          <w:szCs w:val="22"/>
        </w:rPr>
      </w:sdtEndPr>
      <w:sdtContent>
        <w:p>
          <w:pPr>
            <w:pStyle w:val="214"/>
            <w:numPr>
              <w:ilvl w:val="0"/>
              <w:numId w:val="97"/>
            </w:numPr>
            <w:ind w:left="426" w:hanging="426"/>
          </w:pPr>
          <w:r>
            <w:rPr>
              <w:rFonts w:hint="eastAsia"/>
            </w:rPr>
            <w:t>账龄超过</w:t>
          </w:r>
          <w:r>
            <w:t>1年的重要应付账款</w:t>
          </w:r>
        </w:p>
        <w:sdt>
          <w:sdtPr>
            <w:alias w:val="是否适用：账龄超过1年的重要应付账款[双击切换]"/>
            <w:tag w:val="_GBC_0eff470980a54dc3a4ea5996ab7721ce"/>
            <w:id w:val="-32744000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账龄超过1年的应付账款"/>
              <w:tag w:val="_GBC_400afb873eea4650b57e850422f00616"/>
              <w:id w:val="-13687567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账龄超过1年的应付账款"/>
              <w:tag w:val="_GBC_e8618ecbab754a8a9213d0e97303efbc"/>
              <w:id w:val="701912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6"/>
            <w:gridCol w:w="1822"/>
            <w:gridCol w:w="2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dad43e863d14167af7eeaf4873d2a72"/>
                <w:id w:val="31778776"/>
                <w:lock w:val="sdtLocked"/>
              </w:sdtPr>
              <w:sdtContent>
                <w:tc>
                  <w:tcPr>
                    <w:tcW w:w="2308" w:type="pct"/>
                    <w:shd w:val="clear" w:color="auto" w:fill="auto"/>
                    <w:vAlign w:val="center"/>
                  </w:tcPr>
                  <w:p>
                    <w:pPr>
                      <w:jc w:val="center"/>
                      <w:rPr>
                        <w:szCs w:val="21"/>
                      </w:rPr>
                    </w:pPr>
                    <w:r>
                      <w:rPr>
                        <w:rFonts w:hint="eastAsia"/>
                        <w:szCs w:val="21"/>
                      </w:rPr>
                      <w:t>项目</w:t>
                    </w:r>
                  </w:p>
                </w:tc>
              </w:sdtContent>
            </w:sdt>
            <w:sdt>
              <w:sdtPr>
                <w:tag w:val="_PLD_cd3e87440a294e4685cb5994a6fce19b"/>
                <w:id w:val="31778777"/>
                <w:lock w:val="sdtLocked"/>
              </w:sdtPr>
              <w:sdtContent>
                <w:tc>
                  <w:tcPr>
                    <w:tcW w:w="1068" w:type="pct"/>
                    <w:shd w:val="clear" w:color="auto" w:fill="auto"/>
                    <w:vAlign w:val="center"/>
                  </w:tcPr>
                  <w:p>
                    <w:pPr>
                      <w:jc w:val="center"/>
                      <w:rPr>
                        <w:szCs w:val="21"/>
                      </w:rPr>
                    </w:pPr>
                    <w:r>
                      <w:rPr>
                        <w:rFonts w:hint="eastAsia"/>
                        <w:szCs w:val="21"/>
                      </w:rPr>
                      <w:t>期末余额</w:t>
                    </w:r>
                  </w:p>
                </w:tc>
              </w:sdtContent>
            </w:sdt>
            <w:sdt>
              <w:sdtPr>
                <w:tag w:val="_PLD_3948dc08dbd84dbd875d1bd042c28c03"/>
                <w:id w:val="31778778"/>
                <w:lock w:val="sdtLocked"/>
              </w:sdtPr>
              <w:sdtContent>
                <w:tc>
                  <w:tcPr>
                    <w:tcW w:w="1624" w:type="pct"/>
                    <w:shd w:val="clear" w:color="auto" w:fill="auto"/>
                    <w:vAlign w:val="center"/>
                  </w:tcPr>
                  <w:p>
                    <w:pPr>
                      <w:jc w:val="center"/>
                      <w:rPr>
                        <w:szCs w:val="21"/>
                      </w:rPr>
                    </w:pPr>
                    <w:r>
                      <w:rPr>
                        <w:rFonts w:hint="eastAsia"/>
                        <w:szCs w:val="21"/>
                      </w:rPr>
                      <w:t>未偿还或结转的原因</w:t>
                    </w:r>
                  </w:p>
                </w:tc>
              </w:sdtContent>
            </w:sdt>
          </w:tr>
          <w:sdt>
            <w:sdtPr>
              <w:rPr>
                <w:rFonts w:asciiTheme="minorHAnsi" w:hAnsiTheme="minorHAnsi" w:eastAsiaTheme="minorEastAsia" w:cstheme="minorBidi"/>
                <w:kern w:val="2"/>
                <w:szCs w:val="21"/>
              </w:rPr>
              <w:alias w:val="重要的账龄超过1年的应付账款明细"/>
              <w:tag w:val="_TUP_eb35159b40154d30921830d673015213"/>
              <w:id w:val="3177877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tcBorders>
                      <w:bottom w:val="single" w:color="auto" w:sz="4" w:space="0"/>
                    </w:tcBorders>
                    <w:shd w:val="clear" w:color="auto" w:fill="auto"/>
                  </w:tcPr>
                  <w:p>
                    <w:pPr>
                      <w:rPr>
                        <w:szCs w:val="21"/>
                      </w:rPr>
                    </w:pPr>
                    <w:r>
                      <w:t>越研环境工程盐城有限公司</w:t>
                    </w:r>
                  </w:p>
                </w:tc>
                <w:tc>
                  <w:tcPr>
                    <w:tcW w:w="1068" w:type="pct"/>
                    <w:shd w:val="clear" w:color="auto" w:fill="auto"/>
                  </w:tcPr>
                  <w:p>
                    <w:pPr>
                      <w:jc w:val="right"/>
                      <w:rPr>
                        <w:szCs w:val="21"/>
                      </w:rPr>
                    </w:pPr>
                    <w:r>
                      <w:t>14,599,700.34</w:t>
                    </w:r>
                  </w:p>
                </w:tc>
                <w:tc>
                  <w:tcPr>
                    <w:tcW w:w="1624" w:type="pct"/>
                    <w:shd w:val="clear" w:color="auto" w:fill="auto"/>
                  </w:tcPr>
                  <w:p>
                    <w:pPr>
                      <w:jc w:val="center"/>
                      <w:rPr>
                        <w:szCs w:val="21"/>
                      </w:rPr>
                    </w:pPr>
                    <w:r>
                      <w:rPr>
                        <w:rFonts w:hint="eastAsia"/>
                      </w:rPr>
                      <w:t>争议，等待开庭</w:t>
                    </w:r>
                  </w:p>
                </w:tc>
              </w:tr>
            </w:sdtContent>
          </w:sdt>
          <w:sdt>
            <w:sdtPr>
              <w:rPr>
                <w:rFonts w:asciiTheme="minorHAnsi" w:hAnsiTheme="minorHAnsi" w:eastAsiaTheme="minorEastAsia" w:cstheme="minorBidi"/>
                <w:kern w:val="2"/>
                <w:szCs w:val="21"/>
              </w:rPr>
              <w:alias w:val="重要的账龄超过1年的应付账款明细"/>
              <w:tag w:val="_TUP_eb35159b40154d30921830d673015213"/>
              <w:id w:val="3177878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tcBorders>
                      <w:bottom w:val="single" w:color="auto" w:sz="4" w:space="0"/>
                    </w:tcBorders>
                    <w:shd w:val="clear" w:color="auto" w:fill="auto"/>
                  </w:tcPr>
                  <w:p>
                    <w:pPr>
                      <w:rPr>
                        <w:szCs w:val="21"/>
                      </w:rPr>
                    </w:pPr>
                    <w:r>
                      <w:t>中建三局第一建设工程有限责任公司</w:t>
                    </w:r>
                  </w:p>
                </w:tc>
                <w:tc>
                  <w:tcPr>
                    <w:tcW w:w="1068" w:type="pct"/>
                    <w:shd w:val="clear" w:color="auto" w:fill="auto"/>
                  </w:tcPr>
                  <w:p>
                    <w:pPr>
                      <w:jc w:val="right"/>
                      <w:rPr>
                        <w:szCs w:val="21"/>
                      </w:rPr>
                    </w:pPr>
                    <w:r>
                      <w:t>4,597,783.55</w:t>
                    </w:r>
                  </w:p>
                </w:tc>
                <w:tc>
                  <w:tcPr>
                    <w:tcW w:w="1624" w:type="pct"/>
                    <w:shd w:val="clear" w:color="auto" w:fill="auto"/>
                  </w:tcPr>
                  <w:p>
                    <w:pPr>
                      <w:jc w:val="center"/>
                      <w:rPr>
                        <w:szCs w:val="21"/>
                      </w:rPr>
                    </w:pPr>
                    <w:r>
                      <w:t>未到付款节点</w:t>
                    </w:r>
                  </w:p>
                </w:tc>
              </w:tr>
            </w:sdtContent>
          </w:sdt>
          <w:sdt>
            <w:sdtPr>
              <w:rPr>
                <w:rFonts w:asciiTheme="minorHAnsi" w:hAnsiTheme="minorHAnsi" w:eastAsiaTheme="minorEastAsia" w:cstheme="minorBidi"/>
                <w:kern w:val="2"/>
                <w:szCs w:val="21"/>
              </w:rPr>
              <w:alias w:val="重要的账龄超过1年的应付账款明细"/>
              <w:tag w:val="_TUP_eb35159b40154d30921830d673015213"/>
              <w:id w:val="3177878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tcBorders>
                      <w:bottom w:val="single" w:color="auto" w:sz="4" w:space="0"/>
                    </w:tcBorders>
                    <w:shd w:val="clear" w:color="auto" w:fill="auto"/>
                  </w:tcPr>
                  <w:p>
                    <w:pPr>
                      <w:rPr>
                        <w:szCs w:val="21"/>
                      </w:rPr>
                    </w:pPr>
                    <w:r>
                      <w:t>浙江省长兴天能电源有限公司</w:t>
                    </w:r>
                  </w:p>
                </w:tc>
                <w:tc>
                  <w:tcPr>
                    <w:tcW w:w="1068" w:type="pct"/>
                    <w:shd w:val="clear" w:color="auto" w:fill="auto"/>
                  </w:tcPr>
                  <w:p>
                    <w:pPr>
                      <w:jc w:val="right"/>
                      <w:rPr>
                        <w:szCs w:val="21"/>
                      </w:rPr>
                    </w:pPr>
                    <w:r>
                      <w:t>2,767,824.60</w:t>
                    </w:r>
                  </w:p>
                </w:tc>
                <w:tc>
                  <w:tcPr>
                    <w:tcW w:w="1624" w:type="pct"/>
                    <w:shd w:val="clear" w:color="auto" w:fill="auto"/>
                  </w:tcPr>
                  <w:p>
                    <w:pPr>
                      <w:jc w:val="center"/>
                      <w:rPr>
                        <w:szCs w:val="21"/>
                      </w:rPr>
                    </w:pPr>
                    <w:r>
                      <w:t>未到付款节点</w:t>
                    </w:r>
                  </w:p>
                </w:tc>
              </w:tr>
            </w:sdtContent>
          </w:sdt>
          <w:sdt>
            <w:sdtPr>
              <w:rPr>
                <w:rFonts w:asciiTheme="minorHAnsi" w:hAnsiTheme="minorHAnsi" w:eastAsiaTheme="minorEastAsia" w:cstheme="minorBidi"/>
                <w:kern w:val="2"/>
                <w:szCs w:val="21"/>
              </w:rPr>
              <w:alias w:val="重要的账龄超过1年的应付账款明细"/>
              <w:tag w:val="_TUP_eb35159b40154d30921830d673015213"/>
              <w:id w:val="3177878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tcBorders>
                      <w:bottom w:val="single" w:color="auto" w:sz="4" w:space="0"/>
                    </w:tcBorders>
                    <w:shd w:val="clear" w:color="auto" w:fill="auto"/>
                  </w:tcPr>
                  <w:p>
                    <w:pPr>
                      <w:rPr>
                        <w:szCs w:val="21"/>
                      </w:rPr>
                    </w:pPr>
                    <w:r>
                      <w:t>重庆市天境生态环境有限公司</w:t>
                    </w:r>
                  </w:p>
                </w:tc>
                <w:tc>
                  <w:tcPr>
                    <w:tcW w:w="1068" w:type="pct"/>
                    <w:shd w:val="clear" w:color="auto" w:fill="auto"/>
                  </w:tcPr>
                  <w:p>
                    <w:pPr>
                      <w:jc w:val="right"/>
                      <w:rPr>
                        <w:szCs w:val="21"/>
                      </w:rPr>
                    </w:pPr>
                    <w:r>
                      <w:t>2,341,098.66</w:t>
                    </w:r>
                  </w:p>
                </w:tc>
                <w:tc>
                  <w:tcPr>
                    <w:tcW w:w="1624" w:type="pct"/>
                    <w:shd w:val="clear" w:color="auto" w:fill="auto"/>
                  </w:tcPr>
                  <w:p>
                    <w:pPr>
                      <w:jc w:val="center"/>
                      <w:rPr>
                        <w:szCs w:val="21"/>
                      </w:rPr>
                    </w:pPr>
                    <w:r>
                      <w:t>未到付款节点</w:t>
                    </w:r>
                  </w:p>
                </w:tc>
              </w:tr>
            </w:sdtContent>
          </w:sdt>
          <w:sdt>
            <w:sdtPr>
              <w:rPr>
                <w:rFonts w:asciiTheme="minorHAnsi" w:hAnsiTheme="minorHAnsi" w:eastAsiaTheme="minorEastAsia" w:cstheme="minorBidi"/>
                <w:kern w:val="2"/>
                <w:szCs w:val="21"/>
              </w:rPr>
              <w:alias w:val="重要的账龄超过1年的应付账款明细"/>
              <w:tag w:val="_TUP_eb35159b40154d30921830d673015213"/>
              <w:id w:val="3177878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8" w:type="pct"/>
                    <w:tcBorders>
                      <w:bottom w:val="single" w:color="auto" w:sz="4" w:space="0"/>
                    </w:tcBorders>
                    <w:shd w:val="clear" w:color="auto" w:fill="auto"/>
                  </w:tcPr>
                  <w:p>
                    <w:pPr>
                      <w:rPr>
                        <w:szCs w:val="21"/>
                      </w:rPr>
                    </w:pPr>
                    <w:r>
                      <w:t>洛阳新塑成实业有限公司</w:t>
                    </w:r>
                  </w:p>
                </w:tc>
                <w:tc>
                  <w:tcPr>
                    <w:tcW w:w="1068" w:type="pct"/>
                    <w:shd w:val="clear" w:color="auto" w:fill="auto"/>
                  </w:tcPr>
                  <w:p>
                    <w:pPr>
                      <w:jc w:val="right"/>
                      <w:rPr>
                        <w:szCs w:val="21"/>
                      </w:rPr>
                    </w:pPr>
                    <w:r>
                      <w:t>2,010,345.35</w:t>
                    </w:r>
                  </w:p>
                </w:tc>
                <w:tc>
                  <w:tcPr>
                    <w:tcW w:w="1624" w:type="pct"/>
                    <w:shd w:val="clear" w:color="auto" w:fill="auto"/>
                  </w:tcPr>
                  <w:p>
                    <w:pPr>
                      <w:jc w:val="center"/>
                      <w:rPr>
                        <w:szCs w:val="21"/>
                      </w:rPr>
                    </w:pPr>
                    <w:r>
                      <w:t>未到付款节点</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58d2b659b1497e80249fe4dcd9da2a"/>
                <w:id w:val="31778784"/>
                <w:lock w:val="sdtLocked"/>
              </w:sdtPr>
              <w:sdtContent>
                <w:tc>
                  <w:tcPr>
                    <w:tcW w:w="2308" w:type="pct"/>
                    <w:shd w:val="clear" w:color="auto" w:fill="auto"/>
                    <w:vAlign w:val="center"/>
                  </w:tcPr>
                  <w:p>
                    <w:pPr>
                      <w:jc w:val="center"/>
                      <w:rPr>
                        <w:szCs w:val="21"/>
                      </w:rPr>
                    </w:pPr>
                    <w:r>
                      <w:rPr>
                        <w:rFonts w:hint="eastAsia"/>
                        <w:szCs w:val="21"/>
                      </w:rPr>
                      <w:t>合计</w:t>
                    </w:r>
                  </w:p>
                </w:tc>
              </w:sdtContent>
            </w:sdt>
            <w:tc>
              <w:tcPr>
                <w:tcW w:w="1068" w:type="pct"/>
                <w:shd w:val="clear" w:color="auto" w:fill="auto"/>
              </w:tcPr>
              <w:p>
                <w:pPr>
                  <w:jc w:val="right"/>
                  <w:rPr>
                    <w:szCs w:val="21"/>
                  </w:rPr>
                </w:pPr>
                <w:r>
                  <w:rPr>
                    <w:szCs w:val="21"/>
                  </w:rPr>
                  <w:t>26,316,752.5</w:t>
                </w:r>
                <w:r>
                  <w:rPr>
                    <w:rFonts w:hint="eastAsia"/>
                    <w:szCs w:val="21"/>
                  </w:rPr>
                  <w:t>0</w:t>
                </w:r>
              </w:p>
            </w:tc>
            <w:tc>
              <w:tcPr>
                <w:tcW w:w="1624" w:type="pct"/>
                <w:shd w:val="clear" w:color="auto" w:fill="auto"/>
              </w:tcPr>
              <w:p>
                <w:pPr>
                  <w:jc w:val="center"/>
                  <w:rPr>
                    <w:szCs w:val="21"/>
                  </w:rPr>
                </w:pPr>
              </w:p>
            </w:tc>
          </w:tr>
        </w:tbl>
        <w:p/>
      </w:sdtContent>
    </w:sdt>
    <w:sdt>
      <w:sdtPr>
        <w:rPr>
          <w:rFonts w:hint="eastAsia"/>
          <w:b/>
          <w:bCs/>
        </w:rPr>
        <w:alias w:val="模块:应付账款的其他说明"/>
        <w:tag w:val="_SEC_11f269c09d754458a6354680b3ca0c0b"/>
        <w:id w:val="1818607652"/>
        <w:lock w:val="sdtLocked"/>
        <w:placeholder>
          <w:docPart w:val="GBC22222222222222222222222222222"/>
        </w:placeholder>
      </w:sdtPr>
      <w:sdtEndPr>
        <w:rPr>
          <w:rFonts w:hint="default" w:cstheme="minorBidi"/>
          <w:b w:val="0"/>
          <w:bCs w:val="0"/>
          <w:kern w:val="2"/>
          <w:szCs w:val="21"/>
        </w:rPr>
      </w:sdtEndPr>
      <w:sdtContent>
        <w:p>
          <w:pPr>
            <w:rPr>
              <w:szCs w:val="21"/>
            </w:rPr>
          </w:pPr>
          <w:r>
            <w:rPr>
              <w:rFonts w:hint="eastAsia"/>
            </w:rPr>
            <w:t>其他</w:t>
          </w:r>
          <w:r>
            <w:rPr>
              <w:rFonts w:hint="eastAsia"/>
              <w:szCs w:val="21"/>
            </w:rPr>
            <w:t>说明</w:t>
          </w:r>
        </w:p>
        <w:sdt>
          <w:sdtPr>
            <w:rPr>
              <w:szCs w:val="21"/>
            </w:rPr>
            <w:alias w:val="是否适用：应付账款的其他说明[双击切换]"/>
            <w:tag w:val="_GBC_5dc0587a83084b71961a20293aaa95fb"/>
            <w:id w:val="-1395036918"/>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napToGrid w:val="0"/>
        <w:spacing w:line="240" w:lineRule="atLeast"/>
        <w:rPr>
          <w:szCs w:val="21"/>
        </w:rPr>
      </w:pPr>
    </w:p>
    <w:p>
      <w:pPr>
        <w:pStyle w:val="213"/>
        <w:numPr>
          <w:ilvl w:val="0"/>
          <w:numId w:val="77"/>
        </w:numPr>
        <w:tabs>
          <w:tab w:val="left" w:pos="504"/>
        </w:tabs>
        <w:rPr>
          <w:rFonts w:ascii="宋体" w:hAnsi="宋体"/>
          <w:szCs w:val="21"/>
        </w:rPr>
      </w:pPr>
      <w:r>
        <w:rPr>
          <w:rFonts w:hint="eastAsia" w:ascii="宋体" w:hAnsi="宋体"/>
          <w:szCs w:val="21"/>
        </w:rPr>
        <w:t>预收款项</w:t>
      </w:r>
    </w:p>
    <w:sdt>
      <w:sdtPr>
        <w:rPr>
          <w:rFonts w:hint="eastAsia" w:ascii="宋体" w:hAnsi="宋体" w:eastAsia="宋体" w:cs="宋体"/>
          <w:b w:val="0"/>
          <w:bCs w:val="0"/>
          <w:kern w:val="0"/>
          <w:szCs w:val="24"/>
        </w:rPr>
        <w:alias w:val="模块:预收账款情况"/>
        <w:tag w:val="_SEC_6c51b7b8aad944a6a7343a7c4468bc35"/>
        <w:id w:val="-195963266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0"/>
              <w:numId w:val="98"/>
            </w:numPr>
          </w:pPr>
          <w:r>
            <w:rPr>
              <w:rFonts w:hint="eastAsia"/>
            </w:rPr>
            <w:t>预收账款项列示</w:t>
          </w:r>
        </w:p>
        <w:sdt>
          <w:sdtPr>
            <w:alias w:val="是否适用：预收账款项列示[双击切换]"/>
            <w:tag w:val="_GBC_87fabe8d5b22400ca19233d7f82c54fc"/>
            <w:id w:val="-209400118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预收账款情况"/>
              <w:tag w:val="_GBC_4fab9f590de5470ea6904b137451f241"/>
              <w:id w:val="-511543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5218196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1"/>
            <w:gridCol w:w="2901"/>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178a0aff824e07b02041ccbb504bd9"/>
                <w:id w:val="1747073496"/>
                <w:lock w:val="sdtLocked"/>
              </w:sdtPr>
              <w:sdtContent>
                <w:tc>
                  <w:tcPr>
                    <w:tcW w:w="1601" w:type="pct"/>
                    <w:shd w:val="clear" w:color="auto" w:fill="auto"/>
                  </w:tcPr>
                  <w:p>
                    <w:pPr>
                      <w:jc w:val="center"/>
                      <w:rPr>
                        <w:szCs w:val="21"/>
                      </w:rPr>
                    </w:pPr>
                    <w:r>
                      <w:rPr>
                        <w:rFonts w:hint="eastAsia"/>
                        <w:szCs w:val="21"/>
                      </w:rPr>
                      <w:t>项目</w:t>
                    </w:r>
                  </w:p>
                </w:tc>
              </w:sdtContent>
            </w:sdt>
            <w:sdt>
              <w:sdtPr>
                <w:tag w:val="_PLD_4365dc5a9b404da5ab51b4fe0a65574b"/>
                <w:id w:val="1910194331"/>
                <w:lock w:val="sdtLocked"/>
              </w:sdtPr>
              <w:sdtContent>
                <w:tc>
                  <w:tcPr>
                    <w:tcW w:w="1701" w:type="pct"/>
                    <w:shd w:val="clear" w:color="auto" w:fill="auto"/>
                  </w:tcPr>
                  <w:p>
                    <w:pPr>
                      <w:jc w:val="center"/>
                      <w:rPr>
                        <w:szCs w:val="21"/>
                      </w:rPr>
                    </w:pPr>
                    <w:r>
                      <w:rPr>
                        <w:rFonts w:hint="eastAsia"/>
                        <w:szCs w:val="21"/>
                      </w:rPr>
                      <w:t>期末余额</w:t>
                    </w:r>
                  </w:p>
                </w:tc>
              </w:sdtContent>
            </w:sdt>
            <w:sdt>
              <w:sdtPr>
                <w:tag w:val="_PLD_319db0af23654ebca500fecfff199482"/>
                <w:id w:val="-975674992"/>
                <w:lock w:val="sdtLocked"/>
              </w:sdtPr>
              <w:sdtContent>
                <w:tc>
                  <w:tcPr>
                    <w:tcW w:w="1698" w:type="pct"/>
                    <w:shd w:val="clear" w:color="auto" w:fill="auto"/>
                  </w:tcPr>
                  <w:p>
                    <w:pPr>
                      <w:jc w:val="center"/>
                      <w:rPr>
                        <w:szCs w:val="21"/>
                      </w:rPr>
                    </w:pPr>
                    <w:r>
                      <w:rPr>
                        <w:rFonts w:hint="eastAsia"/>
                        <w:szCs w:val="21"/>
                      </w:rPr>
                      <w:t>期初余额</w:t>
                    </w:r>
                  </w:p>
                </w:tc>
              </w:sdtContent>
            </w:sdt>
          </w:tr>
          <w:sdt>
            <w:sdtPr>
              <w:rPr>
                <w:rFonts w:hint="eastAsia"/>
                <w:szCs w:val="21"/>
              </w:rPr>
              <w:alias w:val="预收账款情况明细"/>
              <w:tag w:val="_TUP_0af6e828511d4083b0185cdfce7c8ab4"/>
              <w:id w:val="76172386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jc w:val="center"/>
                      <w:rPr>
                        <w:szCs w:val="21"/>
                      </w:rPr>
                    </w:pPr>
                    <w:r>
                      <w:t>预收购房定金</w:t>
                    </w:r>
                  </w:p>
                </w:tc>
                <w:tc>
                  <w:tcPr>
                    <w:tcW w:w="1701" w:type="pct"/>
                    <w:shd w:val="clear" w:color="auto" w:fill="auto"/>
                  </w:tcPr>
                  <w:p>
                    <w:pPr>
                      <w:jc w:val="right"/>
                      <w:rPr>
                        <w:szCs w:val="21"/>
                      </w:rPr>
                    </w:pPr>
                    <w:r>
                      <w:t>22,804,735.62</w:t>
                    </w:r>
                  </w:p>
                </w:tc>
                <w:tc>
                  <w:tcPr>
                    <w:tcW w:w="1698" w:type="pct"/>
                    <w:shd w:val="clear" w:color="auto" w:fill="auto"/>
                  </w:tcPr>
                  <w:p>
                    <w:pPr>
                      <w:jc w:val="right"/>
                      <w:rPr>
                        <w:szCs w:val="21"/>
                      </w:rPr>
                    </w:pPr>
                    <w:r>
                      <w:t>20,844,350.62</w:t>
                    </w:r>
                  </w:p>
                </w:tc>
              </w:tr>
            </w:sdtContent>
          </w:sdt>
          <w:sdt>
            <w:sdtPr>
              <w:rPr>
                <w:rFonts w:hint="eastAsia"/>
                <w:szCs w:val="21"/>
              </w:rPr>
              <w:alias w:val="预收账款情况明细"/>
              <w:tag w:val="_TUP_0af6e828511d4083b0185cdfce7c8ab4"/>
              <w:id w:val="126527194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jc w:val="center"/>
                      <w:rPr>
                        <w:szCs w:val="21"/>
                      </w:rPr>
                    </w:pPr>
                    <w:r>
                      <w:t>预收租金</w:t>
                    </w:r>
                  </w:p>
                </w:tc>
                <w:tc>
                  <w:tcPr>
                    <w:tcW w:w="1701" w:type="pct"/>
                    <w:shd w:val="clear" w:color="auto" w:fill="auto"/>
                  </w:tcPr>
                  <w:p>
                    <w:pPr>
                      <w:jc w:val="right"/>
                      <w:rPr>
                        <w:szCs w:val="21"/>
                      </w:rPr>
                    </w:pPr>
                    <w:r>
                      <w:t>5,560,027.38</w:t>
                    </w:r>
                  </w:p>
                </w:tc>
                <w:tc>
                  <w:tcPr>
                    <w:tcW w:w="1698" w:type="pct"/>
                    <w:shd w:val="clear" w:color="auto" w:fill="auto"/>
                  </w:tcPr>
                  <w:p>
                    <w:pPr>
                      <w:jc w:val="right"/>
                      <w:rPr>
                        <w:szCs w:val="21"/>
                      </w:rPr>
                    </w:pPr>
                    <w:r>
                      <w:t>4,351,915.11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803b4f46dba4b32a39eb56ce03e1481"/>
                <w:id w:val="404963034"/>
                <w:lock w:val="sdtLocked"/>
              </w:sdtPr>
              <w:sdtContent>
                <w:tc>
                  <w:tcPr>
                    <w:tcW w:w="1601" w:type="pct"/>
                    <w:shd w:val="clear" w:color="auto" w:fill="auto"/>
                  </w:tcPr>
                  <w:p>
                    <w:pPr>
                      <w:jc w:val="center"/>
                      <w:rPr>
                        <w:color w:val="000000" w:themeColor="text1"/>
                        <w:szCs w:val="21"/>
                      </w:rPr>
                    </w:pPr>
                    <w:r>
                      <w:rPr>
                        <w:rFonts w:hint="eastAsia"/>
                        <w:color w:val="000000" w:themeColor="text1"/>
                        <w:szCs w:val="21"/>
                      </w:rPr>
                      <w:t>合计</w:t>
                    </w:r>
                  </w:p>
                </w:tc>
              </w:sdtContent>
            </w:sdt>
            <w:tc>
              <w:tcPr>
                <w:tcW w:w="1701" w:type="pct"/>
                <w:shd w:val="clear" w:color="auto" w:fill="auto"/>
                <w:vAlign w:val="center"/>
              </w:tcPr>
              <w:p>
                <w:pPr>
                  <w:jc w:val="right"/>
                  <w:rPr>
                    <w:sz w:val="24"/>
                  </w:rPr>
                </w:pPr>
                <w:r>
                  <w:t>28,364,763.00</w:t>
                </w:r>
              </w:p>
            </w:tc>
            <w:tc>
              <w:tcPr>
                <w:tcW w:w="1698" w:type="pct"/>
                <w:shd w:val="clear" w:color="auto" w:fill="auto"/>
                <w:vAlign w:val="center"/>
              </w:tcPr>
              <w:p>
                <w:pPr>
                  <w:jc w:val="right"/>
                  <w:rPr>
                    <w:sz w:val="24"/>
                  </w:rPr>
                </w:pPr>
                <w:r>
                  <w:t>25,196,265.73</w:t>
                </w:r>
              </w:p>
            </w:tc>
          </w:tr>
        </w:tbl>
        <w:p/>
      </w:sdtContent>
    </w:sdt>
    <w:sdt>
      <w:sdtPr>
        <w:rPr>
          <w:rFonts w:hint="eastAsia" w:ascii="宋体" w:hAnsi="宋体" w:eastAsia="宋体" w:cstheme="minorBidi"/>
          <w:b w:val="0"/>
          <w:bCs w:val="0"/>
          <w:kern w:val="0"/>
          <w:szCs w:val="21"/>
        </w:rPr>
        <w:alias w:val="模块:账龄超过1年的重要预收款项"/>
        <w:tag w:val="_SEC_1558d55950074b35a4413fcf746a38ce"/>
        <w:id w:val="-1332129035"/>
        <w:lock w:val="sdtLocked"/>
        <w:placeholder>
          <w:docPart w:val="GBC22222222222222222222222222222"/>
        </w:placeholder>
      </w:sdtPr>
      <w:sdtEndPr>
        <w:rPr>
          <w:rFonts w:hint="eastAsia" w:ascii="宋体" w:hAnsi="宋体" w:eastAsia="宋体" w:cstheme="minorBidi"/>
          <w:b w:val="0"/>
          <w:bCs w:val="0"/>
          <w:kern w:val="0"/>
          <w:szCs w:val="21"/>
        </w:rPr>
      </w:sdtEndPr>
      <w:sdtContent>
        <w:p>
          <w:pPr>
            <w:pStyle w:val="214"/>
            <w:numPr>
              <w:ilvl w:val="0"/>
              <w:numId w:val="98"/>
            </w:numPr>
          </w:pPr>
          <w:r>
            <w:rPr>
              <w:rFonts w:hint="eastAsia"/>
            </w:rPr>
            <w:t>账龄超过</w:t>
          </w:r>
          <w:r>
            <w:t>1年的重要预收款项</w:t>
          </w:r>
        </w:p>
        <w:sdt>
          <w:sdtPr>
            <w:alias w:val="是否适用：账龄超过1年的重要预收款项[双击切换]"/>
            <w:tag w:val="_GBC_79146ea4ecd2426b824d2bcf21203a69"/>
            <w:id w:val="1959292806"/>
            <w:lock w:val="sdtLocked"/>
            <w:placeholder>
              <w:docPart w:val="GBC22222222222222222222222222222"/>
            </w:placeholder>
          </w:sdtPr>
          <w:sdtContent>
            <w:p>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b/>
          <w:bCs/>
        </w:rPr>
        <w:alias w:val="模块:预收账款的其他说明"/>
        <w:tag w:val="_SEC_edc815d452784f559d4667a474aec74d"/>
        <w:id w:val="-2105400040"/>
        <w:lock w:val="sdtLocked"/>
        <w:placeholder>
          <w:docPart w:val="GBC22222222222222222222222222222"/>
        </w:placeholder>
      </w:sdtPr>
      <w:sdtEndPr>
        <w:rPr>
          <w:rFonts w:hint="default" w:cstheme="minorBidi"/>
          <w:b w:val="0"/>
          <w:bCs w:val="0"/>
          <w:color w:val="000000" w:themeColor="text1"/>
          <w:kern w:val="2"/>
          <w:szCs w:val="21"/>
        </w:rPr>
      </w:sdtEndPr>
      <w:sdtContent>
        <w:p>
          <w:r>
            <w:rPr>
              <w:rFonts w:hint="eastAsia"/>
            </w:rPr>
            <w:t>其他说明</w:t>
          </w:r>
        </w:p>
        <w:sdt>
          <w:sdtPr>
            <w:alias w:val="是否适用：预收账款的其他说明[双击切换]"/>
            <w:tag w:val="_GBC_c0e961ba454e4e2cb91293bde731349d"/>
            <w:id w:val="-57334905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color w:val="000000" w:themeColor="text1"/>
              <w:kern w:val="2"/>
              <w:szCs w:val="21"/>
            </w:rPr>
          </w:pPr>
        </w:p>
      </w:sdtContent>
    </w:sdt>
    <w:sdt>
      <w:sdtPr>
        <w:rPr>
          <w:rFonts w:hint="eastAsia" w:ascii="宋体" w:hAnsi="宋体" w:cs="宋体"/>
          <w:b w:val="0"/>
          <w:bCs w:val="0"/>
          <w:kern w:val="0"/>
          <w:szCs w:val="21"/>
        </w:rPr>
        <w:alias w:val="模块:合同负债"/>
        <w:tag w:val="_SEC_50463584535c4393bb0c203aa88e74ea"/>
        <w:id w:val="1690334297"/>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szCs w:val="21"/>
            </w:rPr>
          </w:pPr>
          <w:r>
            <w:rPr>
              <w:rFonts w:hint="eastAsia"/>
              <w:szCs w:val="21"/>
            </w:rPr>
            <w:t>合同负债</w:t>
          </w:r>
        </w:p>
        <w:p>
          <w:pPr>
            <w:pStyle w:val="214"/>
            <w:numPr>
              <w:ilvl w:val="0"/>
              <w:numId w:val="99"/>
            </w:numPr>
          </w:pPr>
          <w:r>
            <w:rPr>
              <w:rFonts w:hint="eastAsia"/>
            </w:rPr>
            <w:t>合同负债情况</w:t>
          </w:r>
        </w:p>
        <w:sdt>
          <w:sdtPr>
            <w:alias w:val="是否适用：合同负债情况[双击切换]"/>
            <w:tag w:val="_GBC_257112066c884c67acfede3a1536844a"/>
            <w:id w:val="1394938434"/>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ind w:left="360"/>
            <w:jc w:val="right"/>
          </w:pPr>
          <w:r>
            <w:rPr>
              <w:rFonts w:hint="eastAsia"/>
            </w:rPr>
            <w:t>单位：</w:t>
          </w:r>
          <w:sdt>
            <w:sdtPr>
              <w:rPr>
                <w:rFonts w:hint="eastAsia"/>
              </w:rPr>
              <w:alias w:val="单位：合同负债情况"/>
              <w:tag w:val="_GBC_ea58ca5e76b74f328a4691ca7c6cc941"/>
              <w:id w:val="-9951114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合同负债情况"/>
              <w:tag w:val="_GBC_58f1908d1f4c48699237bf8c7f3604da"/>
              <w:id w:val="582811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1"/>
            <w:gridCol w:w="2901"/>
            <w:gridCol w:w="2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331ae60cae44b02b2a16eccd02434b1"/>
                <w:id w:val="-99410495"/>
                <w:lock w:val="sdtLocked"/>
              </w:sdtPr>
              <w:sdtContent>
                <w:tc>
                  <w:tcPr>
                    <w:tcW w:w="1601" w:type="pct"/>
                    <w:shd w:val="clear" w:color="auto" w:fill="auto"/>
                  </w:tcPr>
                  <w:p>
                    <w:pPr>
                      <w:jc w:val="center"/>
                      <w:rPr>
                        <w:szCs w:val="21"/>
                      </w:rPr>
                    </w:pPr>
                    <w:r>
                      <w:rPr>
                        <w:rFonts w:hint="eastAsia"/>
                        <w:szCs w:val="21"/>
                      </w:rPr>
                      <w:t>项目</w:t>
                    </w:r>
                  </w:p>
                </w:tc>
              </w:sdtContent>
            </w:sdt>
            <w:sdt>
              <w:sdtPr>
                <w:tag w:val="_PLD_1619b2dd861a497cbc814256ed0e2957"/>
                <w:id w:val="-1079132441"/>
                <w:lock w:val="sdtLocked"/>
              </w:sdtPr>
              <w:sdtContent>
                <w:tc>
                  <w:tcPr>
                    <w:tcW w:w="1701"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6341013bed194ee78619c433ebd01fda"/>
                <w:id w:val="263662236"/>
                <w:lock w:val="sdtLocked"/>
              </w:sdtPr>
              <w:sdtContent>
                <w:tc>
                  <w:tcPr>
                    <w:tcW w:w="1698" w:type="pct"/>
                    <w:shd w:val="clear" w:color="auto" w:fill="auto"/>
                    <w:vAlign w:val="center"/>
                  </w:tcPr>
                  <w:p>
                    <w:pPr>
                      <w:autoSpaceDE w:val="0"/>
                      <w:autoSpaceDN w:val="0"/>
                      <w:adjustRightInd w:val="0"/>
                      <w:snapToGrid w:val="0"/>
                      <w:spacing w:line="240" w:lineRule="atLeast"/>
                      <w:jc w:val="center"/>
                      <w:rPr>
                        <w:szCs w:val="21"/>
                      </w:rPr>
                    </w:pPr>
                    <w:r>
                      <w:rPr>
                        <w:rFonts w:hint="eastAsia"/>
                        <w:szCs w:val="21"/>
                      </w:rPr>
                      <w:t>期初余额</w:t>
                    </w:r>
                  </w:p>
                </w:tc>
              </w:sdtContent>
            </w:sdt>
          </w:tr>
          <w:sdt>
            <w:sdtPr>
              <w:rPr>
                <w:color w:val="000000"/>
                <w:szCs w:val="21"/>
              </w:rPr>
              <w:alias w:val="合同负债明细"/>
              <w:tag w:val="_TUP_d67f2b4ee3494c068d1ece80b5bc3fb5"/>
              <w:id w:val="-176736122"/>
              <w:lock w:val="sdtLocked"/>
            </w:sdtPr>
            <w:sdtEndPr>
              <w:rPr>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jc w:val="center"/>
                      <w:rPr>
                        <w:szCs w:val="21"/>
                      </w:rPr>
                    </w:pPr>
                    <w:r>
                      <w:t>预收房款</w:t>
                    </w:r>
                  </w:p>
                </w:tc>
                <w:tc>
                  <w:tcPr>
                    <w:tcW w:w="1701" w:type="pct"/>
                    <w:shd w:val="clear" w:color="auto" w:fill="auto"/>
                  </w:tcPr>
                  <w:p>
                    <w:pPr>
                      <w:jc w:val="right"/>
                      <w:rPr>
                        <w:szCs w:val="21"/>
                      </w:rPr>
                    </w:pPr>
                    <w:r>
                      <w:t>404,582,577.10</w:t>
                    </w:r>
                  </w:p>
                </w:tc>
                <w:tc>
                  <w:tcPr>
                    <w:tcW w:w="1698" w:type="pct"/>
                    <w:shd w:val="clear" w:color="auto" w:fill="auto"/>
                  </w:tcPr>
                  <w:p>
                    <w:pPr>
                      <w:jc w:val="right"/>
                      <w:rPr>
                        <w:szCs w:val="21"/>
                      </w:rPr>
                    </w:pPr>
                    <w:r>
                      <w:t>283,717,647.78</w:t>
                    </w:r>
                  </w:p>
                </w:tc>
              </w:tr>
            </w:sdtContent>
          </w:sdt>
          <w:sdt>
            <w:sdtPr>
              <w:rPr>
                <w:color w:val="000000"/>
                <w:szCs w:val="21"/>
              </w:rPr>
              <w:alias w:val="合同负债明细"/>
              <w:tag w:val="_TUP_d67f2b4ee3494c068d1ece80b5bc3fb5"/>
              <w:id w:val="-1369676230"/>
              <w:lock w:val="sdtLocked"/>
            </w:sdtPr>
            <w:sdtEndPr>
              <w:rPr>
                <w:color w:val="000000"/>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1" w:type="pct"/>
                    <w:shd w:val="clear" w:color="auto" w:fill="auto"/>
                  </w:tcPr>
                  <w:p>
                    <w:pPr>
                      <w:jc w:val="center"/>
                      <w:rPr>
                        <w:szCs w:val="21"/>
                      </w:rPr>
                    </w:pPr>
                    <w:r>
                      <w:t>预收货款</w:t>
                    </w:r>
                  </w:p>
                </w:tc>
                <w:tc>
                  <w:tcPr>
                    <w:tcW w:w="1701" w:type="pct"/>
                    <w:shd w:val="clear" w:color="auto" w:fill="auto"/>
                  </w:tcPr>
                  <w:p>
                    <w:pPr>
                      <w:jc w:val="right"/>
                      <w:rPr>
                        <w:szCs w:val="21"/>
                      </w:rPr>
                    </w:pPr>
                    <w:r>
                      <w:t>145,191,732.49</w:t>
                    </w:r>
                  </w:p>
                </w:tc>
                <w:tc>
                  <w:tcPr>
                    <w:tcW w:w="1698" w:type="pct"/>
                    <w:shd w:val="clear" w:color="auto" w:fill="auto"/>
                  </w:tcPr>
                  <w:p>
                    <w:pPr>
                      <w:jc w:val="right"/>
                      <w:rPr>
                        <w:szCs w:val="21"/>
                      </w:rPr>
                    </w:pPr>
                    <w:r>
                      <w:t>144,592,503.60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e3bb8ab3c904307b3e330dc2e7b09a4"/>
                <w:id w:val="580566975"/>
                <w:lock w:val="sdtLocked"/>
              </w:sdtPr>
              <w:sdtContent>
                <w:tc>
                  <w:tcPr>
                    <w:tcW w:w="1601" w:type="pct"/>
                    <w:shd w:val="clear" w:color="auto" w:fill="auto"/>
                  </w:tcPr>
                  <w:p>
                    <w:pPr>
                      <w:jc w:val="center"/>
                      <w:rPr>
                        <w:color w:val="000000"/>
                        <w:szCs w:val="21"/>
                      </w:rPr>
                    </w:pPr>
                    <w:r>
                      <w:rPr>
                        <w:rFonts w:hint="eastAsia"/>
                        <w:color w:val="000000"/>
                        <w:szCs w:val="21"/>
                      </w:rPr>
                      <w:t>合计</w:t>
                    </w:r>
                  </w:p>
                </w:tc>
              </w:sdtContent>
            </w:sdt>
            <w:tc>
              <w:tcPr>
                <w:tcW w:w="1701" w:type="pct"/>
                <w:shd w:val="clear" w:color="auto" w:fill="auto"/>
                <w:vAlign w:val="center"/>
              </w:tcPr>
              <w:p>
                <w:pPr>
                  <w:jc w:val="right"/>
                  <w:rPr>
                    <w:sz w:val="24"/>
                  </w:rPr>
                </w:pPr>
                <w:r>
                  <w:t>549,774,309.59</w:t>
                </w:r>
              </w:p>
            </w:tc>
            <w:tc>
              <w:tcPr>
                <w:tcW w:w="1698" w:type="pct"/>
                <w:shd w:val="clear" w:color="auto" w:fill="auto"/>
                <w:vAlign w:val="center"/>
              </w:tcPr>
              <w:p>
                <w:pPr>
                  <w:jc w:val="right"/>
                  <w:rPr>
                    <w:sz w:val="24"/>
                  </w:rPr>
                </w:pPr>
                <w:r>
                  <w:t>428,310,151.38</w:t>
                </w:r>
              </w:p>
            </w:tc>
          </w:tr>
        </w:tbl>
        <w:p/>
        <w:p>
          <w:pPr>
            <w:pStyle w:val="280"/>
            <w:widowControl w:val="0"/>
            <w:tabs>
              <w:tab w:val="clear" w:pos="1273"/>
            </w:tabs>
            <w:spacing w:before="120" w:beforeLines="50" w:line="360" w:lineRule="auto"/>
            <w:ind w:left="0" w:leftChars="0" w:firstLine="420" w:firstLineChars="200"/>
            <w:outlineLvl w:val="3"/>
            <w:rPr>
              <w:rFonts w:ascii="Times New Roman" w:hAnsi="Times New Roman"/>
              <w:b w:val="0"/>
              <w:bCs w:val="0"/>
            </w:rPr>
          </w:pPr>
          <w:r>
            <w:rPr>
              <w:rFonts w:hint="eastAsia" w:ascii="Times New Roman" w:hAnsi="Times New Roman"/>
              <w:b w:val="0"/>
              <w:bCs w:val="0"/>
            </w:rPr>
            <w:t>注：预售房产收款情况</w:t>
          </w:r>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32"/>
            <w:gridCol w:w="2154"/>
            <w:gridCol w:w="2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4" w:type="pct"/>
                <w:shd w:val="clear" w:color="auto" w:fill="auto"/>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项目名称</w:t>
                </w:r>
              </w:p>
            </w:tc>
            <w:tc>
              <w:tcPr>
                <w:tcW w:w="1263" w:type="pct"/>
                <w:shd w:val="clear" w:color="auto" w:fill="auto"/>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期末余额</w:t>
                </w:r>
              </w:p>
            </w:tc>
            <w:tc>
              <w:tcPr>
                <w:tcW w:w="1374" w:type="pct"/>
                <w:shd w:val="clear" w:color="auto" w:fill="auto"/>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期初余额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4" w:type="pct"/>
                <w:shd w:val="clear" w:color="auto" w:fill="auto"/>
                <w:vAlign w:val="center"/>
              </w:tcPr>
              <w:p>
                <w:pPr>
                  <w:widowControl w:val="0"/>
                  <w:tabs>
                    <w:tab w:val="left" w:pos="196"/>
                    <w:tab w:val="left" w:pos="426"/>
                  </w:tabs>
                  <w:snapToGrid w:val="0"/>
                  <w:jc w:val="center"/>
                  <w:rPr>
                    <w:rFonts w:ascii="Arial Narrow" w:hAnsi="Arial Narrow"/>
                    <w:szCs w:val="21"/>
                  </w:rPr>
                </w:pPr>
                <w:r>
                  <w:rPr>
                    <w:rFonts w:hint="eastAsia" w:ascii="Arial Narrow" w:hAnsi="Arial Narrow"/>
                    <w:szCs w:val="21"/>
                  </w:rPr>
                  <w:t>力帆红星广场</w:t>
                </w:r>
              </w:p>
            </w:tc>
            <w:tc>
              <w:tcPr>
                <w:tcW w:w="1263" w:type="pct"/>
                <w:shd w:val="clear" w:color="auto" w:fill="auto"/>
                <w:vAlign w:val="center"/>
              </w:tcPr>
              <w:p>
                <w:pPr>
                  <w:widowControl w:val="0"/>
                  <w:tabs>
                    <w:tab w:val="left" w:pos="196"/>
                    <w:tab w:val="left" w:pos="426"/>
                  </w:tabs>
                  <w:snapToGrid w:val="0"/>
                  <w:jc w:val="right"/>
                  <w:rPr>
                    <w:szCs w:val="21"/>
                  </w:rPr>
                </w:pPr>
                <w:r>
                  <w:rPr>
                    <w:szCs w:val="21"/>
                  </w:rPr>
                  <w:t>404,582,577.10</w:t>
                </w:r>
              </w:p>
            </w:tc>
            <w:tc>
              <w:tcPr>
                <w:tcW w:w="1374" w:type="pct"/>
                <w:shd w:val="clear" w:color="auto" w:fill="auto"/>
                <w:vAlign w:val="center"/>
              </w:tcPr>
              <w:p>
                <w:pPr>
                  <w:widowControl w:val="0"/>
                  <w:tabs>
                    <w:tab w:val="left" w:pos="196"/>
                    <w:tab w:val="left" w:pos="426"/>
                  </w:tabs>
                  <w:snapToGrid w:val="0"/>
                  <w:jc w:val="right"/>
                  <w:rPr>
                    <w:szCs w:val="21"/>
                  </w:rPr>
                </w:pPr>
                <w:r>
                  <w:rPr>
                    <w:szCs w:val="21"/>
                  </w:rPr>
                  <w:t>283,717,647.78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64" w:type="pct"/>
                <w:shd w:val="clear" w:color="auto" w:fill="auto"/>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合计</w:t>
                </w:r>
              </w:p>
            </w:tc>
            <w:tc>
              <w:tcPr>
                <w:tcW w:w="1263" w:type="pct"/>
                <w:shd w:val="clear" w:color="auto" w:fill="auto"/>
                <w:vAlign w:val="center"/>
              </w:tcPr>
              <w:p>
                <w:pPr>
                  <w:widowControl w:val="0"/>
                  <w:tabs>
                    <w:tab w:val="left" w:pos="196"/>
                    <w:tab w:val="left" w:pos="426"/>
                  </w:tabs>
                  <w:snapToGrid w:val="0"/>
                  <w:jc w:val="right"/>
                  <w:rPr>
                    <w:szCs w:val="21"/>
                  </w:rPr>
                </w:pPr>
                <w:r>
                  <w:rPr>
                    <w:szCs w:val="21"/>
                  </w:rPr>
                  <w:t>404,582,577.10</w:t>
                </w:r>
              </w:p>
            </w:tc>
            <w:tc>
              <w:tcPr>
                <w:tcW w:w="1374" w:type="pct"/>
                <w:shd w:val="clear" w:color="auto" w:fill="auto"/>
                <w:vAlign w:val="center"/>
              </w:tcPr>
              <w:p>
                <w:pPr>
                  <w:widowControl w:val="0"/>
                  <w:tabs>
                    <w:tab w:val="left" w:pos="196"/>
                    <w:tab w:val="left" w:pos="426"/>
                  </w:tabs>
                  <w:snapToGrid w:val="0"/>
                  <w:jc w:val="right"/>
                  <w:rPr>
                    <w:szCs w:val="21"/>
                  </w:rPr>
                </w:pPr>
                <w:r>
                  <w:rPr>
                    <w:szCs w:val="21"/>
                  </w:rPr>
                  <w:t>283,717,647.78</w:t>
                </w:r>
              </w:p>
            </w:tc>
          </w:tr>
        </w:tbl>
        <w:p/>
      </w:sdtContent>
    </w:sdt>
    <w:sdt>
      <w:sdtPr>
        <w:rPr>
          <w:rFonts w:hint="eastAsia" w:ascii="宋体" w:hAnsi="宋体" w:eastAsia="宋体" w:cs="宋体"/>
          <w:b w:val="0"/>
          <w:bCs w:val="0"/>
          <w:kern w:val="0"/>
          <w:szCs w:val="24"/>
        </w:rPr>
        <w:alias w:val="模块:报告期内账面价值发生重大变动的金额和原因"/>
        <w:tag w:val="_SEC_6fed4fed5399438cae08eee39c94b152"/>
        <w:id w:val="-1450392967"/>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0"/>
              <w:numId w:val="99"/>
            </w:numPr>
            <w:spacing w:before="0" w:after="0" w:line="360" w:lineRule="auto"/>
          </w:pPr>
          <w:r>
            <w:rPr>
              <w:rFonts w:hint="eastAsia"/>
            </w:rPr>
            <w:t>报告期内账面价值发生重大变动的金额和原因</w:t>
          </w:r>
        </w:p>
        <w:sdt>
          <w:sdtPr>
            <w:rPr>
              <w:szCs w:val="21"/>
            </w:rPr>
            <w:alias w:val="是否适用：合同负债账面价值发生重大变动[双击切换]"/>
            <w:tag w:val="_GBC_267fd365085f4836b846799edc8c3765"/>
            <w:id w:val="-478534748"/>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szCs w:val="21"/>
        </w:rPr>
        <w:alias w:val="模块:合同负债其他说明"/>
        <w:tag w:val="_SEC_d59a32c92f4547b59d45698ae473a887"/>
        <w:id w:val="-1965023580"/>
        <w:lock w:val="sdtLocked"/>
        <w:placeholder>
          <w:docPart w:val="GBC22222222222222222222222222222"/>
        </w:placeholder>
      </w:sdtPr>
      <w:sdtEndPr>
        <w:rPr>
          <w:rFonts w:hint="default"/>
          <w:szCs w:val="24"/>
        </w:rPr>
      </w:sdtEndPr>
      <w:sdtContent>
        <w:p>
          <w:pPr>
            <w:spacing w:line="360" w:lineRule="auto"/>
            <w:rPr>
              <w:szCs w:val="21"/>
            </w:rPr>
          </w:pPr>
          <w:r>
            <w:rPr>
              <w:rFonts w:hint="eastAsia"/>
              <w:szCs w:val="21"/>
            </w:rPr>
            <w:t>其他说明：</w:t>
          </w:r>
        </w:p>
        <w:sdt>
          <w:sdtPr>
            <w:rPr>
              <w:szCs w:val="21"/>
            </w:rPr>
            <w:alias w:val="是否适用：合同负债其他说明[双击切换]"/>
            <w:tag w:val="_GBC_1c99003b181f47ebb73e6452f4bfa446"/>
            <w:id w:val="-217286051"/>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p>
      <w:pPr>
        <w:pStyle w:val="213"/>
        <w:numPr>
          <w:ilvl w:val="0"/>
          <w:numId w:val="77"/>
        </w:numPr>
        <w:tabs>
          <w:tab w:val="left" w:pos="504"/>
        </w:tabs>
        <w:rPr>
          <w:rFonts w:ascii="宋体" w:hAnsi="宋体"/>
          <w:szCs w:val="21"/>
        </w:rPr>
      </w:pPr>
      <w:r>
        <w:rPr>
          <w:rFonts w:hint="eastAsia" w:ascii="宋体" w:hAnsi="宋体"/>
          <w:szCs w:val="21"/>
        </w:rPr>
        <w:t>应付职工薪酬</w:t>
      </w:r>
    </w:p>
    <w:sdt>
      <w:sdtPr>
        <w:rPr>
          <w:rFonts w:ascii="宋体" w:hAnsi="宋体" w:eastAsia="宋体" w:cs="宋体"/>
          <w:b w:val="0"/>
          <w:bCs w:val="0"/>
          <w:kern w:val="0"/>
          <w:szCs w:val="24"/>
        </w:rPr>
        <w:alias w:val="模块:应付职工薪酬列示："/>
        <w:tag w:val="_SEC_8ac62232cfc54f38aff1f89058d89f36"/>
        <w:id w:val="1234356656"/>
        <w:lock w:val="sdtLocked"/>
        <w:placeholder>
          <w:docPart w:val="GBC22222222222222222222222222222"/>
        </w:placeholder>
      </w:sdtPr>
      <w:sdtEndPr>
        <w:rPr>
          <w:rFonts w:ascii="宋体" w:hAnsi="宋体" w:eastAsia="宋体" w:cs="宋体"/>
          <w:b w:val="0"/>
          <w:bCs w:val="0"/>
          <w:kern w:val="0"/>
          <w:szCs w:val="24"/>
        </w:rPr>
      </w:sdtEndPr>
      <w:sdtContent>
        <w:p>
          <w:pPr>
            <w:pStyle w:val="214"/>
            <w:numPr>
              <w:ilvl w:val="0"/>
              <w:numId w:val="100"/>
            </w:numPr>
          </w:pPr>
          <w:r>
            <w:rPr>
              <w:rFonts w:hint="eastAsia"/>
            </w:rPr>
            <w:t>应付职工薪酬列示</w:t>
          </w:r>
        </w:p>
        <w:sdt>
          <w:sdtPr>
            <w:alias w:val="是否适用：应付职工薪酬列示[双击切换]"/>
            <w:tag w:val="_GBC_215b41e091df4b2bbb2009fd3c8040b5"/>
            <w:id w:val="-851648341"/>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应付职工薪酬"/>
              <w:tag w:val="_GBC_6889c0e435324d63b7c01ed595a8e140"/>
              <w:id w:val="1885290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应付职工薪酬"/>
              <w:tag w:val="_GBC_64bcd9de14a14550b941cbdaf7bdc974"/>
              <w:id w:val="19731705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50"/>
            <w:gridCol w:w="1518"/>
            <w:gridCol w:w="1515"/>
            <w:gridCol w:w="1518"/>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61dc2d96c64c3fb5d407cdbec097a2"/>
                <w:id w:val="-1839145315"/>
                <w:lock w:val="sdtLocked"/>
              </w:sdtPr>
              <w:sdtContent>
                <w:tc>
                  <w:tcPr>
                    <w:tcW w:w="1437" w:type="pct"/>
                    <w:shd w:val="clear" w:color="auto" w:fill="auto"/>
                    <w:vAlign w:val="center"/>
                  </w:tcPr>
                  <w:p>
                    <w:pPr>
                      <w:jc w:val="center"/>
                    </w:pPr>
                    <w:r>
                      <w:rPr>
                        <w:rFonts w:hint="eastAsia"/>
                      </w:rPr>
                      <w:t>项目</w:t>
                    </w:r>
                  </w:p>
                </w:tc>
              </w:sdtContent>
            </w:sdt>
            <w:sdt>
              <w:sdtPr>
                <w:tag w:val="_PLD_f666739d3c0f4f9891bd8f4974d101ec"/>
                <w:id w:val="-1582837142"/>
                <w:lock w:val="sdtLocked"/>
              </w:sdtPr>
              <w:sdtContent>
                <w:tc>
                  <w:tcPr>
                    <w:tcW w:w="890" w:type="pct"/>
                    <w:shd w:val="clear" w:color="auto" w:fill="auto"/>
                    <w:vAlign w:val="center"/>
                  </w:tcPr>
                  <w:p>
                    <w:pPr>
                      <w:jc w:val="center"/>
                    </w:pPr>
                    <w:r>
                      <w:rPr>
                        <w:rFonts w:hint="eastAsia"/>
                      </w:rPr>
                      <w:t>期初余额</w:t>
                    </w:r>
                  </w:p>
                </w:tc>
              </w:sdtContent>
            </w:sdt>
            <w:sdt>
              <w:sdtPr>
                <w:tag w:val="_PLD_cc701d3a5a44484d862c996437df1e7d"/>
                <w:id w:val="-1650195656"/>
                <w:lock w:val="sdtLocked"/>
              </w:sdtPr>
              <w:sdtContent>
                <w:tc>
                  <w:tcPr>
                    <w:tcW w:w="888" w:type="pct"/>
                    <w:shd w:val="clear" w:color="auto" w:fill="auto"/>
                    <w:vAlign w:val="center"/>
                  </w:tcPr>
                  <w:p>
                    <w:pPr>
                      <w:jc w:val="center"/>
                    </w:pPr>
                    <w:r>
                      <w:rPr>
                        <w:rFonts w:hint="eastAsia"/>
                      </w:rPr>
                      <w:t>本期增加</w:t>
                    </w:r>
                  </w:p>
                </w:tc>
              </w:sdtContent>
            </w:sdt>
            <w:sdt>
              <w:sdtPr>
                <w:tag w:val="_PLD_0e8f833fca684ce592b0cba6d04c75ef"/>
                <w:id w:val="-1285338738"/>
                <w:lock w:val="sdtLocked"/>
              </w:sdtPr>
              <w:sdtContent>
                <w:tc>
                  <w:tcPr>
                    <w:tcW w:w="890" w:type="pct"/>
                    <w:shd w:val="clear" w:color="auto" w:fill="auto"/>
                    <w:vAlign w:val="center"/>
                  </w:tcPr>
                  <w:p>
                    <w:pPr>
                      <w:jc w:val="center"/>
                    </w:pPr>
                    <w:r>
                      <w:rPr>
                        <w:rFonts w:hint="eastAsia"/>
                      </w:rPr>
                      <w:t>本期减少</w:t>
                    </w:r>
                  </w:p>
                </w:tc>
              </w:sdtContent>
            </w:sdt>
            <w:sdt>
              <w:sdtPr>
                <w:tag w:val="_PLD_c39a265e94994f0480d13abd59d3eb39"/>
                <w:id w:val="498545381"/>
                <w:lock w:val="sdtLocked"/>
              </w:sdtPr>
              <w:sdtContent>
                <w:tc>
                  <w:tcPr>
                    <w:tcW w:w="895" w:type="pct"/>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e45a1b3a8f49a9bebab9921a080935"/>
                <w:id w:val="-847407517"/>
                <w:lock w:val="sdtLocked"/>
              </w:sdtPr>
              <w:sdtContent>
                <w:tc>
                  <w:tcPr>
                    <w:tcW w:w="1437" w:type="pct"/>
                    <w:shd w:val="clear" w:color="auto" w:fill="auto"/>
                  </w:tcPr>
                  <w:p>
                    <w:r>
                      <w:rPr>
                        <w:rFonts w:hint="eastAsia"/>
                      </w:rPr>
                      <w:t>一、短期薪酬</w:t>
                    </w:r>
                  </w:p>
                </w:tc>
              </w:sdtContent>
            </w:sdt>
            <w:tc>
              <w:tcPr>
                <w:tcW w:w="890" w:type="pct"/>
                <w:shd w:val="clear" w:color="auto" w:fill="auto"/>
                <w:vAlign w:val="center"/>
              </w:tcPr>
              <w:p>
                <w:pPr>
                  <w:jc w:val="right"/>
                  <w:rPr>
                    <w:sz w:val="18"/>
                    <w:szCs w:val="18"/>
                  </w:rPr>
                </w:pPr>
                <w:r>
                  <w:rPr>
                    <w:sz w:val="18"/>
                    <w:szCs w:val="18"/>
                  </w:rPr>
                  <w:t>34,162,451.92</w:t>
                </w:r>
              </w:p>
            </w:tc>
            <w:tc>
              <w:tcPr>
                <w:tcW w:w="888" w:type="pct"/>
                <w:shd w:val="clear" w:color="auto" w:fill="auto"/>
                <w:vAlign w:val="center"/>
              </w:tcPr>
              <w:p>
                <w:pPr>
                  <w:jc w:val="right"/>
                  <w:rPr>
                    <w:sz w:val="18"/>
                    <w:szCs w:val="18"/>
                  </w:rPr>
                </w:pPr>
                <w:r>
                  <w:rPr>
                    <w:sz w:val="18"/>
                    <w:szCs w:val="18"/>
                  </w:rPr>
                  <w:t>396,808,510.44</w:t>
                </w:r>
              </w:p>
            </w:tc>
            <w:tc>
              <w:tcPr>
                <w:tcW w:w="890" w:type="pct"/>
                <w:shd w:val="clear" w:color="auto" w:fill="auto"/>
                <w:vAlign w:val="center"/>
              </w:tcPr>
              <w:p>
                <w:pPr>
                  <w:jc w:val="right"/>
                  <w:rPr>
                    <w:sz w:val="18"/>
                    <w:szCs w:val="18"/>
                  </w:rPr>
                </w:pPr>
                <w:r>
                  <w:rPr>
                    <w:sz w:val="18"/>
                    <w:szCs w:val="18"/>
                  </w:rPr>
                  <w:t>405,282,323.47</w:t>
                </w:r>
              </w:p>
            </w:tc>
            <w:tc>
              <w:tcPr>
                <w:tcW w:w="895" w:type="pct"/>
                <w:shd w:val="clear" w:color="auto" w:fill="auto"/>
                <w:vAlign w:val="center"/>
              </w:tcPr>
              <w:p>
                <w:pPr>
                  <w:jc w:val="right"/>
                  <w:rPr>
                    <w:sz w:val="18"/>
                    <w:szCs w:val="18"/>
                  </w:rPr>
                </w:pPr>
                <w:r>
                  <w:rPr>
                    <w:sz w:val="18"/>
                    <w:szCs w:val="18"/>
                  </w:rPr>
                  <w:t>25,688,638.89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5c469f474b84d03aec3c8ae8d2d17fa"/>
                <w:id w:val="-1002042105"/>
                <w:lock w:val="sdtLocked"/>
              </w:sdtPr>
              <w:sdtContent>
                <w:tc>
                  <w:tcPr>
                    <w:tcW w:w="1437" w:type="pct"/>
                    <w:shd w:val="clear" w:color="auto" w:fill="auto"/>
                  </w:tcPr>
                  <w:p>
                    <w:r>
                      <w:rPr>
                        <w:rFonts w:hint="eastAsia"/>
                      </w:rPr>
                      <w:t>二、离职后福利-设定提存计划</w:t>
                    </w:r>
                  </w:p>
                </w:tc>
              </w:sdtContent>
            </w:sdt>
            <w:tc>
              <w:tcPr>
                <w:tcW w:w="890" w:type="pct"/>
                <w:shd w:val="clear" w:color="auto" w:fill="auto"/>
                <w:vAlign w:val="center"/>
              </w:tcPr>
              <w:p>
                <w:pPr>
                  <w:jc w:val="right"/>
                  <w:rPr>
                    <w:sz w:val="18"/>
                    <w:szCs w:val="18"/>
                  </w:rPr>
                </w:pPr>
                <w:r>
                  <w:rPr>
                    <w:sz w:val="18"/>
                    <w:szCs w:val="18"/>
                  </w:rPr>
                  <w:t>7,264.19</w:t>
                </w:r>
              </w:p>
            </w:tc>
            <w:tc>
              <w:tcPr>
                <w:tcW w:w="888" w:type="pct"/>
                <w:shd w:val="clear" w:color="auto" w:fill="auto"/>
                <w:vAlign w:val="center"/>
              </w:tcPr>
              <w:p>
                <w:pPr>
                  <w:jc w:val="right"/>
                  <w:rPr>
                    <w:sz w:val="18"/>
                    <w:szCs w:val="18"/>
                  </w:rPr>
                </w:pPr>
                <w:r>
                  <w:rPr>
                    <w:sz w:val="18"/>
                    <w:szCs w:val="18"/>
                  </w:rPr>
                  <w:t>29,544,962.79</w:t>
                </w:r>
              </w:p>
            </w:tc>
            <w:tc>
              <w:tcPr>
                <w:tcW w:w="890" w:type="pct"/>
                <w:shd w:val="clear" w:color="auto" w:fill="auto"/>
                <w:vAlign w:val="center"/>
              </w:tcPr>
              <w:p>
                <w:pPr>
                  <w:jc w:val="right"/>
                  <w:rPr>
                    <w:sz w:val="18"/>
                    <w:szCs w:val="18"/>
                  </w:rPr>
                </w:pPr>
                <w:r>
                  <w:rPr>
                    <w:sz w:val="18"/>
                    <w:szCs w:val="18"/>
                  </w:rPr>
                  <w:t>29,442,297.24</w:t>
                </w:r>
              </w:p>
            </w:tc>
            <w:tc>
              <w:tcPr>
                <w:tcW w:w="895" w:type="pct"/>
                <w:shd w:val="clear" w:color="auto" w:fill="auto"/>
                <w:vAlign w:val="center"/>
              </w:tcPr>
              <w:p>
                <w:pPr>
                  <w:jc w:val="right"/>
                  <w:rPr>
                    <w:sz w:val="18"/>
                    <w:szCs w:val="18"/>
                  </w:rPr>
                </w:pPr>
                <w:r>
                  <w:rPr>
                    <w:sz w:val="18"/>
                    <w:szCs w:val="18"/>
                  </w:rPr>
                  <w:t>109,929.74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836a9d646024a08a05edfa8ec8dfb80"/>
                <w:id w:val="237454206"/>
                <w:lock w:val="sdtLocked"/>
              </w:sdtPr>
              <w:sdtContent>
                <w:tc>
                  <w:tcPr>
                    <w:tcW w:w="1437" w:type="pct"/>
                    <w:shd w:val="clear" w:color="auto" w:fill="auto"/>
                  </w:tcPr>
                  <w:p>
                    <w:r>
                      <w:rPr>
                        <w:rFonts w:hint="eastAsia"/>
                      </w:rPr>
                      <w:t>三、辞退福利</w:t>
                    </w:r>
                  </w:p>
                </w:tc>
              </w:sdtContent>
            </w:sdt>
            <w:tc>
              <w:tcPr>
                <w:tcW w:w="890" w:type="pct"/>
                <w:shd w:val="clear" w:color="auto" w:fill="auto"/>
                <w:vAlign w:val="center"/>
              </w:tcPr>
              <w:p>
                <w:pPr>
                  <w:jc w:val="right"/>
                  <w:rPr>
                    <w:sz w:val="18"/>
                    <w:szCs w:val="18"/>
                  </w:rPr>
                </w:pPr>
                <w:r>
                  <w:rPr>
                    <w:sz w:val="18"/>
                    <w:szCs w:val="18"/>
                  </w:rPr>
                  <w:t>398,462.82</w:t>
                </w:r>
              </w:p>
            </w:tc>
            <w:tc>
              <w:tcPr>
                <w:tcW w:w="888" w:type="pct"/>
                <w:shd w:val="clear" w:color="auto" w:fill="auto"/>
                <w:vAlign w:val="center"/>
              </w:tcPr>
              <w:p>
                <w:pPr>
                  <w:jc w:val="right"/>
                  <w:rPr>
                    <w:sz w:val="18"/>
                    <w:szCs w:val="18"/>
                  </w:rPr>
                </w:pPr>
                <w:r>
                  <w:rPr>
                    <w:sz w:val="18"/>
                    <w:szCs w:val="18"/>
                  </w:rPr>
                  <w:t>42,136,113.01</w:t>
                </w:r>
              </w:p>
            </w:tc>
            <w:tc>
              <w:tcPr>
                <w:tcW w:w="890" w:type="pct"/>
                <w:shd w:val="clear" w:color="auto" w:fill="auto"/>
                <w:vAlign w:val="center"/>
              </w:tcPr>
              <w:p>
                <w:pPr>
                  <w:jc w:val="right"/>
                  <w:rPr>
                    <w:sz w:val="18"/>
                    <w:szCs w:val="18"/>
                  </w:rPr>
                </w:pPr>
                <w:r>
                  <w:rPr>
                    <w:sz w:val="18"/>
                    <w:szCs w:val="18"/>
                  </w:rPr>
                  <w:t>42,534,575.83</w:t>
                </w:r>
              </w:p>
            </w:tc>
            <w:tc>
              <w:tcPr>
                <w:tcW w:w="895" w:type="pct"/>
                <w:shd w:val="clear" w:color="auto" w:fill="auto"/>
                <w:vAlign w:val="center"/>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019de3ccd64eaa84acd956d8bfee10"/>
                <w:id w:val="-2077505705"/>
                <w:lock w:val="sdtLocked"/>
              </w:sdtPr>
              <w:sdtContent>
                <w:tc>
                  <w:tcPr>
                    <w:tcW w:w="1437" w:type="pct"/>
                    <w:shd w:val="clear" w:color="auto" w:fill="auto"/>
                  </w:tcPr>
                  <w:p>
                    <w:r>
                      <w:rPr>
                        <w:rFonts w:hint="eastAsia"/>
                      </w:rPr>
                      <w:t>四、一年内到期的其他福利</w:t>
                    </w:r>
                  </w:p>
                </w:tc>
              </w:sdtContent>
            </w:sdt>
            <w:tc>
              <w:tcPr>
                <w:tcW w:w="890" w:type="pct"/>
                <w:shd w:val="clear" w:color="auto" w:fill="auto"/>
              </w:tcPr>
              <w:p>
                <w:pPr>
                  <w:jc w:val="right"/>
                  <w:rPr>
                    <w:sz w:val="18"/>
                    <w:szCs w:val="18"/>
                  </w:rPr>
                </w:pPr>
              </w:p>
            </w:tc>
            <w:tc>
              <w:tcPr>
                <w:tcW w:w="888" w:type="pct"/>
                <w:shd w:val="clear" w:color="auto" w:fill="auto"/>
              </w:tcPr>
              <w:p>
                <w:pPr>
                  <w:jc w:val="right"/>
                  <w:rPr>
                    <w:sz w:val="18"/>
                    <w:szCs w:val="18"/>
                  </w:rPr>
                </w:pPr>
              </w:p>
            </w:tc>
            <w:tc>
              <w:tcPr>
                <w:tcW w:w="890" w:type="pct"/>
                <w:shd w:val="clear" w:color="auto" w:fill="auto"/>
              </w:tcPr>
              <w:p>
                <w:pPr>
                  <w:jc w:val="right"/>
                  <w:rPr>
                    <w:sz w:val="18"/>
                    <w:szCs w:val="18"/>
                  </w:rPr>
                </w:pPr>
              </w:p>
            </w:tc>
            <w:tc>
              <w:tcPr>
                <w:tcW w:w="895" w:type="pct"/>
                <w:shd w:val="clear" w:color="auto" w:fill="auto"/>
              </w:tcPr>
              <w:p>
                <w:pPr>
                  <w:jc w:val="right"/>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217d7a2d104da696101497dda89e28"/>
                <w:id w:val="-1412610049"/>
                <w:lock w:val="sdtLocked"/>
              </w:sdtPr>
              <w:sdtContent>
                <w:tc>
                  <w:tcPr>
                    <w:tcW w:w="1437" w:type="pct"/>
                    <w:shd w:val="clear" w:color="auto" w:fill="auto"/>
                    <w:vAlign w:val="center"/>
                  </w:tcPr>
                  <w:p>
                    <w:pPr>
                      <w:jc w:val="center"/>
                    </w:pPr>
                    <w:r>
                      <w:rPr>
                        <w:rFonts w:hint="eastAsia"/>
                      </w:rPr>
                      <w:t>合计</w:t>
                    </w:r>
                  </w:p>
                </w:tc>
              </w:sdtContent>
            </w:sdt>
            <w:tc>
              <w:tcPr>
                <w:tcW w:w="890" w:type="pct"/>
                <w:shd w:val="clear" w:color="auto" w:fill="auto"/>
                <w:vAlign w:val="center"/>
              </w:tcPr>
              <w:p>
                <w:pPr>
                  <w:jc w:val="right"/>
                  <w:rPr>
                    <w:sz w:val="18"/>
                    <w:szCs w:val="18"/>
                  </w:rPr>
                </w:pPr>
                <w:r>
                  <w:rPr>
                    <w:sz w:val="18"/>
                    <w:szCs w:val="18"/>
                  </w:rPr>
                  <w:t>34,568,178.93</w:t>
                </w:r>
              </w:p>
            </w:tc>
            <w:tc>
              <w:tcPr>
                <w:tcW w:w="888" w:type="pct"/>
                <w:shd w:val="clear" w:color="auto" w:fill="auto"/>
                <w:vAlign w:val="center"/>
              </w:tcPr>
              <w:p>
                <w:pPr>
                  <w:jc w:val="right"/>
                  <w:rPr>
                    <w:sz w:val="18"/>
                    <w:szCs w:val="18"/>
                  </w:rPr>
                </w:pPr>
                <w:r>
                  <w:rPr>
                    <w:sz w:val="18"/>
                    <w:szCs w:val="18"/>
                  </w:rPr>
                  <w:t>468,489,586.24</w:t>
                </w:r>
              </w:p>
            </w:tc>
            <w:tc>
              <w:tcPr>
                <w:tcW w:w="890" w:type="pct"/>
                <w:shd w:val="clear" w:color="auto" w:fill="auto"/>
                <w:vAlign w:val="center"/>
              </w:tcPr>
              <w:p>
                <w:pPr>
                  <w:jc w:val="right"/>
                  <w:rPr>
                    <w:sz w:val="18"/>
                    <w:szCs w:val="18"/>
                  </w:rPr>
                </w:pPr>
                <w:r>
                  <w:rPr>
                    <w:sz w:val="18"/>
                    <w:szCs w:val="18"/>
                  </w:rPr>
                  <w:t>477,259,196.54</w:t>
                </w:r>
              </w:p>
            </w:tc>
            <w:tc>
              <w:tcPr>
                <w:tcW w:w="895" w:type="pct"/>
                <w:shd w:val="clear" w:color="auto" w:fill="auto"/>
                <w:vAlign w:val="center"/>
              </w:tcPr>
              <w:p>
                <w:pPr>
                  <w:jc w:val="right"/>
                  <w:rPr>
                    <w:sz w:val="18"/>
                    <w:szCs w:val="18"/>
                  </w:rPr>
                </w:pPr>
                <w:r>
                  <w:rPr>
                    <w:sz w:val="18"/>
                    <w:szCs w:val="18"/>
                  </w:rPr>
                  <w:t>25,798,568.63</w:t>
                </w:r>
              </w:p>
            </w:tc>
          </w:tr>
        </w:tbl>
        <w:p/>
      </w:sdtContent>
    </w:sdt>
    <w:sdt>
      <w:sdtPr>
        <w:rPr>
          <w:rFonts w:hint="eastAsia" w:ascii="宋体" w:hAnsi="宋体" w:eastAsia="宋体" w:cs="宋体"/>
          <w:b w:val="0"/>
          <w:bCs w:val="0"/>
          <w:kern w:val="0"/>
          <w:szCs w:val="24"/>
        </w:rPr>
        <w:alias w:val="模块:短期薪酬列示"/>
        <w:tag w:val="_SEC_1cb33e613a2043aba490a4f493078cdf"/>
        <w:id w:val="295415074"/>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0"/>
              <w:numId w:val="100"/>
            </w:numPr>
          </w:pPr>
          <w:r>
            <w:rPr>
              <w:rFonts w:hint="eastAsia"/>
            </w:rPr>
            <w:t>短期薪酬列示</w:t>
          </w:r>
        </w:p>
        <w:sdt>
          <w:sdtPr>
            <w:alias w:val="是否适用：短期薪酬列示[双击切换]"/>
            <w:tag w:val="_GBC_531fef0ef27e47ad98c1bb26abdf204f"/>
            <w:id w:val="-10452832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短期薪酬"/>
              <w:tag w:val="_GBC_4710a4978b1b4a4bbcd5757aaf80b8d7"/>
              <w:id w:val="-196849785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15568243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382"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6"/>
            <w:gridCol w:w="1614"/>
            <w:gridCol w:w="1700"/>
            <w:gridCol w:w="1700"/>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77153d49ca449b191bb833cd5f689b2"/>
                <w:id w:val="1657180623"/>
                <w:lock w:val="sdtLocked"/>
              </w:sdtPr>
              <w:sdtContent>
                <w:tc>
                  <w:tcPr>
                    <w:tcW w:w="13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557c49ee2a4f40de99f948c76f4c3adc"/>
                <w:id w:val="554901271"/>
                <w:lock w:val="sdtLocked"/>
              </w:sdtPr>
              <w:sdtContent>
                <w:tc>
                  <w:tcPr>
                    <w:tcW w:w="8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期初余额</w:t>
                    </w:r>
                  </w:p>
                </w:tc>
              </w:sdtContent>
            </w:sdt>
            <w:sdt>
              <w:sdtPr>
                <w:tag w:val="_PLD_98d1ab48f8084264aff0ef3a30e8ba71"/>
                <w:id w:val="-183060971"/>
                <w:lock w:val="sdtLocked"/>
              </w:sdtPr>
              <w:sdtContent>
                <w:tc>
                  <w:tcPr>
                    <w:tcW w:w="926" w:type="pct"/>
                    <w:tcBorders>
                      <w:top w:val="single" w:color="auto" w:sz="4" w:space="0"/>
                      <w:left w:val="single" w:color="auto" w:sz="4" w:space="0"/>
                      <w:bottom w:val="single" w:color="auto" w:sz="4" w:space="0"/>
                      <w:right w:val="single" w:color="auto" w:sz="4" w:space="0"/>
                    </w:tcBorders>
                    <w:vAlign w:val="center"/>
                  </w:tcPr>
                  <w:p>
                    <w:pPr>
                      <w:jc w:val="center"/>
                    </w:pPr>
                    <w:r>
                      <w:rPr>
                        <w:rFonts w:hint="eastAsia"/>
                      </w:rPr>
                      <w:t>本期增加</w:t>
                    </w:r>
                  </w:p>
                </w:tc>
              </w:sdtContent>
            </w:sdt>
            <w:sdt>
              <w:sdtPr>
                <w:tag w:val="_PLD_e35c4f26db444503b2f9a32896872169"/>
                <w:id w:val="-1381787619"/>
                <w:lock w:val="sdtLocked"/>
              </w:sdtPr>
              <w:sdtContent>
                <w:tc>
                  <w:tcPr>
                    <w:tcW w:w="926" w:type="pct"/>
                    <w:tcBorders>
                      <w:top w:val="single" w:color="auto" w:sz="4" w:space="0"/>
                      <w:left w:val="single" w:color="auto" w:sz="4" w:space="0"/>
                      <w:bottom w:val="single" w:color="auto" w:sz="4" w:space="0"/>
                      <w:right w:val="single" w:color="auto" w:sz="4" w:space="0"/>
                    </w:tcBorders>
                    <w:vAlign w:val="center"/>
                  </w:tcPr>
                  <w:p>
                    <w:pPr>
                      <w:jc w:val="center"/>
                    </w:pPr>
                    <w:r>
                      <w:t>本期减少</w:t>
                    </w:r>
                  </w:p>
                </w:tc>
              </w:sdtContent>
            </w:sdt>
            <w:sdt>
              <w:sdtPr>
                <w:tag w:val="_PLD_e67d191300ac43c2b1b07c1beddfe891"/>
                <w:id w:val="-351493904"/>
                <w:lock w:val="sdtLocked"/>
              </w:sdtPr>
              <w:sdtContent>
                <w:tc>
                  <w:tcPr>
                    <w:tcW w:w="92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87f068b039b44a99f27487cfa74131d"/>
                <w:id w:val="1854990559"/>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一、工资、奖金、津贴和补贴</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33,503,223.89</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367,140,020.67</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376,274,954.41</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24,368,290.15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3d6cf6c562b4c03b4db52d8f6a162bf"/>
                <w:id w:val="502409226"/>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二、职工福利费</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3,387.49</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3,403,755.47</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3,304,712.16</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102,430.80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11e3a4fe354f7a9e7ed202f78200ac"/>
                <w:id w:val="1662502955"/>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三、社会保险费</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452,855.77</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19,033,424.57</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18,630,617.99</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855,662.35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d186f69dd324ed3abe373aa87498a4e"/>
                <w:id w:val="-2023771324"/>
                <w:lock w:val="sdtLocked"/>
              </w:sdtPr>
              <w:sdtContent>
                <w:tc>
                  <w:tcPr>
                    <w:tcW w:w="1343" w:type="pct"/>
                    <w:tcBorders>
                      <w:top w:val="single" w:color="auto" w:sz="4" w:space="0"/>
                      <w:left w:val="single" w:color="auto" w:sz="4" w:space="0"/>
                      <w:bottom w:val="single" w:color="auto" w:sz="4" w:space="0"/>
                      <w:right w:val="single" w:color="auto" w:sz="4" w:space="0"/>
                    </w:tcBorders>
                  </w:tcPr>
                  <w:p>
                    <w:pPr>
                      <w:rPr>
                        <w:color w:val="008000"/>
                        <w:szCs w:val="21"/>
                      </w:rPr>
                    </w:pPr>
                    <w:r>
                      <w:rPr>
                        <w:rFonts w:hint="eastAsia"/>
                        <w:szCs w:val="21"/>
                      </w:rPr>
                      <w:t>其中：</w:t>
                    </w:r>
                    <w:r>
                      <w:rPr>
                        <w:szCs w:val="21"/>
                      </w:rPr>
                      <w:t>医疗保险费</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444,407.04</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16,852,955.39</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16,443,523.56</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853,838.87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436db8b255c424989dd912d9da0810f"/>
                <w:id w:val="-1466502276"/>
                <w:lock w:val="sdtLocked"/>
              </w:sdtPr>
              <w:sdtContent>
                <w:tc>
                  <w:tcPr>
                    <w:tcW w:w="1343" w:type="pct"/>
                    <w:tcBorders>
                      <w:top w:val="single" w:color="auto" w:sz="4" w:space="0"/>
                      <w:left w:val="single" w:color="auto" w:sz="4" w:space="0"/>
                      <w:bottom w:val="single" w:color="auto" w:sz="4" w:space="0"/>
                      <w:right w:val="single" w:color="auto" w:sz="4" w:space="0"/>
                    </w:tcBorders>
                  </w:tcPr>
                  <w:p>
                    <w:pPr>
                      <w:ind w:firstLine="630" w:firstLineChars="300"/>
                      <w:rPr>
                        <w:szCs w:val="21"/>
                      </w:rPr>
                    </w:pPr>
                    <w:r>
                      <w:rPr>
                        <w:rFonts w:hint="eastAsia"/>
                        <w:szCs w:val="21"/>
                      </w:rPr>
                      <w:t>工伤保险费</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181.84</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2,108,209.56</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2,106,567.92</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1,823.48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c537c2776fc4170be41d466293e3ace"/>
                <w:id w:val="1301111168"/>
                <w:lock w:val="sdtLocked"/>
              </w:sdtPr>
              <w:sdtContent>
                <w:tc>
                  <w:tcPr>
                    <w:tcW w:w="1343" w:type="pct"/>
                    <w:tcBorders>
                      <w:top w:val="single" w:color="auto" w:sz="4" w:space="0"/>
                      <w:left w:val="single" w:color="auto" w:sz="4" w:space="0"/>
                      <w:bottom w:val="single" w:color="auto" w:sz="4" w:space="0"/>
                      <w:right w:val="single" w:color="auto" w:sz="4" w:space="0"/>
                    </w:tcBorders>
                  </w:tcPr>
                  <w:p>
                    <w:pPr>
                      <w:ind w:firstLine="630" w:firstLineChars="300"/>
                      <w:rPr>
                        <w:szCs w:val="21"/>
                      </w:rPr>
                    </w:pPr>
                    <w:r>
                      <w:rPr>
                        <w:rFonts w:hint="eastAsia"/>
                        <w:szCs w:val="21"/>
                      </w:rPr>
                      <w:t>生育保险费</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8,266.89</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72,259.62</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80,526.51</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930d81c2c064993bcbc2324f2678afe"/>
                <w:id w:val="-1266230331"/>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四、住房公积金</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129,837.32</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6,186,712.87</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6,165,322.19</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151,228.00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933de2245bb4749bc8731371b57fd14"/>
                <w:id w:val="-1928790002"/>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五、工会经费和职工教育经费</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73,147.45</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1,044,596.86</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906,716.72</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211,027.59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b8c0eeaa431422fa1ad262899b738f2"/>
                <w:id w:val="1849830760"/>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六、短期带薪缺勤</w:t>
                    </w:r>
                  </w:p>
                </w:tc>
              </w:sdtContent>
            </w:sdt>
            <w:tc>
              <w:tcPr>
                <w:tcW w:w="879" w:type="pct"/>
                <w:tcBorders>
                  <w:top w:val="single" w:color="auto" w:sz="4" w:space="0"/>
                  <w:left w:val="single" w:color="auto" w:sz="4" w:space="0"/>
                  <w:bottom w:val="single" w:color="auto" w:sz="4" w:space="0"/>
                  <w:right w:val="single" w:color="auto" w:sz="4" w:space="0"/>
                </w:tcBorders>
              </w:tcPr>
              <w:p>
                <w:pPr>
                  <w:jc w:val="right"/>
                  <w:rPr>
                    <w:szCs w:val="21"/>
                  </w:rPr>
                </w:pPr>
              </w:p>
            </w:tc>
            <w:tc>
              <w:tcPr>
                <w:tcW w:w="926" w:type="pct"/>
                <w:tcBorders>
                  <w:top w:val="single" w:color="auto" w:sz="4" w:space="0"/>
                  <w:left w:val="single" w:color="auto" w:sz="4" w:space="0"/>
                  <w:bottom w:val="single" w:color="auto" w:sz="4" w:space="0"/>
                  <w:right w:val="single" w:color="auto" w:sz="4" w:space="0"/>
                </w:tcBorders>
              </w:tcPr>
              <w:p>
                <w:pPr>
                  <w:jc w:val="right"/>
                  <w:rPr>
                    <w:szCs w:val="21"/>
                  </w:rPr>
                </w:pPr>
              </w:p>
            </w:tc>
            <w:tc>
              <w:tcPr>
                <w:tcW w:w="926" w:type="pct"/>
                <w:tcBorders>
                  <w:top w:val="single" w:color="auto" w:sz="4" w:space="0"/>
                  <w:left w:val="single" w:color="auto" w:sz="4" w:space="0"/>
                  <w:bottom w:val="single" w:color="auto" w:sz="4" w:space="0"/>
                  <w:right w:val="single" w:color="auto" w:sz="4" w:space="0"/>
                </w:tcBorders>
              </w:tcPr>
              <w:p>
                <w:pPr>
                  <w:jc w:val="right"/>
                  <w:rPr>
                    <w:szCs w:val="21"/>
                  </w:rPr>
                </w:pPr>
              </w:p>
            </w:tc>
            <w:tc>
              <w:tcPr>
                <w:tcW w:w="926"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452ad04150b46f2bfd616a7555ac734"/>
                <w:id w:val="998158041"/>
                <w:lock w:val="sdtLocked"/>
              </w:sdtPr>
              <w:sdtContent>
                <w:tc>
                  <w:tcPr>
                    <w:tcW w:w="1343"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七、短期利润分享计划</w:t>
                    </w:r>
                  </w:p>
                </w:tc>
              </w:sdtContent>
            </w:sdt>
            <w:tc>
              <w:tcPr>
                <w:tcW w:w="879" w:type="pct"/>
                <w:tcBorders>
                  <w:top w:val="single" w:color="auto" w:sz="4" w:space="0"/>
                  <w:left w:val="single" w:color="auto" w:sz="4" w:space="0"/>
                  <w:bottom w:val="single" w:color="auto" w:sz="4" w:space="0"/>
                  <w:right w:val="single" w:color="auto" w:sz="4" w:space="0"/>
                </w:tcBorders>
              </w:tcPr>
              <w:p>
                <w:pPr>
                  <w:jc w:val="right"/>
                  <w:rPr>
                    <w:szCs w:val="21"/>
                  </w:rPr>
                </w:pPr>
              </w:p>
            </w:tc>
            <w:tc>
              <w:tcPr>
                <w:tcW w:w="926" w:type="pct"/>
                <w:tcBorders>
                  <w:top w:val="single" w:color="auto" w:sz="4" w:space="0"/>
                  <w:left w:val="single" w:color="auto" w:sz="4" w:space="0"/>
                  <w:bottom w:val="single" w:color="auto" w:sz="4" w:space="0"/>
                  <w:right w:val="single" w:color="auto" w:sz="4" w:space="0"/>
                </w:tcBorders>
              </w:tcPr>
              <w:p>
                <w:pPr>
                  <w:jc w:val="right"/>
                  <w:rPr>
                    <w:szCs w:val="21"/>
                  </w:rPr>
                </w:pPr>
              </w:p>
            </w:tc>
            <w:tc>
              <w:tcPr>
                <w:tcW w:w="926" w:type="pct"/>
                <w:tcBorders>
                  <w:top w:val="single" w:color="auto" w:sz="4" w:space="0"/>
                  <w:left w:val="single" w:color="auto" w:sz="4" w:space="0"/>
                  <w:bottom w:val="single" w:color="auto" w:sz="4" w:space="0"/>
                  <w:right w:val="single" w:color="auto" w:sz="4" w:space="0"/>
                </w:tcBorders>
              </w:tcPr>
              <w:p>
                <w:pPr>
                  <w:jc w:val="right"/>
                  <w:rPr>
                    <w:szCs w:val="21"/>
                  </w:rPr>
                </w:pPr>
              </w:p>
            </w:tc>
            <w:tc>
              <w:tcPr>
                <w:tcW w:w="926"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d43dc7142ef4f83aac50116249ad759"/>
                <w:id w:val="-934977450"/>
                <w:lock w:val="sdtLocked"/>
              </w:sdtPr>
              <w:sdtContent>
                <w:tc>
                  <w:tcPr>
                    <w:tcW w:w="134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879" w:type="pct"/>
                <w:tcBorders>
                  <w:top w:val="single" w:color="auto" w:sz="4" w:space="0"/>
                  <w:left w:val="single" w:color="auto" w:sz="4" w:space="0"/>
                  <w:bottom w:val="single" w:color="auto" w:sz="4" w:space="0"/>
                  <w:right w:val="single" w:color="auto" w:sz="4" w:space="0"/>
                </w:tcBorders>
                <w:vAlign w:val="center"/>
              </w:tcPr>
              <w:p>
                <w:pPr>
                  <w:jc w:val="right"/>
                  <w:rPr>
                    <w:sz w:val="24"/>
                  </w:rPr>
                </w:pPr>
                <w:r>
                  <w:t>34,162,451.92</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396,808,510.44</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405,282,323.47</w:t>
                </w:r>
              </w:p>
            </w:tc>
            <w:tc>
              <w:tcPr>
                <w:tcW w:w="926" w:type="pct"/>
                <w:tcBorders>
                  <w:top w:val="single" w:color="auto" w:sz="4" w:space="0"/>
                  <w:left w:val="single" w:color="auto" w:sz="4" w:space="0"/>
                  <w:bottom w:val="single" w:color="auto" w:sz="4" w:space="0"/>
                  <w:right w:val="single" w:color="auto" w:sz="4" w:space="0"/>
                </w:tcBorders>
                <w:vAlign w:val="center"/>
              </w:tcPr>
              <w:p>
                <w:pPr>
                  <w:jc w:val="right"/>
                  <w:rPr>
                    <w:sz w:val="24"/>
                  </w:rPr>
                </w:pPr>
                <w:r>
                  <w:t>25,688,638.89</w:t>
                </w:r>
              </w:p>
            </w:tc>
          </w:tr>
        </w:tbl>
        <w:p>
          <w:pPr>
            <w:rPr>
              <w:color w:val="000000" w:themeColor="text1"/>
              <w:szCs w:val="21"/>
            </w:rPr>
          </w:pPr>
        </w:p>
      </w:sdtContent>
    </w:sdt>
    <w:sdt>
      <w:sdtPr>
        <w:rPr>
          <w:rFonts w:hint="eastAsia" w:ascii="宋体" w:hAnsi="宋体" w:eastAsia="宋体" w:cs="宋体"/>
          <w:b w:val="0"/>
          <w:bCs w:val="0"/>
          <w:kern w:val="0"/>
          <w:szCs w:val="24"/>
        </w:rPr>
        <w:alias w:val="模块:设定提存计划列示"/>
        <w:tag w:val="_SEC_09e47a9c2ace47f19c4a16776060c867"/>
        <w:id w:val="235590656"/>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0"/>
              <w:numId w:val="100"/>
            </w:numPr>
          </w:pPr>
          <w:r>
            <w:rPr>
              <w:rFonts w:hint="eastAsia"/>
            </w:rPr>
            <w:t>设定提存计划列示</w:t>
          </w:r>
        </w:p>
        <w:p>
          <w:sdt>
            <w:sdtPr>
              <w:alias w:val="是否适用：设定提存计划列示[双击切换]"/>
              <w:tag w:val="_GBC_b10b1dbaca2d418ba8658bab8f732ec8"/>
              <w:id w:val="1216312311"/>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设定提存计划列示"/>
              <w:tag w:val="_GBC_925094ba622346ba8857a40cf7e6f1b2"/>
              <w:id w:val="923767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0788195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4"/>
            <w:gridCol w:w="1417"/>
            <w:gridCol w:w="1700"/>
            <w:gridCol w:w="1816"/>
            <w:gridCol w:w="1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05fd1b5f8842ba9ae6094f6792dfbe"/>
                <w:id w:val="-226766719"/>
                <w:lock w:val="sdtLocked"/>
              </w:sdtPr>
              <w:sdtContent>
                <w:tc>
                  <w:tcPr>
                    <w:tcW w:w="12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项目</w:t>
                    </w:r>
                  </w:p>
                </w:tc>
              </w:sdtContent>
            </w:sdt>
            <w:sdt>
              <w:sdtPr>
                <w:tag w:val="_PLD_fae7d76d85e4429d925f3d30ff27566f"/>
                <w:id w:val="1592278544"/>
                <w:lock w:val="sdtLocked"/>
              </w:sdtPr>
              <w:sdtContent>
                <w:tc>
                  <w:tcPr>
                    <w:tcW w:w="831"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期初余额</w:t>
                    </w:r>
                  </w:p>
                </w:tc>
              </w:sdtContent>
            </w:sdt>
            <w:sdt>
              <w:sdtPr>
                <w:tag w:val="_PLD_cd3c897871944aa0a1ea524d70e51704"/>
                <w:id w:val="989824959"/>
                <w:lock w:val="sdtLocked"/>
              </w:sdtPr>
              <w:sdtContent>
                <w:tc>
                  <w:tcPr>
                    <w:tcW w:w="99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本期增加</w:t>
                    </w:r>
                  </w:p>
                </w:tc>
              </w:sdtContent>
            </w:sdt>
            <w:sdt>
              <w:sdtPr>
                <w:tag w:val="_PLD_5ef10b06a3d24730bad93c45f119182f"/>
                <w:id w:val="-75358651"/>
                <w:lock w:val="sdtLocked"/>
              </w:sdtPr>
              <w:sdtContent>
                <w:tc>
                  <w:tcPr>
                    <w:tcW w:w="1065"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本期减少</w:t>
                    </w:r>
                  </w:p>
                </w:tc>
              </w:sdtContent>
            </w:sdt>
            <w:sdt>
              <w:sdtPr>
                <w:tag w:val="_PLD_13d5e5df016d4921aa56218755dfb8f4"/>
                <w:id w:val="-1893418809"/>
                <w:lock w:val="sdtLocked"/>
              </w:sdtPr>
              <w:sdtContent>
                <w:tc>
                  <w:tcPr>
                    <w:tcW w:w="880"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92f35728476417fb8764a48f0f9f81a"/>
                <w:id w:val="407202526"/>
                <w:lock w:val="sdtLocked"/>
              </w:sdtPr>
              <w:sdtContent>
                <w:tc>
                  <w:tcPr>
                    <w:tcW w:w="1227" w:type="pct"/>
                    <w:tcBorders>
                      <w:top w:val="single" w:color="auto" w:sz="6" w:space="0"/>
                      <w:left w:val="single" w:color="auto" w:sz="6" w:space="0"/>
                      <w:bottom w:val="single" w:color="auto" w:sz="6" w:space="0"/>
                      <w:right w:val="single" w:color="auto" w:sz="6" w:space="0"/>
                    </w:tcBorders>
                    <w:shd w:val="clear" w:color="auto" w:fill="auto"/>
                  </w:tcPr>
                  <w:p>
                    <w:pPr>
                      <w:jc w:val="center"/>
                    </w:pPr>
                    <w:r>
                      <w:rPr>
                        <w:rFonts w:hint="eastAsia"/>
                      </w:rPr>
                      <w:t>1、基本养老保险</w:t>
                    </w:r>
                  </w:p>
                </w:tc>
              </w:sdtContent>
            </w:sdt>
            <w:tc>
              <w:tcPr>
                <w:tcW w:w="831"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sz w:val="24"/>
                  </w:rPr>
                </w:pPr>
                <w:r>
                  <w:t>6,471.33</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28,674,686.51</w:t>
                </w:r>
              </w:p>
            </w:tc>
            <w:tc>
              <w:tcPr>
                <w:tcW w:w="10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28,575,288.69</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105,869.15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cc792e49f2f4282bad089744bc43079"/>
                <w:id w:val="841666918"/>
                <w:lock w:val="sdtLocked"/>
              </w:sdtPr>
              <w:sdtContent>
                <w:tc>
                  <w:tcPr>
                    <w:tcW w:w="1227" w:type="pct"/>
                    <w:tcBorders>
                      <w:top w:val="single" w:color="auto" w:sz="6" w:space="0"/>
                      <w:left w:val="single" w:color="auto" w:sz="6" w:space="0"/>
                      <w:bottom w:val="single" w:color="auto" w:sz="6" w:space="0"/>
                      <w:right w:val="single" w:color="auto" w:sz="6" w:space="0"/>
                    </w:tcBorders>
                    <w:shd w:val="clear" w:color="auto" w:fill="auto"/>
                  </w:tcPr>
                  <w:p>
                    <w:pPr>
                      <w:jc w:val="center"/>
                    </w:pPr>
                    <w:r>
                      <w:rPr>
                        <w:rFonts w:hint="eastAsia"/>
                      </w:rPr>
                      <w:t>2、失业保险费</w:t>
                    </w:r>
                  </w:p>
                </w:tc>
              </w:sdtContent>
            </w:sdt>
            <w:tc>
              <w:tcPr>
                <w:tcW w:w="831"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sz w:val="24"/>
                  </w:rPr>
                </w:pPr>
                <w:r>
                  <w:t>792.86</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870,276.28</w:t>
                </w:r>
              </w:p>
            </w:tc>
            <w:tc>
              <w:tcPr>
                <w:tcW w:w="10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867,008.55</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4,060.59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3a47267e86e4e5f8ca47222510e775d"/>
                <w:id w:val="-1673244933"/>
                <w:lock w:val="sdtLocked"/>
              </w:sdtPr>
              <w:sdtContent>
                <w:tc>
                  <w:tcPr>
                    <w:tcW w:w="1227" w:type="pct"/>
                    <w:tcBorders>
                      <w:top w:val="single" w:color="auto" w:sz="6" w:space="0"/>
                      <w:left w:val="single" w:color="auto" w:sz="6" w:space="0"/>
                      <w:bottom w:val="single" w:color="auto" w:sz="6" w:space="0"/>
                      <w:right w:val="single" w:color="auto" w:sz="6" w:space="0"/>
                    </w:tcBorders>
                    <w:shd w:val="clear" w:color="auto" w:fill="auto"/>
                  </w:tcPr>
                  <w:p>
                    <w:pPr>
                      <w:jc w:val="center"/>
                    </w:pPr>
                    <w:r>
                      <w:rPr>
                        <w:rFonts w:hint="eastAsia"/>
                      </w:rPr>
                      <w:t>3、企业年金缴费</w:t>
                    </w:r>
                  </w:p>
                </w:tc>
              </w:sdtContent>
            </w:sdt>
            <w:tc>
              <w:tcPr>
                <w:tcW w:w="831"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pP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c>
              <w:tcPr>
                <w:tcW w:w="10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e2c89c2b8b4426a1997730a6fc3f32"/>
                <w:id w:val="1117414850"/>
                <w:lock w:val="sdtLocked"/>
              </w:sdtPr>
              <w:sdtContent>
                <w:tc>
                  <w:tcPr>
                    <w:tcW w:w="1227" w:type="pct"/>
                    <w:tcBorders>
                      <w:top w:val="single" w:color="auto" w:sz="6" w:space="0"/>
                      <w:left w:val="single" w:color="auto" w:sz="6" w:space="0"/>
                      <w:bottom w:val="single" w:color="auto" w:sz="6" w:space="0"/>
                      <w:right w:val="single" w:color="auto" w:sz="6" w:space="0"/>
                    </w:tcBorders>
                    <w:shd w:val="clear" w:color="auto" w:fill="auto"/>
                    <w:vAlign w:val="center"/>
                  </w:tcPr>
                  <w:p>
                    <w:pPr>
                      <w:jc w:val="center"/>
                    </w:pPr>
                    <w:r>
                      <w:rPr>
                        <w:rFonts w:hint="eastAsia"/>
                      </w:rPr>
                      <w:t>合计</w:t>
                    </w:r>
                  </w:p>
                </w:tc>
              </w:sdtContent>
            </w:sdt>
            <w:tc>
              <w:tcPr>
                <w:tcW w:w="831" w:type="pct"/>
                <w:tcBorders>
                  <w:top w:val="single" w:color="auto" w:sz="4" w:space="0"/>
                  <w:left w:val="single" w:color="auto" w:sz="6" w:space="0"/>
                  <w:bottom w:val="single" w:color="auto" w:sz="4" w:space="0"/>
                  <w:right w:val="single" w:color="auto" w:sz="4" w:space="0"/>
                </w:tcBorders>
                <w:shd w:val="clear" w:color="auto" w:fill="auto"/>
                <w:vAlign w:val="center"/>
              </w:tcPr>
              <w:p>
                <w:pPr>
                  <w:jc w:val="right"/>
                  <w:rPr>
                    <w:sz w:val="24"/>
                  </w:rPr>
                </w:pPr>
                <w:r>
                  <w:t>7,264.19</w:t>
                </w:r>
              </w:p>
            </w:tc>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29,544,962.79</w:t>
                </w:r>
              </w:p>
            </w:tc>
            <w:tc>
              <w:tcPr>
                <w:tcW w:w="106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29,442,297.24</w:t>
                </w:r>
              </w:p>
            </w:tc>
            <w:tc>
              <w:tcPr>
                <w:tcW w:w="8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109,929.74</w:t>
                </w:r>
              </w:p>
            </w:tc>
          </w:tr>
        </w:tbl>
        <w:p>
          <w:pPr>
            <w:autoSpaceDE w:val="0"/>
            <w:autoSpaceDN w:val="0"/>
            <w:adjustRightInd w:val="0"/>
            <w:rPr>
              <w:szCs w:val="21"/>
            </w:rPr>
          </w:pPr>
        </w:p>
      </w:sdtContent>
    </w:sdt>
    <w:sdt>
      <w:sdtPr>
        <w:rPr>
          <w:rFonts w:hint="eastAsia"/>
          <w:szCs w:val="21"/>
        </w:rPr>
        <w:alias w:val="模块:应付职工薪酬说明"/>
        <w:tag w:val="_SEC_edbce81fdb28449ba35de2db232257b2"/>
        <w:id w:val="371575953"/>
        <w:lock w:val="sdtLocked"/>
        <w:placeholder>
          <w:docPart w:val="GBC22222222222222222222222222222"/>
        </w:placeholder>
      </w:sdtPr>
      <w:sdtEndPr>
        <w:rPr>
          <w:rFonts w:hint="eastAsia"/>
          <w:szCs w:val="21"/>
        </w:rPr>
      </w:sdtEndPr>
      <w:sdtContent>
        <w:p>
          <w:pPr>
            <w:autoSpaceDE w:val="0"/>
            <w:autoSpaceDN w:val="0"/>
            <w:adjustRightInd w:val="0"/>
            <w:rPr>
              <w:szCs w:val="21"/>
            </w:rPr>
          </w:pPr>
          <w:r>
            <w:rPr>
              <w:rFonts w:hint="eastAsia"/>
              <w:szCs w:val="21"/>
            </w:rPr>
            <w:t>其他说明：</w:t>
          </w:r>
        </w:p>
        <w:sdt>
          <w:sdtPr>
            <w:rPr>
              <w:szCs w:val="21"/>
            </w:rPr>
            <w:alias w:val="是否适用：应付职工薪酬的说明[双击切换]"/>
            <w:tag w:val="_GBC_140070104764414eae4680364e4d0b62"/>
            <w:id w:val="1998224862"/>
            <w:lock w:val="sdtLocked"/>
            <w:placeholder>
              <w:docPart w:val="GBC22222222222222222222222222222"/>
            </w:placeholder>
          </w:sdtPr>
          <w:sdtEndPr>
            <w:rPr>
              <w:szCs w:val="21"/>
            </w:rPr>
          </w:sdtEndPr>
          <w:sdtContent>
            <w:p>
              <w:pPr>
                <w:autoSpaceDE w:val="0"/>
                <w:autoSpaceDN w:val="0"/>
                <w:adjustRightInd w:val="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autoSpaceDE w:val="0"/>
        <w:autoSpaceDN w:val="0"/>
        <w:adjustRightInd w:val="0"/>
        <w:rPr>
          <w:szCs w:val="21"/>
        </w:rPr>
      </w:pPr>
    </w:p>
    <w:sdt>
      <w:sdtPr>
        <w:rPr>
          <w:rFonts w:hint="eastAsia" w:ascii="宋体" w:hAnsi="宋体" w:cs="宋体"/>
          <w:b w:val="0"/>
          <w:bCs w:val="0"/>
          <w:kern w:val="0"/>
          <w:szCs w:val="21"/>
        </w:rPr>
        <w:alias w:val="模块:应交税费"/>
        <w:tag w:val="_SEC_be9a46a3e37649b39960634f96204c34"/>
        <w:id w:val="-1407831766"/>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213"/>
            <w:numPr>
              <w:ilvl w:val="0"/>
              <w:numId w:val="77"/>
            </w:numPr>
            <w:tabs>
              <w:tab w:val="left" w:pos="504"/>
            </w:tabs>
            <w:rPr>
              <w:rFonts w:ascii="宋体" w:hAnsi="宋体"/>
              <w:szCs w:val="21"/>
            </w:rPr>
          </w:pPr>
          <w:r>
            <w:rPr>
              <w:rFonts w:hint="eastAsia" w:ascii="宋体" w:hAnsi="宋体"/>
              <w:szCs w:val="21"/>
            </w:rPr>
            <w:t>应交税费</w:t>
          </w:r>
        </w:p>
        <w:sdt>
          <w:sdtPr>
            <w:alias w:val="是否适用：应交税费[双击切换]"/>
            <w:tag w:val="_GBC_2ed6216b8f4c4523a1de5c2628cc02a2"/>
            <w:id w:val="90565359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应交税费"/>
              <w:tag w:val="_GBC_9fe49c1b8a984180ae11c305f9fe5484"/>
              <w:id w:val="10341499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342599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7"/>
            <w:gridCol w:w="2833"/>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6c8ac0907441450eac644085301d6804"/>
                <w:id w:val="1210372100"/>
                <w:lock w:val="sdtLocked"/>
              </w:sdtPr>
              <w:sdtContent>
                <w:tc>
                  <w:tcPr>
                    <w:tcW w:w="1675" w:type="pct"/>
                    <w:vAlign w:val="center"/>
                  </w:tcPr>
                  <w:p>
                    <w:pPr>
                      <w:ind w:right="105"/>
                      <w:jc w:val="center"/>
                      <w:rPr>
                        <w:szCs w:val="21"/>
                      </w:rPr>
                    </w:pPr>
                    <w:r>
                      <w:rPr>
                        <w:rFonts w:hint="eastAsia"/>
                        <w:szCs w:val="21"/>
                      </w:rPr>
                      <w:t>项目</w:t>
                    </w:r>
                  </w:p>
                </w:tc>
              </w:sdtContent>
            </w:sdt>
            <w:sdt>
              <w:sdtPr>
                <w:tag w:val="_PLD_8dab1e5e153c4b93a2d18673e1365591"/>
                <w:id w:val="-1820715494"/>
                <w:lock w:val="sdtLocked"/>
              </w:sdtPr>
              <w:sdtContent>
                <w:tc>
                  <w:tcPr>
                    <w:tcW w:w="1661" w:type="pct"/>
                    <w:vAlign w:val="center"/>
                  </w:tcPr>
                  <w:p>
                    <w:pPr>
                      <w:jc w:val="center"/>
                      <w:rPr>
                        <w:szCs w:val="21"/>
                      </w:rPr>
                    </w:pPr>
                    <w:r>
                      <w:rPr>
                        <w:rFonts w:hint="eastAsia"/>
                        <w:szCs w:val="21"/>
                      </w:rPr>
                      <w:t>期末余额</w:t>
                    </w:r>
                  </w:p>
                </w:tc>
              </w:sdtContent>
            </w:sdt>
            <w:sdt>
              <w:sdtPr>
                <w:tag w:val="_PLD_9793c5ba001a43cb914658d949d3dcec"/>
                <w:id w:val="657652823"/>
                <w:lock w:val="sdtLocked"/>
              </w:sdtPr>
              <w:sdtContent>
                <w:tc>
                  <w:tcPr>
                    <w:tcW w:w="166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jc w:val="center"/>
                  <w:rPr>
                    <w:szCs w:val="21"/>
                  </w:rPr>
                </w:pPr>
                <w:r>
                  <w:rPr>
                    <w:rFonts w:hint="eastAsia"/>
                    <w:szCs w:val="21"/>
                  </w:rPr>
                  <w:t>增值税</w:t>
                </w:r>
              </w:p>
            </w:tc>
            <w:tc>
              <w:tcPr>
                <w:tcW w:w="1661" w:type="pct"/>
                <w:shd w:val="clear" w:color="auto" w:fill="auto"/>
                <w:vAlign w:val="center"/>
              </w:tcPr>
              <w:p>
                <w:pPr>
                  <w:jc w:val="right"/>
                  <w:rPr>
                    <w:sz w:val="24"/>
                  </w:rPr>
                </w:pPr>
                <w:r>
                  <w:t>5,899,085.19</w:t>
                </w:r>
              </w:p>
            </w:tc>
            <w:tc>
              <w:tcPr>
                <w:tcW w:w="1664" w:type="pct"/>
                <w:shd w:val="clear" w:color="auto" w:fill="auto"/>
                <w:vAlign w:val="center"/>
              </w:tcPr>
              <w:p>
                <w:pPr>
                  <w:jc w:val="right"/>
                  <w:rPr>
                    <w:sz w:val="24"/>
                  </w:rPr>
                </w:pPr>
                <w:r>
                  <w:t>1,264,684.53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jc w:val="center"/>
                  <w:rPr>
                    <w:szCs w:val="21"/>
                  </w:rPr>
                </w:pPr>
                <w:r>
                  <w:rPr>
                    <w:rFonts w:hint="eastAsia"/>
                    <w:szCs w:val="21"/>
                  </w:rPr>
                  <w:t>消费税</w:t>
                </w:r>
              </w:p>
            </w:tc>
            <w:tc>
              <w:tcPr>
                <w:tcW w:w="1661" w:type="pct"/>
                <w:shd w:val="clear" w:color="auto" w:fill="auto"/>
                <w:vAlign w:val="center"/>
              </w:tcPr>
              <w:p>
                <w:pPr>
                  <w:jc w:val="right"/>
                  <w:rPr>
                    <w:sz w:val="24"/>
                  </w:rPr>
                </w:pPr>
                <w:r>
                  <w:t>318,511.52</w:t>
                </w:r>
              </w:p>
            </w:tc>
            <w:tc>
              <w:tcPr>
                <w:tcW w:w="1664" w:type="pct"/>
                <w:shd w:val="clear" w:color="auto" w:fill="auto"/>
                <w:vAlign w:val="center"/>
              </w:tcPr>
              <w:p>
                <w:pPr>
                  <w:jc w:val="right"/>
                  <w:rPr>
                    <w:sz w:val="24"/>
                  </w:rPr>
                </w:pPr>
                <w:r>
                  <w:t>345,840.91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jc w:val="center"/>
                  <w:rPr>
                    <w:szCs w:val="21"/>
                  </w:rPr>
                </w:pPr>
                <w:r>
                  <w:rPr>
                    <w:rFonts w:hint="eastAsia"/>
                    <w:szCs w:val="21"/>
                  </w:rPr>
                  <w:t>企业所得税</w:t>
                </w:r>
              </w:p>
            </w:tc>
            <w:tc>
              <w:tcPr>
                <w:tcW w:w="1661" w:type="pct"/>
                <w:shd w:val="clear" w:color="auto" w:fill="auto"/>
                <w:vAlign w:val="center"/>
              </w:tcPr>
              <w:p>
                <w:pPr>
                  <w:jc w:val="right"/>
                  <w:rPr>
                    <w:sz w:val="24"/>
                  </w:rPr>
                </w:pPr>
                <w:r>
                  <w:t>14,892,383.13</w:t>
                </w:r>
              </w:p>
            </w:tc>
            <w:tc>
              <w:tcPr>
                <w:tcW w:w="1664" w:type="pct"/>
                <w:shd w:val="clear" w:color="auto" w:fill="auto"/>
                <w:vAlign w:val="center"/>
              </w:tcPr>
              <w:p>
                <w:pPr>
                  <w:jc w:val="right"/>
                  <w:rPr>
                    <w:sz w:val="24"/>
                  </w:rPr>
                </w:pPr>
                <w:r>
                  <w:t>14,826,480.06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jc w:val="center"/>
                  <w:rPr>
                    <w:szCs w:val="21"/>
                  </w:rPr>
                </w:pPr>
                <w:r>
                  <w:rPr>
                    <w:rFonts w:hint="eastAsia"/>
                    <w:szCs w:val="21"/>
                  </w:rPr>
                  <w:t>个人所得税</w:t>
                </w:r>
              </w:p>
            </w:tc>
            <w:tc>
              <w:tcPr>
                <w:tcW w:w="1661" w:type="pct"/>
                <w:shd w:val="clear" w:color="auto" w:fill="auto"/>
                <w:vAlign w:val="center"/>
              </w:tcPr>
              <w:p>
                <w:pPr>
                  <w:jc w:val="right"/>
                  <w:rPr>
                    <w:sz w:val="24"/>
                  </w:rPr>
                </w:pPr>
                <w:r>
                  <w:t>754,851.62</w:t>
                </w:r>
              </w:p>
            </w:tc>
            <w:tc>
              <w:tcPr>
                <w:tcW w:w="1664" w:type="pct"/>
                <w:shd w:val="clear" w:color="auto" w:fill="auto"/>
                <w:vAlign w:val="center"/>
              </w:tcPr>
              <w:p>
                <w:pPr>
                  <w:jc w:val="right"/>
                  <w:rPr>
                    <w:sz w:val="24"/>
                  </w:rPr>
                </w:pPr>
                <w:r>
                  <w:t>697,539.25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shd w:val="clear" w:color="auto" w:fill="auto"/>
              </w:tcPr>
              <w:p>
                <w:pPr>
                  <w:ind w:right="105"/>
                  <w:jc w:val="center"/>
                  <w:rPr>
                    <w:szCs w:val="21"/>
                  </w:rPr>
                </w:pPr>
                <w:r>
                  <w:rPr>
                    <w:rFonts w:hint="eastAsia"/>
                    <w:szCs w:val="21"/>
                  </w:rPr>
                  <w:t>城市维护建设税</w:t>
                </w:r>
              </w:p>
            </w:tc>
            <w:tc>
              <w:tcPr>
                <w:tcW w:w="1661" w:type="pct"/>
                <w:shd w:val="clear" w:color="auto" w:fill="auto"/>
                <w:vAlign w:val="center"/>
              </w:tcPr>
              <w:p>
                <w:pPr>
                  <w:jc w:val="right"/>
                  <w:rPr>
                    <w:sz w:val="24"/>
                  </w:rPr>
                </w:pPr>
                <w:r>
                  <w:t>206,879.27</w:t>
                </w:r>
              </w:p>
            </w:tc>
            <w:tc>
              <w:tcPr>
                <w:tcW w:w="1664" w:type="pct"/>
                <w:shd w:val="clear" w:color="auto" w:fill="auto"/>
                <w:vAlign w:val="center"/>
              </w:tcPr>
              <w:p>
                <w:pPr>
                  <w:jc w:val="right"/>
                  <w:rPr>
                    <w:sz w:val="24"/>
                  </w:rPr>
                </w:pPr>
                <w:r>
                  <w:t>66,129.74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jc w:val="center"/>
                  <w:rPr>
                    <w:szCs w:val="21"/>
                  </w:rPr>
                </w:pPr>
                <w:r>
                  <w:t>房产税</w:t>
                </w:r>
              </w:p>
            </w:tc>
            <w:tc>
              <w:tcPr>
                <w:tcW w:w="1661" w:type="pct"/>
                <w:vAlign w:val="center"/>
              </w:tcPr>
              <w:p>
                <w:pPr>
                  <w:jc w:val="right"/>
                  <w:rPr>
                    <w:sz w:val="24"/>
                  </w:rPr>
                </w:pPr>
                <w:r>
                  <w:t>1,807,840.39</w:t>
                </w:r>
              </w:p>
            </w:tc>
            <w:tc>
              <w:tcPr>
                <w:tcW w:w="1664" w:type="pct"/>
                <w:vAlign w:val="center"/>
              </w:tcPr>
              <w:p>
                <w:pPr>
                  <w:jc w:val="right"/>
                  <w:rPr>
                    <w:sz w:val="24"/>
                  </w:rPr>
                </w:pPr>
                <w:r>
                  <w:t>712,200.70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525"/>
                  <w:jc w:val="center"/>
                  <w:rPr>
                    <w:szCs w:val="21"/>
                  </w:rPr>
                </w:pPr>
                <w:r>
                  <w:t>教育费附加</w:t>
                </w:r>
              </w:p>
            </w:tc>
            <w:tc>
              <w:tcPr>
                <w:tcW w:w="1661" w:type="pct"/>
                <w:vAlign w:val="center"/>
              </w:tcPr>
              <w:p>
                <w:pPr>
                  <w:jc w:val="right"/>
                  <w:rPr>
                    <w:sz w:val="24"/>
                  </w:rPr>
                </w:pPr>
                <w:r>
                  <w:t>88,739.33</w:t>
                </w:r>
              </w:p>
            </w:tc>
            <w:tc>
              <w:tcPr>
                <w:tcW w:w="1664" w:type="pct"/>
                <w:vAlign w:val="center"/>
              </w:tcPr>
              <w:p>
                <w:pPr>
                  <w:jc w:val="right"/>
                  <w:rPr>
                    <w:sz w:val="24"/>
                  </w:rPr>
                </w:pPr>
                <w:r>
                  <w:t>45,738.93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525"/>
                  <w:jc w:val="center"/>
                  <w:rPr>
                    <w:szCs w:val="21"/>
                  </w:rPr>
                </w:pPr>
                <w:r>
                  <w:t>地方教育费附加</w:t>
                </w:r>
              </w:p>
            </w:tc>
            <w:tc>
              <w:tcPr>
                <w:tcW w:w="1661" w:type="pct"/>
                <w:vAlign w:val="center"/>
              </w:tcPr>
              <w:p>
                <w:pPr>
                  <w:jc w:val="right"/>
                  <w:rPr>
                    <w:sz w:val="24"/>
                  </w:rPr>
                </w:pPr>
                <w:r>
                  <w:t>59,108.38</w:t>
                </w:r>
              </w:p>
            </w:tc>
            <w:tc>
              <w:tcPr>
                <w:tcW w:w="1664" w:type="pct"/>
                <w:vAlign w:val="center"/>
              </w:tcPr>
              <w:p>
                <w:pPr>
                  <w:jc w:val="right"/>
                  <w:rPr>
                    <w:sz w:val="24"/>
                  </w:rPr>
                </w:pPr>
                <w:r>
                  <w:t>18,894.20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525"/>
                  <w:jc w:val="center"/>
                  <w:rPr>
                    <w:szCs w:val="21"/>
                  </w:rPr>
                </w:pPr>
                <w:r>
                  <w:t>土地使用税</w:t>
                </w:r>
              </w:p>
            </w:tc>
            <w:tc>
              <w:tcPr>
                <w:tcW w:w="1661" w:type="pct"/>
                <w:vAlign w:val="center"/>
              </w:tcPr>
              <w:p>
                <w:pPr>
                  <w:jc w:val="right"/>
                  <w:rPr>
                    <w:sz w:val="24"/>
                  </w:rPr>
                </w:pPr>
                <w:r>
                  <w:t>353,905.50</w:t>
                </w:r>
              </w:p>
            </w:tc>
            <w:tc>
              <w:tcPr>
                <w:tcW w:w="1664" w:type="pct"/>
                <w:vAlign w:val="center"/>
              </w:tcPr>
              <w:p>
                <w:pPr>
                  <w:jc w:val="right"/>
                  <w:rPr>
                    <w:sz w:val="24"/>
                  </w:rPr>
                </w:pPr>
                <w:r>
                  <w:t>4,158,526.54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tcPr>
              <w:p>
                <w:pPr>
                  <w:ind w:right="105"/>
                  <w:jc w:val="center"/>
                  <w:rPr>
                    <w:szCs w:val="21"/>
                  </w:rPr>
                </w:pPr>
                <w:r>
                  <w:t>其他</w:t>
                </w:r>
              </w:p>
            </w:tc>
            <w:tc>
              <w:tcPr>
                <w:tcW w:w="1661" w:type="pct"/>
                <w:vAlign w:val="center"/>
              </w:tcPr>
              <w:p>
                <w:pPr>
                  <w:jc w:val="right"/>
                  <w:rPr>
                    <w:sz w:val="24"/>
                  </w:rPr>
                </w:pPr>
                <w:r>
                  <w:t>3,817,894.89</w:t>
                </w:r>
              </w:p>
            </w:tc>
            <w:tc>
              <w:tcPr>
                <w:tcW w:w="1664" w:type="pct"/>
                <w:vAlign w:val="center"/>
              </w:tcPr>
              <w:p>
                <w:pPr>
                  <w:jc w:val="right"/>
                  <w:rPr>
                    <w:sz w:val="24"/>
                  </w:rPr>
                </w:pPr>
                <w:r>
                  <w:t>729,641.59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75" w:type="pct"/>
                <w:vAlign w:val="center"/>
              </w:tcPr>
              <w:p>
                <w:pPr>
                  <w:ind w:right="105"/>
                  <w:jc w:val="center"/>
                  <w:rPr>
                    <w:szCs w:val="21"/>
                  </w:rPr>
                </w:pPr>
                <w:r>
                  <w:rPr>
                    <w:rFonts w:hint="eastAsia"/>
                    <w:szCs w:val="21"/>
                  </w:rPr>
                  <w:t>合计</w:t>
                </w:r>
              </w:p>
            </w:tc>
            <w:tc>
              <w:tcPr>
                <w:tcW w:w="1661" w:type="pct"/>
                <w:vAlign w:val="center"/>
              </w:tcPr>
              <w:p>
                <w:pPr>
                  <w:jc w:val="right"/>
                  <w:rPr>
                    <w:sz w:val="24"/>
                  </w:rPr>
                </w:pPr>
                <w:r>
                  <w:t>28,199,199.22</w:t>
                </w:r>
              </w:p>
            </w:tc>
            <w:tc>
              <w:tcPr>
                <w:tcW w:w="1664" w:type="pct"/>
                <w:vAlign w:val="center"/>
              </w:tcPr>
              <w:p>
                <w:pPr>
                  <w:jc w:val="right"/>
                  <w:rPr>
                    <w:sz w:val="24"/>
                  </w:rPr>
                </w:pPr>
                <w:r>
                  <w:t>22,865,676.45</w:t>
                </w:r>
              </w:p>
            </w:tc>
          </w:tr>
        </w:tbl>
        <w:p/>
        <w:p>
          <w:pPr>
            <w:rPr>
              <w:szCs w:val="21"/>
            </w:rPr>
          </w:pPr>
          <w:r>
            <w:rPr>
              <w:rFonts w:hint="eastAsia"/>
              <w:szCs w:val="21"/>
            </w:rPr>
            <w:t>其他说明：</w:t>
          </w:r>
        </w:p>
        <w:sdt>
          <w:sdtPr>
            <w:rPr>
              <w:szCs w:val="21"/>
            </w:rPr>
            <w:alias w:val="应交税金的说明"/>
            <w:tag w:val="_GBC_e365cc8f407645ca84ccf91263d3cc28"/>
            <w:id w:val="-208106700"/>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Content>
    </w:sdt>
    <w:p>
      <w:pPr>
        <w:pStyle w:val="213"/>
        <w:numPr>
          <w:ilvl w:val="0"/>
          <w:numId w:val="77"/>
        </w:numPr>
        <w:tabs>
          <w:tab w:val="left" w:pos="504"/>
        </w:tabs>
        <w:rPr>
          <w:szCs w:val="21"/>
        </w:rPr>
      </w:pPr>
      <w:r>
        <w:rPr>
          <w:rFonts w:hint="eastAsia"/>
          <w:szCs w:val="21"/>
        </w:rPr>
        <w:t>其他应付款</w:t>
      </w:r>
    </w:p>
    <w:sdt>
      <w:sdtPr>
        <w:rPr>
          <w:rFonts w:hint="eastAsia" w:ascii="宋体" w:hAnsi="宋体" w:eastAsia="宋体" w:cs="宋体"/>
          <w:b w:val="0"/>
          <w:bCs w:val="0"/>
          <w:kern w:val="0"/>
          <w:szCs w:val="24"/>
        </w:rPr>
        <w:alias w:val="模块:其他应付款分类列示"/>
        <w:tag w:val="_SEC_89b79d5c0cf746108f038a99e63ca62a"/>
        <w:id w:val="1756232918"/>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pPr>
          <w:bookmarkStart w:id="193" w:name="_Hlk532910042"/>
          <w:r>
            <w:rPr>
              <w:rFonts w:hint="eastAsia"/>
            </w:rPr>
            <w:t>项目列示</w:t>
          </w:r>
        </w:p>
        <w:sdt>
          <w:sdtPr>
            <w:alias w:val="是否适用：其他应付款分类列示[双击切换]"/>
            <w:tag w:val="_GBC_66f20e30acfe43c3b4edf860d086ad10"/>
            <w:id w:val="188922706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其他应付款分类列示"/>
              <w:tag w:val="_GBC_1d2c755c7a60470390b86f677f589d52"/>
              <w:id w:val="-13366084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其他应付款分类列示"/>
              <w:tag w:val="_GBC_54becc5fdf374134a56007701ad1c4e0"/>
              <w:id w:val="-128441483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2698"/>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b32323c48c441e4832da1fe28654990"/>
                <w:id w:val="1907338473"/>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427fe40919c945eaada0e2529b497787"/>
                <w:id w:val="-745883616"/>
                <w:lock w:val="sdtLocked"/>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963dd0fff1a644319fa667127e37c635"/>
                <w:id w:val="-50238506"/>
                <w:lock w:val="sdtLocked"/>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d8db0f39a8f4ce288a938e24fa2c383"/>
                <w:id w:val="1157338965"/>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应付利息</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8bd770751d483f8745dbb7b00bc1bc"/>
                <w:id w:val="-420871128"/>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应付股利</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83cb5058f1e4c4a90af87f7c5034615"/>
                <w:id w:val="-1039967562"/>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其他应付款</w:t>
                    </w:r>
                  </w:p>
                </w:tc>
              </w:sdtContent>
            </w:sdt>
            <w:tc>
              <w:tcPr>
                <w:tcW w:w="1582" w:type="pct"/>
                <w:shd w:val="clear" w:color="auto" w:fill="auto"/>
                <w:vAlign w:val="center"/>
              </w:tcPr>
              <w:p>
                <w:pPr>
                  <w:jc w:val="right"/>
                  <w:rPr>
                    <w:sz w:val="24"/>
                  </w:rPr>
                </w:pPr>
                <w:r>
                  <w:t>651,321,631.47</w:t>
                </w:r>
              </w:p>
            </w:tc>
            <w:tc>
              <w:tcPr>
                <w:tcW w:w="1590" w:type="pct"/>
                <w:shd w:val="clear" w:color="auto" w:fill="auto"/>
                <w:vAlign w:val="center"/>
              </w:tcPr>
              <w:p>
                <w:pPr>
                  <w:jc w:val="right"/>
                  <w:rPr>
                    <w:sz w:val="24"/>
                  </w:rPr>
                </w:pPr>
                <w:r>
                  <w:t>793,036,009.63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8846159369b4ecc8e1c94c6ae222651"/>
                <w:id w:val="1377970794"/>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vAlign w:val="center"/>
              </w:tcPr>
              <w:p>
                <w:pPr>
                  <w:jc w:val="right"/>
                  <w:rPr>
                    <w:sz w:val="24"/>
                  </w:rPr>
                </w:pPr>
                <w:r>
                  <w:t>651,321,631.47</w:t>
                </w:r>
              </w:p>
            </w:tc>
            <w:tc>
              <w:tcPr>
                <w:tcW w:w="1590" w:type="pct"/>
                <w:shd w:val="clear" w:color="auto" w:fill="auto"/>
                <w:vAlign w:val="center"/>
              </w:tcPr>
              <w:p>
                <w:pPr>
                  <w:jc w:val="right"/>
                  <w:rPr>
                    <w:sz w:val="24"/>
                  </w:rPr>
                </w:pPr>
                <w:r>
                  <w:t>793,036,009.63</w:t>
                </w:r>
              </w:p>
            </w:tc>
          </w:tr>
        </w:tbl>
        <w:p>
          <w:pPr>
            <w:pStyle w:val="283"/>
            <w:widowControl w:val="0"/>
            <w:tabs>
              <w:tab w:val="clear" w:pos="714"/>
            </w:tabs>
            <w:spacing w:before="120" w:beforeLines="50" w:line="360" w:lineRule="auto"/>
            <w:ind w:hanging="756" w:hangingChars="360"/>
            <w:outlineLvl w:val="9"/>
            <w:rPr>
              <w:rFonts w:ascii="Times New Roman" w:hAnsi="Times New Roman"/>
            </w:rPr>
          </w:pPr>
          <w:r>
            <w:rPr>
              <w:b w:val="0"/>
            </w:rPr>
            <w:t>注：</w:t>
          </w:r>
          <w:r>
            <w:rPr>
              <w:rFonts w:hint="eastAsia"/>
              <w:b w:val="0"/>
            </w:rPr>
            <w:t>上表中其他应付款指扣除应付利息、应付股利后的其他应付款</w:t>
          </w:r>
          <w:r>
            <w:rPr>
              <w:b w:val="0"/>
            </w:rPr>
            <w:t>。</w:t>
          </w:r>
        </w:p>
        <w:p/>
      </w:sdtContent>
    </w:sdt>
    <w:bookmarkEnd w:id="193"/>
    <w:sdt>
      <w:sdtPr>
        <w:rPr>
          <w:rFonts w:hint="eastAsia"/>
          <w:szCs w:val="21"/>
        </w:rPr>
        <w:alias w:val="模块:其他应付款分类列示其他说明"/>
        <w:tag w:val="_SEC_6345efe048154a68a2b9789f203377af"/>
        <w:id w:val="-692685209"/>
        <w:lock w:val="sdtLocked"/>
        <w:placeholder>
          <w:docPart w:val="GBC22222222222222222222222222222"/>
        </w:placeholder>
      </w:sdtPr>
      <w:sdtEndPr>
        <w:rPr>
          <w:rFonts w:hint="default"/>
          <w:szCs w:val="24"/>
        </w:rPr>
      </w:sdtEndPr>
      <w:sdtContent>
        <w:p>
          <w:pPr>
            <w:rPr>
              <w:szCs w:val="21"/>
            </w:rPr>
          </w:pPr>
          <w:r>
            <w:rPr>
              <w:rFonts w:hint="eastAsia"/>
              <w:szCs w:val="21"/>
            </w:rPr>
            <w:t>其他说明：</w:t>
          </w:r>
        </w:p>
        <w:sdt>
          <w:sdtPr>
            <w:rPr>
              <w:szCs w:val="21"/>
            </w:rPr>
            <w:alias w:val="是否适用：其他应付款分类列示其他说明[双击切换]"/>
            <w:tag w:val="_GBC_0a193210dc5a48968a718098f9b47a3d"/>
            <w:id w:val="135611744"/>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ascii="宋体" w:hAnsi="宋体" w:eastAsia="宋体" w:cs="宋体"/>
          <w:b w:val="0"/>
          <w:bCs w:val="0"/>
          <w:kern w:val="0"/>
          <w:szCs w:val="22"/>
        </w:rPr>
        <w:alias w:val="模块:应付利息"/>
        <w:tag w:val="_SEC_387989ce789d404fab98beb488dfa010"/>
        <w:id w:val="-194546700"/>
        <w:lock w:val="sdtLocked"/>
        <w:placeholder>
          <w:docPart w:val="GBC22222222222222222222222222222"/>
        </w:placeholder>
      </w:sdtPr>
      <w:sdtEndPr>
        <w:rPr>
          <w:rFonts w:ascii="宋体" w:hAnsi="宋体" w:eastAsia="宋体" w:cs="宋体"/>
          <w:b w:val="0"/>
          <w:bCs w:val="0"/>
          <w:kern w:val="0"/>
          <w:szCs w:val="21"/>
        </w:rPr>
      </w:sdtEndPr>
      <w:sdtContent>
        <w:p>
          <w:pPr>
            <w:pStyle w:val="214"/>
            <w:ind w:left="360" w:hanging="360"/>
          </w:pPr>
          <w:r>
            <w:rPr>
              <w:rFonts w:hint="eastAsia"/>
            </w:rPr>
            <w:t>应付利息</w:t>
          </w:r>
        </w:p>
        <w:p>
          <w:pPr>
            <w:pStyle w:val="214"/>
            <w:numPr>
              <w:ilvl w:val="0"/>
              <w:numId w:val="101"/>
            </w:numPr>
          </w:pPr>
          <w:r>
            <w:rPr>
              <w:rFonts w:hint="eastAsia"/>
            </w:rPr>
            <w:t>分类列示</w:t>
          </w:r>
        </w:p>
        <w:sdt>
          <w:sdtPr>
            <w:alias w:val="是否适用：应付利息[双击切换]"/>
            <w:tag w:val="_GBC_85af862d19904f96b30527124af698c1"/>
            <w:id w:val="-1657522554"/>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ascii="宋体" w:hAnsi="宋体" w:eastAsia="宋体" w:cs="宋体"/>
          <w:b w:val="0"/>
          <w:bCs w:val="0"/>
          <w:kern w:val="0"/>
          <w:szCs w:val="24"/>
        </w:rPr>
        <w:alias w:val="模块:应付股利"/>
        <w:tag w:val="_SEC_8fa7e393d06b440f9c82ae0d64899eaa"/>
        <w:id w:val="-511372009"/>
        <w:lock w:val="sdtLocked"/>
        <w:placeholder>
          <w:docPart w:val="GBC22222222222222222222222222222"/>
        </w:placeholder>
      </w:sdtPr>
      <w:sdtEndPr>
        <w:rPr>
          <w:rFonts w:ascii="宋体" w:hAnsi="宋体" w:eastAsia="宋体" w:cs="宋体"/>
          <w:b w:val="0"/>
          <w:bCs w:val="0"/>
          <w:kern w:val="0"/>
          <w:szCs w:val="21"/>
        </w:rPr>
      </w:sdtEndPr>
      <w:sdtContent>
        <w:p>
          <w:pPr>
            <w:pStyle w:val="214"/>
            <w:ind w:left="360" w:hanging="360"/>
          </w:pPr>
          <w:r>
            <w:rPr>
              <w:rFonts w:hint="eastAsia"/>
            </w:rPr>
            <w:t>应付股利</w:t>
          </w:r>
        </w:p>
        <w:p>
          <w:pPr>
            <w:pStyle w:val="214"/>
            <w:numPr>
              <w:ilvl w:val="0"/>
              <w:numId w:val="101"/>
            </w:numPr>
          </w:pPr>
          <w:r>
            <w:rPr>
              <w:rFonts w:hint="eastAsia"/>
            </w:rPr>
            <w:t>分类列示</w:t>
          </w:r>
        </w:p>
        <w:sdt>
          <w:sdtPr>
            <w:alias w:val="是否适用：应付股利[双击切换]"/>
            <w:tag w:val="_GBC_57df9a637d8e4610a89d25f277c3a9c3"/>
            <w:id w:val="-1607722342"/>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rPr>
              <w:szCs w:val="21"/>
            </w:rPr>
          </w:pPr>
        </w:p>
      </w:sdtContent>
    </w:sdt>
    <w:sdt>
      <w:sdtPr>
        <w:rPr>
          <w:rFonts w:hint="eastAsia" w:ascii="宋体" w:hAnsi="宋体" w:eastAsia="宋体" w:cs="宋体"/>
          <w:b w:val="0"/>
          <w:bCs w:val="0"/>
          <w:kern w:val="0"/>
          <w:szCs w:val="24"/>
        </w:rPr>
        <w:alias w:val="模块:其他应付款"/>
        <w:tag w:val="_SEC_63718a543ca94cc0ab86d1bd47798003"/>
        <w:id w:val="4951192"/>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ind w:left="360" w:hanging="360"/>
          </w:pPr>
          <w:r>
            <w:rPr>
              <w:rFonts w:hint="eastAsia"/>
            </w:rPr>
            <w:t>其他应付款</w:t>
          </w:r>
        </w:p>
        <w:p>
          <w:pPr>
            <w:pStyle w:val="214"/>
            <w:numPr>
              <w:ilvl w:val="3"/>
              <w:numId w:val="102"/>
            </w:numPr>
          </w:pPr>
          <w:r>
            <w:rPr>
              <w:rFonts w:hint="eastAsia"/>
            </w:rPr>
            <w:t>按款项性质列示其他应付款</w:t>
          </w:r>
        </w:p>
        <w:sdt>
          <w:sdtPr>
            <w:alias w:val="是否适用：按款项性质列示其他应付款[双击切换]"/>
            <w:tag w:val="_GBC_2129eaafa70540f79a93d0085630a5fe"/>
            <w:id w:val="182955169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应付款情况"/>
              <w:tag w:val="_GBC_a6c4e704227646d6b87178ecadaa5fa8"/>
              <w:id w:val="3891632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18230036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5"/>
            <w:gridCol w:w="2826"/>
            <w:gridCol w:w="2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ccd20120c59428c9fb5486db901b651"/>
                <w:id w:val="26619738"/>
                <w:lock w:val="sdtLocked"/>
              </w:sdtPr>
              <w:sdtContent>
                <w:tc>
                  <w:tcPr>
                    <w:tcW w:w="1615" w:type="pct"/>
                    <w:shd w:val="clear" w:color="auto" w:fill="auto"/>
                  </w:tcPr>
                  <w:p>
                    <w:pPr>
                      <w:jc w:val="center"/>
                      <w:rPr>
                        <w:szCs w:val="21"/>
                      </w:rPr>
                    </w:pPr>
                    <w:r>
                      <w:rPr>
                        <w:rFonts w:hint="eastAsia"/>
                        <w:szCs w:val="21"/>
                      </w:rPr>
                      <w:t>项目</w:t>
                    </w:r>
                  </w:p>
                </w:tc>
              </w:sdtContent>
            </w:sdt>
            <w:sdt>
              <w:sdtPr>
                <w:tag w:val="_PLD_e2d62dec5e0841a581c413f632730f49"/>
                <w:id w:val="-282664011"/>
                <w:lock w:val="sdtLocked"/>
              </w:sdtPr>
              <w:sdtContent>
                <w:tc>
                  <w:tcPr>
                    <w:tcW w:w="1657" w:type="pct"/>
                    <w:shd w:val="clear" w:color="auto" w:fill="auto"/>
                  </w:tcPr>
                  <w:p>
                    <w:pPr>
                      <w:jc w:val="center"/>
                      <w:rPr>
                        <w:szCs w:val="21"/>
                      </w:rPr>
                    </w:pPr>
                    <w:r>
                      <w:rPr>
                        <w:rFonts w:hint="eastAsia"/>
                        <w:szCs w:val="21"/>
                      </w:rPr>
                      <w:t>期末余额</w:t>
                    </w:r>
                  </w:p>
                </w:tc>
              </w:sdtContent>
            </w:sdt>
            <w:sdt>
              <w:sdtPr>
                <w:tag w:val="_PLD_7d5bd8bc96cd40388e383699d37c8d10"/>
                <w:id w:val="-154381320"/>
                <w:lock w:val="sdtLocked"/>
              </w:sdtPr>
              <w:sdtContent>
                <w:tc>
                  <w:tcPr>
                    <w:tcW w:w="1728" w:type="pct"/>
                    <w:shd w:val="clear" w:color="auto" w:fill="auto"/>
                  </w:tcPr>
                  <w:p>
                    <w:pPr>
                      <w:jc w:val="center"/>
                      <w:rPr>
                        <w:szCs w:val="21"/>
                      </w:rPr>
                    </w:pPr>
                    <w:r>
                      <w:rPr>
                        <w:rFonts w:hint="eastAsia"/>
                        <w:szCs w:val="21"/>
                      </w:rPr>
                      <w:t>期初余额</w:t>
                    </w:r>
                  </w:p>
                </w:tc>
              </w:sdtContent>
            </w:sdt>
          </w:tr>
          <w:sdt>
            <w:sdtPr>
              <w:rPr>
                <w:rFonts w:hint="eastAsia"/>
                <w:szCs w:val="21"/>
              </w:rPr>
              <w:alias w:val="其他应付款情况明细"/>
              <w:tag w:val="_TUP_c5fd807cf68b4815b97a33bdc075d5e4"/>
              <w:id w:val="-1604713446"/>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szCs w:val="21"/>
                      </w:rPr>
                    </w:pPr>
                    <w:r>
                      <w:t>往来款</w:t>
                    </w:r>
                  </w:p>
                </w:tc>
                <w:tc>
                  <w:tcPr>
                    <w:tcW w:w="1657" w:type="pct"/>
                    <w:shd w:val="clear" w:color="auto" w:fill="auto"/>
                  </w:tcPr>
                  <w:p>
                    <w:pPr>
                      <w:jc w:val="right"/>
                      <w:rPr>
                        <w:rFonts w:asciiTheme="minorEastAsia" w:hAnsiTheme="minorEastAsia" w:eastAsiaTheme="minorEastAsia"/>
                        <w:szCs w:val="21"/>
                      </w:rPr>
                    </w:pPr>
                    <w:r>
                      <w:rPr>
                        <w:rFonts w:asciiTheme="minorEastAsia" w:hAnsiTheme="minorEastAsia" w:eastAsiaTheme="minorEastAsia"/>
                        <w:szCs w:val="21"/>
                      </w:rPr>
                      <w:t>419,392,706.27</w:t>
                    </w:r>
                  </w:p>
                </w:tc>
                <w:tc>
                  <w:tcPr>
                    <w:tcW w:w="1728" w:type="pct"/>
                    <w:shd w:val="clear" w:color="auto" w:fill="auto"/>
                  </w:tcPr>
                  <w:p>
                    <w:pPr>
                      <w:jc w:val="right"/>
                      <w:rPr>
                        <w:szCs w:val="21"/>
                      </w:rPr>
                    </w:pPr>
                    <w:r>
                      <w:t>394,863,257.94</w:t>
                    </w:r>
                  </w:p>
                </w:tc>
              </w:tr>
            </w:sdtContent>
          </w:sdt>
          <w:sdt>
            <w:sdtPr>
              <w:rPr>
                <w:rFonts w:hint="eastAsia"/>
                <w:szCs w:val="21"/>
              </w:rPr>
              <w:alias w:val="其他应付款情况明细"/>
              <w:tag w:val="_TUP_c5fd807cf68b4815b97a33bdc075d5e4"/>
              <w:id w:val="-1823808094"/>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szCs w:val="21"/>
                      </w:rPr>
                    </w:pPr>
                    <w:r>
                      <w:t>押金及保证金</w:t>
                    </w:r>
                  </w:p>
                </w:tc>
                <w:tc>
                  <w:tcPr>
                    <w:tcW w:w="1657" w:type="pct"/>
                    <w:shd w:val="clear" w:color="auto" w:fill="auto"/>
                  </w:tcPr>
                  <w:p>
                    <w:pPr>
                      <w:jc w:val="right"/>
                      <w:rPr>
                        <w:rFonts w:asciiTheme="minorEastAsia" w:hAnsiTheme="minorEastAsia" w:eastAsiaTheme="minorEastAsia"/>
                        <w:szCs w:val="21"/>
                      </w:rPr>
                    </w:pPr>
                    <w:r>
                      <w:rPr>
                        <w:rFonts w:asciiTheme="minorEastAsia" w:hAnsiTheme="minorEastAsia" w:eastAsiaTheme="minorEastAsia"/>
                        <w:szCs w:val="21"/>
                      </w:rPr>
                      <w:t>78,727,047.70</w:t>
                    </w:r>
                  </w:p>
                </w:tc>
                <w:tc>
                  <w:tcPr>
                    <w:tcW w:w="1728" w:type="pct"/>
                    <w:shd w:val="clear" w:color="auto" w:fill="auto"/>
                  </w:tcPr>
                  <w:p>
                    <w:pPr>
                      <w:jc w:val="right"/>
                      <w:rPr>
                        <w:szCs w:val="21"/>
                      </w:rPr>
                    </w:pPr>
                    <w:r>
                      <w:t>110,255,661.83</w:t>
                    </w:r>
                  </w:p>
                </w:tc>
              </w:tr>
            </w:sdtContent>
          </w:sdt>
          <w:sdt>
            <w:sdtPr>
              <w:rPr>
                <w:rFonts w:hint="eastAsia"/>
                <w:szCs w:val="21"/>
              </w:rPr>
              <w:alias w:val="其他应付款情况明细"/>
              <w:tag w:val="_TUP_c5fd807cf68b4815b97a33bdc075d5e4"/>
              <w:id w:val="-418707511"/>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szCs w:val="21"/>
                      </w:rPr>
                    </w:pPr>
                    <w:r>
                      <w:t>预提费用</w:t>
                    </w:r>
                  </w:p>
                </w:tc>
                <w:tc>
                  <w:tcPr>
                    <w:tcW w:w="1657" w:type="pct"/>
                    <w:shd w:val="clear" w:color="auto" w:fill="auto"/>
                    <w:vAlign w:val="center"/>
                  </w:tcPr>
                  <w:p>
                    <w:pPr>
                      <w:jc w:val="right"/>
                      <w:rPr>
                        <w:rFonts w:asciiTheme="minorEastAsia" w:hAnsiTheme="minorEastAsia" w:eastAsiaTheme="minorEastAsia"/>
                        <w:szCs w:val="21"/>
                      </w:rPr>
                    </w:pPr>
                    <w:r>
                      <w:rPr>
                        <w:rFonts w:asciiTheme="minorEastAsia" w:hAnsiTheme="minorEastAsia" w:eastAsiaTheme="minorEastAsia"/>
                        <w:szCs w:val="21"/>
                      </w:rPr>
                      <w:t>76,815,238.36</w:t>
                    </w:r>
                  </w:p>
                </w:tc>
                <w:tc>
                  <w:tcPr>
                    <w:tcW w:w="1728" w:type="pct"/>
                    <w:shd w:val="clear" w:color="auto" w:fill="auto"/>
                  </w:tcPr>
                  <w:p>
                    <w:pPr>
                      <w:jc w:val="right"/>
                      <w:rPr>
                        <w:szCs w:val="21"/>
                      </w:rPr>
                    </w:pPr>
                    <w:r>
                      <w:t>93,678,102.54</w:t>
                    </w:r>
                  </w:p>
                </w:tc>
              </w:tr>
            </w:sdtContent>
          </w:sdt>
          <w:sdt>
            <w:sdtPr>
              <w:rPr>
                <w:rFonts w:hint="eastAsia"/>
                <w:szCs w:val="21"/>
              </w:rPr>
              <w:alias w:val="其他应付款情况明细"/>
              <w:tag w:val="_TUP_c5fd807cf68b4815b97a33bdc075d5e4"/>
              <w:id w:val="-120539060"/>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szCs w:val="21"/>
                      </w:rPr>
                    </w:pPr>
                    <w:r>
                      <w:t>应付股权回购款</w:t>
                    </w:r>
                  </w:p>
                </w:tc>
                <w:tc>
                  <w:tcPr>
                    <w:tcW w:w="1657" w:type="pct"/>
                    <w:shd w:val="clear" w:color="auto" w:fill="auto"/>
                    <w:vAlign w:val="center"/>
                  </w:tcPr>
                  <w:p>
                    <w:pPr>
                      <w:jc w:val="right"/>
                      <w:rPr>
                        <w:rFonts w:asciiTheme="minorEastAsia" w:hAnsiTheme="minorEastAsia" w:eastAsiaTheme="minorEastAsia"/>
                        <w:szCs w:val="21"/>
                      </w:rPr>
                    </w:pPr>
                    <w:r>
                      <w:rPr>
                        <w:rFonts w:asciiTheme="minorEastAsia" w:hAnsiTheme="minorEastAsia" w:eastAsiaTheme="minorEastAsia"/>
                        <w:szCs w:val="21"/>
                      </w:rPr>
                      <w:t>291,660.00</w:t>
                    </w:r>
                  </w:p>
                </w:tc>
                <w:tc>
                  <w:tcPr>
                    <w:tcW w:w="1728" w:type="pct"/>
                    <w:shd w:val="clear" w:color="auto" w:fill="auto"/>
                  </w:tcPr>
                  <w:p>
                    <w:pPr>
                      <w:jc w:val="right"/>
                      <w:rPr>
                        <w:szCs w:val="21"/>
                      </w:rPr>
                    </w:pPr>
                    <w:r>
                      <w:t>84,855,169.00</w:t>
                    </w:r>
                  </w:p>
                </w:tc>
              </w:tr>
            </w:sdtContent>
          </w:sdt>
          <w:sdt>
            <w:sdtPr>
              <w:rPr>
                <w:rFonts w:hint="eastAsia"/>
                <w:szCs w:val="21"/>
              </w:rPr>
              <w:alias w:val="其他应付款情况明细"/>
              <w:tag w:val="_TUP_c5fd807cf68b4815b97a33bdc075d5e4"/>
              <w:id w:val="-1491855197"/>
              <w:lock w:val="sdtLocked"/>
            </w:sdtPr>
            <w:sdtEndPr>
              <w:rPr>
                <w:rFonts w:hint="default"/>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szCs w:val="21"/>
                      </w:rPr>
                    </w:pPr>
                    <w:r>
                      <w:rPr>
                        <w:rFonts w:hint="eastAsia"/>
                      </w:rPr>
                      <w:t>资金拆借</w:t>
                    </w:r>
                  </w:p>
                </w:tc>
                <w:tc>
                  <w:tcPr>
                    <w:tcW w:w="1657" w:type="pct"/>
                    <w:shd w:val="clear" w:color="auto" w:fill="auto"/>
                  </w:tcPr>
                  <w:p>
                    <w:pPr>
                      <w:jc w:val="right"/>
                      <w:rPr>
                        <w:rFonts w:asciiTheme="minorEastAsia" w:hAnsiTheme="minorEastAsia" w:eastAsiaTheme="minorEastAsia"/>
                        <w:szCs w:val="21"/>
                      </w:rPr>
                    </w:pPr>
                    <w:r>
                      <w:rPr>
                        <w:rFonts w:asciiTheme="minorEastAsia" w:hAnsiTheme="minorEastAsia" w:eastAsiaTheme="minorEastAsia"/>
                        <w:szCs w:val="21"/>
                      </w:rPr>
                      <w:t>19,761,659.68</w:t>
                    </w:r>
                  </w:p>
                </w:tc>
                <w:tc>
                  <w:tcPr>
                    <w:tcW w:w="1728" w:type="pct"/>
                    <w:shd w:val="clear" w:color="auto" w:fill="auto"/>
                  </w:tcPr>
                  <w:p>
                    <w:pPr>
                      <w:jc w:val="right"/>
                      <w:rPr>
                        <w:szCs w:val="21"/>
                      </w:rPr>
                    </w:pPr>
                    <w:r>
                      <w:t>22,106,180.50</w:t>
                    </w:r>
                  </w:p>
                </w:tc>
              </w:tr>
            </w:sdtContent>
          </w:sdt>
          <w:sdt>
            <w:sdtPr>
              <w:rPr>
                <w:rFonts w:hint="eastAsia"/>
                <w:szCs w:val="21"/>
              </w:rPr>
              <w:alias w:val="其他应付款情况明细"/>
              <w:tag w:val="_TUP_c5fd807cf68b4815b97a33bdc075d5e4"/>
              <w:id w:val="1626045912"/>
              <w:lock w:val="sdtLocked"/>
            </w:sdtPr>
            <w:sdtEndPr>
              <w:rPr>
                <w:rFonts w:hint="default"/>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5" w:type="pct"/>
                    <w:shd w:val="clear" w:color="auto" w:fill="auto"/>
                  </w:tcPr>
                  <w:p>
                    <w:pPr>
                      <w:jc w:val="center"/>
                      <w:rPr>
                        <w:szCs w:val="21"/>
                      </w:rPr>
                    </w:pPr>
                    <w:r>
                      <w:t>其他</w:t>
                    </w:r>
                  </w:p>
                </w:tc>
                <w:tc>
                  <w:tcPr>
                    <w:tcW w:w="1657" w:type="pct"/>
                    <w:shd w:val="clear" w:color="auto" w:fill="auto"/>
                    <w:vAlign w:val="center"/>
                  </w:tcPr>
                  <w:p>
                    <w:pPr>
                      <w:jc w:val="right"/>
                      <w:rPr>
                        <w:sz w:val="24"/>
                      </w:rPr>
                    </w:pPr>
                    <w:r>
                      <w:t>56,333,319.46</w:t>
                    </w:r>
                  </w:p>
                </w:tc>
                <w:tc>
                  <w:tcPr>
                    <w:tcW w:w="1728" w:type="pct"/>
                    <w:shd w:val="clear" w:color="auto" w:fill="auto"/>
                  </w:tcPr>
                  <w:p>
                    <w:pPr>
                      <w:jc w:val="right"/>
                    </w:pPr>
                    <w:r>
                      <w:t>87,277,637.82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1f559af9c054f8b851f93ba5dcee683"/>
                <w:id w:val="906650733"/>
                <w:lock w:val="sdtLocked"/>
              </w:sdtPr>
              <w:sdtContent>
                <w:tc>
                  <w:tcPr>
                    <w:tcW w:w="1615" w:type="pct"/>
                    <w:shd w:val="clear" w:color="auto" w:fill="auto"/>
                  </w:tcPr>
                  <w:p>
                    <w:pPr>
                      <w:jc w:val="center"/>
                      <w:rPr>
                        <w:color w:val="000000" w:themeColor="text1"/>
                        <w:szCs w:val="21"/>
                      </w:rPr>
                    </w:pPr>
                    <w:r>
                      <w:rPr>
                        <w:rFonts w:hint="eastAsia"/>
                        <w:color w:val="000000" w:themeColor="text1"/>
                        <w:szCs w:val="21"/>
                      </w:rPr>
                      <w:t>合计</w:t>
                    </w:r>
                  </w:p>
                </w:tc>
              </w:sdtContent>
            </w:sdt>
            <w:tc>
              <w:tcPr>
                <w:tcW w:w="1657" w:type="pct"/>
                <w:shd w:val="clear" w:color="auto" w:fill="auto"/>
                <w:vAlign w:val="center"/>
              </w:tcPr>
              <w:p>
                <w:pPr>
                  <w:jc w:val="right"/>
                  <w:rPr>
                    <w:sz w:val="24"/>
                  </w:rPr>
                </w:pPr>
                <w:r>
                  <w:t>651,321,631.47</w:t>
                </w:r>
              </w:p>
            </w:tc>
            <w:tc>
              <w:tcPr>
                <w:tcW w:w="1728" w:type="pct"/>
                <w:shd w:val="clear" w:color="auto" w:fill="auto"/>
                <w:vAlign w:val="center"/>
              </w:tcPr>
              <w:p>
                <w:pPr>
                  <w:jc w:val="right"/>
                  <w:rPr>
                    <w:sz w:val="24"/>
                  </w:rPr>
                </w:pPr>
                <w:r>
                  <w:t>793,036,009.63</w:t>
                </w:r>
              </w:p>
            </w:tc>
          </w:tr>
        </w:tbl>
        <w:p/>
        <w:p>
          <w:pPr>
            <w:pStyle w:val="214"/>
            <w:numPr>
              <w:ilvl w:val="3"/>
              <w:numId w:val="102"/>
            </w:numPr>
          </w:pPr>
          <w:r>
            <w:rPr>
              <w:rFonts w:hint="eastAsia"/>
            </w:rPr>
            <w:t>账龄超过</w:t>
          </w:r>
          <w:r>
            <w:t>1年的重要其他应付款</w:t>
          </w:r>
        </w:p>
        <w:p>
          <w:sdt>
            <w:sdtPr>
              <w:alias w:val="是否适用：账龄超过1年的重要其他应付款[双击切换]"/>
              <w:tag w:val="_GBC_8c91a7ba05384c71ab6bde19039096ff"/>
              <w:id w:val="-228852968"/>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账龄超过1年的重要其他应付款"/>
              <w:tag w:val="_GBC_483467483bd848008ea19d2f579d4ad3"/>
              <w:id w:val="11575076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11996846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3"/>
            <w:gridCol w:w="1844"/>
            <w:gridCol w:w="2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sdt>
              <w:sdtPr>
                <w:tag w:val="_PLD_9c8ea996049c4def9d7d14d20087b3b1"/>
                <w:id w:val="31779068"/>
                <w:lock w:val="sdtLocked"/>
              </w:sdtPr>
              <w:sdtContent>
                <w:tc>
                  <w:tcPr>
                    <w:tcW w:w="2224" w:type="pct"/>
                    <w:shd w:val="clear" w:color="auto" w:fill="auto"/>
                    <w:vAlign w:val="center"/>
                  </w:tcPr>
                  <w:p>
                    <w:pPr>
                      <w:jc w:val="center"/>
                      <w:rPr>
                        <w:szCs w:val="21"/>
                      </w:rPr>
                    </w:pPr>
                    <w:bookmarkStart w:id="194" w:name="_Toc215903165"/>
                    <w:r>
                      <w:rPr>
                        <w:rFonts w:hint="eastAsia"/>
                        <w:szCs w:val="21"/>
                      </w:rPr>
                      <w:t>项目</w:t>
                    </w:r>
                  </w:p>
                </w:tc>
              </w:sdtContent>
            </w:sdt>
            <w:sdt>
              <w:sdtPr>
                <w:tag w:val="_PLD_cbf69a41aba142df803e5a24615b92d6"/>
                <w:id w:val="31779069"/>
                <w:lock w:val="sdtLocked"/>
              </w:sdtPr>
              <w:sdtContent>
                <w:tc>
                  <w:tcPr>
                    <w:tcW w:w="1081" w:type="pct"/>
                    <w:shd w:val="clear" w:color="auto" w:fill="auto"/>
                    <w:vAlign w:val="center"/>
                  </w:tcPr>
                  <w:p>
                    <w:pPr>
                      <w:jc w:val="center"/>
                      <w:rPr>
                        <w:szCs w:val="21"/>
                      </w:rPr>
                    </w:pPr>
                    <w:r>
                      <w:rPr>
                        <w:rFonts w:hint="eastAsia"/>
                        <w:szCs w:val="21"/>
                      </w:rPr>
                      <w:t>期末余额</w:t>
                    </w:r>
                  </w:p>
                </w:tc>
              </w:sdtContent>
            </w:sdt>
            <w:sdt>
              <w:sdtPr>
                <w:tag w:val="_PLD_531a09c451564ccb8c2c6f192aca7b55"/>
                <w:id w:val="31779070"/>
                <w:lock w:val="sdtLocked"/>
              </w:sdtPr>
              <w:sdtContent>
                <w:tc>
                  <w:tcPr>
                    <w:tcW w:w="1695" w:type="pct"/>
                    <w:shd w:val="clear" w:color="auto" w:fill="auto"/>
                    <w:vAlign w:val="center"/>
                  </w:tcPr>
                  <w:p>
                    <w:pPr>
                      <w:jc w:val="center"/>
                      <w:rPr>
                        <w:szCs w:val="21"/>
                      </w:rPr>
                    </w:pPr>
                    <w:r>
                      <w:rPr>
                        <w:rFonts w:hint="eastAsia"/>
                        <w:szCs w:val="21"/>
                      </w:rPr>
                      <w:t>未偿还或结转的原因</w:t>
                    </w:r>
                  </w:p>
                </w:tc>
              </w:sdtContent>
            </w:sdt>
          </w:tr>
          <w:sdt>
            <w:sdtPr>
              <w:rPr>
                <w:rFonts w:asciiTheme="minorHAnsi" w:hAnsiTheme="minorHAnsi" w:eastAsiaTheme="minorEastAsia" w:cstheme="minorBidi"/>
                <w:kern w:val="2"/>
                <w:szCs w:val="21"/>
              </w:rPr>
              <w:alias w:val="重要的账龄超过1年的其他应付款明细"/>
              <w:tag w:val="_TUP_4ef01219c72943778183f374f1feaf27"/>
              <w:id w:val="3177907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Borders>
                      <w:bottom w:val="single" w:color="auto" w:sz="4" w:space="0"/>
                    </w:tcBorders>
                    <w:shd w:val="clear" w:color="auto" w:fill="auto"/>
                  </w:tcPr>
                  <w:p>
                    <w:pPr>
                      <w:rPr>
                        <w:szCs w:val="21"/>
                      </w:rPr>
                    </w:pPr>
                    <w:r>
                      <w:t>重庆竹心投资有限公司</w:t>
                    </w:r>
                  </w:p>
                </w:tc>
                <w:tc>
                  <w:tcPr>
                    <w:tcW w:w="1081" w:type="pct"/>
                    <w:shd w:val="clear" w:color="auto" w:fill="auto"/>
                  </w:tcPr>
                  <w:p>
                    <w:pPr>
                      <w:jc w:val="right"/>
                      <w:rPr>
                        <w:szCs w:val="21"/>
                      </w:rPr>
                    </w:pPr>
                    <w:r>
                      <w:t>99,963,532.23</w:t>
                    </w:r>
                  </w:p>
                </w:tc>
                <w:tc>
                  <w:tcPr>
                    <w:tcW w:w="1695" w:type="pct"/>
                    <w:shd w:val="clear" w:color="auto" w:fill="auto"/>
                  </w:tcPr>
                  <w:p>
                    <w:pPr>
                      <w:rPr>
                        <w:szCs w:val="21"/>
                      </w:rPr>
                    </w:pPr>
                    <w:r>
                      <w:t>股东往来款</w:t>
                    </w:r>
                    <w:r>
                      <w:rPr>
                        <w:rFonts w:hint="eastAsia"/>
                      </w:rPr>
                      <w:t>，未催收</w:t>
                    </w:r>
                  </w:p>
                </w:tc>
              </w:tr>
            </w:sdtContent>
          </w:sdt>
          <w:sdt>
            <w:sdtPr>
              <w:rPr>
                <w:rFonts w:asciiTheme="minorHAnsi" w:hAnsiTheme="minorHAnsi" w:eastAsiaTheme="minorEastAsia" w:cstheme="minorBidi"/>
                <w:kern w:val="2"/>
                <w:szCs w:val="21"/>
              </w:rPr>
              <w:alias w:val="重要的账龄超过1年的其他应付款明细"/>
              <w:tag w:val="_TUP_4ef01219c72943778183f374f1feaf27"/>
              <w:id w:val="3177907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Borders>
                      <w:bottom w:val="single" w:color="auto" w:sz="4" w:space="0"/>
                    </w:tcBorders>
                    <w:shd w:val="clear" w:color="auto" w:fill="auto"/>
                  </w:tcPr>
                  <w:p>
                    <w:pPr>
                      <w:rPr>
                        <w:szCs w:val="21"/>
                      </w:rPr>
                    </w:pPr>
                    <w:r>
                      <w:t>上海红星美凯龙房地产集团有限公司</w:t>
                    </w:r>
                  </w:p>
                </w:tc>
                <w:tc>
                  <w:tcPr>
                    <w:tcW w:w="1081" w:type="pct"/>
                    <w:shd w:val="clear" w:color="auto" w:fill="auto"/>
                  </w:tcPr>
                  <w:p>
                    <w:pPr>
                      <w:jc w:val="right"/>
                      <w:rPr>
                        <w:szCs w:val="21"/>
                      </w:rPr>
                    </w:pPr>
                    <w:r>
                      <w:t>91,144,310.46</w:t>
                    </w:r>
                  </w:p>
                </w:tc>
                <w:tc>
                  <w:tcPr>
                    <w:tcW w:w="1695" w:type="pct"/>
                    <w:shd w:val="clear" w:color="auto" w:fill="auto"/>
                  </w:tcPr>
                  <w:p>
                    <w:pPr>
                      <w:rPr>
                        <w:szCs w:val="21"/>
                      </w:rPr>
                    </w:pPr>
                    <w:r>
                      <w:t>前股东关联方往来款</w:t>
                    </w:r>
                    <w:r>
                      <w:rPr>
                        <w:rFonts w:hint="eastAsia"/>
                      </w:rPr>
                      <w:t>，未催收</w:t>
                    </w:r>
                  </w:p>
                </w:tc>
              </w:tr>
            </w:sdtContent>
          </w:sdt>
          <w:sdt>
            <w:sdtPr>
              <w:rPr>
                <w:rFonts w:asciiTheme="minorHAnsi" w:hAnsiTheme="minorHAnsi" w:eastAsiaTheme="minorEastAsia" w:cstheme="minorBidi"/>
                <w:kern w:val="2"/>
                <w:szCs w:val="21"/>
              </w:rPr>
              <w:alias w:val="重要的账龄超过1年的其他应付款明细"/>
              <w:tag w:val="_TUP_4ef01219c72943778183f374f1feaf27"/>
              <w:id w:val="3177907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Borders>
                      <w:bottom w:val="single" w:color="auto" w:sz="4" w:space="0"/>
                    </w:tcBorders>
                    <w:shd w:val="clear" w:color="auto" w:fill="auto"/>
                  </w:tcPr>
                  <w:p>
                    <w:pPr>
                      <w:rPr>
                        <w:szCs w:val="21"/>
                      </w:rPr>
                    </w:pPr>
                    <w:r>
                      <w:t>重庆红星美凯龙房地产开发有限公司</w:t>
                    </w:r>
                  </w:p>
                </w:tc>
                <w:tc>
                  <w:tcPr>
                    <w:tcW w:w="1081" w:type="pct"/>
                    <w:shd w:val="clear" w:color="auto" w:fill="auto"/>
                  </w:tcPr>
                  <w:p>
                    <w:pPr>
                      <w:jc w:val="right"/>
                      <w:rPr>
                        <w:szCs w:val="21"/>
                      </w:rPr>
                    </w:pPr>
                    <w:r>
                      <w:t>54,850,000.00</w:t>
                    </w:r>
                  </w:p>
                </w:tc>
                <w:tc>
                  <w:tcPr>
                    <w:tcW w:w="1695" w:type="pct"/>
                    <w:shd w:val="clear" w:color="auto" w:fill="auto"/>
                  </w:tcPr>
                  <w:p>
                    <w:pPr>
                      <w:rPr>
                        <w:szCs w:val="21"/>
                      </w:rPr>
                    </w:pPr>
                    <w:r>
                      <w:t>前股东关联方往来款</w:t>
                    </w:r>
                    <w:r>
                      <w:rPr>
                        <w:rFonts w:hint="eastAsia"/>
                      </w:rPr>
                      <w:t>，未催收</w:t>
                    </w:r>
                  </w:p>
                </w:tc>
              </w:tr>
            </w:sdtContent>
          </w:sdt>
          <w:sdt>
            <w:sdtPr>
              <w:rPr>
                <w:rFonts w:asciiTheme="minorHAnsi" w:hAnsiTheme="minorHAnsi" w:eastAsiaTheme="minorEastAsia" w:cstheme="minorBidi"/>
                <w:kern w:val="2"/>
                <w:szCs w:val="21"/>
              </w:rPr>
              <w:alias w:val="重要的账龄超过1年的其他应付款明细"/>
              <w:tag w:val="_TUP_4ef01219c72943778183f374f1feaf27"/>
              <w:id w:val="3177907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Borders>
                      <w:bottom w:val="single" w:color="auto" w:sz="4" w:space="0"/>
                    </w:tcBorders>
                    <w:shd w:val="clear" w:color="auto" w:fill="auto"/>
                  </w:tcPr>
                  <w:p>
                    <w:pPr>
                      <w:rPr>
                        <w:szCs w:val="21"/>
                      </w:rPr>
                    </w:pPr>
                    <w:r>
                      <w:t>重庆力帆红星商业管理有限公司</w:t>
                    </w:r>
                  </w:p>
                </w:tc>
                <w:tc>
                  <w:tcPr>
                    <w:tcW w:w="1081" w:type="pct"/>
                    <w:shd w:val="clear" w:color="auto" w:fill="auto"/>
                  </w:tcPr>
                  <w:p>
                    <w:pPr>
                      <w:jc w:val="right"/>
                      <w:rPr>
                        <w:szCs w:val="21"/>
                      </w:rPr>
                    </w:pPr>
                    <w:r>
                      <w:t>40,445,071.62</w:t>
                    </w:r>
                  </w:p>
                </w:tc>
                <w:tc>
                  <w:tcPr>
                    <w:tcW w:w="1695" w:type="pct"/>
                    <w:shd w:val="clear" w:color="auto" w:fill="auto"/>
                  </w:tcPr>
                  <w:p>
                    <w:pPr>
                      <w:rPr>
                        <w:szCs w:val="21"/>
                      </w:rPr>
                    </w:pPr>
                    <w:r>
                      <w:t>前股东关联方往来款</w:t>
                    </w:r>
                    <w:r>
                      <w:rPr>
                        <w:rFonts w:hint="eastAsia"/>
                      </w:rPr>
                      <w:t>，未催收</w:t>
                    </w:r>
                  </w:p>
                </w:tc>
              </w:tr>
            </w:sdtContent>
          </w:sdt>
          <w:sdt>
            <w:sdtPr>
              <w:rPr>
                <w:rFonts w:asciiTheme="minorHAnsi" w:hAnsiTheme="minorHAnsi" w:eastAsiaTheme="minorEastAsia" w:cstheme="minorBidi"/>
                <w:kern w:val="2"/>
                <w:szCs w:val="21"/>
              </w:rPr>
              <w:alias w:val="重要的账龄超过1年的其他应付款明细"/>
              <w:tag w:val="_TUP_4ef01219c72943778183f374f1feaf27"/>
              <w:id w:val="3177907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24" w:type="pct"/>
                    <w:tcBorders>
                      <w:bottom w:val="single" w:color="auto" w:sz="4" w:space="0"/>
                    </w:tcBorders>
                    <w:shd w:val="clear" w:color="auto" w:fill="auto"/>
                  </w:tcPr>
                  <w:p>
                    <w:pPr>
                      <w:rPr>
                        <w:szCs w:val="21"/>
                      </w:rPr>
                    </w:pPr>
                    <w:r>
                      <w:t>重庆红星美凯龙企业发展有限公司</w:t>
                    </w:r>
                  </w:p>
                </w:tc>
                <w:tc>
                  <w:tcPr>
                    <w:tcW w:w="1081" w:type="pct"/>
                    <w:shd w:val="clear" w:color="auto" w:fill="auto"/>
                  </w:tcPr>
                  <w:p>
                    <w:pPr>
                      <w:jc w:val="right"/>
                      <w:rPr>
                        <w:szCs w:val="21"/>
                      </w:rPr>
                    </w:pPr>
                    <w:r>
                      <w:t>36,518,009.81</w:t>
                    </w:r>
                  </w:p>
                </w:tc>
                <w:tc>
                  <w:tcPr>
                    <w:tcW w:w="1695" w:type="pct"/>
                    <w:shd w:val="clear" w:color="auto" w:fill="auto"/>
                  </w:tcPr>
                  <w:p>
                    <w:pPr>
                      <w:rPr>
                        <w:szCs w:val="21"/>
                      </w:rPr>
                    </w:pPr>
                    <w:r>
                      <w:t>前股东关联方往来款</w:t>
                    </w:r>
                    <w:r>
                      <w:rPr>
                        <w:rFonts w:hint="eastAsia"/>
                      </w:rPr>
                      <w:t>，未催收</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3beec5c0ab425990f727363af34378"/>
                <w:id w:val="31779076"/>
                <w:lock w:val="sdtLocked"/>
              </w:sdtPr>
              <w:sdtContent>
                <w:tc>
                  <w:tcPr>
                    <w:tcW w:w="2224" w:type="pct"/>
                    <w:shd w:val="clear" w:color="auto" w:fill="auto"/>
                    <w:vAlign w:val="center"/>
                  </w:tcPr>
                  <w:p>
                    <w:pPr>
                      <w:jc w:val="center"/>
                      <w:rPr>
                        <w:szCs w:val="21"/>
                      </w:rPr>
                    </w:pPr>
                    <w:r>
                      <w:rPr>
                        <w:rFonts w:hint="eastAsia"/>
                        <w:szCs w:val="21"/>
                      </w:rPr>
                      <w:t>合计</w:t>
                    </w:r>
                  </w:p>
                </w:tc>
              </w:sdtContent>
            </w:sdt>
            <w:tc>
              <w:tcPr>
                <w:tcW w:w="1081" w:type="pct"/>
                <w:shd w:val="clear" w:color="auto" w:fill="auto"/>
              </w:tcPr>
              <w:p>
                <w:pPr>
                  <w:jc w:val="right"/>
                  <w:rPr>
                    <w:szCs w:val="21"/>
                  </w:rPr>
                </w:pPr>
                <w:r>
                  <w:rPr>
                    <w:szCs w:val="21"/>
                  </w:rPr>
                  <w:t>322,920,924.12</w:t>
                </w:r>
              </w:p>
            </w:tc>
            <w:tc>
              <w:tcPr>
                <w:tcW w:w="1695" w:type="pct"/>
                <w:shd w:val="clear" w:color="auto" w:fill="auto"/>
              </w:tcPr>
              <w:p>
                <w:pPr>
                  <w:jc w:val="center"/>
                  <w:rPr>
                    <w:szCs w:val="21"/>
                  </w:rPr>
                </w:pPr>
              </w:p>
            </w:tc>
          </w:tr>
        </w:tbl>
        <w:p/>
        <w:p>
          <w:r>
            <w:rPr>
              <w:rFonts w:hint="eastAsia"/>
            </w:rPr>
            <w:t>其他说明</w:t>
          </w:r>
          <w:bookmarkEnd w:id="194"/>
          <w:r>
            <w:rPr>
              <w:rFonts w:hint="eastAsia"/>
            </w:rPr>
            <w:t>：</w:t>
          </w:r>
        </w:p>
        <w:sdt>
          <w:sdtPr>
            <w:alias w:val="是否适用：其他应付款的其他说明[双击切换]"/>
            <w:tag w:val="_GBC_0aed5652b81d438d96502aeef7e6dde5"/>
            <w:id w:val="40673419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持有待售负债"/>
        <w:tag w:val="_SEC_2c0a95e5ecb74946b3dc14c7a20e5997"/>
        <w:id w:val="-818720609"/>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tabs>
              <w:tab w:val="left" w:pos="504"/>
            </w:tabs>
            <w:rPr>
              <w:szCs w:val="21"/>
            </w:rPr>
          </w:pPr>
          <w:r>
            <w:rPr>
              <w:rFonts w:hint="eastAsia" w:ascii="宋体" w:hAnsi="宋体"/>
              <w:szCs w:val="21"/>
            </w:rPr>
            <w:t>持有</w:t>
          </w:r>
          <w:r>
            <w:rPr>
              <w:rFonts w:hint="eastAsia"/>
              <w:szCs w:val="21"/>
            </w:rPr>
            <w:t>待售负债</w:t>
          </w:r>
        </w:p>
        <w:sdt>
          <w:sdtPr>
            <w:alias w:val="是否适用：划分为持有待售的负债[双击切换]"/>
            <w:tag w:val="_GBC_4ea9b2c6d4024d74b39e491f80a07798"/>
            <w:id w:val="22842580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1年内到期的非流动负债"/>
        <w:tag w:val="_SEC_7d69c48a60a34405b349ddceb0a418a8"/>
        <w:id w:val="-2035183762"/>
        <w:lock w:val="sdtLocked"/>
        <w:placeholder>
          <w:docPart w:val="GBC22222222222222222222222222222"/>
        </w:placeholder>
      </w:sdtPr>
      <w:sdtEndPr>
        <w:rPr>
          <w:rFonts w:hint="default" w:ascii="宋体" w:hAnsi="宋体" w:cs="宋体"/>
          <w:b w:val="0"/>
          <w:bCs w:val="0"/>
          <w:kern w:val="0"/>
          <w:szCs w:val="21"/>
        </w:rPr>
      </w:sdtEndPr>
      <w:sdtContent>
        <w:p>
          <w:pPr>
            <w:pStyle w:val="213"/>
            <w:numPr>
              <w:ilvl w:val="0"/>
              <w:numId w:val="77"/>
            </w:numPr>
            <w:tabs>
              <w:tab w:val="left" w:pos="504"/>
            </w:tabs>
            <w:rPr>
              <w:rFonts w:ascii="宋体" w:hAnsi="宋体"/>
              <w:szCs w:val="21"/>
            </w:rPr>
          </w:pPr>
          <w:bookmarkStart w:id="195" w:name="_Hlk24104125"/>
          <w:r>
            <w:rPr>
              <w:rFonts w:hint="eastAsia" w:ascii="宋体" w:hAnsi="宋体"/>
              <w:szCs w:val="21"/>
            </w:rPr>
            <w:t>1年内到期的非流动负债</w:t>
          </w:r>
        </w:p>
        <w:sdt>
          <w:sdtPr>
            <w:alias w:val="是否适用：1年内到期的非流动负债[双击切换]"/>
            <w:tag w:val="_GBC_bf40c7464345405f8470856436e2c6a3"/>
            <w:id w:val="107309572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1年内到期的非流动负债情况"/>
              <w:tag w:val="_GBC_fc5bef9f043c4967ab706b443fc31d3c"/>
              <w:id w:val="-13944287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3138779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2862"/>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20bf58d6f134f4caedbea03f8659c14"/>
                <w:id w:val="-882016317"/>
                <w:lock w:val="sdtLocked"/>
              </w:sdtPr>
              <w:sdtContent>
                <w:tc>
                  <w:tcPr>
                    <w:tcW w:w="1607" w:type="pct"/>
                    <w:shd w:val="clear" w:color="auto" w:fill="auto"/>
                  </w:tcPr>
                  <w:p>
                    <w:pPr>
                      <w:jc w:val="center"/>
                      <w:rPr>
                        <w:szCs w:val="21"/>
                      </w:rPr>
                    </w:pPr>
                    <w:r>
                      <w:rPr>
                        <w:rFonts w:hint="eastAsia"/>
                        <w:szCs w:val="21"/>
                      </w:rPr>
                      <w:t>项目</w:t>
                    </w:r>
                  </w:p>
                </w:tc>
              </w:sdtContent>
            </w:sdt>
            <w:sdt>
              <w:sdtPr>
                <w:tag w:val="_PLD_dad829d6a45646668218857399318d20"/>
                <w:id w:val="-1450153814"/>
                <w:lock w:val="sdtLocked"/>
              </w:sdtPr>
              <w:sdtContent>
                <w:tc>
                  <w:tcPr>
                    <w:tcW w:w="1678" w:type="pct"/>
                    <w:shd w:val="clear" w:color="auto" w:fill="auto"/>
                  </w:tcPr>
                  <w:p>
                    <w:pPr>
                      <w:jc w:val="center"/>
                      <w:rPr>
                        <w:szCs w:val="21"/>
                      </w:rPr>
                    </w:pPr>
                    <w:r>
                      <w:rPr>
                        <w:rFonts w:hint="eastAsia"/>
                        <w:szCs w:val="21"/>
                      </w:rPr>
                      <w:t>期末余额</w:t>
                    </w:r>
                  </w:p>
                </w:tc>
              </w:sdtContent>
            </w:sdt>
            <w:sdt>
              <w:sdtPr>
                <w:tag w:val="_PLD_9d1d036ddf0544b2b2ddd1dc5633a114"/>
                <w:id w:val="-1604264446"/>
                <w:lock w:val="sdtLocked"/>
              </w:sdtPr>
              <w:sdtContent>
                <w:tc>
                  <w:tcPr>
                    <w:tcW w:w="1715"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ecc50bff01445b96122b3c77584dd6"/>
                <w:id w:val="1673537571"/>
                <w:lock w:val="sdtLocked"/>
              </w:sdtPr>
              <w:sdtContent>
                <w:tc>
                  <w:tcPr>
                    <w:tcW w:w="1607" w:type="pct"/>
                    <w:shd w:val="clear" w:color="auto" w:fill="auto"/>
                  </w:tcPr>
                  <w:p>
                    <w:pPr>
                      <w:jc w:val="center"/>
                      <w:rPr>
                        <w:szCs w:val="21"/>
                      </w:rPr>
                    </w:pPr>
                    <w:r>
                      <w:rPr>
                        <w:rFonts w:hint="eastAsia"/>
                        <w:szCs w:val="21"/>
                      </w:rPr>
                      <w:t>1年内到期的长期借款</w:t>
                    </w:r>
                  </w:p>
                </w:tc>
              </w:sdtContent>
            </w:sdt>
            <w:tc>
              <w:tcPr>
                <w:tcW w:w="1678" w:type="pct"/>
                <w:shd w:val="clear" w:color="auto" w:fill="auto"/>
                <w:vAlign w:val="center"/>
              </w:tcPr>
              <w:p>
                <w:pPr>
                  <w:jc w:val="right"/>
                  <w:rPr>
                    <w:sz w:val="24"/>
                  </w:rPr>
                </w:pPr>
                <w:r>
                  <w:t>441,128,924.87</w:t>
                </w:r>
              </w:p>
            </w:tc>
            <w:tc>
              <w:tcPr>
                <w:tcW w:w="1715" w:type="pct"/>
                <w:shd w:val="clear" w:color="auto" w:fill="auto"/>
                <w:vAlign w:val="center"/>
              </w:tcPr>
              <w:p>
                <w:pPr>
                  <w:jc w:val="right"/>
                  <w:rPr>
                    <w:sz w:val="24"/>
                  </w:rPr>
                </w:pPr>
                <w:r>
                  <w:t>181,000,000.00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318273b209d4f209bc82e93099fb446"/>
                <w:id w:val="214089644"/>
                <w:lock w:val="sdtLocked"/>
              </w:sdtPr>
              <w:sdtContent>
                <w:tc>
                  <w:tcPr>
                    <w:tcW w:w="1607" w:type="pct"/>
                    <w:shd w:val="clear" w:color="auto" w:fill="auto"/>
                  </w:tcPr>
                  <w:p>
                    <w:pPr>
                      <w:jc w:val="center"/>
                      <w:rPr>
                        <w:szCs w:val="21"/>
                      </w:rPr>
                    </w:pPr>
                    <w:r>
                      <w:rPr>
                        <w:rFonts w:hint="eastAsia"/>
                        <w:szCs w:val="21"/>
                      </w:rPr>
                      <w:t>1年内到期的长期应付款</w:t>
                    </w:r>
                  </w:p>
                </w:tc>
              </w:sdtContent>
            </w:sdt>
            <w:tc>
              <w:tcPr>
                <w:tcW w:w="1678" w:type="pct"/>
                <w:shd w:val="clear" w:color="auto" w:fill="auto"/>
                <w:vAlign w:val="center"/>
              </w:tcPr>
              <w:p>
                <w:pPr>
                  <w:jc w:val="right"/>
                  <w:rPr>
                    <w:sz w:val="24"/>
                  </w:rPr>
                </w:pPr>
              </w:p>
            </w:tc>
            <w:tc>
              <w:tcPr>
                <w:tcW w:w="1715" w:type="pct"/>
                <w:shd w:val="clear" w:color="auto" w:fill="auto"/>
                <w:vAlign w:val="center"/>
              </w:tcPr>
              <w:p>
                <w:pPr>
                  <w:jc w:val="right"/>
                  <w:rPr>
                    <w:sz w:val="24"/>
                  </w:rPr>
                </w:pPr>
                <w:r>
                  <w:t>69,100.00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7" w:type="pct"/>
                <w:shd w:val="clear" w:color="auto" w:fill="auto"/>
              </w:tcPr>
              <w:sdt>
                <w:sdtPr>
                  <w:rPr>
                    <w:rFonts w:hint="eastAsia"/>
                  </w:rPr>
                  <w:tag w:val="_PLD_2910478c4b5043d09cdfb21fefc96ebe"/>
                  <w:id w:val="-2067173033"/>
                  <w:lock w:val="sdtLocked"/>
                </w:sdtPr>
                <w:sdtEndPr>
                  <w:rPr>
                    <w:rFonts w:hint="eastAsia"/>
                  </w:rPr>
                </w:sdtEndPr>
                <w:sdtContent>
                  <w:p>
                    <w:pPr>
                      <w:jc w:val="center"/>
                    </w:pPr>
                    <w:r>
                      <w:rPr>
                        <w:rFonts w:hint="eastAsia"/>
                      </w:rPr>
                      <w:t>1年内到期的租赁负债</w:t>
                    </w:r>
                  </w:p>
                </w:sdtContent>
              </w:sdt>
            </w:tc>
            <w:tc>
              <w:tcPr>
                <w:tcW w:w="1678" w:type="pct"/>
                <w:shd w:val="clear" w:color="auto" w:fill="auto"/>
                <w:vAlign w:val="center"/>
              </w:tcPr>
              <w:p>
                <w:pPr>
                  <w:jc w:val="right"/>
                  <w:rPr>
                    <w:sz w:val="24"/>
                  </w:rPr>
                </w:pPr>
                <w:r>
                  <w:t>1,340,021.88</w:t>
                </w:r>
              </w:p>
            </w:tc>
            <w:tc>
              <w:tcPr>
                <w:tcW w:w="1715" w:type="pct"/>
                <w:shd w:val="clear" w:color="auto" w:fill="auto"/>
                <w:vAlign w:val="center"/>
              </w:tcPr>
              <w:p>
                <w:pPr>
                  <w:jc w:val="right"/>
                  <w:rPr>
                    <w:sz w:val="24"/>
                  </w:rPr>
                </w:pPr>
                <w:r>
                  <w:t>1,498,722.04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c3565b4df814772b0dc34a4cbdf3ad4"/>
                <w:id w:val="1938714633"/>
                <w:lock w:val="sdtLocked"/>
              </w:sdtPr>
              <w:sdtContent>
                <w:tc>
                  <w:tcPr>
                    <w:tcW w:w="1607" w:type="pct"/>
                    <w:shd w:val="clear" w:color="auto" w:fill="auto"/>
                  </w:tcPr>
                  <w:p>
                    <w:pPr>
                      <w:jc w:val="center"/>
                      <w:rPr>
                        <w:szCs w:val="21"/>
                      </w:rPr>
                    </w:pPr>
                    <w:r>
                      <w:rPr>
                        <w:rFonts w:hint="eastAsia"/>
                        <w:szCs w:val="21"/>
                      </w:rPr>
                      <w:t>合计</w:t>
                    </w:r>
                  </w:p>
                </w:tc>
              </w:sdtContent>
            </w:sdt>
            <w:tc>
              <w:tcPr>
                <w:tcW w:w="1678" w:type="pct"/>
                <w:shd w:val="clear" w:color="auto" w:fill="auto"/>
                <w:vAlign w:val="center"/>
              </w:tcPr>
              <w:p>
                <w:pPr>
                  <w:jc w:val="right"/>
                  <w:rPr>
                    <w:sz w:val="24"/>
                  </w:rPr>
                </w:pPr>
                <w:r>
                  <w:t>442,468,946.75</w:t>
                </w:r>
              </w:p>
            </w:tc>
            <w:tc>
              <w:tcPr>
                <w:tcW w:w="1715" w:type="pct"/>
                <w:shd w:val="clear" w:color="auto" w:fill="auto"/>
                <w:vAlign w:val="center"/>
              </w:tcPr>
              <w:p>
                <w:pPr>
                  <w:jc w:val="right"/>
                  <w:rPr>
                    <w:sz w:val="24"/>
                  </w:rPr>
                </w:pPr>
                <w:r>
                  <w:t>182,567,822.04</w:t>
                </w:r>
              </w:p>
            </w:tc>
          </w:tr>
        </w:tbl>
        <w:p>
          <w:pPr>
            <w:spacing w:before="60" w:after="60"/>
            <w:rPr>
              <w:szCs w:val="21"/>
            </w:rPr>
          </w:pPr>
          <w:r>
            <w:rPr>
              <w:rFonts w:hint="eastAsia"/>
              <w:szCs w:val="21"/>
            </w:rPr>
            <w:t>其他说明：</w:t>
          </w:r>
        </w:p>
        <w:sdt>
          <w:sdtPr>
            <w:rPr>
              <w:szCs w:val="21"/>
            </w:rPr>
            <w:alias w:val="1年内到期的非流动负债说明"/>
            <w:tag w:val="_GBC_8d20cbb6880f4895b7051ae6dee973ca"/>
            <w:id w:val="1708060965"/>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bookmarkEnd w:id="195"/>
    <w:p>
      <w:pPr>
        <w:pStyle w:val="213"/>
        <w:numPr>
          <w:ilvl w:val="0"/>
          <w:numId w:val="77"/>
        </w:numPr>
        <w:tabs>
          <w:tab w:val="left" w:pos="504"/>
        </w:tabs>
        <w:rPr>
          <w:rFonts w:ascii="宋体" w:hAnsi="宋体"/>
          <w:szCs w:val="21"/>
        </w:rPr>
      </w:pPr>
      <w:r>
        <w:rPr>
          <w:rFonts w:hint="eastAsia" w:ascii="宋体" w:hAnsi="宋体"/>
          <w:szCs w:val="21"/>
        </w:rPr>
        <w:t>其他流动负债</w:t>
      </w:r>
    </w:p>
    <w:sdt>
      <w:sdtPr>
        <w:rPr>
          <w:rFonts w:hint="eastAsia"/>
          <w:szCs w:val="21"/>
        </w:rPr>
        <w:alias w:val="模块:其他流动负债"/>
        <w:tag w:val="_SEC_028ee94ad65744bca4ead55dc3233ca9"/>
        <w:id w:val="1550877556"/>
        <w:lock w:val="sdtLocked"/>
        <w:placeholder>
          <w:docPart w:val="GBC22222222222222222222222222222"/>
        </w:placeholder>
      </w:sdtPr>
      <w:sdtEndPr>
        <w:rPr>
          <w:rFonts w:hint="default"/>
          <w:color w:val="000000" w:themeColor="text1"/>
          <w:szCs w:val="21"/>
        </w:rPr>
      </w:sdtEndPr>
      <w:sdtContent>
        <w:p>
          <w:pPr>
            <w:rPr>
              <w:szCs w:val="21"/>
            </w:rPr>
          </w:pPr>
          <w:bookmarkStart w:id="196" w:name="_Hlk533670262"/>
          <w:r>
            <w:rPr>
              <w:rFonts w:hint="eastAsia"/>
              <w:szCs w:val="21"/>
            </w:rPr>
            <w:t>其他流动负债情况</w:t>
          </w:r>
        </w:p>
        <w:sdt>
          <w:sdtPr>
            <w:rPr>
              <w:rFonts w:hint="eastAsia"/>
              <w:szCs w:val="21"/>
            </w:rPr>
            <w:alias w:val="是否适用：其他流动负债情况 [双击切换]"/>
            <w:tag w:val="_GBC_a84ebf5eebf04d4ab9f07c3da85115c2"/>
            <w:id w:val="-976679383"/>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其他流动负债"/>
              <w:tag w:val="_GBC_1a3ea80bd2b9426ead4537785c82d01e"/>
              <w:id w:val="-174825690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流动负债"/>
              <w:tag w:val="_GBC_c39ac2b60b0f44cbbd7534c211405631"/>
              <w:id w:val="-15566265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0"/>
            <w:gridCol w:w="2939"/>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96b7e8e5e688449c87d23adc1b63439f"/>
                <w:id w:val="563990747"/>
                <w:lock w:val="sdtLocked"/>
              </w:sdtPr>
              <w:sdtContent>
                <w:tc>
                  <w:tcPr>
                    <w:tcW w:w="1548" w:type="pct"/>
                    <w:tcBorders>
                      <w:top w:val="single" w:color="auto" w:sz="4" w:space="0"/>
                      <w:left w:val="single" w:color="auto" w:sz="4" w:space="0"/>
                      <w:bottom w:val="single" w:color="auto" w:sz="4" w:space="0"/>
                      <w:right w:val="single" w:color="auto" w:sz="4" w:space="0"/>
                    </w:tcBorders>
                    <w:vAlign w:val="bottom"/>
                  </w:tcPr>
                  <w:p>
                    <w:pPr>
                      <w:tabs>
                        <w:tab w:val="right" w:pos="3690"/>
                        <w:tab w:val="right" w:pos="5130"/>
                        <w:tab w:val="right" w:pos="6030"/>
                        <w:tab w:val="right" w:pos="7650"/>
                        <w:tab w:val="right" w:pos="9270"/>
                      </w:tabs>
                      <w:snapToGrid w:val="0"/>
                      <w:ind w:left="-109" w:leftChars="-52"/>
                      <w:jc w:val="center"/>
                      <w:rPr>
                        <w:szCs w:val="21"/>
                      </w:rPr>
                    </w:pPr>
                    <w:r>
                      <w:rPr>
                        <w:rFonts w:hint="eastAsia"/>
                        <w:szCs w:val="21"/>
                      </w:rPr>
                      <w:t>项目</w:t>
                    </w:r>
                  </w:p>
                </w:tc>
              </w:sdtContent>
            </w:sdt>
            <w:sdt>
              <w:sdtPr>
                <w:tag w:val="_PLD_741229e75da644bb809ec002cfe06423"/>
                <w:id w:val="-1090158129"/>
                <w:lock w:val="sdtLocked"/>
              </w:sdtPr>
              <w:sdtContent>
                <w:tc>
                  <w:tcPr>
                    <w:tcW w:w="1723"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szCs w:val="21"/>
                      </w:rPr>
                      <w:t>期末余额</w:t>
                    </w:r>
                  </w:p>
                </w:tc>
              </w:sdtContent>
            </w:sdt>
            <w:sdt>
              <w:sdtPr>
                <w:tag w:val="_PLD_426d25a331b04af9b2ec53d6a7e168d4"/>
                <w:id w:val="1377658931"/>
                <w:lock w:val="sdtLocked"/>
              </w:sdtPr>
              <w:sdtContent>
                <w:tc>
                  <w:tcPr>
                    <w:tcW w:w="1729" w:type="pct"/>
                    <w:tcBorders>
                      <w:top w:val="single" w:color="auto" w:sz="4" w:space="0"/>
                      <w:left w:val="single" w:color="auto" w:sz="4" w:space="0"/>
                      <w:bottom w:val="single" w:color="auto" w:sz="4" w:space="0"/>
                      <w:right w:val="single" w:color="auto" w:sz="4" w:space="0"/>
                    </w:tcBorders>
                  </w:tcPr>
                  <w:p>
                    <w:pPr>
                      <w:adjustRightInd w:val="0"/>
                      <w:snapToGrid w:val="0"/>
                      <w:jc w:val="center"/>
                      <w:rPr>
                        <w:szCs w:val="21"/>
                      </w:rPr>
                    </w:pPr>
                    <w:r>
                      <w:rPr>
                        <w:rFonts w:hint="eastAsia"/>
                        <w:szCs w:val="21"/>
                      </w:rPr>
                      <w:t>期初余额</w:t>
                    </w:r>
                  </w:p>
                </w:tc>
              </w:sdtContent>
            </w:sdt>
          </w:tr>
          <w:sdt>
            <w:sdtPr>
              <w:rPr>
                <w:rFonts w:hint="eastAsia"/>
                <w:szCs w:val="21"/>
              </w:rPr>
              <w:alias w:val="其他流动负债明细"/>
              <w:tag w:val="_TUP_8ef71b98d0004c0995e58d8ec410e844"/>
              <w:id w:val="-121588545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48" w:type="pct"/>
                    <w:tcBorders>
                      <w:top w:val="single" w:color="auto" w:sz="4" w:space="0"/>
                      <w:left w:val="single" w:color="auto" w:sz="4" w:space="0"/>
                      <w:bottom w:val="single" w:color="auto" w:sz="4" w:space="0"/>
                      <w:right w:val="single" w:color="auto" w:sz="4" w:space="0"/>
                    </w:tcBorders>
                  </w:tcPr>
                  <w:p>
                    <w:pPr>
                      <w:jc w:val="center"/>
                      <w:rPr>
                        <w:szCs w:val="21"/>
                      </w:rPr>
                    </w:pPr>
                    <w:r>
                      <w:t>待转销项税</w:t>
                    </w:r>
                  </w:p>
                </w:tc>
                <w:tc>
                  <w:tcPr>
                    <w:tcW w:w="1723" w:type="pct"/>
                    <w:tcBorders>
                      <w:top w:val="single" w:color="auto" w:sz="4" w:space="0"/>
                      <w:left w:val="single" w:color="auto" w:sz="4" w:space="0"/>
                      <w:bottom w:val="single" w:color="auto" w:sz="4" w:space="0"/>
                      <w:right w:val="single" w:color="auto" w:sz="4" w:space="0"/>
                    </w:tcBorders>
                  </w:tcPr>
                  <w:p>
                    <w:pPr>
                      <w:jc w:val="right"/>
                      <w:rPr>
                        <w:szCs w:val="21"/>
                      </w:rPr>
                    </w:pPr>
                    <w:r>
                      <w:t>47,863,991.01</w:t>
                    </w:r>
                  </w:p>
                </w:tc>
                <w:tc>
                  <w:tcPr>
                    <w:tcW w:w="1729" w:type="pct"/>
                    <w:tcBorders>
                      <w:top w:val="single" w:color="auto" w:sz="4" w:space="0"/>
                      <w:left w:val="single" w:color="auto" w:sz="4" w:space="0"/>
                      <w:bottom w:val="single" w:color="auto" w:sz="4" w:space="0"/>
                      <w:right w:val="single" w:color="auto" w:sz="4" w:space="0"/>
                    </w:tcBorders>
                  </w:tcPr>
                  <w:p>
                    <w:pPr>
                      <w:jc w:val="right"/>
                      <w:rPr>
                        <w:szCs w:val="21"/>
                      </w:rPr>
                    </w:pPr>
                    <w:r>
                      <w:t>30,136,924.15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sdt>
              <w:sdtPr>
                <w:tag w:val="_PLD_757f197500f4471f8e3639c1d01c107a"/>
                <w:id w:val="-1862740779"/>
                <w:lock w:val="sdtLocked"/>
              </w:sdtPr>
              <w:sdtContent>
                <w:tc>
                  <w:tcPr>
                    <w:tcW w:w="1548"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合计</w:t>
                    </w:r>
                  </w:p>
                </w:tc>
              </w:sdtContent>
            </w:sdt>
            <w:tc>
              <w:tcPr>
                <w:tcW w:w="1723" w:type="pct"/>
                <w:tcBorders>
                  <w:top w:val="single" w:color="auto" w:sz="4" w:space="0"/>
                  <w:left w:val="single" w:color="auto" w:sz="4" w:space="0"/>
                  <w:bottom w:val="single" w:color="auto" w:sz="4" w:space="0"/>
                  <w:right w:val="single" w:color="auto" w:sz="4" w:space="0"/>
                </w:tcBorders>
                <w:vAlign w:val="center"/>
              </w:tcPr>
              <w:p>
                <w:pPr>
                  <w:jc w:val="right"/>
                  <w:rPr>
                    <w:sz w:val="24"/>
                  </w:rPr>
                </w:pPr>
                <w:r>
                  <w:t>47,863,991.01</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30,136,924.15</w:t>
                </w:r>
              </w:p>
            </w:tc>
          </w:tr>
        </w:tbl>
        <w:p>
          <w:pPr>
            <w:rPr>
              <w:szCs w:val="21"/>
            </w:rPr>
          </w:pPr>
        </w:p>
      </w:sdtContent>
    </w:sdt>
    <w:bookmarkEnd w:id="196"/>
    <w:sdt>
      <w:sdtPr>
        <w:rPr>
          <w:rFonts w:hint="eastAsia" w:asciiTheme="minorHAnsi" w:hAnsiTheme="minorHAnsi" w:eastAsiaTheme="minorEastAsia"/>
          <w:bCs/>
          <w:szCs w:val="22"/>
        </w:rPr>
        <w:alias w:val="模块:短期应付债券的增减变动"/>
        <w:tag w:val="_SEC_f5491fa163be4d50a9964567324132ed"/>
        <w:id w:val="1276991237"/>
        <w:lock w:val="sdtLocked"/>
        <w:placeholder>
          <w:docPart w:val="GBC22222222222222222222222222222"/>
        </w:placeholder>
      </w:sdtPr>
      <w:sdtEndPr>
        <w:rPr>
          <w:rFonts w:hint="default" w:ascii="宋体" w:hAnsi="宋体" w:eastAsia="宋体" w:cstheme="minorBidi"/>
          <w:bCs w:val="0"/>
          <w:color w:val="000000" w:themeColor="text1"/>
          <w:kern w:val="2"/>
          <w:szCs w:val="21"/>
        </w:rPr>
      </w:sdtEndPr>
      <w:sdtContent>
        <w:p>
          <w:r>
            <w:rPr>
              <w:rFonts w:hint="eastAsia"/>
            </w:rPr>
            <w:t>短期</w:t>
          </w:r>
          <w:r>
            <w:t>应付债券的增减变动</w:t>
          </w:r>
          <w:r>
            <w:rPr>
              <w:rFonts w:hint="eastAsia"/>
            </w:rPr>
            <w:t>：</w:t>
          </w:r>
        </w:p>
        <w:sdt>
          <w:sdtPr>
            <w:alias w:val="是否适用：短期应付债券的增减变动[双击切换]"/>
            <w:tag w:val="_GBC_9702365af41547e6b7eeb62225fd79a4"/>
            <w:id w:val="1653634794"/>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流动负债说明"/>
        <w:tag w:val="_SEC_72acc7f2df254db9a8e7b1d2c0a85c65"/>
        <w:id w:val="2108919582"/>
        <w:lock w:val="sdtLocked"/>
        <w:placeholder>
          <w:docPart w:val="GBC22222222222222222222222222222"/>
        </w:placeholder>
      </w:sdtPr>
      <w:sdtEndPr>
        <w:rPr>
          <w:rFonts w:hint="default"/>
          <w:color w:val="000000" w:themeColor="text1"/>
          <w:szCs w:val="21"/>
        </w:rPr>
      </w:sdtEndPr>
      <w:sdtContent>
        <w:p>
          <w:pPr>
            <w:spacing w:before="60" w:after="60"/>
            <w:rPr>
              <w:szCs w:val="21"/>
            </w:rPr>
          </w:pPr>
          <w:r>
            <w:rPr>
              <w:rFonts w:hint="eastAsia"/>
              <w:szCs w:val="21"/>
            </w:rPr>
            <w:t>其他说明：</w:t>
          </w:r>
        </w:p>
        <w:sdt>
          <w:sdtPr>
            <w:rPr>
              <w:szCs w:val="21"/>
            </w:rPr>
            <w:alias w:val="是否适用：其他流动负债说明[双击切换]"/>
            <w:tag w:val="_GBC_137d3b80ab3041c1a1b255a500c3d52c"/>
            <w:id w:val="-1596162571"/>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213"/>
        <w:numPr>
          <w:ilvl w:val="0"/>
          <w:numId w:val="77"/>
        </w:numPr>
        <w:tabs>
          <w:tab w:val="left" w:pos="504"/>
        </w:tabs>
        <w:rPr>
          <w:rFonts w:ascii="宋体" w:hAnsi="宋体"/>
          <w:szCs w:val="21"/>
        </w:rPr>
      </w:pPr>
      <w:r>
        <w:rPr>
          <w:rFonts w:hint="eastAsia" w:ascii="宋体" w:hAnsi="宋体"/>
          <w:szCs w:val="21"/>
        </w:rPr>
        <w:t>长期借款</w:t>
      </w:r>
    </w:p>
    <w:sdt>
      <w:sdtPr>
        <w:rPr>
          <w:rFonts w:hint="eastAsia" w:ascii="宋体" w:hAnsi="宋体" w:eastAsia="宋体" w:cs="宋体"/>
          <w:b w:val="0"/>
          <w:bCs w:val="0"/>
          <w:kern w:val="0"/>
          <w:szCs w:val="22"/>
        </w:rPr>
        <w:alias w:val="模块:长期借款分类 "/>
        <w:tag w:val="_SEC_bb20abc8fd5f49a68916f9dc55e11723"/>
        <w:id w:val="2074845147"/>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214"/>
            <w:numPr>
              <w:ilvl w:val="3"/>
              <w:numId w:val="103"/>
            </w:numPr>
          </w:pPr>
          <w:r>
            <w:rPr>
              <w:rFonts w:hint="eastAsia"/>
            </w:rPr>
            <w:t>长期借款分类</w:t>
          </w:r>
        </w:p>
        <w:sdt>
          <w:sdtPr>
            <w:alias w:val="是否适用：长期借款分类[双击切换]"/>
            <w:tag w:val="_GBC_f97d0882083646ed86769469b3ee8875"/>
            <w:id w:val="-52209011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借款分类"/>
              <w:tag w:val="_GBC_1469e55f5b66428a857f07acaf1e4ae0"/>
              <w:id w:val="138892465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421154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5"/>
            <w:gridCol w:w="2876"/>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4e1b60888e3248369c96087fd1f19eed"/>
                <w:id w:val="1945803541"/>
                <w:lock w:val="sdtLocked"/>
              </w:sdtPr>
              <w:sdtContent>
                <w:tc>
                  <w:tcPr>
                    <w:tcW w:w="1686" w:type="pct"/>
                  </w:tcPr>
                  <w:p>
                    <w:pPr>
                      <w:autoSpaceDE w:val="0"/>
                      <w:autoSpaceDN w:val="0"/>
                      <w:adjustRightInd w:val="0"/>
                      <w:snapToGrid w:val="0"/>
                      <w:jc w:val="center"/>
                      <w:rPr>
                        <w:szCs w:val="21"/>
                      </w:rPr>
                    </w:pPr>
                    <w:r>
                      <w:rPr>
                        <w:rFonts w:hint="eastAsia"/>
                        <w:szCs w:val="21"/>
                      </w:rPr>
                      <w:t>项目</w:t>
                    </w:r>
                  </w:p>
                </w:tc>
              </w:sdtContent>
            </w:sdt>
            <w:sdt>
              <w:sdtPr>
                <w:tag w:val="_PLD_5eb33a0c1cde49ff9ed499493463ec46"/>
                <w:id w:val="-732699690"/>
                <w:lock w:val="sdtLocked"/>
              </w:sdtPr>
              <w:sdtContent>
                <w:tc>
                  <w:tcPr>
                    <w:tcW w:w="1686" w:type="pct"/>
                  </w:tcPr>
                  <w:p>
                    <w:pPr>
                      <w:jc w:val="center"/>
                      <w:rPr>
                        <w:szCs w:val="21"/>
                      </w:rPr>
                    </w:pPr>
                    <w:r>
                      <w:rPr>
                        <w:rFonts w:hint="eastAsia"/>
                        <w:szCs w:val="21"/>
                      </w:rPr>
                      <w:t>期末余额</w:t>
                    </w:r>
                  </w:p>
                </w:tc>
              </w:sdtContent>
            </w:sdt>
            <w:sdt>
              <w:sdtPr>
                <w:tag w:val="_PLD_9b129c446a5847edb58141b866ffac5d"/>
                <w:id w:val="24678863"/>
                <w:lock w:val="sdtLocked"/>
              </w:sdtPr>
              <w:sdtContent>
                <w:tc>
                  <w:tcPr>
                    <w:tcW w:w="1628" w:type="pct"/>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jc w:val="center"/>
                  <w:rPr>
                    <w:szCs w:val="21"/>
                  </w:rPr>
                </w:pPr>
                <w:r>
                  <w:rPr>
                    <w:rFonts w:hint="eastAsia"/>
                    <w:szCs w:val="21"/>
                  </w:rPr>
                  <w:t>质押借款</w:t>
                </w:r>
              </w:p>
            </w:tc>
            <w:tc>
              <w:tcPr>
                <w:tcW w:w="1686" w:type="pct"/>
                <w:shd w:val="clear" w:color="auto" w:fill="auto"/>
                <w:vAlign w:val="center"/>
              </w:tcPr>
              <w:p>
                <w:pPr>
                  <w:jc w:val="right"/>
                  <w:rPr>
                    <w:sz w:val="24"/>
                  </w:rPr>
                </w:pPr>
                <w:r>
                  <w:t>819,249,067.23</w:t>
                </w:r>
              </w:p>
            </w:tc>
            <w:tc>
              <w:tcPr>
                <w:tcW w:w="1628" w:type="pct"/>
                <w:shd w:val="clear" w:color="auto" w:fill="auto"/>
                <w:vAlign w:val="center"/>
              </w:tcPr>
              <w:p>
                <w:pPr>
                  <w:jc w:val="right"/>
                  <w:rPr>
                    <w:sz w:val="24"/>
                  </w:rPr>
                </w:pPr>
                <w:r>
                  <w:t>1,332,530,879.57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jc w:val="center"/>
                  <w:rPr>
                    <w:szCs w:val="21"/>
                  </w:rPr>
                </w:pPr>
                <w:r>
                  <w:rPr>
                    <w:rFonts w:hint="eastAsia"/>
                    <w:szCs w:val="21"/>
                  </w:rPr>
                  <w:t>抵押借款</w:t>
                </w:r>
              </w:p>
            </w:tc>
            <w:tc>
              <w:tcPr>
                <w:tcW w:w="1686" w:type="pct"/>
                <w:shd w:val="clear" w:color="auto" w:fill="auto"/>
                <w:vAlign w:val="center"/>
              </w:tcPr>
              <w:p>
                <w:pPr>
                  <w:jc w:val="right"/>
                  <w:rPr>
                    <w:sz w:val="24"/>
                  </w:rPr>
                </w:pPr>
                <w:r>
                  <w:t>2,119,657,287.66</w:t>
                </w:r>
              </w:p>
            </w:tc>
            <w:tc>
              <w:tcPr>
                <w:tcW w:w="1628" w:type="pct"/>
                <w:shd w:val="clear" w:color="auto" w:fill="auto"/>
                <w:vAlign w:val="center"/>
              </w:tcPr>
              <w:p>
                <w:pPr>
                  <w:jc w:val="right"/>
                  <w:rPr>
                    <w:sz w:val="24"/>
                  </w:rPr>
                </w:pPr>
                <w:r>
                  <w:t>2,320,657,287.66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jc w:val="center"/>
                  <w:rPr>
                    <w:szCs w:val="21"/>
                  </w:rPr>
                </w:pPr>
                <w:r>
                  <w:rPr>
                    <w:rFonts w:hint="eastAsia"/>
                    <w:szCs w:val="21"/>
                  </w:rPr>
                  <w:t>保证借款</w:t>
                </w:r>
              </w:p>
            </w:tc>
            <w:tc>
              <w:tcPr>
                <w:tcW w:w="1686" w:type="pct"/>
                <w:shd w:val="clear" w:color="auto" w:fill="auto"/>
                <w:vAlign w:val="center"/>
              </w:tcPr>
              <w:p>
                <w:pPr>
                  <w:jc w:val="right"/>
                  <w:rPr>
                    <w:sz w:val="24"/>
                  </w:rPr>
                </w:pPr>
                <w:r>
                  <w:t>144,036,587.13</w:t>
                </w:r>
              </w:p>
            </w:tc>
            <w:tc>
              <w:tcPr>
                <w:tcW w:w="1628" w:type="pct"/>
                <w:shd w:val="clear" w:color="auto" w:fill="auto"/>
                <w:vAlign w:val="center"/>
              </w:tcPr>
              <w:p>
                <w:pPr>
                  <w:jc w:val="right"/>
                  <w:rPr>
                    <w:sz w:val="24"/>
                  </w:rPr>
                </w:pPr>
                <w:r>
                  <w:t>164,754,173.24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shd w:val="clear" w:color="auto" w:fill="auto"/>
              </w:tcPr>
              <w:p>
                <w:pPr>
                  <w:autoSpaceDE w:val="0"/>
                  <w:autoSpaceDN w:val="0"/>
                  <w:adjustRightInd w:val="0"/>
                  <w:snapToGrid w:val="0"/>
                  <w:jc w:val="center"/>
                  <w:rPr>
                    <w:szCs w:val="21"/>
                  </w:rPr>
                </w:pPr>
                <w:r>
                  <w:rPr>
                    <w:rFonts w:hint="eastAsia"/>
                    <w:szCs w:val="21"/>
                  </w:rPr>
                  <w:t>信用借款</w:t>
                </w:r>
              </w:p>
            </w:tc>
            <w:tc>
              <w:tcPr>
                <w:tcW w:w="1686" w:type="pct"/>
                <w:shd w:val="clear" w:color="auto" w:fill="auto"/>
                <w:vAlign w:val="center"/>
              </w:tcPr>
              <w:p>
                <w:pPr>
                  <w:jc w:val="right"/>
                  <w:rPr>
                    <w:sz w:val="24"/>
                  </w:rPr>
                </w:pPr>
                <w:r>
                  <w:t>5,956,306.80</w:t>
                </w:r>
              </w:p>
            </w:tc>
            <w:tc>
              <w:tcPr>
                <w:tcW w:w="1628" w:type="pct"/>
                <w:shd w:val="clear" w:color="auto" w:fill="auto"/>
                <w:vAlign w:val="center"/>
              </w:tcPr>
              <w:p>
                <w:pPr>
                  <w:jc w:val="right"/>
                  <w:rPr>
                    <w:sz w:val="24"/>
                  </w:rPr>
                </w:pPr>
                <w:r>
                  <w:t>5,956,306.80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tcPr>
              <w:p>
                <w:pPr>
                  <w:autoSpaceDE w:val="0"/>
                  <w:autoSpaceDN w:val="0"/>
                  <w:adjustRightInd w:val="0"/>
                  <w:snapToGrid w:val="0"/>
                  <w:jc w:val="center"/>
                  <w:rPr>
                    <w:szCs w:val="21"/>
                  </w:rPr>
                </w:pPr>
                <w:r>
                  <w:t>未到期应付利息</w:t>
                </w:r>
              </w:p>
            </w:tc>
            <w:tc>
              <w:tcPr>
                <w:tcW w:w="1686" w:type="pct"/>
                <w:vAlign w:val="center"/>
              </w:tcPr>
              <w:p>
                <w:pPr>
                  <w:jc w:val="right"/>
                  <w:rPr>
                    <w:sz w:val="24"/>
                  </w:rPr>
                </w:pPr>
                <w:r>
                  <w:t>2,466,745.38</w:t>
                </w:r>
              </w:p>
            </w:tc>
            <w:tc>
              <w:tcPr>
                <w:tcW w:w="1628" w:type="pct"/>
                <w:vAlign w:val="center"/>
              </w:tcPr>
              <w:p>
                <w:pPr>
                  <w:jc w:val="right"/>
                  <w:rPr>
                    <w:sz w:val="24"/>
                  </w:rPr>
                </w:pPr>
                <w:r>
                  <w:t>8,868,050.39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tcPr>
              <w:p>
                <w:pPr>
                  <w:autoSpaceDE w:val="0"/>
                  <w:autoSpaceDN w:val="0"/>
                  <w:adjustRightInd w:val="0"/>
                  <w:snapToGrid w:val="0"/>
                  <w:rPr>
                    <w:szCs w:val="21"/>
                  </w:rPr>
                </w:pPr>
                <w:r>
                  <w:t>减：一年内到期的长期借款及未到期应付利息</w:t>
                </w:r>
              </w:p>
            </w:tc>
            <w:tc>
              <w:tcPr>
                <w:tcW w:w="1686" w:type="pct"/>
                <w:vAlign w:val="center"/>
              </w:tcPr>
              <w:p>
                <w:pPr>
                  <w:jc w:val="right"/>
                  <w:rPr>
                    <w:sz w:val="24"/>
                  </w:rPr>
                </w:pPr>
                <w:r>
                  <w:t>441,128,924.87</w:t>
                </w:r>
              </w:p>
            </w:tc>
            <w:tc>
              <w:tcPr>
                <w:tcW w:w="1628" w:type="pct"/>
                <w:vAlign w:val="center"/>
              </w:tcPr>
              <w:p>
                <w:pPr>
                  <w:jc w:val="right"/>
                  <w:rPr>
                    <w:sz w:val="24"/>
                  </w:rPr>
                </w:pPr>
                <w:r>
                  <w:t>181,000,000.00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686" w:type="pct"/>
                <w:vAlign w:val="center"/>
              </w:tcPr>
              <w:p>
                <w:pPr>
                  <w:autoSpaceDE w:val="0"/>
                  <w:autoSpaceDN w:val="0"/>
                  <w:adjustRightInd w:val="0"/>
                  <w:snapToGrid w:val="0"/>
                  <w:jc w:val="center"/>
                  <w:rPr>
                    <w:szCs w:val="21"/>
                  </w:rPr>
                </w:pPr>
                <w:r>
                  <w:rPr>
                    <w:rFonts w:hint="eastAsia"/>
                    <w:szCs w:val="21"/>
                  </w:rPr>
                  <w:t>合计</w:t>
                </w:r>
              </w:p>
            </w:tc>
            <w:tc>
              <w:tcPr>
                <w:tcW w:w="1686" w:type="pct"/>
                <w:vAlign w:val="center"/>
              </w:tcPr>
              <w:p>
                <w:pPr>
                  <w:jc w:val="right"/>
                  <w:rPr>
                    <w:sz w:val="24"/>
                  </w:rPr>
                </w:pPr>
                <w:r>
                  <w:t>2,650,237,069.33</w:t>
                </w:r>
              </w:p>
            </w:tc>
            <w:tc>
              <w:tcPr>
                <w:tcW w:w="1628" w:type="pct"/>
                <w:vAlign w:val="center"/>
              </w:tcPr>
              <w:p>
                <w:pPr>
                  <w:jc w:val="right"/>
                  <w:rPr>
                    <w:sz w:val="24"/>
                  </w:rPr>
                </w:pPr>
                <w:r>
                  <w:t>3,651,766,697.66</w:t>
                </w:r>
              </w:p>
            </w:tc>
          </w:tr>
        </w:tbl>
        <w:p/>
        <w:p>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574177593"/>
            <w:lock w:val="sdtLocked"/>
            <w:placeholder>
              <w:docPart w:val="GBC22222222222222222222222222222"/>
            </w:placeholder>
          </w:sdtPr>
          <w:sdtEndPr>
            <w:rPr>
              <w:szCs w:val="21"/>
            </w:rPr>
          </w:sdtEndPr>
          <w:sdtContent>
            <w:p>
              <w:pPr>
                <w:snapToGrid w:val="0"/>
                <w:rPr>
                  <w:rFonts w:cstheme="minorBidi"/>
                  <w:color w:val="000000" w:themeColor="text1"/>
                  <w:kern w:val="2"/>
                  <w:szCs w:val="21"/>
                </w:rPr>
              </w:pPr>
              <w:r>
                <w:rPr>
                  <w:rFonts w:hint="eastAsia"/>
                  <w:szCs w:val="21"/>
                </w:rPr>
                <w:t>无</w:t>
              </w:r>
            </w:p>
          </w:sdtContent>
        </w:sdt>
      </w:sdtContent>
    </w:sdt>
    <w:p>
      <w:pPr>
        <w:snapToGrid w:val="0"/>
        <w:rPr>
          <w:rFonts w:cstheme="minorBidi"/>
          <w:color w:val="000000" w:themeColor="text1"/>
          <w:kern w:val="2"/>
          <w:szCs w:val="21"/>
        </w:rPr>
      </w:pPr>
    </w:p>
    <w:sdt>
      <w:sdtPr>
        <w:rPr>
          <w:rFonts w:hint="eastAsia"/>
          <w:color w:val="000000" w:themeColor="text1"/>
          <w:szCs w:val="21"/>
        </w:rPr>
        <w:alias w:val="模块:长期借款的说明"/>
        <w:tag w:val="_SEC_b151024fbb7f40ea95abd833b296ecf2"/>
        <w:id w:val="-235856716"/>
        <w:lock w:val="sdtLocked"/>
        <w:placeholder>
          <w:docPart w:val="GBC22222222222222222222222222222"/>
        </w:placeholder>
      </w:sdtPr>
      <w:sdtEndPr>
        <w:rPr>
          <w:rFonts w:hint="default"/>
          <w:color w:val="auto"/>
          <w:szCs w:val="21"/>
        </w:rPr>
      </w:sdtEndPr>
      <w:sdtContent>
        <w:p>
          <w:pPr>
            <w:snapToGrid w:val="0"/>
            <w:rPr>
              <w:color w:val="000000" w:themeColor="text1"/>
              <w:szCs w:val="21"/>
            </w:rPr>
          </w:pPr>
          <w:r>
            <w:rPr>
              <w:rFonts w:hint="eastAsia"/>
              <w:color w:val="000000" w:themeColor="text1"/>
              <w:szCs w:val="21"/>
            </w:rPr>
            <w:t>其他说明，包括利率区间：</w:t>
          </w:r>
        </w:p>
        <w:sdt>
          <w:sdtPr>
            <w:rPr>
              <w:color w:val="000000" w:themeColor="text1"/>
              <w:szCs w:val="21"/>
            </w:rPr>
            <w:alias w:val="是否适用：长期借款的说明[双击切换]"/>
            <w:tag w:val="_GBC_81b19a673078421a910ba8721333fbbe"/>
            <w:id w:val="-238951379"/>
            <w:lock w:val="sdtLocked"/>
            <w:placeholder>
              <w:docPart w:val="GBC22222222222222222222222222222"/>
            </w:placeholder>
          </w:sdtPr>
          <w:sdtEndPr>
            <w:rPr>
              <w:color w:val="000000" w:themeColor="text1"/>
              <w:szCs w:val="21"/>
            </w:rPr>
          </w:sdtEndPr>
          <w:sdtContent>
            <w:p>
              <w:pPr>
                <w:snapToGrid w:val="0"/>
                <w:rPr>
                  <w:szCs w:val="21"/>
                </w:rPr>
              </w:pPr>
              <w:r>
                <w:rPr>
                  <w:color w:val="000000" w:themeColor="text1"/>
                  <w:szCs w:val="21"/>
                </w:rPr>
                <w:fldChar w:fldCharType="begin"/>
              </w:r>
              <w:r>
                <w:rPr>
                  <w:color w:val="000000" w:themeColor="text1"/>
                  <w:szCs w:val="21"/>
                </w:rPr>
                <w:instrText xml:space="preserve">MACROBUTTON  SnrToggleCheckbox □适用 </w:instrText>
              </w:r>
              <w:r>
                <w:rPr>
                  <w:color w:val="000000" w:themeColor="text1"/>
                  <w:szCs w:val="21"/>
                </w:rPr>
                <w:fldChar w:fldCharType="end"/>
              </w:r>
              <w:r>
                <w:rPr>
                  <w:color w:val="000000" w:themeColor="text1"/>
                  <w:szCs w:val="21"/>
                </w:rPr>
                <w:fldChar w:fldCharType="begin"/>
              </w:r>
              <w:r>
                <w:rPr>
                  <w:color w:val="000000" w:themeColor="text1"/>
                  <w:szCs w:val="21"/>
                </w:rPr>
                <w:instrText xml:space="preserve"> MACROBUTTON  SnrToggleCheckbox √不适用 </w:instrText>
              </w:r>
              <w:r>
                <w:rPr>
                  <w:color w:val="000000" w:themeColor="text1"/>
                  <w:szCs w:val="21"/>
                </w:rPr>
                <w:fldChar w:fldCharType="end"/>
              </w:r>
            </w:p>
          </w:sdtContent>
        </w:sdt>
      </w:sdtContent>
    </w:sdt>
    <w:p>
      <w:pPr>
        <w:rPr>
          <w:szCs w:val="21"/>
        </w:rPr>
      </w:pPr>
    </w:p>
    <w:p>
      <w:pPr>
        <w:pStyle w:val="213"/>
        <w:numPr>
          <w:ilvl w:val="0"/>
          <w:numId w:val="77"/>
        </w:numPr>
        <w:tabs>
          <w:tab w:val="left" w:pos="504"/>
        </w:tabs>
        <w:spacing w:before="0" w:after="0" w:line="360" w:lineRule="auto"/>
        <w:rPr>
          <w:rFonts w:ascii="宋体" w:hAnsi="宋体"/>
          <w:szCs w:val="21"/>
        </w:rPr>
      </w:pPr>
      <w:r>
        <w:rPr>
          <w:rFonts w:hint="eastAsia" w:ascii="宋体" w:hAnsi="宋体"/>
          <w:szCs w:val="21"/>
        </w:rPr>
        <w:t>应付债券</w:t>
      </w:r>
    </w:p>
    <w:sdt>
      <w:sdtPr>
        <w:rPr>
          <w:rFonts w:hint="eastAsia" w:ascii="宋体" w:hAnsi="宋体" w:eastAsia="宋体" w:cs="宋体"/>
          <w:b w:val="0"/>
          <w:bCs w:val="0"/>
          <w:kern w:val="0"/>
          <w:szCs w:val="24"/>
        </w:rPr>
        <w:alias w:val="模块:应付债券"/>
        <w:tag w:val="_SEC_9fc1d89fd58b4dd7a11252f59005bfc6"/>
        <w:id w:val="-19089649"/>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0"/>
              <w:numId w:val="104"/>
            </w:numPr>
            <w:spacing w:before="0" w:after="0" w:line="360" w:lineRule="auto"/>
            <w:ind w:left="426" w:hanging="426"/>
          </w:pPr>
          <w:r>
            <w:rPr>
              <w:rFonts w:hint="eastAsia"/>
            </w:rPr>
            <w:t>应付债券</w:t>
          </w:r>
        </w:p>
        <w:sdt>
          <w:sdtPr>
            <w:alias w:val="是否适用：应付债券[双击切换]"/>
            <w:tag w:val="_GBC_645b020b25af4284b8eff88f14f8c5c2"/>
            <w:id w:val="-2114967591"/>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eastAsia="宋体" w:asciiTheme="minorHAnsi" w:hAnsiTheme="minorHAnsi" w:cstheme="minorBidi"/>
          <w:b w:val="0"/>
          <w:bCs w:val="0"/>
          <w:kern w:val="0"/>
          <w:szCs w:val="22"/>
        </w:rPr>
        <w:alias w:val="模块:应付债券的增减变动"/>
        <w:tag w:val="_SEC_bd8994c3194244c3a4761d3ba9630357"/>
        <w:id w:val="-250122706"/>
        <w:lock w:val="sdtLocked"/>
        <w:placeholder>
          <w:docPart w:val="GBC22222222222222222222222222222"/>
        </w:placeholder>
      </w:sdtPr>
      <w:sdtEndPr>
        <w:rPr>
          <w:rFonts w:hint="eastAsia" w:ascii="宋体" w:hAnsi="宋体" w:eastAsia="宋体" w:cstheme="minorBidi"/>
          <w:b w:val="0"/>
          <w:bCs w:val="0"/>
          <w:color w:val="000000" w:themeColor="text1"/>
          <w:kern w:val="0"/>
          <w:szCs w:val="21"/>
        </w:rPr>
      </w:sdtEndPr>
      <w:sdtContent>
        <w:p>
          <w:pPr>
            <w:pStyle w:val="214"/>
            <w:numPr>
              <w:ilvl w:val="0"/>
              <w:numId w:val="104"/>
            </w:numPr>
            <w:spacing w:before="0" w:after="0" w:line="360" w:lineRule="auto"/>
            <w:ind w:left="426" w:hanging="426"/>
          </w:pPr>
          <w:r>
            <w:t>应付债券的增减变动</w:t>
          </w:r>
          <w:r>
            <w:rPr>
              <w:rFonts w:hint="eastAsia"/>
            </w:rPr>
            <w:t>：（不包括划分为金融负债的优先股、永续债等其他金融工具）</w:t>
          </w:r>
        </w:p>
        <w:sdt>
          <w:sdtPr>
            <w:alias w:val="是否适用：应付债券的增减变动[双击切换]"/>
            <w:tag w:val="_GBC_a682f35f6b7c4d8b840f80705a81f19c"/>
            <w:id w:val="470401937"/>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可转换公司债券的转股条件、转股时间说明："/>
        <w:tag w:val="_SEC_757001457d924ad38aa4781484c5ba39"/>
        <w:id w:val="1901551936"/>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0"/>
              <w:numId w:val="104"/>
            </w:numPr>
            <w:spacing w:before="0" w:after="0" w:line="360" w:lineRule="auto"/>
            <w:ind w:left="426" w:hanging="426"/>
          </w:pPr>
          <w:bookmarkStart w:id="197" w:name="OLE_LINK18"/>
          <w:bookmarkStart w:id="198" w:name="OLE_LINK16"/>
          <w:r>
            <w:rPr>
              <w:rFonts w:hint="eastAsia"/>
            </w:rPr>
            <w:t>可</w:t>
          </w:r>
          <w:r>
            <w:rPr>
              <w:rFonts w:hint="eastAsia" w:ascii="宋体" w:hAnsi="宋体"/>
            </w:rPr>
            <w:t>转换公司债</w:t>
          </w:r>
          <w:r>
            <w:rPr>
              <w:rFonts w:hint="eastAsia"/>
            </w:rPr>
            <w:t>券的转股条件、转股时间说明</w:t>
          </w:r>
        </w:p>
        <w:sdt>
          <w:sdtPr>
            <w:rPr>
              <w:rFonts w:hint="eastAsia"/>
              <w:szCs w:val="21"/>
            </w:rPr>
            <w:alias w:val="是否适用：可转换公司债券的转股条件、转股时间说明[双击切换]"/>
            <w:tag w:val="_GBC_2b6cb515ba4c417781662a31ccbd84e3"/>
            <w:id w:val="955994439"/>
            <w:lock w:val="sdtLocked"/>
            <w:placeholder>
              <w:docPart w:val="GBC22222222222222222222222222222"/>
            </w:placeholder>
          </w:sdtPr>
          <w:sdtEndPr>
            <w:rPr>
              <w:rFonts w:hint="eastAsia"/>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bookmarkEnd w:id="197"/>
    <w:bookmarkEnd w:id="198"/>
    <w:sdt>
      <w:sdtPr>
        <w:rPr>
          <w:rFonts w:hint="eastAsia" w:ascii="宋体" w:hAnsi="宋体" w:eastAsia="宋体" w:cs="宋体"/>
          <w:b w:val="0"/>
          <w:bCs w:val="0"/>
          <w:kern w:val="0"/>
          <w:szCs w:val="24"/>
        </w:rPr>
        <w:alias w:val="模块:划分为金融负债的其他金融工具说明"/>
        <w:tag w:val="_SEC_a518acf97f30496fb599ce9199c16315"/>
        <w:id w:val="-1466657349"/>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0"/>
              <w:numId w:val="104"/>
            </w:numPr>
            <w:spacing w:before="0" w:after="0" w:line="360" w:lineRule="auto"/>
            <w:ind w:left="426" w:hanging="426"/>
          </w:pPr>
          <w:r>
            <w:rPr>
              <w:rFonts w:hint="eastAsia"/>
            </w:rPr>
            <w:t>划分为金融负债的其他金融工具说明</w:t>
          </w:r>
        </w:p>
        <w:p>
          <w:pPr>
            <w:spacing w:line="360" w:lineRule="auto"/>
          </w:pPr>
          <w:r>
            <w:rPr>
              <w:rFonts w:hint="eastAsia"/>
            </w:rPr>
            <w:t>期末发行在外的优先股、永续债等其他金融工具基本情况</w:t>
          </w:r>
        </w:p>
        <w:sdt>
          <w:sdtPr>
            <w:alias w:val="是否适用：划分为金融负债的其他金融工具说明[双击切换]"/>
            <w:tag w:val="_GBC_354a73ce52fe4fcaa9d974bff59ad9cc"/>
            <w:id w:val="904959194"/>
            <w:lock w:val="sdtLocked"/>
            <w:placeholder>
              <w:docPart w:val="GBC22222222222222222222222222222"/>
            </w:placeholder>
          </w:sdtPr>
          <w:sdtContent>
            <w:p>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pacing w:line="360" w:lineRule="auto"/>
            <w:rPr>
              <w:szCs w:val="21"/>
            </w:rPr>
          </w:pPr>
        </w:p>
        <w:p>
          <w:pPr>
            <w:spacing w:line="360" w:lineRule="auto"/>
            <w:rPr>
              <w:szCs w:val="21"/>
            </w:rPr>
          </w:pPr>
          <w:r>
            <w:rPr>
              <w:rFonts w:hint="eastAsia"/>
              <w:szCs w:val="21"/>
            </w:rPr>
            <w:t>期末发行在外的优先股、永续债等金融工具变动情况表</w:t>
          </w:r>
        </w:p>
        <w:sdt>
          <w:sdtPr>
            <w:rPr>
              <w:szCs w:val="21"/>
            </w:rPr>
            <w:alias w:val="是否适用：期末发行在外的优先股、永续债等金融工具变动情况表_应付债券[双击切换]"/>
            <w:tag w:val="_GBC_0ff8720c33d04083ad5271ea8df21c89"/>
            <w:id w:val="-984392203"/>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r>
            <w:rPr>
              <w:rFonts w:hint="eastAsia"/>
              <w:szCs w:val="21"/>
            </w:rPr>
            <w:t>其他金融工具划分为金融负债的依据说明：</w:t>
          </w:r>
        </w:p>
        <w:sdt>
          <w:sdtPr>
            <w:rPr>
              <w:szCs w:val="21"/>
            </w:rPr>
            <w:alias w:val="是否适用：其他金融工具划分为金融负债的依据说明[双击切换]"/>
            <w:tag w:val="_GBC_b66a33df1ece41d79e36976486595871"/>
            <w:id w:val="-886565660"/>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line="360" w:lineRule="auto"/>
            <w:rPr>
              <w:szCs w:val="21"/>
            </w:rPr>
          </w:pPr>
        </w:p>
      </w:sdtContent>
    </w:sdt>
    <w:sdt>
      <w:sdtPr>
        <w:rPr>
          <w:rFonts w:hint="eastAsia"/>
          <w:szCs w:val="21"/>
        </w:rPr>
        <w:alias w:val="模块:应付债券其他说明"/>
        <w:tag w:val="_SEC_a77cb0c0ba82436b82a7d5bb3bde2ada"/>
        <w:id w:val="295648722"/>
        <w:lock w:val="sdtLocked"/>
        <w:placeholder>
          <w:docPart w:val="GBC22222222222222222222222222222"/>
        </w:placeholder>
      </w:sdtPr>
      <w:sdtEndPr>
        <w:rPr>
          <w:rFonts w:hint="eastAsia"/>
          <w:szCs w:val="21"/>
        </w:rPr>
      </w:sdtEndPr>
      <w:sdtContent>
        <w:p>
          <w:pPr>
            <w:spacing w:line="360" w:lineRule="auto"/>
            <w:rPr>
              <w:szCs w:val="21"/>
            </w:rPr>
          </w:pPr>
          <w:r>
            <w:rPr>
              <w:rFonts w:hint="eastAsia"/>
              <w:szCs w:val="21"/>
            </w:rPr>
            <w:t>其他说明：</w:t>
          </w:r>
        </w:p>
        <w:sdt>
          <w:sdtPr>
            <w:rPr>
              <w:szCs w:val="21"/>
            </w:rPr>
            <w:alias w:val="是否适用：应付债券的其他说明[双击切换]"/>
            <w:tag w:val="_GBC_2068e4e6d2994d6f8cfa9ecc26b171d4"/>
            <w:id w:val="-1720740758"/>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spacing w:line="360" w:lineRule="auto"/>
        <w:rPr>
          <w:szCs w:val="21"/>
        </w:rPr>
      </w:pPr>
    </w:p>
    <w:sdt>
      <w:sdtPr>
        <w:rPr>
          <w:rFonts w:hint="eastAsia" w:ascii="宋体" w:hAnsi="宋体" w:cs="宋体"/>
          <w:b w:val="0"/>
          <w:bCs w:val="0"/>
          <w:kern w:val="0"/>
          <w:szCs w:val="21"/>
        </w:rPr>
        <w:alias w:val="模块:租赁负债"/>
        <w:tag w:val="_SEC_02d134bf8d8d4eb58c0ae104046b1ba8"/>
        <w:id w:val="1320770636"/>
        <w:lock w:val="sdtLocked"/>
        <w:placeholder>
          <w:docPart w:val="GBC22222222222222222222222222222"/>
        </w:placeholder>
      </w:sdtPr>
      <w:sdtEndPr>
        <w:rPr>
          <w:rFonts w:hint="default" w:ascii="宋体" w:hAnsi="宋体" w:cs="宋体"/>
          <w:b w:val="0"/>
          <w:bCs w:val="0"/>
          <w:kern w:val="0"/>
          <w:szCs w:val="21"/>
        </w:rPr>
      </w:sdtEndPr>
      <w:sdtContent>
        <w:p>
          <w:pPr>
            <w:pStyle w:val="114"/>
            <w:numPr>
              <w:ilvl w:val="0"/>
              <w:numId w:val="77"/>
            </w:numPr>
            <w:tabs>
              <w:tab w:val="left" w:pos="504"/>
            </w:tabs>
            <w:spacing w:before="0" w:after="0" w:line="360" w:lineRule="auto"/>
            <w:rPr>
              <w:szCs w:val="21"/>
            </w:rPr>
          </w:pPr>
          <w:bookmarkStart w:id="199" w:name="_Hlk24026742"/>
          <w:r>
            <w:rPr>
              <w:rFonts w:hint="eastAsia"/>
              <w:szCs w:val="21"/>
            </w:rPr>
            <w:t>租赁负债</w:t>
          </w:r>
        </w:p>
        <w:sdt>
          <w:sdtPr>
            <w:rPr>
              <w:szCs w:val="21"/>
            </w:rPr>
            <w:alias w:val="是否适用：租赁负债[双击切换]"/>
            <w:tag w:val="_GBC_abf9a23b0ddc4b63b6f39d768c084973"/>
            <w:id w:val="78261041"/>
            <w:lock w:val="sdtLocked"/>
          </w:sdtPr>
          <w:sdtEndPr>
            <w:rPr>
              <w:szCs w:val="21"/>
            </w:rPr>
          </w:sdtEndPr>
          <w:sdtContent>
            <w:p>
              <w:pPr>
                <w:spacing w:line="360" w:lineRule="auto"/>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租赁负债"/>
              <w:tag w:val="_GBC_33e504b2a4a34d41946083d1a309022f"/>
              <w:id w:val="1306891601"/>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租赁负债"/>
              <w:tag w:val="_GBC_90ebb9825c5740c794669c2bf1475590"/>
              <w:id w:val="-130422114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EndPr>
              <w:rPr>
                <w:rFonts w:hint="eastAsia"/>
                <w:szCs w:val="21"/>
              </w:rPr>
            </w:sdtEndPr>
            <w:sdtContent>
              <w:r>
                <w:rPr>
                  <w:rFonts w:hint="eastAsia"/>
                  <w:szCs w:val="21"/>
                </w:rPr>
                <w:t>人民币</w:t>
              </w:r>
            </w:sdtContent>
          </w:sdt>
        </w:p>
        <w:tbl>
          <w:tblPr>
            <w:tblStyle w:val="10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2753"/>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sdt>
              <w:sdtPr>
                <w:tag w:val="_PLD_a05982b715d74082b7e01db9e1e265ef"/>
                <w:id w:val="-1042824258"/>
                <w:lock w:val="sdtLocked"/>
              </w:sdtPr>
              <w:sdtContent>
                <w:tc>
                  <w:tcPr>
                    <w:tcW w:w="1771" w:type="pct"/>
                    <w:shd w:val="clear" w:color="auto" w:fill="auto"/>
                    <w:vAlign w:val="center"/>
                  </w:tcPr>
                  <w:p>
                    <w:pPr>
                      <w:jc w:val="center"/>
                      <w:rPr>
                        <w:szCs w:val="21"/>
                      </w:rPr>
                    </w:pPr>
                    <w:r>
                      <w:rPr>
                        <w:rFonts w:hint="eastAsia"/>
                        <w:szCs w:val="21"/>
                      </w:rPr>
                      <w:t>项目</w:t>
                    </w:r>
                  </w:p>
                </w:tc>
              </w:sdtContent>
            </w:sdt>
            <w:sdt>
              <w:sdtPr>
                <w:tag w:val="_PLD_84a0d8719b674f50bfcfc1c6ed86fed6"/>
                <w:id w:val="-981843685"/>
                <w:lock w:val="sdtLocked"/>
              </w:sdtPr>
              <w:sdtContent>
                <w:tc>
                  <w:tcPr>
                    <w:tcW w:w="1614" w:type="pct"/>
                    <w:shd w:val="clear" w:color="auto" w:fill="auto"/>
                    <w:vAlign w:val="center"/>
                  </w:tcPr>
                  <w:p>
                    <w:pPr>
                      <w:jc w:val="center"/>
                      <w:rPr>
                        <w:szCs w:val="21"/>
                      </w:rPr>
                    </w:pPr>
                    <w:r>
                      <w:rPr>
                        <w:rFonts w:hint="eastAsia"/>
                        <w:szCs w:val="21"/>
                      </w:rPr>
                      <w:t>期末余额</w:t>
                    </w:r>
                  </w:p>
                </w:tc>
              </w:sdtContent>
            </w:sdt>
            <w:sdt>
              <w:sdtPr>
                <w:tag w:val="_PLD_d601589800f8414abb18e7477e7b41d6"/>
                <w:id w:val="-363139239"/>
                <w:lock w:val="sdtLocked"/>
              </w:sdtPr>
              <w:sdtContent>
                <w:tc>
                  <w:tcPr>
                    <w:tcW w:w="1615" w:type="pct"/>
                    <w:shd w:val="clear" w:color="auto" w:fill="auto"/>
                    <w:vAlign w:val="center"/>
                  </w:tcPr>
                  <w:p>
                    <w:pPr>
                      <w:jc w:val="center"/>
                      <w:rPr>
                        <w:szCs w:val="21"/>
                      </w:rPr>
                    </w:pPr>
                    <w:r>
                      <w:rPr>
                        <w:rFonts w:hint="eastAsia"/>
                        <w:szCs w:val="21"/>
                      </w:rPr>
                      <w:t>期初余额</w:t>
                    </w:r>
                  </w:p>
                </w:tc>
              </w:sdtContent>
            </w:sdt>
          </w:tr>
          <w:sdt>
            <w:sdtPr>
              <w:rPr>
                <w:rFonts w:asciiTheme="minorHAnsi" w:hAnsiTheme="minorHAnsi" w:eastAsiaTheme="minorEastAsia" w:cstheme="minorBidi"/>
                <w:kern w:val="2"/>
                <w:szCs w:val="21"/>
              </w:rPr>
              <w:alias w:val="租赁负债明细"/>
              <w:tag w:val="_TUP_6f466bed927f4939ae3a601adc9fe007"/>
              <w:id w:val="-195301097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jc w:val="center"/>
                      <w:rPr>
                        <w:szCs w:val="21"/>
                      </w:rPr>
                    </w:pPr>
                    <w:r>
                      <w:t>房屋及建筑物</w:t>
                    </w:r>
                  </w:p>
                </w:tc>
                <w:tc>
                  <w:tcPr>
                    <w:tcW w:w="1614" w:type="pct"/>
                  </w:tcPr>
                  <w:p>
                    <w:pPr>
                      <w:jc w:val="right"/>
                      <w:rPr>
                        <w:szCs w:val="21"/>
                      </w:rPr>
                    </w:pPr>
                    <w:r>
                      <w:t>4,513,551.06</w:t>
                    </w:r>
                  </w:p>
                </w:tc>
                <w:tc>
                  <w:tcPr>
                    <w:tcW w:w="1615" w:type="pct"/>
                  </w:tcPr>
                  <w:p>
                    <w:pPr>
                      <w:jc w:val="right"/>
                      <w:rPr>
                        <w:szCs w:val="21"/>
                      </w:rPr>
                    </w:pPr>
                    <w:r>
                      <w:t>6,108,579.51</w:t>
                    </w:r>
                  </w:p>
                </w:tc>
              </w:tr>
            </w:sdtContent>
          </w:sdt>
          <w:sdt>
            <w:sdtPr>
              <w:rPr>
                <w:rFonts w:asciiTheme="minorHAnsi" w:hAnsiTheme="minorHAnsi" w:eastAsiaTheme="minorEastAsia" w:cstheme="minorBidi"/>
                <w:kern w:val="2"/>
                <w:szCs w:val="21"/>
              </w:rPr>
              <w:alias w:val="租赁负债明细"/>
              <w:tag w:val="_TUP_6f466bed927f4939ae3a601adc9fe007"/>
              <w:id w:val="53061192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jc w:val="center"/>
                      <w:rPr>
                        <w:rFonts w:asciiTheme="minorHAnsi" w:hAnsiTheme="minorHAnsi" w:eastAsiaTheme="minorEastAsia" w:cstheme="minorBidi"/>
                        <w:kern w:val="2"/>
                        <w:szCs w:val="21"/>
                      </w:rPr>
                    </w:pPr>
                    <w:r>
                      <w:t>未确认融资费用</w:t>
                    </w:r>
                  </w:p>
                </w:tc>
                <w:tc>
                  <w:tcPr>
                    <w:tcW w:w="1614" w:type="pct"/>
                  </w:tcPr>
                  <w:p>
                    <w:pPr>
                      <w:jc w:val="right"/>
                      <w:rPr>
                        <w:szCs w:val="21"/>
                      </w:rPr>
                    </w:pPr>
                    <w:r>
                      <w:rPr>
                        <w:rFonts w:hint="eastAsia"/>
                      </w:rPr>
                      <w:t>-</w:t>
                    </w:r>
                    <w:r>
                      <w:t>341,544.62</w:t>
                    </w:r>
                  </w:p>
                </w:tc>
                <w:tc>
                  <w:tcPr>
                    <w:tcW w:w="1615" w:type="pct"/>
                  </w:tcPr>
                  <w:p>
                    <w:pPr>
                      <w:jc w:val="right"/>
                      <w:rPr>
                        <w:rFonts w:asciiTheme="minorHAnsi" w:hAnsiTheme="minorHAnsi" w:eastAsiaTheme="minorEastAsia" w:cstheme="minorBidi"/>
                        <w:kern w:val="2"/>
                        <w:szCs w:val="21"/>
                      </w:rPr>
                    </w:pPr>
                    <w:r>
                      <w:rPr>
                        <w:rFonts w:hint="eastAsia"/>
                      </w:rPr>
                      <w:t>-</w:t>
                    </w:r>
                    <w:r>
                      <w:t>555,630.75</w:t>
                    </w:r>
                  </w:p>
                </w:tc>
              </w:tr>
            </w:sdtContent>
          </w:sdt>
          <w:sdt>
            <w:sdtPr>
              <w:rPr>
                <w:rFonts w:asciiTheme="minorHAnsi" w:hAnsiTheme="minorHAnsi" w:eastAsiaTheme="minorEastAsia" w:cstheme="minorBidi"/>
                <w:kern w:val="2"/>
                <w:szCs w:val="21"/>
              </w:rPr>
              <w:alias w:val="租赁负债明细"/>
              <w:tag w:val="_TUP_6f466bed927f4939ae3a601adc9fe007"/>
              <w:id w:val="-196295776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tc>
                  <w:tcPr>
                    <w:tcW w:w="1771" w:type="pct"/>
                  </w:tcPr>
                  <w:p>
                    <w:pPr>
                      <w:jc w:val="center"/>
                      <w:rPr>
                        <w:rFonts w:asciiTheme="minorHAnsi" w:hAnsiTheme="minorHAnsi" w:eastAsiaTheme="minorEastAsia" w:cstheme="minorBidi"/>
                        <w:kern w:val="2"/>
                        <w:szCs w:val="21"/>
                      </w:rPr>
                    </w:pPr>
                    <w:r>
                      <w:t>一年内到期的租赁负债</w:t>
                    </w:r>
                  </w:p>
                </w:tc>
                <w:tc>
                  <w:tcPr>
                    <w:tcW w:w="1614" w:type="pct"/>
                  </w:tcPr>
                  <w:p>
                    <w:pPr>
                      <w:jc w:val="right"/>
                      <w:rPr>
                        <w:szCs w:val="21"/>
                      </w:rPr>
                    </w:pPr>
                    <w:r>
                      <w:rPr>
                        <w:rFonts w:hint="eastAsia"/>
                      </w:rPr>
                      <w:t>-</w:t>
                    </w:r>
                    <w:r>
                      <w:t>1,340,021.88</w:t>
                    </w:r>
                  </w:p>
                </w:tc>
                <w:tc>
                  <w:tcPr>
                    <w:tcW w:w="1615" w:type="pct"/>
                  </w:tcPr>
                  <w:p>
                    <w:pPr>
                      <w:jc w:val="right"/>
                      <w:rPr>
                        <w:rFonts w:asciiTheme="minorHAnsi" w:hAnsiTheme="minorHAnsi" w:eastAsiaTheme="minorEastAsia" w:cstheme="minorBidi"/>
                        <w:kern w:val="2"/>
                        <w:szCs w:val="21"/>
                      </w:rPr>
                    </w:pPr>
                    <w:r>
                      <w:rPr>
                        <w:rFonts w:hint="eastAsia"/>
                      </w:rPr>
                      <w:t>-</w:t>
                    </w:r>
                    <w:r>
                      <w:t>1,498,722.04</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6" w:hRule="atLeast"/>
            </w:trPr>
            <w:sdt>
              <w:sdtPr>
                <w:tag w:val="_PLD_be650c59606949b3a386be1a4c816d84"/>
                <w:id w:val="-345014252"/>
                <w:lock w:val="sdtLocked"/>
              </w:sdtPr>
              <w:sdtContent>
                <w:tc>
                  <w:tcPr>
                    <w:tcW w:w="1771" w:type="pct"/>
                  </w:tcPr>
                  <w:p>
                    <w:pPr>
                      <w:jc w:val="center"/>
                      <w:rPr>
                        <w:szCs w:val="21"/>
                      </w:rPr>
                    </w:pPr>
                    <w:r>
                      <w:rPr>
                        <w:rFonts w:hint="eastAsia"/>
                        <w:szCs w:val="21"/>
                      </w:rPr>
                      <w:t>合计</w:t>
                    </w:r>
                  </w:p>
                </w:tc>
              </w:sdtContent>
            </w:sdt>
            <w:tc>
              <w:tcPr>
                <w:tcW w:w="1614" w:type="pct"/>
                <w:vAlign w:val="center"/>
              </w:tcPr>
              <w:p>
                <w:pPr>
                  <w:jc w:val="right"/>
                  <w:rPr>
                    <w:sz w:val="24"/>
                  </w:rPr>
                </w:pPr>
                <w:r>
                  <w:t>2,831,984.56</w:t>
                </w:r>
              </w:p>
            </w:tc>
            <w:tc>
              <w:tcPr>
                <w:tcW w:w="1615" w:type="pct"/>
                <w:vAlign w:val="center"/>
              </w:tcPr>
              <w:p>
                <w:pPr>
                  <w:jc w:val="right"/>
                </w:pPr>
                <w:r>
                  <w:t>4,054,226.72</w:t>
                </w:r>
              </w:p>
            </w:tc>
          </w:tr>
        </w:tbl>
        <w:p/>
        <w:p>
          <w:pPr>
            <w:snapToGrid w:val="0"/>
            <w:spacing w:before="60" w:after="60" w:line="240" w:lineRule="atLeast"/>
            <w:rPr>
              <w:szCs w:val="21"/>
            </w:rPr>
          </w:pPr>
          <w:r>
            <w:rPr>
              <w:rFonts w:hint="eastAsia"/>
              <w:szCs w:val="21"/>
            </w:rPr>
            <w:t>其他说明：</w:t>
          </w:r>
        </w:p>
        <w:sdt>
          <w:sdtPr>
            <w:alias w:val="租赁负债其他说明"/>
            <w:tag w:val="_GBC_d655dad6394141cbbfbca3ff3319cddc"/>
            <w:id w:val="-2113194907"/>
            <w:lock w:val="sdtLocked"/>
          </w:sdtPr>
          <w:sdtContent>
            <w:p>
              <w:pPr>
                <w:rPr>
                  <w:szCs w:val="21"/>
                </w:rPr>
              </w:pPr>
              <w:r>
                <w:rPr>
                  <w:rFonts w:hint="eastAsia"/>
                </w:rPr>
                <w:t>无</w:t>
              </w:r>
            </w:p>
          </w:sdtContent>
        </w:sdt>
      </w:sdtContent>
    </w:sdt>
    <w:bookmarkEnd w:id="199"/>
    <w:p>
      <w:pPr>
        <w:rPr>
          <w:szCs w:val="21"/>
        </w:rPr>
      </w:pPr>
    </w:p>
    <w:p>
      <w:pPr>
        <w:pStyle w:val="213"/>
        <w:numPr>
          <w:ilvl w:val="0"/>
          <w:numId w:val="77"/>
        </w:numPr>
        <w:tabs>
          <w:tab w:val="left" w:pos="504"/>
        </w:tabs>
        <w:rPr>
          <w:rFonts w:ascii="宋体" w:hAnsi="宋体"/>
          <w:szCs w:val="21"/>
        </w:rPr>
      </w:pPr>
      <w:r>
        <w:rPr>
          <w:rFonts w:hint="eastAsia" w:ascii="宋体" w:hAnsi="宋体"/>
          <w:szCs w:val="21"/>
        </w:rPr>
        <w:t>长期</w:t>
      </w:r>
      <w:r>
        <w:rPr>
          <w:rFonts w:hint="eastAsia"/>
          <w:szCs w:val="21"/>
        </w:rPr>
        <w:t>应付</w:t>
      </w:r>
      <w:r>
        <w:rPr>
          <w:rFonts w:hint="eastAsia" w:ascii="宋体" w:hAnsi="宋体"/>
          <w:szCs w:val="21"/>
        </w:rPr>
        <w:t>款</w:t>
      </w:r>
    </w:p>
    <w:sdt>
      <w:sdtPr>
        <w:rPr>
          <w:rFonts w:hint="eastAsia" w:ascii="宋体" w:hAnsi="宋体" w:eastAsia="宋体" w:cs="宋体"/>
          <w:b w:val="0"/>
          <w:bCs w:val="0"/>
          <w:kern w:val="0"/>
          <w:szCs w:val="24"/>
        </w:rPr>
        <w:alias w:val="模块:长期应付款分类列示"/>
        <w:tag w:val="_SEC_f3d4542e7833456492aa3f1fb43c4fd5"/>
        <w:id w:val="-739170706"/>
        <w:lock w:val="sdtLocked"/>
        <w:placeholder>
          <w:docPart w:val="GBC22222222222222222222222222222"/>
        </w:placeholder>
      </w:sdtPr>
      <w:sdtEndPr>
        <w:rPr>
          <w:rFonts w:hint="default" w:ascii="宋体" w:hAnsi="宋体" w:eastAsia="宋体" w:cs="Times New Roman"/>
          <w:b/>
          <w:bCs w:val="0"/>
          <w:kern w:val="2"/>
          <w:szCs w:val="21"/>
        </w:rPr>
      </w:sdtEndPr>
      <w:sdtContent>
        <w:p>
          <w:pPr>
            <w:pStyle w:val="214"/>
          </w:pPr>
          <w:bookmarkStart w:id="200" w:name="_Hlk532911038"/>
          <w:r>
            <w:rPr>
              <w:rFonts w:hint="eastAsia"/>
            </w:rPr>
            <w:t>项目列示</w:t>
          </w:r>
        </w:p>
        <w:sdt>
          <w:sdtPr>
            <w:alias w:val="是否适用：长期应付款分类列示[双击切换]"/>
            <w:tag w:val="_GBC_90d4a9bd673140ef9c99898da48d1614"/>
            <w:id w:val="81853256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长期应付款分类列示"/>
              <w:tag w:val="_GBC_6f1c5753ac2941b597e1d984d66c55a3"/>
              <w:id w:val="52699513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长期应付款分类列示"/>
              <w:tag w:val="_GBC_8f45b0164513461a90709633a96141c4"/>
              <w:id w:val="-1977898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2698"/>
            <w:gridCol w:w="2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038af4a07e447f88ceb8aedfaa7f12b"/>
                <w:id w:val="-1937043374"/>
                <w:lock w:val="sdtLocked"/>
              </w:sdtPr>
              <w:sdtContent>
                <w:tc>
                  <w:tcPr>
                    <w:tcW w:w="1828" w:type="pct"/>
                    <w:shd w:val="clear" w:color="auto" w:fill="auto"/>
                    <w:vAlign w:val="center"/>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sdtContent>
            </w:sdt>
            <w:sdt>
              <w:sdtPr>
                <w:tag w:val="_PLD_8b56081577b84bd3b322c0202b6a7142"/>
                <w:id w:val="1782837203"/>
                <w:lock w:val="sdtLocked"/>
              </w:sdtPr>
              <w:sdtContent>
                <w:tc>
                  <w:tcPr>
                    <w:tcW w:w="1582" w:type="pct"/>
                    <w:shd w:val="clear" w:color="auto" w:fill="auto"/>
                    <w:vAlign w:val="center"/>
                  </w:tcPr>
                  <w:p>
                    <w:pPr>
                      <w:jc w:val="center"/>
                      <w:rPr>
                        <w:szCs w:val="21"/>
                      </w:rPr>
                    </w:pPr>
                    <w:r>
                      <w:rPr>
                        <w:rFonts w:hint="eastAsia"/>
                        <w:szCs w:val="21"/>
                      </w:rPr>
                      <w:t>期末余额</w:t>
                    </w:r>
                  </w:p>
                </w:tc>
              </w:sdtContent>
            </w:sdt>
            <w:sdt>
              <w:sdtPr>
                <w:tag w:val="_PLD_2fa2691f59be4fb398c9e37e50109f5a"/>
                <w:id w:val="-361130028"/>
                <w:lock w:val="sdtLocked"/>
              </w:sdtPr>
              <w:sdtContent>
                <w:tc>
                  <w:tcPr>
                    <w:tcW w:w="1590" w:type="pct"/>
                    <w:shd w:val="clear" w:color="auto" w:fill="auto"/>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698ab5fdf8d4c9c9dd87ec1fb85fb6e"/>
                <w:id w:val="-253663970"/>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长期应付款</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szCs w:val="21"/>
                  </w:rPr>
                </w:pPr>
                <w:r>
                  <w:rPr>
                    <w:rFonts w:hint="eastAsia"/>
                    <w:szCs w:val="21"/>
                  </w:rPr>
                  <w:t>0.00</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ad226dd1d604cc6893542d496caa458"/>
                <w:id w:val="-1795364645"/>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专项应付款</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a01a87c395412fbdb6e25e411fc93c"/>
                <w:id w:val="1986575614"/>
                <w:lock w:val="sdtLocked"/>
              </w:sdtPr>
              <w:sdtContent>
                <w:tc>
                  <w:tcPr>
                    <w:tcW w:w="1828" w:type="pct"/>
                    <w:shd w:val="clear" w:color="auto" w:fill="auto"/>
                  </w:tcPr>
                  <w:p>
                    <w:pPr>
                      <w:tabs>
                        <w:tab w:val="right" w:pos="3690"/>
                        <w:tab w:val="right" w:pos="5130"/>
                        <w:tab w:val="right" w:pos="6030"/>
                        <w:tab w:val="right" w:pos="7650"/>
                        <w:tab w:val="right" w:pos="9270"/>
                      </w:tabs>
                      <w:adjustRightInd w:val="0"/>
                      <w:snapToGrid w:val="0"/>
                      <w:jc w:val="center"/>
                      <w:rPr>
                        <w:szCs w:val="21"/>
                      </w:rPr>
                    </w:pPr>
                    <w:r>
                      <w:rPr>
                        <w:rFonts w:hint="eastAsia"/>
                        <w:szCs w:val="21"/>
                      </w:rPr>
                      <w:t>合计</w:t>
                    </w:r>
                  </w:p>
                </w:tc>
              </w:sdtContent>
            </w:sdt>
            <w:tc>
              <w:tcPr>
                <w:tcW w:w="1582" w:type="pct"/>
                <w:shd w:val="clear" w:color="auto" w:fill="auto"/>
              </w:tcPr>
              <w:p>
                <w:pPr>
                  <w:tabs>
                    <w:tab w:val="right" w:pos="3690"/>
                    <w:tab w:val="right" w:pos="5130"/>
                    <w:tab w:val="right" w:pos="6030"/>
                    <w:tab w:val="right" w:pos="7650"/>
                    <w:tab w:val="right" w:pos="9270"/>
                  </w:tabs>
                  <w:adjustRightInd w:val="0"/>
                  <w:snapToGrid w:val="0"/>
                  <w:jc w:val="right"/>
                  <w:rPr>
                    <w:szCs w:val="21"/>
                  </w:rPr>
                </w:pPr>
                <w:r>
                  <w:rPr>
                    <w:rFonts w:hint="eastAsia"/>
                    <w:szCs w:val="21"/>
                  </w:rPr>
                  <w:t>0.00</w:t>
                </w:r>
              </w:p>
            </w:tc>
            <w:tc>
              <w:tcPr>
                <w:tcW w:w="1590" w:type="pct"/>
                <w:shd w:val="clear" w:color="auto" w:fill="auto"/>
              </w:tcPr>
              <w:p>
                <w:pPr>
                  <w:tabs>
                    <w:tab w:val="right" w:pos="3690"/>
                    <w:tab w:val="right" w:pos="5130"/>
                    <w:tab w:val="right" w:pos="6030"/>
                    <w:tab w:val="right" w:pos="7650"/>
                    <w:tab w:val="right" w:pos="9270"/>
                  </w:tabs>
                  <w:adjustRightInd w:val="0"/>
                  <w:snapToGrid w:val="0"/>
                  <w:jc w:val="right"/>
                  <w:rPr>
                    <w:szCs w:val="21"/>
                  </w:rPr>
                </w:pPr>
              </w:p>
            </w:tc>
          </w:tr>
        </w:tbl>
        <w:p>
          <w:pPr>
            <w:pStyle w:val="283"/>
            <w:widowControl w:val="0"/>
            <w:tabs>
              <w:tab w:val="clear" w:pos="714"/>
            </w:tabs>
            <w:spacing w:before="120" w:beforeLines="50" w:line="360" w:lineRule="auto"/>
            <w:ind w:hanging="756"/>
            <w:jc w:val="both"/>
            <w:outlineLvl w:val="9"/>
            <w:rPr>
              <w:rFonts w:ascii="Times New Roman" w:hAnsi="Times New Roman"/>
              <w:b w:val="0"/>
            </w:rPr>
          </w:pPr>
          <w:r>
            <w:rPr>
              <w:b w:val="0"/>
            </w:rPr>
            <w:t>注：上表中长期应付款指扣除专项应付款后的长期应付款</w:t>
          </w:r>
          <w:r>
            <w:rPr>
              <w:rFonts w:hint="eastAsia"/>
              <w:b w:val="0"/>
            </w:rPr>
            <w:t>。</w:t>
          </w:r>
        </w:p>
      </w:sdtContent>
    </w:sdt>
    <w:bookmarkEnd w:id="200"/>
    <w:sdt>
      <w:sdtPr>
        <w:rPr>
          <w:rFonts w:hint="eastAsia"/>
          <w:szCs w:val="21"/>
        </w:rPr>
        <w:alias w:val="模块:长期应付款分类列示其他说明"/>
        <w:tag w:val="_SEC_a0c78ab4e7864eb6ad0f9eb868ed1718"/>
        <w:id w:val="-1085766967"/>
        <w:lock w:val="sdtLocked"/>
        <w:placeholder>
          <w:docPart w:val="GBC22222222222222222222222222222"/>
        </w:placeholder>
      </w:sdtPr>
      <w:sdtEndPr>
        <w:rPr>
          <w:rFonts w:hint="eastAsia"/>
          <w:szCs w:val="21"/>
        </w:rPr>
      </w:sdtEndPr>
      <w:sdtContent>
        <w:p>
          <w:pPr>
            <w:rPr>
              <w:szCs w:val="21"/>
            </w:rPr>
          </w:pPr>
          <w:bookmarkStart w:id="201" w:name="_Hlk532911057"/>
          <w:r>
            <w:rPr>
              <w:rFonts w:hint="eastAsia"/>
              <w:szCs w:val="21"/>
            </w:rPr>
            <w:t>其他说明：</w:t>
          </w:r>
        </w:p>
        <w:sdt>
          <w:sdtPr>
            <w:rPr>
              <w:szCs w:val="21"/>
            </w:rPr>
            <w:alias w:val="是否适用：长期应付款分类列示其他说明[双击切换]"/>
            <w:tag w:val="_GBC_e7daa7f55cea4e3d835be6ee6457b35d"/>
            <w:id w:val="162079765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bookmarkEnd w:id="201"/>
    <w:p>
      <w:pPr>
        <w:pStyle w:val="214"/>
        <w:ind w:left="360" w:hanging="360"/>
      </w:pPr>
      <w:r>
        <w:rPr>
          <w:rFonts w:hint="eastAsia"/>
        </w:rPr>
        <w:t>长期应付款</w:t>
      </w:r>
    </w:p>
    <w:sdt>
      <w:sdtPr>
        <w:rPr>
          <w:rFonts w:eastAsia="宋体" w:asciiTheme="minorHAnsi" w:hAnsiTheme="minorHAnsi" w:cstheme="minorBidi"/>
          <w:b w:val="0"/>
          <w:bCs w:val="0"/>
          <w:kern w:val="0"/>
          <w:szCs w:val="24"/>
        </w:rPr>
        <w:alias w:val="模块:按款项性质列示长期应付款"/>
        <w:tag w:val="_SEC_7376b335bb274b24970a93a74d17b7c6"/>
        <w:id w:val="-2040579543"/>
        <w:lock w:val="sdtLocked"/>
        <w:placeholder>
          <w:docPart w:val="GBC22222222222222222222222222222"/>
        </w:placeholder>
      </w:sdtPr>
      <w:sdtEndPr>
        <w:rPr>
          <w:rFonts w:ascii="宋体" w:hAnsi="宋体" w:eastAsia="宋体" w:cstheme="minorBidi"/>
          <w:b w:val="0"/>
          <w:bCs w:val="0"/>
          <w:kern w:val="0"/>
          <w:szCs w:val="21"/>
        </w:rPr>
      </w:sdtEndPr>
      <w:sdtContent>
        <w:p>
          <w:pPr>
            <w:pStyle w:val="214"/>
            <w:numPr>
              <w:ilvl w:val="0"/>
              <w:numId w:val="105"/>
            </w:numPr>
            <w:ind w:left="426" w:hanging="426"/>
          </w:pPr>
          <w:r>
            <w:rPr>
              <w:rFonts w:hint="eastAsia"/>
            </w:rPr>
            <w:t>按款项性质列示长期应付款</w:t>
          </w:r>
        </w:p>
        <w:sdt>
          <w:sdtPr>
            <w:alias w:val="是否适用：按款项性质列示长期应付款[双击切换]"/>
            <w:tag w:val="_GBC_6a4cca7cce5341018cd4836f32746cd9"/>
            <w:id w:val="-110264556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长期应付款"/>
              <w:tag w:val="_GBC_ddf7b9d28f164198ac6c2f6a82b47d41"/>
              <w:id w:val="-199470959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11311284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24"/>
            <w:gridCol w:w="2758"/>
            <w:gridCol w:w="2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07" w:hRule="atLeast"/>
            </w:trPr>
            <w:sdt>
              <w:sdtPr>
                <w:tag w:val="_PLD_80697eb0741143188d1783ddd81c2db2"/>
                <w:id w:val="-1265292992"/>
                <w:lock w:val="sdtLocked"/>
              </w:sdtPr>
              <w:sdtContent>
                <w:tc>
                  <w:tcPr>
                    <w:tcW w:w="1771" w:type="pct"/>
                    <w:shd w:val="clear" w:color="auto" w:fill="auto"/>
                    <w:vAlign w:val="center"/>
                  </w:tcPr>
                  <w:p>
                    <w:pPr>
                      <w:jc w:val="center"/>
                      <w:rPr>
                        <w:szCs w:val="21"/>
                      </w:rPr>
                    </w:pPr>
                    <w:r>
                      <w:rPr>
                        <w:rFonts w:hint="eastAsia"/>
                        <w:szCs w:val="21"/>
                      </w:rPr>
                      <w:t>项目</w:t>
                    </w:r>
                  </w:p>
                </w:tc>
              </w:sdtContent>
            </w:sdt>
            <w:sdt>
              <w:sdtPr>
                <w:tag w:val="_PLD_361897af892e4de98bc2cf056e2b512c"/>
                <w:id w:val="-1054382932"/>
                <w:lock w:val="sdtLocked"/>
              </w:sdtPr>
              <w:sdtContent>
                <w:tc>
                  <w:tcPr>
                    <w:tcW w:w="1615" w:type="pct"/>
                    <w:shd w:val="clear" w:color="auto" w:fill="auto"/>
                    <w:vAlign w:val="center"/>
                  </w:tcPr>
                  <w:p>
                    <w:pPr>
                      <w:jc w:val="center"/>
                      <w:rPr>
                        <w:szCs w:val="21"/>
                      </w:rPr>
                    </w:pPr>
                    <w:r>
                      <w:rPr>
                        <w:rFonts w:hint="eastAsia"/>
                        <w:szCs w:val="21"/>
                      </w:rPr>
                      <w:t>期初余额</w:t>
                    </w:r>
                  </w:p>
                </w:tc>
              </w:sdtContent>
            </w:sdt>
            <w:sdt>
              <w:sdtPr>
                <w:tag w:val="_PLD_b45e38f9b06048e18bf5d20429299b7b"/>
                <w:id w:val="2057889846"/>
                <w:lock w:val="sdtLocked"/>
              </w:sdtPr>
              <w:sdtContent>
                <w:tc>
                  <w:tcPr>
                    <w:tcW w:w="1614" w:type="pct"/>
                    <w:shd w:val="clear" w:color="auto" w:fill="auto"/>
                    <w:vAlign w:val="center"/>
                  </w:tcPr>
                  <w:p>
                    <w:pPr>
                      <w:jc w:val="center"/>
                      <w:rPr>
                        <w:szCs w:val="21"/>
                      </w:rPr>
                    </w:pPr>
                    <w:r>
                      <w:rPr>
                        <w:rFonts w:hint="eastAsia"/>
                        <w:szCs w:val="21"/>
                      </w:rPr>
                      <w:t>期末余额</w:t>
                    </w:r>
                  </w:p>
                </w:tc>
              </w:sdtContent>
            </w:sdt>
          </w:tr>
          <w:sdt>
            <w:sdtPr>
              <w:rPr>
                <w:szCs w:val="21"/>
              </w:rPr>
              <w:alias w:val="按款项性质列示长期应付款明细"/>
              <w:tag w:val="_TUP_582d211f6f954856bfeb99df9433b25f"/>
              <w:id w:val="-68390207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tcPr>
                  <w:p>
                    <w:pPr>
                      <w:jc w:val="center"/>
                      <w:rPr>
                        <w:szCs w:val="21"/>
                      </w:rPr>
                    </w:pPr>
                    <w:r>
                      <w:rPr>
                        <w:rFonts w:hint="eastAsia"/>
                        <w:szCs w:val="21"/>
                      </w:rPr>
                      <w:t>长期非金融机构借款</w:t>
                    </w:r>
                  </w:p>
                </w:tc>
                <w:tc>
                  <w:tcPr>
                    <w:tcW w:w="1615" w:type="pct"/>
                  </w:tcPr>
                  <w:p>
                    <w:pPr>
                      <w:tabs>
                        <w:tab w:val="left" w:pos="570"/>
                      </w:tabs>
                      <w:ind w:firstLine="840" w:firstLineChars="400"/>
                      <w:jc w:val="right"/>
                      <w:rPr>
                        <w:szCs w:val="21"/>
                      </w:rPr>
                    </w:pPr>
                    <w:r>
                      <w:rPr>
                        <w:szCs w:val="21"/>
                      </w:rPr>
                      <w:t>69,100.00</w:t>
                    </w:r>
                  </w:p>
                </w:tc>
                <w:tc>
                  <w:tcPr>
                    <w:tcW w:w="1614" w:type="pct"/>
                  </w:tcPr>
                  <w:p>
                    <w:pPr>
                      <w:jc w:val="right"/>
                      <w:rPr>
                        <w:szCs w:val="21"/>
                      </w:rPr>
                    </w:pPr>
                  </w:p>
                </w:tc>
              </w:tr>
            </w:sdtContent>
          </w:sdt>
          <w:sdt>
            <w:sdtPr>
              <w:rPr>
                <w:szCs w:val="21"/>
              </w:rPr>
              <w:alias w:val="按款项性质列示长期应付款明细"/>
              <w:tag w:val="_TUP_582d211f6f954856bfeb99df9433b25f"/>
              <w:id w:val="-88218161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tcPr>
                  <w:p>
                    <w:pPr>
                      <w:jc w:val="center"/>
                      <w:rPr>
                        <w:szCs w:val="21"/>
                      </w:rPr>
                    </w:pPr>
                    <w:r>
                      <w:rPr>
                        <w:rFonts w:hint="eastAsia"/>
                        <w:szCs w:val="21"/>
                      </w:rPr>
                      <w:t>减：一年内到期的长期应付款</w:t>
                    </w:r>
                  </w:p>
                </w:tc>
                <w:tc>
                  <w:tcPr>
                    <w:tcW w:w="1615" w:type="pct"/>
                  </w:tcPr>
                  <w:p>
                    <w:pPr>
                      <w:jc w:val="right"/>
                      <w:rPr>
                        <w:szCs w:val="21"/>
                      </w:rPr>
                    </w:pPr>
                    <w:r>
                      <w:rPr>
                        <w:szCs w:val="21"/>
                      </w:rPr>
                      <w:t>69,100.00</w:t>
                    </w:r>
                  </w:p>
                </w:tc>
                <w:tc>
                  <w:tcPr>
                    <w:tcW w:w="1614" w:type="pct"/>
                  </w:tcPr>
                  <w:p>
                    <w:pPr>
                      <w:jc w:val="right"/>
                      <w:rPr>
                        <w:szCs w:val="21"/>
                      </w:rPr>
                    </w:pPr>
                  </w:p>
                </w:tc>
              </w:tr>
            </w:sdtContent>
          </w:sdt>
          <w:sdt>
            <w:sdtPr>
              <w:rPr>
                <w:szCs w:val="21"/>
              </w:rPr>
              <w:alias w:val="按款项性质列示长期应付款明细"/>
              <w:tag w:val="_TUP_582d211f6f954856bfeb99df9433b25f"/>
              <w:id w:val="-5562815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186" w:hRule="atLeast"/>
                </w:trPr>
                <w:tc>
                  <w:tcPr>
                    <w:tcW w:w="1771" w:type="pct"/>
                  </w:tcPr>
                  <w:p>
                    <w:pPr>
                      <w:jc w:val="center"/>
                      <w:rPr>
                        <w:szCs w:val="21"/>
                      </w:rPr>
                    </w:pPr>
                    <w:r>
                      <w:rPr>
                        <w:rFonts w:hint="eastAsia"/>
                        <w:szCs w:val="21"/>
                      </w:rPr>
                      <w:t>合计</w:t>
                    </w:r>
                  </w:p>
                </w:tc>
                <w:tc>
                  <w:tcPr>
                    <w:tcW w:w="1615" w:type="pct"/>
                  </w:tcPr>
                  <w:p>
                    <w:pPr>
                      <w:jc w:val="right"/>
                      <w:rPr>
                        <w:szCs w:val="21"/>
                      </w:rPr>
                    </w:pPr>
                    <w:r>
                      <w:rPr>
                        <w:rFonts w:hint="eastAsia"/>
                        <w:szCs w:val="21"/>
                      </w:rPr>
                      <w:t>0.00</w:t>
                    </w:r>
                  </w:p>
                </w:tc>
                <w:tc>
                  <w:tcPr>
                    <w:tcW w:w="1614" w:type="pct"/>
                  </w:tcPr>
                  <w:p>
                    <w:pPr>
                      <w:jc w:val="right"/>
                      <w:rPr>
                        <w:szCs w:val="21"/>
                      </w:rPr>
                    </w:pPr>
                  </w:p>
                </w:tc>
              </w:tr>
            </w:sdtContent>
          </w:sdt>
        </w:tbl>
        <w:p>
          <w:pPr>
            <w:snapToGrid w:val="0"/>
            <w:spacing w:before="60" w:after="60" w:line="240" w:lineRule="atLeast"/>
            <w:rPr>
              <w:szCs w:val="21"/>
            </w:rPr>
          </w:pPr>
          <w:r>
            <w:rPr>
              <w:rFonts w:hint="eastAsia"/>
              <w:szCs w:val="21"/>
            </w:rPr>
            <w:t>其他说明：</w:t>
          </w:r>
        </w:p>
        <w:p>
          <w:pPr>
            <w:snapToGrid w:val="0"/>
            <w:spacing w:line="240" w:lineRule="atLeast"/>
            <w:rPr>
              <w:szCs w:val="21"/>
            </w:rPr>
          </w:pPr>
          <w:sdt>
            <w:sdtPr>
              <w:rPr>
                <w:szCs w:val="21"/>
              </w:rPr>
              <w:alias w:val="长期应付款的说明"/>
              <w:tag w:val="_GBC_1e1004e075cc4ec6b1e314219a582067"/>
              <w:id w:val="2070918469"/>
              <w:lock w:val="sdtLocked"/>
              <w:placeholder>
                <w:docPart w:val="GBC22222222222222222222222222222"/>
              </w:placeholder>
            </w:sdtPr>
            <w:sdtEndPr>
              <w:rPr>
                <w:szCs w:val="21"/>
              </w:rPr>
            </w:sdtEndPr>
            <w:sdtContent>
              <w:r>
                <w:rPr>
                  <w:rFonts w:hint="eastAsia"/>
                  <w:szCs w:val="21"/>
                </w:rPr>
                <w:t>无</w:t>
              </w:r>
            </w:sdtContent>
          </w:sdt>
        </w:p>
        <w:p>
          <w:pPr>
            <w:snapToGrid w:val="0"/>
            <w:spacing w:line="240" w:lineRule="atLeast"/>
            <w:rPr>
              <w:rFonts w:cstheme="minorBidi"/>
              <w:szCs w:val="21"/>
            </w:rPr>
          </w:pPr>
        </w:p>
      </w:sdtContent>
    </w:sdt>
    <w:sdt>
      <w:sdtPr>
        <w:rPr>
          <w:rFonts w:hint="eastAsia" w:ascii="宋体" w:hAnsi="宋体" w:eastAsia="宋体" w:cs="宋体"/>
          <w:b w:val="0"/>
          <w:bCs w:val="0"/>
          <w:kern w:val="0"/>
          <w:szCs w:val="24"/>
        </w:rPr>
        <w:alias w:val="模块:专项应付款"/>
        <w:tag w:val="_SEC_0a84e0b09fc64975bf9a126557085875"/>
        <w:id w:val="-1484768963"/>
        <w:lock w:val="sdtLocked"/>
        <w:placeholder>
          <w:docPart w:val="GBC22222222222222222222222222222"/>
        </w:placeholder>
      </w:sdtPr>
      <w:sdtEndPr>
        <w:rPr>
          <w:rFonts w:hint="default" w:ascii="宋体" w:hAnsi="宋体" w:eastAsia="宋体" w:cstheme="minorBidi"/>
          <w:b w:val="0"/>
          <w:bCs w:val="0"/>
          <w:color w:val="000000" w:themeColor="text1"/>
          <w:kern w:val="2"/>
          <w:szCs w:val="21"/>
        </w:rPr>
      </w:sdtEndPr>
      <w:sdtContent>
        <w:p>
          <w:pPr>
            <w:pStyle w:val="214"/>
            <w:ind w:left="360" w:hanging="360"/>
          </w:pPr>
          <w:r>
            <w:rPr>
              <w:rFonts w:hint="eastAsia"/>
            </w:rPr>
            <w:t>专项应付款</w:t>
          </w:r>
        </w:p>
        <w:p>
          <w:pPr>
            <w:pStyle w:val="214"/>
            <w:numPr>
              <w:ilvl w:val="0"/>
              <w:numId w:val="105"/>
            </w:numPr>
            <w:ind w:left="426" w:hanging="426"/>
          </w:pPr>
          <w:r>
            <w:rPr>
              <w:rFonts w:hint="eastAsia"/>
            </w:rPr>
            <w:t>按款项性质列示专项应付款</w:t>
          </w:r>
        </w:p>
        <w:sdt>
          <w:sdtPr>
            <w:alias w:val="是否适用：专项应付款[双击切换]"/>
            <w:tag w:val="_GBC_857ddecb5bce4a0f99e428cd2635aa03"/>
            <w:id w:val="-1851319221"/>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rPr>
              <w:szCs w:val="21"/>
            </w:rPr>
          </w:pPr>
        </w:p>
      </w:sdtContent>
    </w:sdt>
    <w:p>
      <w:pPr>
        <w:pStyle w:val="213"/>
        <w:numPr>
          <w:ilvl w:val="0"/>
          <w:numId w:val="77"/>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706685968"/>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hint="eastAsia" w:ascii="宋体" w:hAnsi="宋体" w:cs="宋体"/>
          <w:b w:val="0"/>
          <w:bCs w:val="0"/>
          <w:kern w:val="0"/>
          <w:szCs w:val="21"/>
        </w:rPr>
        <w:alias w:val="模块:预计负债"/>
        <w:tag w:val="_SEC_f21973cd15af4f4f8cba4c68d4e9e36f"/>
        <w:id w:val="509575724"/>
        <w:lock w:val="sdtLocked"/>
        <w:placeholder>
          <w:docPart w:val="GBC22222222222222222222222222222"/>
        </w:placeholder>
      </w:sdtPr>
      <w:sdtEndPr>
        <w:rPr>
          <w:rFonts w:hint="default" w:ascii="宋体" w:hAnsi="宋体" w:cstheme="minorBidi"/>
          <w:b w:val="0"/>
          <w:bCs w:val="0"/>
          <w:kern w:val="2"/>
          <w:szCs w:val="21"/>
        </w:rPr>
      </w:sdtEndPr>
      <w:sdtContent>
        <w:p>
          <w:pPr>
            <w:pStyle w:val="213"/>
            <w:numPr>
              <w:ilvl w:val="0"/>
              <w:numId w:val="77"/>
            </w:numPr>
            <w:tabs>
              <w:tab w:val="left" w:pos="504"/>
            </w:tabs>
            <w:rPr>
              <w:rFonts w:ascii="宋体" w:hAnsi="宋体"/>
              <w:szCs w:val="21"/>
            </w:rPr>
          </w:pPr>
          <w:bookmarkStart w:id="202" w:name="_Hlk533670325"/>
          <w:r>
            <w:rPr>
              <w:rFonts w:hint="eastAsia" w:ascii="宋体" w:hAnsi="宋体"/>
              <w:szCs w:val="21"/>
            </w:rPr>
            <w:t>预计负债</w:t>
          </w:r>
        </w:p>
        <w:sdt>
          <w:sdtPr>
            <w:alias w:val="是否适用：预计负债[双击切换]"/>
            <w:tag w:val="_GBC_d57ab9083835465c9b1fdeb5ed46b3ce"/>
            <w:id w:val="-134693311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预计负债"/>
              <w:tag w:val="_GBC_579154bdef014b44aba03cac00df126c"/>
              <w:id w:val="152088932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预计负债"/>
              <w:tag w:val="_GBC_1129ab1db6684ceb91f0593c32b5d268"/>
              <w:id w:val="-1102814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2134"/>
            <w:gridCol w:w="1807"/>
            <w:gridCol w:w="1984"/>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fddd1066e934e598ead7a6e38343c21"/>
                <w:id w:val="-1559389715"/>
                <w:lock w:val="sdtLocked"/>
              </w:sdtPr>
              <w:sdtContent>
                <w:tc>
                  <w:tcPr>
                    <w:tcW w:w="1250" w:type="pct"/>
                    <w:vAlign w:val="center"/>
                  </w:tcPr>
                  <w:p>
                    <w:pPr>
                      <w:ind w:right="105"/>
                      <w:jc w:val="center"/>
                      <w:rPr>
                        <w:szCs w:val="21"/>
                      </w:rPr>
                    </w:pPr>
                    <w:r>
                      <w:rPr>
                        <w:rFonts w:hint="eastAsia"/>
                        <w:szCs w:val="21"/>
                      </w:rPr>
                      <w:t>项目</w:t>
                    </w:r>
                  </w:p>
                </w:tc>
              </w:sdtContent>
            </w:sdt>
            <w:sdt>
              <w:sdtPr>
                <w:tag w:val="_PLD_d493e26e1fb643299cea253bb9f43ca1"/>
                <w:id w:val="2024582586"/>
                <w:lock w:val="sdtLocked"/>
              </w:sdtPr>
              <w:sdtContent>
                <w:tc>
                  <w:tcPr>
                    <w:tcW w:w="1058" w:type="pct"/>
                  </w:tcPr>
                  <w:p>
                    <w:pPr>
                      <w:jc w:val="center"/>
                      <w:rPr>
                        <w:szCs w:val="21"/>
                      </w:rPr>
                    </w:pPr>
                    <w:r>
                      <w:rPr>
                        <w:rFonts w:hint="eastAsia"/>
                        <w:szCs w:val="21"/>
                      </w:rPr>
                      <w:t>期初余额</w:t>
                    </w:r>
                  </w:p>
                </w:tc>
              </w:sdtContent>
            </w:sdt>
            <w:sdt>
              <w:sdtPr>
                <w:tag w:val="_PLD_34e5a75912204ec1a95f806f18cf2748"/>
                <w:id w:val="483051984"/>
                <w:lock w:val="sdtLocked"/>
              </w:sdtPr>
              <w:sdtContent>
                <w:tc>
                  <w:tcPr>
                    <w:tcW w:w="1162" w:type="pct"/>
                  </w:tcPr>
                  <w:p>
                    <w:pPr>
                      <w:jc w:val="center"/>
                      <w:rPr>
                        <w:szCs w:val="21"/>
                      </w:rPr>
                    </w:pPr>
                    <w:r>
                      <w:rPr>
                        <w:rFonts w:hint="eastAsia"/>
                        <w:szCs w:val="21"/>
                      </w:rPr>
                      <w:t>期末余额</w:t>
                    </w:r>
                  </w:p>
                </w:tc>
              </w:sdtContent>
            </w:sdt>
            <w:sdt>
              <w:sdtPr>
                <w:tag w:val="_PLD_4ab9627b71924167a2397cf4a5d9e546"/>
                <w:id w:val="-1877155561"/>
                <w:lock w:val="sdtLocked"/>
              </w:sdtPr>
              <w:sdtContent>
                <w:tc>
                  <w:tcPr>
                    <w:tcW w:w="1530" w:type="pct"/>
                  </w:tcPr>
                  <w:p>
                    <w:pPr>
                      <w:jc w:val="center"/>
                      <w:rPr>
                        <w:szCs w:val="21"/>
                      </w:rPr>
                    </w:pPr>
                    <w:r>
                      <w:rPr>
                        <w:rFonts w:hint="eastAsia"/>
                        <w:szCs w:val="21"/>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c19aecee80644eed840157430add7722"/>
                <w:id w:val="-1576659468"/>
                <w:lock w:val="sdtLocked"/>
              </w:sdtPr>
              <w:sdtContent>
                <w:tc>
                  <w:tcPr>
                    <w:tcW w:w="1250" w:type="pct"/>
                    <w:shd w:val="clear" w:color="auto" w:fill="auto"/>
                    <w:vAlign w:val="center"/>
                  </w:tcPr>
                  <w:p>
                    <w:pPr>
                      <w:ind w:right="105"/>
                      <w:jc w:val="center"/>
                      <w:rPr>
                        <w:szCs w:val="21"/>
                      </w:rPr>
                    </w:pPr>
                    <w:r>
                      <w:rPr>
                        <w:rFonts w:hint="eastAsia"/>
                        <w:szCs w:val="21"/>
                      </w:rPr>
                      <w:t>产品质量保证</w:t>
                    </w:r>
                  </w:p>
                </w:tc>
              </w:sdtContent>
            </w:sdt>
            <w:tc>
              <w:tcPr>
                <w:tcW w:w="1058" w:type="pct"/>
              </w:tcPr>
              <w:p>
                <w:pPr>
                  <w:jc w:val="right"/>
                  <w:rPr>
                    <w:szCs w:val="21"/>
                  </w:rPr>
                </w:pPr>
                <w:r>
                  <w:rPr>
                    <w:szCs w:val="21"/>
                  </w:rPr>
                  <w:t>65,442,278.46</w:t>
                </w:r>
              </w:p>
            </w:tc>
            <w:tc>
              <w:tcPr>
                <w:tcW w:w="1162" w:type="pct"/>
              </w:tcPr>
              <w:p>
                <w:pPr>
                  <w:jc w:val="right"/>
                  <w:rPr>
                    <w:szCs w:val="21"/>
                  </w:rPr>
                </w:pPr>
                <w:r>
                  <w:rPr>
                    <w:szCs w:val="21"/>
                  </w:rPr>
                  <w:t>56,198,188.62</w:t>
                </w:r>
              </w:p>
            </w:tc>
            <w:tc>
              <w:tcPr>
                <w:tcW w:w="1530" w:type="pct"/>
              </w:tcPr>
              <w:p>
                <w:r>
                  <w:rPr>
                    <w:rFonts w:hint="eastAsia"/>
                  </w:rPr>
                  <w:t>已售汽车计提的三包费用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c7eb23002d74f418b47416ce8ef8a24"/>
                <w:id w:val="-2075658495"/>
                <w:lock w:val="sdtLocked"/>
              </w:sdtPr>
              <w:sdtContent>
                <w:tc>
                  <w:tcPr>
                    <w:tcW w:w="1250" w:type="pct"/>
                    <w:shd w:val="clear" w:color="auto" w:fill="auto"/>
                    <w:vAlign w:val="center"/>
                  </w:tcPr>
                  <w:p>
                    <w:pPr>
                      <w:ind w:right="105"/>
                      <w:jc w:val="center"/>
                      <w:rPr>
                        <w:szCs w:val="21"/>
                      </w:rPr>
                    </w:pPr>
                    <w:r>
                      <w:rPr>
                        <w:rFonts w:hint="eastAsia"/>
                        <w:szCs w:val="21"/>
                      </w:rPr>
                      <w:t>其他</w:t>
                    </w:r>
                  </w:p>
                </w:tc>
              </w:sdtContent>
            </w:sdt>
            <w:tc>
              <w:tcPr>
                <w:tcW w:w="1058" w:type="pct"/>
              </w:tcPr>
              <w:p>
                <w:pPr>
                  <w:jc w:val="right"/>
                  <w:rPr>
                    <w:szCs w:val="21"/>
                  </w:rPr>
                </w:pPr>
                <w:r>
                  <w:rPr>
                    <w:szCs w:val="21"/>
                  </w:rPr>
                  <w:t>438,555.00</w:t>
                </w:r>
              </w:p>
            </w:tc>
            <w:tc>
              <w:tcPr>
                <w:tcW w:w="1162" w:type="pct"/>
              </w:tcPr>
              <w:p>
                <w:pPr>
                  <w:jc w:val="right"/>
                  <w:rPr>
                    <w:szCs w:val="21"/>
                  </w:rPr>
                </w:pPr>
                <w:r>
                  <w:rPr>
                    <w:szCs w:val="21"/>
                  </w:rPr>
                  <w:t>751,140.47</w:t>
                </w:r>
              </w:p>
            </w:tc>
            <w:tc>
              <w:tcPr>
                <w:tcW w:w="1530" w:type="pct"/>
              </w:tcPr>
              <w:p>
                <w:pPr>
                  <w:ind w:right="73"/>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f8dc932639ca40cab9c8c85a9648896f"/>
                <w:id w:val="1507245572"/>
                <w:lock w:val="sdtLocked"/>
              </w:sdtPr>
              <w:sdtContent>
                <w:tc>
                  <w:tcPr>
                    <w:tcW w:w="1250" w:type="pct"/>
                    <w:vAlign w:val="center"/>
                  </w:tcPr>
                  <w:p>
                    <w:pPr>
                      <w:ind w:right="105"/>
                      <w:jc w:val="center"/>
                      <w:rPr>
                        <w:szCs w:val="21"/>
                      </w:rPr>
                    </w:pPr>
                    <w:r>
                      <w:rPr>
                        <w:rFonts w:hint="eastAsia"/>
                        <w:szCs w:val="21"/>
                      </w:rPr>
                      <w:t>合计</w:t>
                    </w:r>
                  </w:p>
                </w:tc>
              </w:sdtContent>
            </w:sdt>
            <w:tc>
              <w:tcPr>
                <w:tcW w:w="1058" w:type="pct"/>
              </w:tcPr>
              <w:p>
                <w:pPr>
                  <w:jc w:val="right"/>
                  <w:rPr>
                    <w:szCs w:val="21"/>
                  </w:rPr>
                </w:pPr>
                <w:r>
                  <w:rPr>
                    <w:szCs w:val="21"/>
                  </w:rPr>
                  <w:t>65,880,833.46</w:t>
                </w:r>
              </w:p>
            </w:tc>
            <w:tc>
              <w:tcPr>
                <w:tcW w:w="1162" w:type="pct"/>
                <w:vAlign w:val="center"/>
              </w:tcPr>
              <w:p>
                <w:pPr>
                  <w:jc w:val="right"/>
                  <w:rPr>
                    <w:szCs w:val="21"/>
                  </w:rPr>
                </w:pPr>
                <w:r>
                  <w:rPr>
                    <w:szCs w:val="21"/>
                  </w:rPr>
                  <w:t>56,949,329.09</w:t>
                </w:r>
              </w:p>
            </w:tc>
            <w:tc>
              <w:tcPr>
                <w:tcW w:w="1530" w:type="pct"/>
              </w:tcPr>
              <w:p>
                <w:pPr>
                  <w:jc w:val="center"/>
                  <w:rPr>
                    <w:color w:val="000000" w:themeColor="text1"/>
                    <w:szCs w:val="21"/>
                  </w:rPr>
                </w:pPr>
              </w:p>
            </w:tc>
          </w:tr>
        </w:tbl>
        <w:p>
          <w:pPr>
            <w:snapToGrid w:val="0"/>
            <w:spacing w:before="60" w:after="60"/>
            <w:rPr>
              <w:szCs w:val="21"/>
            </w:rPr>
          </w:pPr>
          <w:r>
            <w:rPr>
              <w:rFonts w:hint="eastAsia"/>
              <w:szCs w:val="21"/>
            </w:rPr>
            <w:t>其他说明，包括重要预计负债的相关重要假设、估计说明：</w:t>
          </w:r>
        </w:p>
        <w:sdt>
          <w:sdtPr>
            <w:rPr>
              <w:szCs w:val="21"/>
            </w:rPr>
            <w:alias w:val="预计负债的说明"/>
            <w:tag w:val="_GBC_6e5c9571d9134db08ab20372e7d011c7"/>
            <w:id w:val="316307304"/>
            <w:lock w:val="sdtLocked"/>
            <w:placeholder>
              <w:docPart w:val="GBC22222222222222222222222222222"/>
            </w:placeholder>
          </w:sdtPr>
          <w:sdtEndPr>
            <w:rPr>
              <w:szCs w:val="21"/>
            </w:rPr>
          </w:sdtEndPr>
          <w:sdtContent>
            <w:p>
              <w:pPr>
                <w:autoSpaceDE w:val="0"/>
                <w:autoSpaceDN w:val="0"/>
                <w:adjustRightInd w:val="0"/>
                <w:rPr>
                  <w:szCs w:val="21"/>
                </w:rPr>
              </w:pPr>
              <w:r>
                <w:rPr>
                  <w:rFonts w:hint="eastAsia"/>
                  <w:szCs w:val="21"/>
                </w:rPr>
                <w:t>无</w:t>
              </w:r>
            </w:p>
          </w:sdtContent>
        </w:sdt>
      </w:sdtContent>
    </w:sdt>
    <w:bookmarkEnd w:id="202"/>
    <w:p>
      <w:pPr>
        <w:rPr>
          <w:szCs w:val="21"/>
        </w:rPr>
      </w:pPr>
    </w:p>
    <w:p>
      <w:pPr>
        <w:pStyle w:val="213"/>
        <w:numPr>
          <w:ilvl w:val="0"/>
          <w:numId w:val="77"/>
        </w:numPr>
        <w:tabs>
          <w:tab w:val="left" w:pos="504"/>
        </w:tabs>
        <w:rPr>
          <w:rFonts w:ascii="宋体" w:hAnsi="宋体"/>
          <w:szCs w:val="21"/>
        </w:rPr>
      </w:pPr>
      <w:r>
        <w:rPr>
          <w:rFonts w:hint="eastAsia" w:ascii="宋体" w:hAnsi="宋体"/>
          <w:szCs w:val="21"/>
        </w:rPr>
        <w:t>递延收益</w:t>
      </w:r>
    </w:p>
    <w:sdt>
      <w:sdtPr>
        <w:rPr>
          <w:rFonts w:hint="eastAsia" w:ascii="宋体" w:hAnsi="宋体" w:cs="宋体"/>
          <w:kern w:val="0"/>
          <w:szCs w:val="21"/>
        </w:rPr>
        <w:alias w:val="模块:递延收益"/>
        <w:tag w:val="_SEC_77e89ee1eab949ef9b025afd8f005609"/>
        <w:id w:val="-51393801"/>
        <w:lock w:val="sdtLocked"/>
        <w:placeholder>
          <w:docPart w:val="GBC22222222222222222222222222222"/>
        </w:placeholder>
      </w:sdtPr>
      <w:sdtEndPr>
        <w:rPr>
          <w:rFonts w:hint="default" w:ascii="宋体" w:hAnsi="宋体" w:cs="宋体"/>
          <w:kern w:val="0"/>
          <w:szCs w:val="24"/>
        </w:rPr>
      </w:sdtEndPr>
      <w:sdtContent>
        <w:p>
          <w:pPr>
            <w:pStyle w:val="224"/>
            <w:ind w:firstLine="0" w:firstLineChars="0"/>
            <w:jc w:val="left"/>
            <w:rPr>
              <w:rFonts w:ascii="宋体" w:hAnsi="宋体" w:cs="宋体"/>
              <w:kern w:val="0"/>
              <w:szCs w:val="21"/>
            </w:rPr>
          </w:pPr>
          <w:r>
            <w:rPr>
              <w:rFonts w:hint="eastAsia" w:ascii="宋体" w:hAnsi="宋体" w:cs="宋体"/>
              <w:kern w:val="0"/>
              <w:szCs w:val="21"/>
            </w:rPr>
            <w:t>递延收益情况</w:t>
          </w:r>
        </w:p>
        <w:sdt>
          <w:sdtPr>
            <w:rPr>
              <w:rFonts w:hint="eastAsia" w:ascii="宋体" w:hAnsi="宋体" w:cs="宋体"/>
              <w:kern w:val="0"/>
              <w:szCs w:val="21"/>
            </w:rPr>
            <w:alias w:val="是否适用：递延收益情况 [双击切换]"/>
            <w:tag w:val="_GBC_1dc89c2a3092474186405d574af5f0a9"/>
            <w:id w:val="583719840"/>
            <w:lock w:val="sdtLocked"/>
            <w:placeholder>
              <w:docPart w:val="GBC22222222222222222222222222222"/>
            </w:placeholder>
          </w:sdtPr>
          <w:sdtEndPr>
            <w:rPr>
              <w:rFonts w:hint="eastAsia" w:ascii="宋体" w:hAnsi="宋体" w:cs="宋体"/>
              <w:kern w:val="0"/>
              <w:szCs w:val="21"/>
            </w:rPr>
          </w:sdtEndPr>
          <w:sdtContent>
            <w:p>
              <w:pPr>
                <w:pStyle w:val="224"/>
                <w:ind w:firstLine="0" w:firstLineChars="0"/>
                <w:jc w:val="left"/>
                <w:rPr>
                  <w:rFonts w:ascii="宋体" w:hAnsi="宋体" w:cs="宋体"/>
                  <w:kern w:val="0"/>
                  <w:szCs w:val="21"/>
                </w:rPr>
              </w:pPr>
              <w:r>
                <w:rPr>
                  <w:rFonts w:ascii="宋体" w:hAnsi="宋体" w:cs="宋体"/>
                  <w:kern w:val="0"/>
                  <w:szCs w:val="21"/>
                </w:rPr>
                <w:fldChar w:fldCharType="begin"/>
              </w:r>
              <w:r>
                <w:rPr>
                  <w:rFonts w:ascii="宋体" w:hAnsi="宋体" w:cs="宋体"/>
                  <w:kern w:val="0"/>
                  <w:szCs w:val="21"/>
                </w:rPr>
                <w:instrText xml:space="preserve"> MACROBUTTON  SnrToggleCheckbox √适用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pPr>
            <w:pStyle w:val="22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递延收益"/>
              <w:tag w:val="_GBC_302facde74424f4893f0a42db0d6e1ba"/>
              <w:id w:val="-2530575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递延收益"/>
              <w:tag w:val="_GBC_99380f3ab3514d54aa39945566772fb3"/>
              <w:id w:val="8228529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53"/>
            <w:gridCol w:w="1486"/>
            <w:gridCol w:w="1310"/>
            <w:gridCol w:w="1486"/>
            <w:gridCol w:w="148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35" w:hRule="atLeast"/>
            </w:trPr>
            <w:sdt>
              <w:sdtPr>
                <w:tag w:val="_PLD_06c0ddfa4a2746ca8f12eddff124e05c"/>
                <w:id w:val="691889393"/>
                <w:lock w:val="sdtLocked"/>
              </w:sdtPr>
              <w:sdtContent>
                <w:tc>
                  <w:tcPr>
                    <w:tcW w:w="839" w:type="pct"/>
                    <w:shd w:val="clear" w:color="auto" w:fill="auto"/>
                    <w:vAlign w:val="center"/>
                  </w:tcPr>
                  <w:p>
                    <w:pPr>
                      <w:jc w:val="center"/>
                      <w:rPr>
                        <w:szCs w:val="21"/>
                      </w:rPr>
                    </w:pPr>
                    <w:r>
                      <w:rPr>
                        <w:rFonts w:hint="eastAsia"/>
                        <w:szCs w:val="21"/>
                      </w:rPr>
                      <w:t>项目</w:t>
                    </w:r>
                  </w:p>
                </w:tc>
              </w:sdtContent>
            </w:sdt>
            <w:sdt>
              <w:sdtPr>
                <w:tag w:val="_PLD_4c41187d18a94eb4908c030c31b5a141"/>
                <w:id w:val="-1213958462"/>
                <w:lock w:val="sdtLocked"/>
              </w:sdtPr>
              <w:sdtContent>
                <w:tc>
                  <w:tcPr>
                    <w:tcW w:w="820" w:type="pct"/>
                    <w:shd w:val="clear" w:color="auto" w:fill="auto"/>
                    <w:vAlign w:val="center"/>
                  </w:tcPr>
                  <w:p>
                    <w:pPr>
                      <w:jc w:val="center"/>
                      <w:rPr>
                        <w:szCs w:val="21"/>
                      </w:rPr>
                    </w:pPr>
                    <w:r>
                      <w:rPr>
                        <w:rFonts w:hint="eastAsia"/>
                        <w:szCs w:val="21"/>
                      </w:rPr>
                      <w:t>期初余额</w:t>
                    </w:r>
                  </w:p>
                </w:tc>
              </w:sdtContent>
            </w:sdt>
            <w:sdt>
              <w:sdtPr>
                <w:tag w:val="_PLD_7823db68b61845e58a185dffbbfd2804"/>
                <w:id w:val="952207739"/>
                <w:lock w:val="sdtLocked"/>
              </w:sdtPr>
              <w:sdtContent>
                <w:tc>
                  <w:tcPr>
                    <w:tcW w:w="814" w:type="pct"/>
                    <w:shd w:val="clear" w:color="auto" w:fill="auto"/>
                    <w:vAlign w:val="center"/>
                  </w:tcPr>
                  <w:p>
                    <w:pPr>
                      <w:jc w:val="center"/>
                      <w:rPr>
                        <w:szCs w:val="21"/>
                      </w:rPr>
                    </w:pPr>
                    <w:r>
                      <w:rPr>
                        <w:rFonts w:hint="eastAsia"/>
                        <w:szCs w:val="21"/>
                      </w:rPr>
                      <w:t>本期增加</w:t>
                    </w:r>
                  </w:p>
                </w:tc>
              </w:sdtContent>
            </w:sdt>
            <w:sdt>
              <w:sdtPr>
                <w:tag w:val="_PLD_53b43bfd28984007852c2e00c870c71e"/>
                <w:id w:val="-1887790275"/>
                <w:lock w:val="sdtLocked"/>
              </w:sdtPr>
              <w:sdtContent>
                <w:tc>
                  <w:tcPr>
                    <w:tcW w:w="820" w:type="pct"/>
                    <w:shd w:val="clear" w:color="auto" w:fill="auto"/>
                    <w:vAlign w:val="center"/>
                  </w:tcPr>
                  <w:p>
                    <w:pPr>
                      <w:jc w:val="center"/>
                      <w:rPr>
                        <w:szCs w:val="21"/>
                      </w:rPr>
                    </w:pPr>
                    <w:r>
                      <w:rPr>
                        <w:rFonts w:hint="eastAsia"/>
                        <w:szCs w:val="21"/>
                      </w:rPr>
                      <w:t>本期减少</w:t>
                    </w:r>
                  </w:p>
                </w:tc>
              </w:sdtContent>
            </w:sdt>
            <w:sdt>
              <w:sdtPr>
                <w:tag w:val="_PLD_f07e96209c8b4d728b2a1b24ad38bcf7"/>
                <w:id w:val="-673026942"/>
                <w:lock w:val="sdtLocked"/>
              </w:sdtPr>
              <w:sdtContent>
                <w:tc>
                  <w:tcPr>
                    <w:tcW w:w="830" w:type="pct"/>
                    <w:shd w:val="clear" w:color="auto" w:fill="auto"/>
                    <w:vAlign w:val="center"/>
                  </w:tcPr>
                  <w:p>
                    <w:pPr>
                      <w:jc w:val="center"/>
                      <w:rPr>
                        <w:szCs w:val="21"/>
                      </w:rPr>
                    </w:pPr>
                    <w:r>
                      <w:rPr>
                        <w:rFonts w:hint="eastAsia"/>
                        <w:szCs w:val="21"/>
                      </w:rPr>
                      <w:t>期末余额</w:t>
                    </w:r>
                  </w:p>
                </w:tc>
              </w:sdtContent>
            </w:sdt>
            <w:sdt>
              <w:sdtPr>
                <w:tag w:val="_PLD_86dc51c05b1340c5968feded0e64c1f1"/>
                <w:id w:val="467704508"/>
                <w:lock w:val="sdtLocked"/>
              </w:sdtPr>
              <w:sdtContent>
                <w:tc>
                  <w:tcPr>
                    <w:tcW w:w="876" w:type="pct"/>
                    <w:shd w:val="clear" w:color="auto" w:fill="auto"/>
                    <w:vAlign w:val="center"/>
                  </w:tcPr>
                  <w:p>
                    <w:pPr>
                      <w:jc w:val="center"/>
                      <w:rPr>
                        <w:szCs w:val="21"/>
                      </w:rPr>
                    </w:pPr>
                    <w:r>
                      <w:rPr>
                        <w:rFonts w:hint="eastAsia"/>
                        <w:szCs w:val="21"/>
                      </w:rPr>
                      <w:t>形成原因</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dc45c68aab84586a2df4b6838458b87"/>
                <w:id w:val="2107076952"/>
                <w:lock w:val="sdtLocked"/>
              </w:sdtPr>
              <w:sdtContent>
                <w:tc>
                  <w:tcPr>
                    <w:tcW w:w="839" w:type="pct"/>
                    <w:shd w:val="clear" w:color="auto" w:fill="auto"/>
                    <w:vAlign w:val="center"/>
                  </w:tcPr>
                  <w:p>
                    <w:pPr>
                      <w:jc w:val="center"/>
                      <w:rPr>
                        <w:szCs w:val="21"/>
                      </w:rPr>
                    </w:pPr>
                    <w:r>
                      <w:rPr>
                        <w:rFonts w:hint="eastAsia"/>
                        <w:szCs w:val="21"/>
                      </w:rPr>
                      <w:t>政府补助</w:t>
                    </w:r>
                  </w:p>
                </w:tc>
              </w:sdtContent>
            </w:sdt>
            <w:tc>
              <w:tcPr>
                <w:tcW w:w="820" w:type="pct"/>
                <w:shd w:val="clear" w:color="auto" w:fill="auto"/>
                <w:vAlign w:val="center"/>
              </w:tcPr>
              <w:p>
                <w:pPr>
                  <w:rPr>
                    <w:sz w:val="24"/>
                  </w:rPr>
                </w:pPr>
                <w:r>
                  <w:t>3,515,990.78</w:t>
                </w:r>
              </w:p>
            </w:tc>
            <w:tc>
              <w:tcPr>
                <w:tcW w:w="814" w:type="pct"/>
                <w:shd w:val="clear" w:color="auto" w:fill="auto"/>
                <w:vAlign w:val="center"/>
              </w:tcPr>
              <w:p>
                <w:pPr>
                  <w:rPr>
                    <w:sz w:val="24"/>
                  </w:rPr>
                </w:pPr>
              </w:p>
            </w:tc>
            <w:tc>
              <w:tcPr>
                <w:tcW w:w="820" w:type="pct"/>
                <w:shd w:val="clear" w:color="auto" w:fill="auto"/>
                <w:vAlign w:val="center"/>
              </w:tcPr>
              <w:p>
                <w:pPr>
                  <w:rPr>
                    <w:sz w:val="24"/>
                  </w:rPr>
                </w:pPr>
                <w:r>
                  <w:t>1,309,324.16</w:t>
                </w:r>
              </w:p>
            </w:tc>
            <w:tc>
              <w:tcPr>
                <w:tcW w:w="830" w:type="pct"/>
                <w:shd w:val="clear" w:color="auto" w:fill="auto"/>
                <w:vAlign w:val="center"/>
              </w:tcPr>
              <w:p>
                <w:pPr>
                  <w:rPr>
                    <w:sz w:val="24"/>
                  </w:rPr>
                </w:pPr>
                <w:r>
                  <w:t>2,206,666.62</w:t>
                </w:r>
              </w:p>
            </w:tc>
            <w:tc>
              <w:tcPr>
                <w:tcW w:w="876" w:type="pct"/>
                <w:shd w:val="clear" w:color="auto" w:fill="auto"/>
              </w:tcPr>
              <w:p>
                <w:pPr>
                  <w:jc w:val="center"/>
                </w:pPr>
                <w:r>
                  <w:t>详见</w:t>
                </w:r>
                <w:r>
                  <w:rPr>
                    <w:rFonts w:hint="eastAsia"/>
                  </w:rPr>
                  <w:t>下</w:t>
                </w:r>
                <w:r>
                  <w:t>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e092bfcbb914e4ea850ab4195c0f4b9"/>
                <w:id w:val="-1796056937"/>
                <w:lock w:val="sdtLocked"/>
              </w:sdtPr>
              <w:sdtContent>
                <w:tc>
                  <w:tcPr>
                    <w:tcW w:w="839" w:type="pct"/>
                    <w:shd w:val="clear" w:color="auto" w:fill="auto"/>
                    <w:vAlign w:val="center"/>
                  </w:tcPr>
                  <w:p>
                    <w:pPr>
                      <w:jc w:val="center"/>
                      <w:rPr>
                        <w:szCs w:val="21"/>
                      </w:rPr>
                    </w:pPr>
                    <w:r>
                      <w:rPr>
                        <w:rFonts w:hint="eastAsia"/>
                        <w:szCs w:val="21"/>
                      </w:rPr>
                      <w:t>合计</w:t>
                    </w:r>
                  </w:p>
                </w:tc>
              </w:sdtContent>
            </w:sdt>
            <w:tc>
              <w:tcPr>
                <w:tcW w:w="820" w:type="pct"/>
                <w:shd w:val="clear" w:color="auto" w:fill="auto"/>
                <w:vAlign w:val="center"/>
              </w:tcPr>
              <w:p>
                <w:pPr>
                  <w:rPr>
                    <w:sz w:val="24"/>
                  </w:rPr>
                </w:pPr>
                <w:r>
                  <w:t>3,515,990.78</w:t>
                </w:r>
              </w:p>
            </w:tc>
            <w:tc>
              <w:tcPr>
                <w:tcW w:w="814" w:type="pct"/>
                <w:shd w:val="clear" w:color="auto" w:fill="auto"/>
                <w:vAlign w:val="center"/>
              </w:tcPr>
              <w:p>
                <w:pPr>
                  <w:rPr>
                    <w:sz w:val="24"/>
                  </w:rPr>
                </w:pPr>
              </w:p>
            </w:tc>
            <w:tc>
              <w:tcPr>
                <w:tcW w:w="820" w:type="pct"/>
                <w:shd w:val="clear" w:color="auto" w:fill="auto"/>
                <w:vAlign w:val="center"/>
              </w:tcPr>
              <w:p>
                <w:pPr>
                  <w:rPr>
                    <w:sz w:val="24"/>
                  </w:rPr>
                </w:pPr>
                <w:r>
                  <w:t>1,309,324.16</w:t>
                </w:r>
              </w:p>
            </w:tc>
            <w:tc>
              <w:tcPr>
                <w:tcW w:w="830" w:type="pct"/>
                <w:shd w:val="clear" w:color="auto" w:fill="auto"/>
                <w:vAlign w:val="center"/>
              </w:tcPr>
              <w:p>
                <w:pPr>
                  <w:rPr>
                    <w:sz w:val="24"/>
                  </w:rPr>
                </w:pPr>
                <w:r>
                  <w:t>2,206,666.62</w:t>
                </w:r>
              </w:p>
            </w:tc>
            <w:tc>
              <w:tcPr>
                <w:tcW w:w="876" w:type="pct"/>
                <w:shd w:val="clear" w:color="auto" w:fill="auto"/>
              </w:tcPr>
              <w:p>
                <w:pPr>
                  <w:jc w:val="center"/>
                  <w:rPr>
                    <w:szCs w:val="21"/>
                  </w:rPr>
                </w:pPr>
              </w:p>
            </w:tc>
          </w:tr>
        </w:tbl>
        <w:p/>
      </w:sdtContent>
    </w:sdt>
    <w:sdt>
      <w:sdtPr>
        <w:rPr>
          <w:rFonts w:hint="eastAsia"/>
          <w:szCs w:val="21"/>
        </w:rPr>
        <w:alias w:val="模块:涉及政府补助的负债项目"/>
        <w:tag w:val="_SEC_8d3befcc5cef4618a8781744946ac9ad"/>
        <w:id w:val="1530612936"/>
        <w:lock w:val="sdtLocked"/>
        <w:placeholder>
          <w:docPart w:val="GBC22222222222222222222222222222"/>
        </w:placeholder>
      </w:sdtPr>
      <w:sdtEndPr>
        <w:rPr>
          <w:rFonts w:hint="default"/>
          <w:szCs w:val="24"/>
        </w:rPr>
      </w:sdtEndPr>
      <w:sdtContent>
        <w:p>
          <w:pPr>
            <w:spacing w:before="60" w:after="60"/>
            <w:rPr>
              <w:szCs w:val="21"/>
            </w:rPr>
          </w:pPr>
          <w:bookmarkStart w:id="203" w:name="_Hlk532902569"/>
          <w:r>
            <w:rPr>
              <w:rFonts w:hint="eastAsia"/>
              <w:szCs w:val="21"/>
            </w:rPr>
            <w:t>涉及政府补助的项目：</w:t>
          </w:r>
        </w:p>
        <w:sdt>
          <w:sdtPr>
            <w:rPr>
              <w:szCs w:val="21"/>
            </w:rPr>
            <w:alias w:val="是否适用：涉及政府补助的项目_递延收益[双击切换]"/>
            <w:tag w:val="_GBC_feac278b5163472d8d82d1371d429354"/>
            <w:id w:val="-882861700"/>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916457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29706792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4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40"/>
            <w:gridCol w:w="1488"/>
            <w:gridCol w:w="719"/>
            <w:gridCol w:w="816"/>
            <w:gridCol w:w="1486"/>
            <w:gridCol w:w="631"/>
            <w:gridCol w:w="1486"/>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sdt>
              <w:sdtPr>
                <w:tag w:val="_PLD_32eff034d92d4cfdac78650437120e87"/>
                <w:id w:val="-1656370111"/>
                <w:lock w:val="sdtLocked"/>
              </w:sdtPr>
              <w:sdtContent>
                <w:tc>
                  <w:tcPr>
                    <w:tcW w:w="716" w:type="pct"/>
                    <w:tcBorders>
                      <w:top w:val="single" w:color="auto" w:sz="4" w:space="0"/>
                      <w:left w:val="single" w:color="auto" w:sz="4" w:space="0"/>
                      <w:bottom w:val="single" w:color="auto" w:sz="4" w:space="0"/>
                      <w:right w:val="single" w:color="auto" w:sz="4" w:space="0"/>
                    </w:tcBorders>
                    <w:vAlign w:val="center"/>
                  </w:tcPr>
                  <w:p>
                    <w:pPr>
                      <w:jc w:val="center"/>
                      <w:rPr>
                        <w:szCs w:val="21"/>
                      </w:rPr>
                    </w:pPr>
                    <w:bookmarkStart w:id="204" w:name="_Hlk532902543"/>
                    <w:r>
                      <w:rPr>
                        <w:szCs w:val="21"/>
                      </w:rPr>
                      <w:t>负债项目</w:t>
                    </w:r>
                  </w:p>
                </w:tc>
              </w:sdtContent>
            </w:sdt>
            <w:sdt>
              <w:sdtPr>
                <w:tag w:val="_PLD_6b8b04d30cad4566aa98e48a212cd018"/>
                <w:id w:val="1365863977"/>
                <w:lock w:val="sdtLocked"/>
              </w:sdtPr>
              <w:sdtContent>
                <w:tc>
                  <w:tcPr>
                    <w:tcW w:w="795"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期初余额</w:t>
                    </w:r>
                  </w:p>
                </w:tc>
              </w:sdtContent>
            </w:sdt>
            <w:sdt>
              <w:sdtPr>
                <w:tag w:val="_PLD_e3f7db3d344d46f3a8ac40a6c0f54b04"/>
                <w:id w:val="-2121679106"/>
                <w:lock w:val="sdtLocked"/>
              </w:sdtPr>
              <w:sdtContent>
                <w:tc>
                  <w:tcPr>
                    <w:tcW w:w="38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本期新增补助金额</w:t>
                    </w:r>
                  </w:p>
                </w:tc>
              </w:sdtContent>
            </w:sdt>
            <w:sdt>
              <w:sdtPr>
                <w:tag w:val="_PLD_e0684930f8044d8fb633a5b3b2b7015f"/>
                <w:id w:val="-2123754315"/>
                <w:lock w:val="sdtLocked"/>
              </w:sdtPr>
              <w:sdtContent>
                <w:tc>
                  <w:tcPr>
                    <w:tcW w:w="43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本期计入营业外收入金额</w:t>
                    </w:r>
                  </w:p>
                </w:tc>
              </w:sdtContent>
            </w:sdt>
            <w:tc>
              <w:tcPr>
                <w:tcW w:w="794" w:type="pct"/>
                <w:tcBorders>
                  <w:top w:val="single" w:color="auto" w:sz="4" w:space="0"/>
                  <w:left w:val="single" w:color="auto" w:sz="4" w:space="0"/>
                  <w:bottom w:val="single" w:color="auto" w:sz="4" w:space="0"/>
                  <w:right w:val="single" w:color="auto" w:sz="4" w:space="0"/>
                </w:tcBorders>
              </w:tcPr>
              <w:sdt>
                <w:sdtPr>
                  <w:rPr>
                    <w:rFonts w:hint="eastAsia"/>
                  </w:rPr>
                  <w:tag w:val="_PLD_c1024a6e8c9a40abb33d53361407d3fb"/>
                  <w:id w:val="-1223210429"/>
                  <w:lock w:val="sdtLocked"/>
                </w:sdtPr>
                <w:sdtEndPr>
                  <w:rPr>
                    <w:rFonts w:hint="eastAsia"/>
                  </w:rPr>
                </w:sdtEndPr>
                <w:sdtContent>
                  <w:p>
                    <w:pPr>
                      <w:jc w:val="center"/>
                    </w:pPr>
                    <w:r>
                      <w:rPr>
                        <w:rFonts w:hint="eastAsia"/>
                      </w:rPr>
                      <w:t>本期计入其他收益金额</w:t>
                    </w:r>
                  </w:p>
                </w:sdtContent>
              </w:sdt>
            </w:tc>
            <w:sdt>
              <w:sdtPr>
                <w:tag w:val="_PLD_61a1de166e8e440b8f858efc3615c33f"/>
                <w:id w:val="1305655821"/>
                <w:lock w:val="sdtLocked"/>
              </w:sdtPr>
              <w:sdtContent>
                <w:tc>
                  <w:tcPr>
                    <w:tcW w:w="33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其他变动</w:t>
                    </w:r>
                  </w:p>
                </w:tc>
              </w:sdtContent>
            </w:sdt>
            <w:sdt>
              <w:sdtPr>
                <w:tag w:val="_PLD_5e7663577b4c4e42aabbd04ac10ecfbb"/>
                <w:id w:val="-61401486"/>
                <w:lock w:val="sdtLocked"/>
              </w:sdtPr>
              <w:sdtContent>
                <w:tc>
                  <w:tcPr>
                    <w:tcW w:w="79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期末余额</w:t>
                    </w:r>
                  </w:p>
                </w:tc>
              </w:sdtContent>
            </w:sdt>
            <w:sdt>
              <w:sdtPr>
                <w:tag w:val="_PLD_b3abd7b748b949d4b39849146d1b03f2"/>
                <w:id w:val="1535693941"/>
                <w:lock w:val="sdtLocked"/>
              </w:sdtPr>
              <w:sdtContent>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与资产相关/与收益相关</w:t>
                    </w:r>
                  </w:p>
                </w:tc>
              </w:sdtContent>
            </w:sdt>
          </w:tr>
          <w:sdt>
            <w:sdtPr>
              <w:rPr>
                <w:szCs w:val="21"/>
              </w:rPr>
              <w:alias w:val="涉及政府补助的负债项目明细"/>
              <w:tag w:val="_TUP_18b74354bae84fc8af0f06e77d03f295"/>
              <w:id w:val="-47144584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车载装置研发与电动车运营项目</w:t>
                    </w:r>
                  </w:p>
                </w:tc>
                <w:tc>
                  <w:tcPr>
                    <w:tcW w:w="795" w:type="pct"/>
                    <w:tcBorders>
                      <w:top w:val="single" w:color="auto" w:sz="4" w:space="0"/>
                      <w:left w:val="single" w:color="auto" w:sz="4" w:space="0"/>
                      <w:bottom w:val="single" w:color="auto" w:sz="4" w:space="0"/>
                      <w:right w:val="single" w:color="auto" w:sz="4" w:space="0"/>
                    </w:tcBorders>
                    <w:vAlign w:val="center"/>
                  </w:tcPr>
                  <w:p>
                    <w:pPr>
                      <w:jc w:val="right"/>
                      <w:rPr>
                        <w:szCs w:val="21"/>
                      </w:rPr>
                    </w:pPr>
                    <w:r>
                      <w:t>380,390.80</w:t>
                    </w:r>
                  </w:p>
                </w:tc>
                <w:tc>
                  <w:tcPr>
                    <w:tcW w:w="38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t>380,390.80</w:t>
                    </w:r>
                  </w:p>
                </w:tc>
                <w:tc>
                  <w:tcPr>
                    <w:tcW w:w="33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与资产相关</w:t>
                    </w:r>
                  </w:p>
                </w:tc>
              </w:tr>
            </w:sdtContent>
          </w:sdt>
          <w:sdt>
            <w:sdtPr>
              <w:rPr>
                <w:szCs w:val="21"/>
              </w:rPr>
              <w:alias w:val="涉及政府补助的负债项目明细"/>
              <w:tag w:val="_TUP_18b74354bae84fc8af0f06e77d03f295"/>
              <w:id w:val="-107435932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工业振兴专项资金</w:t>
                    </w:r>
                  </w:p>
                </w:tc>
                <w:tc>
                  <w:tcPr>
                    <w:tcW w:w="795" w:type="pct"/>
                    <w:tcBorders>
                      <w:top w:val="single" w:color="auto" w:sz="4" w:space="0"/>
                      <w:left w:val="single" w:color="auto" w:sz="4" w:space="0"/>
                      <w:bottom w:val="single" w:color="auto" w:sz="4" w:space="0"/>
                      <w:right w:val="single" w:color="auto" w:sz="4" w:space="0"/>
                    </w:tcBorders>
                    <w:vAlign w:val="center"/>
                  </w:tcPr>
                  <w:p>
                    <w:pPr>
                      <w:jc w:val="right"/>
                      <w:rPr>
                        <w:szCs w:val="21"/>
                      </w:rPr>
                    </w:pPr>
                    <w:r>
                      <w:t>537,600.00</w:t>
                    </w:r>
                  </w:p>
                </w:tc>
                <w:tc>
                  <w:tcPr>
                    <w:tcW w:w="38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t>537,600.00</w:t>
                    </w:r>
                  </w:p>
                </w:tc>
                <w:tc>
                  <w:tcPr>
                    <w:tcW w:w="33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rPr>
                      <w:t>与资产相关</w:t>
                    </w:r>
                  </w:p>
                </w:tc>
              </w:tr>
            </w:sdtContent>
          </w:sdt>
          <w:sdt>
            <w:sdtPr>
              <w:rPr>
                <w:szCs w:val="21"/>
              </w:rPr>
              <w:alias w:val="涉及政府补助的负债项目明细"/>
              <w:tag w:val="_TUP_18b74354bae84fc8af0f06e77d03f295"/>
              <w:id w:val="-167293688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第四批民营经济发展专项资金</w:t>
                    </w:r>
                  </w:p>
                </w:tc>
                <w:tc>
                  <w:tcPr>
                    <w:tcW w:w="795" w:type="pct"/>
                    <w:tcBorders>
                      <w:top w:val="single" w:color="auto" w:sz="4" w:space="0"/>
                      <w:left w:val="single" w:color="auto" w:sz="4" w:space="0"/>
                      <w:bottom w:val="single" w:color="auto" w:sz="4" w:space="0"/>
                      <w:right w:val="single" w:color="auto" w:sz="4" w:space="0"/>
                    </w:tcBorders>
                    <w:vAlign w:val="center"/>
                  </w:tcPr>
                  <w:p>
                    <w:pPr>
                      <w:jc w:val="right"/>
                      <w:rPr>
                        <w:szCs w:val="21"/>
                      </w:rPr>
                    </w:pPr>
                    <w:r>
                      <w:t>1,739,999.98</w:t>
                    </w:r>
                  </w:p>
                </w:tc>
                <w:tc>
                  <w:tcPr>
                    <w:tcW w:w="38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t>193,333.36</w:t>
                    </w:r>
                  </w:p>
                </w:tc>
                <w:tc>
                  <w:tcPr>
                    <w:tcW w:w="33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1,546,666.62</w:t>
                    </w: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与资产相关</w:t>
                    </w:r>
                  </w:p>
                </w:tc>
              </w:tr>
            </w:sdtContent>
          </w:sdt>
          <w:sdt>
            <w:sdtPr>
              <w:rPr>
                <w:szCs w:val="21"/>
              </w:rPr>
              <w:alias w:val="涉及政府补助的负债项目明细"/>
              <w:tag w:val="_TUP_18b74354bae84fc8af0f06e77d03f295"/>
              <w:id w:val="-44477258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经济型汽车VVT发动机项目</w:t>
                    </w:r>
                  </w:p>
                </w:tc>
                <w:tc>
                  <w:tcPr>
                    <w:tcW w:w="795" w:type="pct"/>
                    <w:tcBorders>
                      <w:top w:val="single" w:color="auto" w:sz="4" w:space="0"/>
                      <w:left w:val="single" w:color="auto" w:sz="4" w:space="0"/>
                      <w:bottom w:val="single" w:color="auto" w:sz="4" w:space="0"/>
                      <w:right w:val="single" w:color="auto" w:sz="4" w:space="0"/>
                    </w:tcBorders>
                    <w:vAlign w:val="center"/>
                  </w:tcPr>
                  <w:p>
                    <w:pPr>
                      <w:jc w:val="right"/>
                      <w:rPr>
                        <w:szCs w:val="21"/>
                      </w:rPr>
                    </w:pPr>
                    <w:r>
                      <w:t>8,000.00</w:t>
                    </w:r>
                  </w:p>
                </w:tc>
                <w:tc>
                  <w:tcPr>
                    <w:tcW w:w="38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t>8,000.00</w:t>
                    </w:r>
                  </w:p>
                </w:tc>
                <w:tc>
                  <w:tcPr>
                    <w:tcW w:w="33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与资产相关</w:t>
                    </w:r>
                  </w:p>
                </w:tc>
              </w:tr>
            </w:sdtContent>
          </w:sdt>
          <w:sdt>
            <w:sdtPr>
              <w:rPr>
                <w:szCs w:val="21"/>
              </w:rPr>
              <w:alias w:val="涉及政府补助的负债项目明细"/>
              <w:tag w:val="_TUP_18b74354bae84fc8af0f06e77d03f295"/>
              <w:id w:val="926879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LF476ZLQ（1.4L）直喷增压发动机项目</w:t>
                    </w:r>
                  </w:p>
                </w:tc>
                <w:tc>
                  <w:tcPr>
                    <w:tcW w:w="795" w:type="pct"/>
                    <w:tcBorders>
                      <w:top w:val="single" w:color="auto" w:sz="4" w:space="0"/>
                      <w:left w:val="single" w:color="auto" w:sz="4" w:space="0"/>
                      <w:bottom w:val="single" w:color="auto" w:sz="4" w:space="0"/>
                      <w:right w:val="single" w:color="auto" w:sz="4" w:space="0"/>
                    </w:tcBorders>
                    <w:vAlign w:val="center"/>
                  </w:tcPr>
                  <w:p>
                    <w:pPr>
                      <w:jc w:val="right"/>
                      <w:rPr>
                        <w:szCs w:val="21"/>
                      </w:rPr>
                    </w:pPr>
                    <w:r>
                      <w:t>80,000.00</w:t>
                    </w:r>
                  </w:p>
                </w:tc>
                <w:tc>
                  <w:tcPr>
                    <w:tcW w:w="38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t>80,000.00</w:t>
                    </w:r>
                  </w:p>
                </w:tc>
                <w:tc>
                  <w:tcPr>
                    <w:tcW w:w="33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与资产相关</w:t>
                    </w:r>
                  </w:p>
                </w:tc>
              </w:tr>
            </w:sdtContent>
          </w:sdt>
          <w:sdt>
            <w:sdtPr>
              <w:rPr>
                <w:szCs w:val="21"/>
              </w:rPr>
              <w:alias w:val="涉及政府补助的负债项目明细"/>
              <w:tag w:val="_TUP_18b74354bae84fc8af0f06e77d03f295"/>
              <w:id w:val="106205803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工业结构调整项目补助</w:t>
                    </w:r>
                  </w:p>
                </w:tc>
                <w:tc>
                  <w:tcPr>
                    <w:tcW w:w="795" w:type="pct"/>
                    <w:tcBorders>
                      <w:top w:val="single" w:color="auto" w:sz="4" w:space="0"/>
                      <w:left w:val="single" w:color="auto" w:sz="4" w:space="0"/>
                      <w:bottom w:val="single" w:color="auto" w:sz="4" w:space="0"/>
                      <w:right w:val="single" w:color="auto" w:sz="4" w:space="0"/>
                    </w:tcBorders>
                    <w:vAlign w:val="center"/>
                  </w:tcPr>
                  <w:p>
                    <w:pPr>
                      <w:jc w:val="right"/>
                      <w:rPr>
                        <w:szCs w:val="21"/>
                      </w:rPr>
                    </w:pPr>
                    <w:r>
                      <w:t>770,000.00</w:t>
                    </w:r>
                  </w:p>
                </w:tc>
                <w:tc>
                  <w:tcPr>
                    <w:tcW w:w="384"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t>110,000.00</w:t>
                    </w:r>
                  </w:p>
                </w:tc>
                <w:tc>
                  <w:tcPr>
                    <w:tcW w:w="33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660,000.00</w:t>
                    </w:r>
                  </w:p>
                </w:tc>
                <w:tc>
                  <w:tcPr>
                    <w:tcW w:w="744"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与资产相关</w:t>
                    </w:r>
                  </w:p>
                </w:tc>
              </w:tr>
            </w:sdtContent>
          </w:sdt>
          <w:sdt>
            <w:sdtPr>
              <w:rPr>
                <w:szCs w:val="21"/>
              </w:rPr>
              <w:alias w:val="涉及政府补助的负债项目明细"/>
              <w:tag w:val="_TUP_18b74354bae84fc8af0f06e77d03f295"/>
              <w:id w:val="52544631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716" w:type="pct"/>
                    <w:tcBorders>
                      <w:top w:val="single" w:color="auto" w:sz="4" w:space="0"/>
                      <w:left w:val="single" w:color="auto" w:sz="4" w:space="0"/>
                      <w:bottom w:val="single" w:color="auto" w:sz="4" w:space="0"/>
                      <w:right w:val="single" w:color="auto" w:sz="4" w:space="0"/>
                    </w:tcBorders>
                    <w:vAlign w:val="center"/>
                  </w:tcPr>
                  <w:p>
                    <w:pPr>
                      <w:rPr>
                        <w:szCs w:val="21"/>
                      </w:rPr>
                    </w:pPr>
                    <w:r>
                      <w:t>合计</w:t>
                    </w:r>
                  </w:p>
                </w:tc>
                <w:tc>
                  <w:tcPr>
                    <w:tcW w:w="795" w:type="pct"/>
                    <w:tcBorders>
                      <w:top w:val="single" w:color="auto" w:sz="4" w:space="0"/>
                      <w:left w:val="single" w:color="auto" w:sz="4" w:space="0"/>
                      <w:bottom w:val="single" w:color="auto" w:sz="4" w:space="0"/>
                      <w:right w:val="single" w:color="auto" w:sz="4" w:space="0"/>
                    </w:tcBorders>
                  </w:tcPr>
                  <w:p>
                    <w:pPr>
                      <w:jc w:val="right"/>
                      <w:rPr>
                        <w:szCs w:val="21"/>
                      </w:rPr>
                    </w:pPr>
                    <w:r>
                      <w:t>3,515,990.78</w:t>
                    </w:r>
                  </w:p>
                </w:tc>
                <w:tc>
                  <w:tcPr>
                    <w:tcW w:w="384" w:type="pct"/>
                    <w:tcBorders>
                      <w:top w:val="single" w:color="auto" w:sz="4" w:space="0"/>
                      <w:left w:val="single" w:color="auto" w:sz="4" w:space="0"/>
                      <w:bottom w:val="single" w:color="auto" w:sz="4" w:space="0"/>
                      <w:right w:val="single" w:color="auto" w:sz="4" w:space="0"/>
                    </w:tcBorders>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tcPr>
                  <w:p>
                    <w:pPr>
                      <w:jc w:val="right"/>
                      <w:rPr>
                        <w:szCs w:val="21"/>
                      </w:rPr>
                    </w:pPr>
                    <w:r>
                      <w:t>1,309,324.16</w:t>
                    </w:r>
                  </w:p>
                </w:tc>
                <w:tc>
                  <w:tcPr>
                    <w:tcW w:w="337" w:type="pct"/>
                    <w:tcBorders>
                      <w:top w:val="single" w:color="auto" w:sz="4" w:space="0"/>
                      <w:left w:val="single" w:color="auto" w:sz="4" w:space="0"/>
                      <w:bottom w:val="single" w:color="auto" w:sz="4" w:space="0"/>
                      <w:right w:val="single" w:color="auto" w:sz="4" w:space="0"/>
                    </w:tcBorders>
                  </w:tcPr>
                  <w:p>
                    <w:pPr>
                      <w:jc w:val="right"/>
                      <w:rPr>
                        <w:szCs w:val="21"/>
                      </w:rPr>
                    </w:pPr>
                  </w:p>
                </w:tc>
                <w:tc>
                  <w:tcPr>
                    <w:tcW w:w="794"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2,206,666.62</w:t>
                    </w:r>
                  </w:p>
                </w:tc>
                <w:tc>
                  <w:tcPr>
                    <w:tcW w:w="744" w:type="pct"/>
                    <w:tcBorders>
                      <w:top w:val="single" w:color="auto" w:sz="4" w:space="0"/>
                      <w:left w:val="single" w:color="auto" w:sz="4" w:space="0"/>
                      <w:bottom w:val="single" w:color="auto" w:sz="4" w:space="0"/>
                      <w:right w:val="single" w:color="auto" w:sz="4" w:space="0"/>
                    </w:tcBorders>
                  </w:tcPr>
                  <w:p>
                    <w:pPr>
                      <w:rPr>
                        <w:szCs w:val="21"/>
                      </w:rPr>
                    </w:pPr>
                  </w:p>
                </w:tc>
              </w:tr>
            </w:sdtContent>
          </w:sdt>
        </w:tbl>
        <w:p/>
      </w:sdtContent>
    </w:sdt>
    <w:bookmarkEnd w:id="203"/>
    <w:bookmarkEnd w:id="204"/>
    <w:sdt>
      <w:sdtPr>
        <w:rPr>
          <w:rFonts w:hint="eastAsia"/>
          <w:szCs w:val="21"/>
        </w:rPr>
        <w:alias w:val="模块:递延收益其他说明"/>
        <w:tag w:val="_SEC_7cd38d14438443479401d71c7f066fdf"/>
        <w:id w:val="879672317"/>
        <w:lock w:val="sdtLocked"/>
        <w:placeholder>
          <w:docPart w:val="GBC22222222222222222222222222222"/>
        </w:placeholder>
      </w:sdtPr>
      <w:sdtEndPr>
        <w:rPr>
          <w:rFonts w:hint="default"/>
          <w:szCs w:val="21"/>
        </w:rPr>
      </w:sdtEndPr>
      <w:sdtContent>
        <w:p>
          <w:pPr>
            <w:spacing w:before="60" w:after="60"/>
            <w:rPr>
              <w:szCs w:val="21"/>
            </w:rPr>
          </w:pPr>
          <w:bookmarkStart w:id="205" w:name="OLE_LINK85"/>
          <w:bookmarkStart w:id="206" w:name="OLE_LINK84"/>
          <w:r>
            <w:rPr>
              <w:rFonts w:hint="eastAsia"/>
              <w:szCs w:val="21"/>
            </w:rPr>
            <w:t>其他说明：</w:t>
          </w:r>
        </w:p>
        <w:sdt>
          <w:sdtPr>
            <w:rPr>
              <w:szCs w:val="21"/>
            </w:rPr>
            <w:alias w:val="是否适用：递延收益的其他说明[双击切换]"/>
            <w:tag w:val="_GBC_0c28db54a76349869056f2b92b5d9400"/>
            <w:id w:val="-629478920"/>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5"/>
    <w:bookmarkEnd w:id="206"/>
    <w:p>
      <w:pPr>
        <w:snapToGrid w:val="0"/>
        <w:spacing w:line="240" w:lineRule="atLeast"/>
        <w:rPr>
          <w:szCs w:val="21"/>
        </w:rPr>
      </w:pPr>
    </w:p>
    <w:sdt>
      <w:sdtPr>
        <w:rPr>
          <w:rFonts w:hint="eastAsia" w:ascii="宋体" w:hAnsi="宋体" w:cs="宋体"/>
          <w:b w:val="0"/>
          <w:bCs w:val="0"/>
          <w:kern w:val="0"/>
          <w:szCs w:val="21"/>
        </w:rPr>
        <w:alias w:val="模块:其他非流动负债"/>
        <w:tag w:val="_SEC_e6f817e4d74a4d95acbb17b048314a10"/>
        <w:id w:val="1337884436"/>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213"/>
            <w:numPr>
              <w:ilvl w:val="0"/>
              <w:numId w:val="77"/>
            </w:numPr>
            <w:tabs>
              <w:tab w:val="left" w:pos="504"/>
            </w:tabs>
            <w:rPr>
              <w:rFonts w:ascii="宋体" w:hAnsi="宋体"/>
              <w:szCs w:val="21"/>
            </w:rPr>
          </w:pPr>
          <w:bookmarkStart w:id="207" w:name="_Hlk533670383"/>
          <w:r>
            <w:rPr>
              <w:rFonts w:hint="eastAsia" w:ascii="宋体" w:hAnsi="宋体"/>
              <w:szCs w:val="21"/>
            </w:rPr>
            <w:t>其他非流动负债</w:t>
          </w:r>
        </w:p>
        <w:sdt>
          <w:sdtPr>
            <w:alias w:val="是否适用：其他非流动负债[双击切换]"/>
            <w:tag w:val="_GBC_05e5676f32624ce18727385761bd1a9a"/>
            <w:id w:val="75686100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07"/>
    <w:p>
      <w:pPr>
        <w:rPr>
          <w:szCs w:val="21"/>
        </w:rPr>
      </w:pPr>
    </w:p>
    <w:sdt>
      <w:sdtPr>
        <w:rPr>
          <w:rFonts w:hint="eastAsia" w:ascii="宋体" w:hAnsi="宋体" w:cs="宋体"/>
          <w:b w:val="0"/>
          <w:bCs w:val="0"/>
          <w:kern w:val="0"/>
          <w:szCs w:val="21"/>
        </w:rPr>
        <w:alias w:val="模块:股本"/>
        <w:tag w:val="_SEC_8a6ae55fcdf4458585bca7ece234d93f"/>
        <w:id w:val="-306091653"/>
        <w:lock w:val="sdtLocked"/>
        <w:placeholder>
          <w:docPart w:val="GBC22222222222222222222222222222"/>
        </w:placeholder>
      </w:sdtPr>
      <w:sdtEndPr>
        <w:rPr>
          <w:rFonts w:hint="default" w:ascii="宋体" w:hAnsi="宋体" w:cstheme="minorBidi"/>
          <w:b w:val="0"/>
          <w:bCs w:val="0"/>
          <w:color w:val="000000" w:themeColor="text1"/>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股本</w:t>
          </w:r>
        </w:p>
        <w:sdt>
          <w:sdtPr>
            <w:alias w:val="是否适用：股本[双击切换]"/>
            <w:tag w:val="_GBC_a2069fb3657946ee9810a9154eb11422"/>
            <w:id w:val="206042835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股本"/>
              <w:tag w:val="_GBC_e2cacf7f2d9f4ad78dce53a3e345569e"/>
              <w:id w:val="141989887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9086666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617"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897"/>
            <w:gridCol w:w="426"/>
            <w:gridCol w:w="426"/>
            <w:gridCol w:w="427"/>
            <w:gridCol w:w="1686"/>
            <w:gridCol w:w="16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trPr>
            <w:tc>
              <w:tcPr>
                <w:tcW w:w="592" w:type="pct"/>
                <w:vMerge w:val="restart"/>
                <w:tcBorders>
                  <w:top w:val="single" w:color="auto" w:sz="4" w:space="0"/>
                  <w:left w:val="single" w:color="auto" w:sz="4" w:space="0"/>
                  <w:bottom w:val="single" w:color="auto" w:sz="4" w:space="0"/>
                  <w:right w:val="single" w:color="auto" w:sz="4" w:space="0"/>
                </w:tcBorders>
              </w:tcPr>
              <w:p>
                <w:pPr>
                  <w:jc w:val="center"/>
                  <w:rPr>
                    <w:szCs w:val="21"/>
                  </w:rPr>
                </w:pPr>
              </w:p>
            </w:tc>
            <w:sdt>
              <w:sdtPr>
                <w:tag w:val="_PLD_fd63a619db16496bad52eeb145839158"/>
                <w:id w:val="-831369443"/>
                <w:lock w:val="sdtLocked"/>
              </w:sdtPr>
              <w:sdtContent>
                <w:tc>
                  <w:tcPr>
                    <w:tcW w:w="990"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期初余额</w:t>
                    </w:r>
                  </w:p>
                </w:tc>
              </w:sdtContent>
            </w:sdt>
            <w:sdt>
              <w:sdtPr>
                <w:tag w:val="_PLD_2cb33d9d8b0d47539581498c039e86aa"/>
                <w:id w:val="1775061076"/>
                <w:lock w:val="sdtLocked"/>
              </w:sdtPr>
              <w:sdtContent>
                <w:tc>
                  <w:tcPr>
                    <w:tcW w:w="2428" w:type="pct"/>
                    <w:gridSpan w:val="5"/>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本次变动增减（+、一）</w:t>
                    </w:r>
                  </w:p>
                </w:tc>
              </w:sdtContent>
            </w:sdt>
            <w:sdt>
              <w:sdtPr>
                <w:tag w:val="_PLD_e579078cb28f47a09273701ab9e2e37a"/>
                <w:id w:val="400038085"/>
                <w:lock w:val="sdtLocked"/>
              </w:sdtPr>
              <w:sdtContent>
                <w:tc>
                  <w:tcPr>
                    <w:tcW w:w="990"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2" w:hRule="atLeast"/>
            </w:trPr>
            <w:tc>
              <w:tcPr>
                <w:tcW w:w="592" w:type="pct"/>
                <w:vMerge w:val="continue"/>
                <w:tcBorders>
                  <w:top w:val="single" w:color="auto" w:sz="4" w:space="0"/>
                  <w:left w:val="single" w:color="auto" w:sz="4" w:space="0"/>
                  <w:bottom w:val="single" w:color="auto" w:sz="4" w:space="0"/>
                  <w:right w:val="single" w:color="auto" w:sz="4" w:space="0"/>
                </w:tcBorders>
              </w:tcPr>
              <w:p>
                <w:pPr>
                  <w:rPr>
                    <w:szCs w:val="21"/>
                  </w:rPr>
                </w:pPr>
              </w:p>
            </w:tc>
            <w:tc>
              <w:tcPr>
                <w:tcW w:w="990" w:type="pct"/>
                <w:vMerge w:val="continue"/>
                <w:tcBorders>
                  <w:left w:val="single" w:color="auto" w:sz="4" w:space="0"/>
                  <w:bottom w:val="single" w:color="auto" w:sz="4" w:space="0"/>
                  <w:right w:val="single" w:color="auto" w:sz="4" w:space="0"/>
                </w:tcBorders>
              </w:tcPr>
              <w:p>
                <w:pPr>
                  <w:ind w:left="-250" w:leftChars="-119" w:firstLine="249" w:firstLineChars="119"/>
                  <w:rPr>
                    <w:szCs w:val="21"/>
                  </w:rPr>
                </w:pPr>
              </w:p>
            </w:tc>
            <w:sdt>
              <w:sdtPr>
                <w:tag w:val="_PLD_2f067dcfa40a4e2d896a383f16e2e483"/>
                <w:id w:val="-1970584440"/>
                <w:lock w:val="sdtLocked"/>
              </w:sdtPr>
              <w:sdtContent>
                <w:tc>
                  <w:tcPr>
                    <w:tcW w:w="22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发行</w:t>
                    </w:r>
                  </w:p>
                  <w:p>
                    <w:pPr>
                      <w:jc w:val="center"/>
                      <w:rPr>
                        <w:szCs w:val="21"/>
                      </w:rPr>
                    </w:pPr>
                    <w:r>
                      <w:rPr>
                        <w:rFonts w:hint="eastAsia"/>
                        <w:szCs w:val="21"/>
                      </w:rPr>
                      <w:t>新股</w:t>
                    </w:r>
                  </w:p>
                </w:tc>
              </w:sdtContent>
            </w:sdt>
            <w:sdt>
              <w:sdtPr>
                <w:tag w:val="_PLD_afc58df66e0343a29873ec3c2270451e"/>
                <w:id w:val="1569466766"/>
                <w:lock w:val="sdtLocked"/>
              </w:sdtPr>
              <w:sdtContent>
                <w:tc>
                  <w:tcPr>
                    <w:tcW w:w="22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送股</w:t>
                    </w:r>
                  </w:p>
                </w:tc>
              </w:sdtContent>
            </w:sdt>
            <w:sdt>
              <w:sdtPr>
                <w:tag w:val="_PLD_31d618a387e243239ea8ee139a3a39da"/>
                <w:id w:val="2098513193"/>
                <w:lock w:val="sdtLocked"/>
              </w:sdtPr>
              <w:sdtContent>
                <w:tc>
                  <w:tcPr>
                    <w:tcW w:w="223"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公积金</w:t>
                    </w:r>
                  </w:p>
                  <w:p>
                    <w:pPr>
                      <w:jc w:val="center"/>
                      <w:rPr>
                        <w:szCs w:val="21"/>
                      </w:rPr>
                    </w:pPr>
                    <w:r>
                      <w:rPr>
                        <w:rFonts w:hint="eastAsia"/>
                        <w:szCs w:val="21"/>
                      </w:rPr>
                      <w:t>转股</w:t>
                    </w:r>
                  </w:p>
                </w:tc>
              </w:sdtContent>
            </w:sdt>
            <w:sdt>
              <w:sdtPr>
                <w:tag w:val="_PLD_12526084dedd4dc68d673c8a71c73862"/>
                <w:id w:val="569236287"/>
                <w:lock w:val="sdtLocked"/>
              </w:sdtPr>
              <w:sdtContent>
                <w:tc>
                  <w:tcPr>
                    <w:tcW w:w="88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其他</w:t>
                    </w:r>
                  </w:p>
                </w:tc>
              </w:sdtContent>
            </w:sdt>
            <w:sdt>
              <w:sdtPr>
                <w:tag w:val="_PLD_fe70bd23af2d4fd680087e555e574f82"/>
                <w:id w:val="2040012882"/>
                <w:lock w:val="sdtLocked"/>
              </w:sdtPr>
              <w:sdtContent>
                <w:tc>
                  <w:tcPr>
                    <w:tcW w:w="881"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小计</w:t>
                    </w:r>
                  </w:p>
                </w:tc>
              </w:sdtContent>
            </w:sdt>
            <w:tc>
              <w:tcPr>
                <w:tcW w:w="990" w:type="pct"/>
                <w:vMerge w:val="continue"/>
                <w:tcBorders>
                  <w:left w:val="single" w:color="auto" w:sz="4" w:space="0"/>
                  <w:bottom w:val="single" w:color="auto" w:sz="4" w:space="0"/>
                  <w:right w:val="single" w:color="auto" w:sz="4" w:space="0"/>
                </w:tcBorders>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a4436c1f88f49e084436422be93cf3e"/>
                <w:id w:val="1246234759"/>
                <w:lock w:val="sdtLocked"/>
              </w:sdtPr>
              <w:sdtContent>
                <w:tc>
                  <w:tcPr>
                    <w:tcW w:w="592"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股份总数</w:t>
                    </w:r>
                  </w:p>
                </w:tc>
              </w:sdtContent>
            </w:sdt>
            <w:tc>
              <w:tcPr>
                <w:tcW w:w="990" w:type="pct"/>
                <w:tcBorders>
                  <w:top w:val="single" w:color="auto" w:sz="4" w:space="0"/>
                  <w:left w:val="single" w:color="auto" w:sz="4" w:space="0"/>
                  <w:bottom w:val="single" w:color="auto" w:sz="4" w:space="0"/>
                  <w:right w:val="single" w:color="auto" w:sz="4" w:space="0"/>
                </w:tcBorders>
                <w:vAlign w:val="center"/>
              </w:tcPr>
              <w:p>
                <w:pPr>
                  <w:rPr>
                    <w:sz w:val="24"/>
                  </w:rPr>
                </w:pPr>
                <w:r>
                  <w:t>4,521,013,100.00</w:t>
                </w:r>
              </w:p>
            </w:tc>
            <w:tc>
              <w:tcPr>
                <w:tcW w:w="222" w:type="pct"/>
                <w:tcBorders>
                  <w:top w:val="single" w:color="auto" w:sz="4" w:space="0"/>
                  <w:left w:val="single" w:color="auto" w:sz="4" w:space="0"/>
                  <w:bottom w:val="single" w:color="auto" w:sz="4" w:space="0"/>
                  <w:right w:val="single" w:color="auto" w:sz="4" w:space="0"/>
                </w:tcBorders>
                <w:vAlign w:val="center"/>
              </w:tcPr>
              <w:p>
                <w:pPr>
                  <w:rPr>
                    <w:sz w:val="24"/>
                  </w:rPr>
                </w:pPr>
              </w:p>
            </w:tc>
            <w:tc>
              <w:tcPr>
                <w:tcW w:w="222" w:type="pct"/>
                <w:tcBorders>
                  <w:top w:val="single" w:color="auto" w:sz="4" w:space="0"/>
                  <w:left w:val="single" w:color="auto" w:sz="4" w:space="0"/>
                  <w:bottom w:val="single" w:color="auto" w:sz="4" w:space="0"/>
                  <w:right w:val="single" w:color="auto" w:sz="4" w:space="0"/>
                </w:tcBorders>
                <w:vAlign w:val="center"/>
              </w:tcPr>
              <w:p>
                <w:pPr>
                  <w:rPr>
                    <w:sz w:val="24"/>
                  </w:rPr>
                </w:pPr>
              </w:p>
            </w:tc>
            <w:tc>
              <w:tcPr>
                <w:tcW w:w="223" w:type="pct"/>
                <w:tcBorders>
                  <w:top w:val="single" w:color="auto" w:sz="4" w:space="0"/>
                  <w:left w:val="single" w:color="auto" w:sz="4" w:space="0"/>
                  <w:bottom w:val="single" w:color="auto" w:sz="4" w:space="0"/>
                  <w:right w:val="single" w:color="auto" w:sz="4" w:space="0"/>
                </w:tcBorders>
                <w:vAlign w:val="center"/>
              </w:tcPr>
              <w:p>
                <w:pPr>
                  <w:rPr>
                    <w:sz w:val="24"/>
                  </w:rPr>
                </w:pPr>
              </w:p>
            </w:tc>
            <w:tc>
              <w:tcPr>
                <w:tcW w:w="880" w:type="pct"/>
                <w:tcBorders>
                  <w:top w:val="single" w:color="auto" w:sz="4" w:space="0"/>
                  <w:left w:val="single" w:color="auto" w:sz="4" w:space="0"/>
                  <w:bottom w:val="single" w:color="auto" w:sz="4" w:space="0"/>
                  <w:right w:val="single" w:color="auto" w:sz="4" w:space="0"/>
                </w:tcBorders>
                <w:vAlign w:val="center"/>
              </w:tcPr>
              <w:p>
                <w:pPr>
                  <w:rPr>
                    <w:sz w:val="24"/>
                  </w:rPr>
                </w:pPr>
                <w:r>
                  <w:t>-21,013,100.00</w:t>
                </w:r>
              </w:p>
            </w:tc>
            <w:tc>
              <w:tcPr>
                <w:tcW w:w="881" w:type="pct"/>
                <w:tcBorders>
                  <w:top w:val="single" w:color="auto" w:sz="4" w:space="0"/>
                  <w:left w:val="single" w:color="auto" w:sz="4" w:space="0"/>
                  <w:bottom w:val="single" w:color="auto" w:sz="4" w:space="0"/>
                  <w:right w:val="single" w:color="auto" w:sz="4" w:space="0"/>
                </w:tcBorders>
                <w:vAlign w:val="center"/>
              </w:tcPr>
              <w:p>
                <w:pPr>
                  <w:rPr>
                    <w:sz w:val="24"/>
                  </w:rPr>
                </w:pPr>
                <w:r>
                  <w:t>-21,013,100.00</w:t>
                </w:r>
              </w:p>
            </w:tc>
            <w:tc>
              <w:tcPr>
                <w:tcW w:w="990" w:type="pct"/>
                <w:tcBorders>
                  <w:top w:val="single" w:color="auto" w:sz="4" w:space="0"/>
                  <w:left w:val="single" w:color="auto" w:sz="4" w:space="0"/>
                  <w:bottom w:val="single" w:color="auto" w:sz="4" w:space="0"/>
                  <w:right w:val="single" w:color="auto" w:sz="4" w:space="0"/>
                </w:tcBorders>
                <w:vAlign w:val="center"/>
              </w:tcPr>
              <w:p>
                <w:pPr>
                  <w:rPr>
                    <w:sz w:val="24"/>
                  </w:rPr>
                </w:pPr>
                <w:r>
                  <w:t>4,500,000,000.00</w:t>
                </w:r>
              </w:p>
            </w:tc>
          </w:tr>
        </w:tbl>
        <w:p>
          <w:pPr>
            <w:spacing w:before="60" w:after="60"/>
            <w:rPr>
              <w:szCs w:val="21"/>
            </w:rPr>
          </w:pPr>
          <w:r>
            <w:rPr>
              <w:rFonts w:hint="eastAsia"/>
              <w:szCs w:val="21"/>
            </w:rPr>
            <w:t>其他说明：</w:t>
          </w:r>
        </w:p>
        <w:sdt>
          <w:sdtPr>
            <w:rPr>
              <w:rFonts w:cs="宋体"/>
              <w:kern w:val="0"/>
              <w:szCs w:val="24"/>
            </w:rPr>
            <w:alias w:val="股本变动情况说明"/>
            <w:tag w:val="_GBC_6600e13aac194caa9cb58963beb3073e"/>
            <w:id w:val="1658266514"/>
            <w:lock w:val="sdtLocked"/>
            <w:placeholder>
              <w:docPart w:val="GBC22222222222222222222222222222"/>
            </w:placeholder>
          </w:sdtPr>
          <w:sdtEndPr>
            <w:rPr>
              <w:rFonts w:cs="宋体"/>
              <w:kern w:val="0"/>
              <w:szCs w:val="24"/>
            </w:rPr>
          </w:sdtEndPr>
          <w:sdtContent>
            <w:p>
              <w:pPr>
                <w:pStyle w:val="276"/>
                <w:widowControl w:val="0"/>
                <w:tabs>
                  <w:tab w:val="left" w:pos="196"/>
                  <w:tab w:val="left" w:pos="426"/>
                </w:tabs>
                <w:spacing w:line="360" w:lineRule="auto"/>
                <w:ind w:left="0" w:leftChars="0" w:firstLine="420" w:firstLineChars="200"/>
                <w:jc w:val="both"/>
                <w:rPr>
                  <w:rFonts w:ascii="Times New Roman" w:hAnsi="Times New Roman"/>
                </w:rPr>
              </w:pPr>
              <w:r>
                <w:rPr>
                  <w:rFonts w:ascii="Times New Roman" w:hAnsi="Times New Roman"/>
                </w:rPr>
                <w:t>股本变动情况说明</w:t>
              </w:r>
              <w:r>
                <w:rPr>
                  <w:rFonts w:hint="eastAsia" w:ascii="Times New Roman" w:hAnsi="Times New Roman"/>
                </w:rPr>
                <w:t>：2021年1月22日、2</w:t>
              </w:r>
              <w:r>
                <w:rPr>
                  <w:rFonts w:ascii="Times New Roman" w:hAnsi="Times New Roman"/>
                </w:rPr>
                <w:t>021</w:t>
              </w:r>
              <w:r>
                <w:rPr>
                  <w:rFonts w:hint="eastAsia" w:ascii="Times New Roman" w:hAnsi="Times New Roman"/>
                </w:rPr>
                <w:t>年2月8日，公司分别召开第五届董事会第一次会议、2</w:t>
              </w:r>
              <w:r>
                <w:rPr>
                  <w:rFonts w:ascii="Times New Roman" w:hAnsi="Times New Roman"/>
                </w:rPr>
                <w:t>021</w:t>
              </w:r>
              <w:r>
                <w:rPr>
                  <w:rFonts w:hint="eastAsia" w:ascii="Times New Roman" w:hAnsi="Times New Roman"/>
                </w:rPr>
                <w:t>年第二次临时股东大会，审议并通过了《关于力帆实业（集团）股份有限公司回购注销部分限制性股票的议案》。因公司2019年度财务业绩未达解锁条件，激励对象所持有的首次授予第三期及预留授予第二期待解锁限制性股票已不符合解锁条件，需由公司回购注销。公司实施上述回购注销后，公司注册资本减少至人民币4,500,000,000元。</w:t>
              </w:r>
            </w:p>
            <w:p>
              <w:pPr>
                <w:rPr>
                  <w:szCs w:val="21"/>
                </w:rPr>
              </w:pPr>
            </w:p>
          </w:sdtContent>
        </w:sdt>
      </w:sdtContent>
    </w:sdt>
    <w:p>
      <w:pPr>
        <w:pStyle w:val="213"/>
        <w:numPr>
          <w:ilvl w:val="0"/>
          <w:numId w:val="77"/>
        </w:numPr>
        <w:tabs>
          <w:tab w:val="left" w:pos="504"/>
        </w:tabs>
        <w:spacing w:before="0" w:after="0" w:line="360" w:lineRule="auto"/>
        <w:rPr>
          <w:rFonts w:ascii="宋体" w:hAnsi="宋体"/>
          <w:szCs w:val="21"/>
        </w:rPr>
      </w:pPr>
      <w:r>
        <w:rPr>
          <w:rFonts w:hint="eastAsia" w:ascii="宋体" w:hAnsi="宋体" w:cs="宋体"/>
          <w:bCs w:val="0"/>
          <w:kern w:val="0"/>
          <w:szCs w:val="21"/>
        </w:rPr>
        <w:t>其</w:t>
      </w:r>
      <w:r>
        <w:rPr>
          <w:rFonts w:hint="eastAsia" w:ascii="宋体" w:hAnsi="宋体"/>
          <w:szCs w:val="21"/>
        </w:rPr>
        <w:t>他权益工具</w:t>
      </w:r>
    </w:p>
    <w:sdt>
      <w:sdtPr>
        <w:rPr>
          <w:rFonts w:hint="eastAsia" w:ascii="宋体" w:hAnsi="宋体" w:eastAsia="宋体" w:cs="宋体"/>
          <w:b w:val="0"/>
          <w:bCs w:val="0"/>
          <w:kern w:val="0"/>
          <w:szCs w:val="24"/>
        </w:rPr>
        <w:alias w:val="模块:期末发行在外的优先股、永续债等其他金融工具基本情况"/>
        <w:tag w:val="_SEC_6fed13d34fa44eddb1a893d7efc5d06b"/>
        <w:id w:val="1311985401"/>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0"/>
              <w:numId w:val="106"/>
            </w:numPr>
            <w:spacing w:before="0" w:after="0" w:line="360" w:lineRule="auto"/>
            <w:ind w:left="426" w:hanging="426"/>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321353578"/>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spacing w:line="360" w:lineRule="auto"/>
      </w:pPr>
    </w:p>
    <w:sdt>
      <w:sdtPr>
        <w:rPr>
          <w:rFonts w:hint="eastAsia" w:ascii="宋体" w:hAnsi="宋体" w:eastAsia="宋体" w:cs="宋体"/>
          <w:b w:val="0"/>
          <w:bCs w:val="0"/>
          <w:kern w:val="0"/>
          <w:szCs w:val="24"/>
        </w:rPr>
        <w:alias w:val="模块:期末发行在外的优先股、永续债等金融工具变动情况表  发行..."/>
        <w:tag w:val="_SEC_e75bf2a97679482fb5fa8f87d691b026"/>
        <w:id w:val="-958712415"/>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214"/>
            <w:numPr>
              <w:ilvl w:val="0"/>
              <w:numId w:val="106"/>
            </w:numPr>
            <w:spacing w:before="0" w:after="0" w:line="360" w:lineRule="auto"/>
            <w:ind w:left="426" w:hanging="426"/>
          </w:pPr>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66230173"/>
            <w:lock w:val="sdtLocked"/>
            <w:placeholder>
              <w:docPart w:val="GBC22222222222222222222222222222"/>
            </w:placeholder>
          </w:sdtPr>
          <w:sdtContent>
            <w:p>
              <w:pPr>
                <w:spacing w:line="360" w:lineRule="auto"/>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szCs w:val="21"/>
        </w:rPr>
        <w:alias w:val="模块:其他权益工具本期增减变动情况、变动原因说明，以及相关会计处理"/>
        <w:tag w:val="_SEC_f0c4a2ce10914cf8a15ec22984f96cce"/>
        <w:id w:val="964313830"/>
        <w:lock w:val="sdtLocked"/>
        <w:placeholder>
          <w:docPart w:val="GBC22222222222222222222222222222"/>
        </w:placeholder>
      </w:sdtPr>
      <w:sdtEndPr>
        <w:rPr>
          <w:rFonts w:hint="default"/>
          <w:szCs w:val="21"/>
        </w:rPr>
      </w:sdtEndPr>
      <w:sdtContent>
        <w:p>
          <w:pPr>
            <w:shd w:val="solid" w:color="FFFFFF" w:fill="auto"/>
            <w:spacing w:line="360" w:lineRule="auto"/>
            <w:rPr>
              <w:szCs w:val="21"/>
            </w:rPr>
          </w:pPr>
          <w:bookmarkStart w:id="208" w:name="_Hlk89785136"/>
          <w:r>
            <w:rPr>
              <w:rFonts w:hint="eastAsia"/>
              <w:szCs w:val="21"/>
            </w:rPr>
            <w:t>其他权益工具本期增减变动情况、变动原因说明，以及相关会计处理的依据：</w:t>
          </w:r>
        </w:p>
        <w:sdt>
          <w:sdtPr>
            <w:rPr>
              <w:szCs w:val="21"/>
            </w:rPr>
            <w:alias w:val="是否适用：其他权益工具本期增减变动情况、变动原因说明，以及相关会计处理的依据[双击切换]"/>
            <w:tag w:val="_GBC_e803942788b34e5092c70a4cbf71f4b5"/>
            <w:id w:val="-1350485312"/>
            <w:lock w:val="sdtLocked"/>
            <w:placeholder>
              <w:docPart w:val="GBC22222222222222222222222222222"/>
            </w:placeholder>
          </w:sdtPr>
          <w:sdtEndPr>
            <w:rPr>
              <w:szCs w:val="21"/>
            </w:rPr>
          </w:sdtEndPr>
          <w:sdtContent>
            <w:p>
              <w:pPr>
                <w:shd w:val="solid" w:color="FFFFFF" w:fill="auto"/>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8"/>
    <w:p>
      <w:pPr>
        <w:spacing w:line="360" w:lineRule="auto"/>
        <w:rPr>
          <w:szCs w:val="21"/>
        </w:rPr>
      </w:pPr>
    </w:p>
    <w:sdt>
      <w:sdtPr>
        <w:rPr>
          <w:rFonts w:hint="eastAsia"/>
          <w:szCs w:val="21"/>
        </w:rPr>
        <w:alias w:val="模块:其他说明"/>
        <w:tag w:val="_SEC_2737fbc9d66c421eae61476b09f44108"/>
        <w:id w:val="-1997710080"/>
        <w:lock w:val="sdtLocked"/>
        <w:placeholder>
          <w:docPart w:val="GBC22222222222222222222222222222"/>
        </w:placeholder>
      </w:sdtPr>
      <w:sdtEndPr>
        <w:rPr>
          <w:rFonts w:hint="default"/>
          <w:szCs w:val="21"/>
        </w:rPr>
      </w:sdtEndPr>
      <w:sdtContent>
        <w:p>
          <w:pPr>
            <w:spacing w:line="360" w:lineRule="auto"/>
            <w:rPr>
              <w:szCs w:val="21"/>
            </w:rPr>
          </w:pPr>
          <w:bookmarkStart w:id="209" w:name="_Hlk89785124"/>
          <w:r>
            <w:rPr>
              <w:rFonts w:hint="eastAsia"/>
              <w:szCs w:val="21"/>
            </w:rPr>
            <w:t>其他说明:</w:t>
          </w:r>
        </w:p>
        <w:sdt>
          <w:sdtPr>
            <w:rPr>
              <w:szCs w:val="21"/>
            </w:rPr>
            <w:alias w:val="是否适用：其他权益工具的其他说明[双击切换]"/>
            <w:tag w:val="_GBC_af2e32ae9c704175a99ebad592dec5f2"/>
            <w:id w:val="-926343831"/>
            <w:lock w:val="sdtLocked"/>
            <w:placeholder>
              <w:docPart w:val="GBC22222222222222222222222222222"/>
            </w:placeholder>
          </w:sdtPr>
          <w:sdtEndPr>
            <w:rPr>
              <w:szCs w:val="21"/>
            </w:rPr>
          </w:sdtEndPr>
          <w:sdtContent>
            <w:p>
              <w:pPr>
                <w:spacing w:line="360" w:lineRule="auto"/>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09"/>
    <w:p>
      <w:pPr>
        <w:spacing w:line="360" w:lineRule="auto"/>
        <w:rPr>
          <w:szCs w:val="21"/>
        </w:rPr>
      </w:pPr>
    </w:p>
    <w:sdt>
      <w:sdtPr>
        <w:rPr>
          <w:rFonts w:hint="eastAsia" w:ascii="宋体" w:hAnsi="宋体" w:cs="宋体"/>
          <w:b w:val="0"/>
          <w:bCs w:val="0"/>
          <w:kern w:val="0"/>
          <w:szCs w:val="21"/>
        </w:rPr>
        <w:alias w:val="模块:资本公积"/>
        <w:tag w:val="_SEC_39b8590a9e5d496db1d2cf229fd840e9"/>
        <w:id w:val="1915047165"/>
        <w:lock w:val="sdtLocked"/>
        <w:placeholder>
          <w:docPart w:val="GBC22222222222222222222222222222"/>
        </w:placeholder>
      </w:sdtPr>
      <w:sdtEndPr>
        <w:rPr>
          <w:rFonts w:hint="default" w:asciiTheme="minorEastAsia" w:hAnsiTheme="minorEastAsia" w:eastAsiaTheme="minorEastAsia" w:cstheme="minorBidi"/>
          <w:b w:val="0"/>
          <w:bCs w:val="0"/>
          <w:color w:val="000000" w:themeColor="text1"/>
          <w:kern w:val="2"/>
          <w:szCs w:val="21"/>
        </w:rPr>
      </w:sdtEndPr>
      <w:sdtContent>
        <w:p>
          <w:pPr>
            <w:pStyle w:val="213"/>
            <w:numPr>
              <w:ilvl w:val="0"/>
              <w:numId w:val="77"/>
            </w:numPr>
            <w:tabs>
              <w:tab w:val="left" w:pos="504"/>
            </w:tabs>
            <w:spacing w:before="0" w:after="0" w:line="360" w:lineRule="auto"/>
            <w:rPr>
              <w:rFonts w:ascii="宋体" w:hAnsi="宋体"/>
              <w:szCs w:val="21"/>
            </w:rPr>
          </w:pPr>
          <w:r>
            <w:rPr>
              <w:rFonts w:hint="eastAsia" w:ascii="宋体" w:hAnsi="宋体"/>
              <w:szCs w:val="21"/>
            </w:rPr>
            <w:t>资本公积</w:t>
          </w:r>
        </w:p>
        <w:sdt>
          <w:sdtPr>
            <w:alias w:val="是否适用：资本公积[双击切换]"/>
            <w:tag w:val="_GBC_58b0344d8757456787af32396840e233"/>
            <w:id w:val="238913716"/>
            <w:lock w:val="sdtLocked"/>
            <w:placeholder>
              <w:docPart w:val="GBC22222222222222222222222222222"/>
            </w:placeholder>
          </w:sdtPr>
          <w:sdtContent>
            <w:p>
              <w:pPr>
                <w:spacing w:line="360" w:lineRule="auto"/>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本公积"/>
              <w:tag w:val="_GBC_1b11e7474fd44870ad976b16c25b20f4"/>
              <w:id w:val="-13388332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9367077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217" w:type="pct"/>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813"/>
            <w:gridCol w:w="1907"/>
            <w:gridCol w:w="1586"/>
            <w:gridCol w:w="1696"/>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4e0b77813064aeb83afd63c7bafbdab"/>
                <w:id w:val="440262663"/>
                <w:lock w:val="sdtLocked"/>
              </w:sdtPr>
              <w:sdtContent>
                <w:tc>
                  <w:tcPr>
                    <w:tcW w:w="1018" w:type="pct"/>
                    <w:vAlign w:val="center"/>
                  </w:tcPr>
                  <w:p>
                    <w:pPr>
                      <w:autoSpaceDE w:val="0"/>
                      <w:autoSpaceDN w:val="0"/>
                      <w:adjustRightInd w:val="0"/>
                      <w:snapToGrid w:val="0"/>
                      <w:jc w:val="center"/>
                      <w:rPr>
                        <w:szCs w:val="21"/>
                      </w:rPr>
                    </w:pPr>
                    <w:r>
                      <w:rPr>
                        <w:rFonts w:hint="eastAsia"/>
                        <w:szCs w:val="21"/>
                      </w:rPr>
                      <w:t>项目</w:t>
                    </w:r>
                  </w:p>
                </w:tc>
              </w:sdtContent>
            </w:sdt>
            <w:sdt>
              <w:sdtPr>
                <w:tag w:val="_PLD_2e3387dfd4d8490ca15036edd55f5d7b"/>
                <w:id w:val="-895355005"/>
                <w:lock w:val="sdtLocked"/>
              </w:sdtPr>
              <w:sdtContent>
                <w:tc>
                  <w:tcPr>
                    <w:tcW w:w="1070" w:type="pct"/>
                    <w:vAlign w:val="center"/>
                  </w:tcPr>
                  <w:p>
                    <w:pPr>
                      <w:autoSpaceDE w:val="0"/>
                      <w:autoSpaceDN w:val="0"/>
                      <w:adjustRightInd w:val="0"/>
                      <w:snapToGrid w:val="0"/>
                      <w:jc w:val="center"/>
                      <w:rPr>
                        <w:szCs w:val="21"/>
                      </w:rPr>
                    </w:pPr>
                    <w:r>
                      <w:rPr>
                        <w:rFonts w:hint="eastAsia"/>
                        <w:szCs w:val="21"/>
                      </w:rPr>
                      <w:t>期初余额</w:t>
                    </w:r>
                  </w:p>
                </w:tc>
              </w:sdtContent>
            </w:sdt>
            <w:sdt>
              <w:sdtPr>
                <w:tag w:val="_PLD_48beb7e26e4d4ae4b8c76cfd47809420"/>
                <w:id w:val="-1121300471"/>
                <w:lock w:val="sdtLocked"/>
              </w:sdtPr>
              <w:sdtContent>
                <w:tc>
                  <w:tcPr>
                    <w:tcW w:w="890" w:type="pct"/>
                    <w:vAlign w:val="center"/>
                  </w:tcPr>
                  <w:p>
                    <w:pPr>
                      <w:autoSpaceDE w:val="0"/>
                      <w:autoSpaceDN w:val="0"/>
                      <w:adjustRightInd w:val="0"/>
                      <w:snapToGrid w:val="0"/>
                      <w:jc w:val="center"/>
                      <w:rPr>
                        <w:szCs w:val="21"/>
                      </w:rPr>
                    </w:pPr>
                    <w:r>
                      <w:rPr>
                        <w:rFonts w:hint="eastAsia"/>
                        <w:szCs w:val="21"/>
                      </w:rPr>
                      <w:t>本期增加</w:t>
                    </w:r>
                  </w:p>
                </w:tc>
              </w:sdtContent>
            </w:sdt>
            <w:sdt>
              <w:sdtPr>
                <w:tag w:val="_PLD_146cd5e556074222b88edab30b505382"/>
                <w:id w:val="-955257046"/>
                <w:lock w:val="sdtLocked"/>
              </w:sdtPr>
              <w:sdtContent>
                <w:tc>
                  <w:tcPr>
                    <w:tcW w:w="952" w:type="pct"/>
                    <w:vAlign w:val="center"/>
                  </w:tcPr>
                  <w:p>
                    <w:pPr>
                      <w:autoSpaceDE w:val="0"/>
                      <w:autoSpaceDN w:val="0"/>
                      <w:adjustRightInd w:val="0"/>
                      <w:snapToGrid w:val="0"/>
                      <w:jc w:val="center"/>
                      <w:rPr>
                        <w:szCs w:val="21"/>
                      </w:rPr>
                    </w:pPr>
                    <w:r>
                      <w:rPr>
                        <w:rFonts w:hint="eastAsia"/>
                        <w:szCs w:val="21"/>
                      </w:rPr>
                      <w:t>本期减少</w:t>
                    </w:r>
                  </w:p>
                </w:tc>
              </w:sdtContent>
            </w:sdt>
            <w:sdt>
              <w:sdtPr>
                <w:tag w:val="_PLD_ce18950b18064dc1ac40e20c98bf9dcb"/>
                <w:id w:val="-2064861351"/>
                <w:lock w:val="sdtLocked"/>
              </w:sdtPr>
              <w:sdtContent>
                <w:tc>
                  <w:tcPr>
                    <w:tcW w:w="1070" w:type="pct"/>
                    <w:vAlign w:val="center"/>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d018aed47f94c61acfb01bd741534a0"/>
                <w:id w:val="938408145"/>
                <w:lock w:val="sdtLocked"/>
              </w:sdtPr>
              <w:sdtContent>
                <w:tc>
                  <w:tcPr>
                    <w:tcW w:w="1018" w:type="pct"/>
                    <w:shd w:val="clear" w:color="auto" w:fill="auto"/>
                  </w:tcPr>
                  <w:p>
                    <w:pPr>
                      <w:autoSpaceDE w:val="0"/>
                      <w:autoSpaceDN w:val="0"/>
                      <w:adjustRightInd w:val="0"/>
                      <w:snapToGrid w:val="0"/>
                      <w:jc w:val="center"/>
                      <w:rPr>
                        <w:szCs w:val="21"/>
                      </w:rPr>
                    </w:pPr>
                    <w:r>
                      <w:rPr>
                        <w:rFonts w:hint="eastAsia"/>
                        <w:szCs w:val="21"/>
                      </w:rPr>
                      <w:t>资本溢价（股本溢价）</w:t>
                    </w:r>
                  </w:p>
                </w:tc>
              </w:sdtContent>
            </w:sdt>
            <w:tc>
              <w:tcPr>
                <w:tcW w:w="1070" w:type="pct"/>
                <w:shd w:val="clear" w:color="auto" w:fill="auto"/>
                <w:vAlign w:val="center"/>
              </w:tcPr>
              <w:p>
                <w:pPr>
                  <w:autoSpaceDE w:val="0"/>
                  <w:autoSpaceDN w:val="0"/>
                  <w:adjustRightInd w:val="0"/>
                  <w:snapToGrid w:val="0"/>
                  <w:jc w:val="right"/>
                  <w:rPr>
                    <w:szCs w:val="21"/>
                  </w:rPr>
                </w:pPr>
                <w:r>
                  <w:t>8,579,397,860.58</w:t>
                </w:r>
              </w:p>
            </w:tc>
            <w:tc>
              <w:tcPr>
                <w:tcW w:w="890" w:type="pct"/>
                <w:shd w:val="clear" w:color="auto" w:fill="auto"/>
                <w:vAlign w:val="center"/>
              </w:tcPr>
              <w:p>
                <w:pPr>
                  <w:jc w:val="right"/>
                  <w:rPr>
                    <w:sz w:val="24"/>
                  </w:rPr>
                </w:pPr>
                <w:r>
                  <w:t>5,958,560.84</w:t>
                </w:r>
              </w:p>
            </w:tc>
            <w:tc>
              <w:tcPr>
                <w:tcW w:w="952" w:type="pct"/>
                <w:shd w:val="clear" w:color="auto" w:fill="auto"/>
                <w:vAlign w:val="center"/>
              </w:tcPr>
              <w:p>
                <w:pPr>
                  <w:jc w:val="right"/>
                  <w:rPr>
                    <w:sz w:val="24"/>
                  </w:rPr>
                </w:pPr>
                <w:r>
                  <w:t>82,494,344.78</w:t>
                </w:r>
              </w:p>
            </w:tc>
            <w:tc>
              <w:tcPr>
                <w:tcW w:w="1070" w:type="pct"/>
                <w:shd w:val="clear" w:color="auto" w:fill="auto"/>
                <w:vAlign w:val="center"/>
              </w:tcPr>
              <w:p>
                <w:pPr>
                  <w:jc w:val="right"/>
                  <w:rPr>
                    <w:sz w:val="24"/>
                  </w:rPr>
                </w:pPr>
                <w:r>
                  <w:t>8,502,862,076.64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6bb5cd56f814da8b960cf8902cad6a5"/>
                <w:id w:val="-369683121"/>
                <w:lock w:val="sdtLocked"/>
              </w:sdtPr>
              <w:sdtContent>
                <w:tc>
                  <w:tcPr>
                    <w:tcW w:w="1018" w:type="pct"/>
                    <w:shd w:val="clear" w:color="auto" w:fill="auto"/>
                  </w:tcPr>
                  <w:p>
                    <w:pPr>
                      <w:autoSpaceDE w:val="0"/>
                      <w:autoSpaceDN w:val="0"/>
                      <w:adjustRightInd w:val="0"/>
                      <w:snapToGrid w:val="0"/>
                      <w:jc w:val="center"/>
                      <w:rPr>
                        <w:szCs w:val="21"/>
                      </w:rPr>
                    </w:pPr>
                    <w:r>
                      <w:rPr>
                        <w:rFonts w:hint="eastAsia"/>
                        <w:szCs w:val="21"/>
                      </w:rPr>
                      <w:t>其他资本公积</w:t>
                    </w:r>
                  </w:p>
                </w:tc>
              </w:sdtContent>
            </w:sdt>
            <w:tc>
              <w:tcPr>
                <w:tcW w:w="1070" w:type="pct"/>
                <w:shd w:val="clear" w:color="auto" w:fill="auto"/>
                <w:vAlign w:val="center"/>
              </w:tcPr>
              <w:p>
                <w:pPr>
                  <w:autoSpaceDE w:val="0"/>
                  <w:autoSpaceDN w:val="0"/>
                  <w:adjustRightInd w:val="0"/>
                  <w:snapToGrid w:val="0"/>
                  <w:jc w:val="right"/>
                  <w:rPr>
                    <w:szCs w:val="21"/>
                  </w:rPr>
                </w:pPr>
                <w:r>
                  <w:t>67,823,902.67</w:t>
                </w:r>
              </w:p>
            </w:tc>
            <w:tc>
              <w:tcPr>
                <w:tcW w:w="890" w:type="pct"/>
                <w:shd w:val="clear" w:color="auto" w:fill="auto"/>
                <w:vAlign w:val="center"/>
              </w:tcPr>
              <w:p>
                <w:pPr>
                  <w:jc w:val="right"/>
                  <w:rPr>
                    <w:sz w:val="24"/>
                  </w:rPr>
                </w:pPr>
                <w:r>
                  <w:t>528,798.08</w:t>
                </w:r>
              </w:p>
            </w:tc>
            <w:tc>
              <w:tcPr>
                <w:tcW w:w="952" w:type="pct"/>
                <w:shd w:val="clear" w:color="auto" w:fill="auto"/>
                <w:vAlign w:val="center"/>
              </w:tcPr>
              <w:p>
                <w:pPr>
                  <w:jc w:val="right"/>
                  <w:rPr>
                    <w:sz w:val="24"/>
                  </w:rPr>
                </w:pPr>
                <w:r>
                  <w:t>18,083,310.65</w:t>
                </w:r>
              </w:p>
            </w:tc>
            <w:tc>
              <w:tcPr>
                <w:tcW w:w="1070" w:type="pct"/>
                <w:shd w:val="clear" w:color="auto" w:fill="auto"/>
                <w:vAlign w:val="center"/>
              </w:tcPr>
              <w:p>
                <w:pPr>
                  <w:jc w:val="right"/>
                  <w:rPr>
                    <w:sz w:val="24"/>
                  </w:rPr>
                </w:pPr>
                <w:r>
                  <w:t>50,269,390.10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9b03907e667d49cf9868e1518c28d82c"/>
                <w:id w:val="-809253106"/>
                <w:lock w:val="sdtLocked"/>
              </w:sdtPr>
              <w:sdtContent>
                <w:tc>
                  <w:tcPr>
                    <w:tcW w:w="1018" w:type="pct"/>
                    <w:vAlign w:val="center"/>
                  </w:tcPr>
                  <w:p>
                    <w:pPr>
                      <w:autoSpaceDE w:val="0"/>
                      <w:autoSpaceDN w:val="0"/>
                      <w:adjustRightInd w:val="0"/>
                      <w:snapToGrid w:val="0"/>
                      <w:jc w:val="center"/>
                      <w:rPr>
                        <w:szCs w:val="21"/>
                      </w:rPr>
                    </w:pPr>
                    <w:r>
                      <w:rPr>
                        <w:rFonts w:hint="eastAsia"/>
                        <w:szCs w:val="21"/>
                      </w:rPr>
                      <w:t>合计</w:t>
                    </w:r>
                  </w:p>
                </w:tc>
              </w:sdtContent>
            </w:sdt>
            <w:tc>
              <w:tcPr>
                <w:tcW w:w="1070" w:type="pct"/>
                <w:vAlign w:val="center"/>
              </w:tcPr>
              <w:p>
                <w:pPr>
                  <w:jc w:val="right"/>
                  <w:rPr>
                    <w:sz w:val="24"/>
                  </w:rPr>
                </w:pPr>
                <w:r>
                  <w:t>8,647,221,763.25</w:t>
                </w:r>
              </w:p>
            </w:tc>
            <w:tc>
              <w:tcPr>
                <w:tcW w:w="890" w:type="pct"/>
                <w:vAlign w:val="center"/>
              </w:tcPr>
              <w:p>
                <w:pPr>
                  <w:jc w:val="right"/>
                  <w:rPr>
                    <w:sz w:val="24"/>
                  </w:rPr>
                </w:pPr>
                <w:r>
                  <w:t>6,487,358.92</w:t>
                </w:r>
              </w:p>
            </w:tc>
            <w:tc>
              <w:tcPr>
                <w:tcW w:w="952" w:type="pct"/>
                <w:vAlign w:val="center"/>
              </w:tcPr>
              <w:p>
                <w:pPr>
                  <w:jc w:val="right"/>
                  <w:rPr>
                    <w:sz w:val="24"/>
                  </w:rPr>
                </w:pPr>
                <w:r>
                  <w:t>100,577,655.43</w:t>
                </w:r>
              </w:p>
            </w:tc>
            <w:tc>
              <w:tcPr>
                <w:tcW w:w="1070" w:type="pct"/>
                <w:vAlign w:val="center"/>
              </w:tcPr>
              <w:p>
                <w:pPr>
                  <w:jc w:val="right"/>
                  <w:rPr>
                    <w:sz w:val="24"/>
                  </w:rPr>
                </w:pPr>
                <w:r>
                  <w:t>8,553,131,466.74</w:t>
                </w:r>
              </w:p>
            </w:tc>
          </w:tr>
        </w:tbl>
        <w:p/>
        <w:p>
          <w:pPr>
            <w:rPr>
              <w:szCs w:val="21"/>
            </w:rPr>
          </w:pPr>
          <w:r>
            <w:rPr>
              <w:rFonts w:hint="eastAsia"/>
              <w:szCs w:val="21"/>
            </w:rPr>
            <w:t>其他说明，包括本期增减变动情况、变动原因说明：</w:t>
          </w:r>
        </w:p>
        <w:sdt>
          <w:sdtPr>
            <w:rPr>
              <w:rFonts w:cs="宋体"/>
              <w:kern w:val="0"/>
              <w:szCs w:val="24"/>
            </w:rPr>
            <w:alias w:val="资本公积说明"/>
            <w:tag w:val="_GBC_bd957b69783b49af88b2c285825bd0fc"/>
            <w:id w:val="-580288735"/>
            <w:lock w:val="sdtLocked"/>
            <w:placeholder>
              <w:docPart w:val="GBC22222222222222222222222222222"/>
            </w:placeholder>
          </w:sdtPr>
          <w:sdtEndPr>
            <w:rPr>
              <w:rFonts w:cs="Times New Roman" w:asciiTheme="minorEastAsia" w:hAnsiTheme="minorEastAsia" w:eastAsiaTheme="minorEastAsia"/>
              <w:kern w:val="2"/>
              <w:szCs w:val="21"/>
            </w:rPr>
          </w:sdtEndPr>
          <w:sdtContent>
            <w:p>
              <w:pPr>
                <w:pStyle w:val="276"/>
                <w:widowControl w:val="0"/>
                <w:tabs>
                  <w:tab w:val="left" w:pos="196"/>
                  <w:tab w:val="left" w:pos="426"/>
                </w:tabs>
                <w:spacing w:before="120" w:beforeLines="5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注1：本公司2019年度财务业绩未达解锁条件，激励对象所持有的首次授予第三期及预留授予第二期待解锁限制性股票已不符合解锁条件，由公司回购注销，减少资本公积</w:t>
              </w:r>
              <w:r>
                <w:rPr>
                  <w:rFonts w:asciiTheme="minorEastAsia" w:hAnsiTheme="minorEastAsia" w:eastAsiaTheme="minorEastAsia"/>
                </w:rPr>
                <w:t>81,683,568.00</w:t>
              </w:r>
              <w:r>
                <w:rPr>
                  <w:rFonts w:hint="eastAsia" w:asciiTheme="minorEastAsia" w:hAnsiTheme="minorEastAsia" w:eastAsiaTheme="minorEastAsia"/>
                </w:rPr>
                <w:t>元；</w:t>
              </w:r>
            </w:p>
            <w:p>
              <w:pPr>
                <w:pStyle w:val="276"/>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注2：本公司投资企业重庆银行本年发行股份，导致本公司享有其净资产份额减少，减少资本公积18,083,310.6</w:t>
              </w:r>
              <w:r>
                <w:rPr>
                  <w:rFonts w:asciiTheme="minorEastAsia" w:hAnsiTheme="minorEastAsia" w:eastAsiaTheme="minorEastAsia"/>
                </w:rPr>
                <w:t>5</w:t>
              </w:r>
              <w:r>
                <w:rPr>
                  <w:rFonts w:hint="eastAsia" w:asciiTheme="minorEastAsia" w:hAnsiTheme="minorEastAsia" w:eastAsiaTheme="minorEastAsia"/>
                </w:rPr>
                <w:t>元；</w:t>
              </w:r>
            </w:p>
            <w:p>
              <w:pPr>
                <w:pStyle w:val="276"/>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注3：根据重整计划偿付债权人股份数量与提存数量差异，减少资本公积</w:t>
              </w:r>
              <w:r>
                <w:rPr>
                  <w:rFonts w:asciiTheme="minorEastAsia" w:hAnsiTheme="minorEastAsia" w:eastAsiaTheme="minorEastAsia"/>
                </w:rPr>
                <w:t>810,776.78</w:t>
              </w:r>
              <w:r>
                <w:rPr>
                  <w:rFonts w:hint="eastAsia" w:asciiTheme="minorEastAsia" w:hAnsiTheme="minorEastAsia" w:eastAsiaTheme="minorEastAsia"/>
                </w:rPr>
                <w:t>元；</w:t>
              </w:r>
            </w:p>
            <w:p>
              <w:pPr>
                <w:pStyle w:val="276"/>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注</w:t>
              </w:r>
              <w:r>
                <w:rPr>
                  <w:rFonts w:asciiTheme="minorEastAsia" w:hAnsiTheme="minorEastAsia" w:eastAsiaTheme="minorEastAsia"/>
                </w:rPr>
                <w:t>4</w:t>
              </w:r>
              <w:r>
                <w:rPr>
                  <w:rFonts w:hint="eastAsia" w:asciiTheme="minorEastAsia" w:hAnsiTheme="minorEastAsia" w:eastAsiaTheme="minorEastAsia"/>
                </w:rPr>
                <w:t>：本年度公司对河南力帆树民车业有限公司增资，增资成本小于享有净资产的份额增加资本公积5,958,560.8</w:t>
              </w:r>
              <w:r>
                <w:rPr>
                  <w:rFonts w:asciiTheme="minorEastAsia" w:hAnsiTheme="minorEastAsia" w:eastAsiaTheme="minorEastAsia"/>
                </w:rPr>
                <w:t>4</w:t>
              </w:r>
              <w:r>
                <w:rPr>
                  <w:rFonts w:hint="eastAsia" w:asciiTheme="minorEastAsia" w:hAnsiTheme="minorEastAsia" w:eastAsiaTheme="minorEastAsia"/>
                </w:rPr>
                <w:t>元；</w:t>
              </w:r>
            </w:p>
            <w:p>
              <w:pPr>
                <w:pStyle w:val="276"/>
                <w:widowControl w:val="0"/>
                <w:tabs>
                  <w:tab w:val="left" w:pos="196"/>
                  <w:tab w:val="left" w:pos="426"/>
                </w:tabs>
                <w:spacing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注</w:t>
              </w:r>
              <w:r>
                <w:rPr>
                  <w:rFonts w:asciiTheme="minorEastAsia" w:hAnsiTheme="minorEastAsia" w:eastAsiaTheme="minorEastAsia"/>
                </w:rPr>
                <w:t>5</w:t>
              </w:r>
              <w:r>
                <w:rPr>
                  <w:rFonts w:hint="eastAsia" w:asciiTheme="minorEastAsia" w:hAnsiTheme="minorEastAsia" w:eastAsiaTheme="minorEastAsia"/>
                </w:rPr>
                <w:t>：本公司投资企业重庆银行本年资本公积增加，本公司按照权益法核算相应增加资本公积528,798.08元。</w:t>
              </w:r>
            </w:p>
          </w:sdtContent>
        </w:sdt>
      </w:sdtContent>
    </w:sdt>
    <w:p>
      <w:pPr>
        <w:rPr>
          <w:szCs w:val="21"/>
        </w:rPr>
      </w:pPr>
    </w:p>
    <w:sdt>
      <w:sdtPr>
        <w:rPr>
          <w:rFonts w:hint="eastAsia" w:ascii="宋体" w:hAnsi="宋体" w:cs="宋体"/>
          <w:b w:val="0"/>
          <w:bCs w:val="0"/>
          <w:kern w:val="0"/>
          <w:szCs w:val="21"/>
        </w:rPr>
        <w:alias w:val="模块:库存股"/>
        <w:tag w:val="_SEC_ac3bac3dee6b41e2a9bd601e8215a41b"/>
        <w:id w:val="1720479851"/>
        <w:lock w:val="sdtLocked"/>
        <w:placeholder>
          <w:docPart w:val="GBC22222222222222222222222222222"/>
        </w:placeholder>
      </w:sdtPr>
      <w:sdtEndPr>
        <w:rPr>
          <w:rFonts w:hint="default" w:ascii="宋体" w:hAnsi="宋体" w:cstheme="minorBidi"/>
          <w:b w:val="0"/>
          <w:bCs w:val="0"/>
          <w:color w:val="000000" w:themeColor="text1"/>
          <w:kern w:val="2"/>
          <w:szCs w:val="21"/>
        </w:rPr>
      </w:sdtEndPr>
      <w:sdtContent>
        <w:p>
          <w:pPr>
            <w:pStyle w:val="213"/>
            <w:numPr>
              <w:ilvl w:val="0"/>
              <w:numId w:val="77"/>
            </w:numPr>
            <w:tabs>
              <w:tab w:val="left" w:pos="504"/>
            </w:tabs>
            <w:rPr>
              <w:rFonts w:ascii="宋体" w:hAnsi="宋体"/>
              <w:szCs w:val="21"/>
            </w:rPr>
          </w:pPr>
          <w:r>
            <w:rPr>
              <w:rFonts w:hint="eastAsia" w:ascii="宋体" w:hAnsi="宋体"/>
              <w:szCs w:val="21"/>
            </w:rPr>
            <w:t>库存股</w:t>
          </w:r>
        </w:p>
        <w:sdt>
          <w:sdtPr>
            <w:alias w:val="是否适用：库存股[双击切换]"/>
            <w:tag w:val="_GBC_8e4fbb6e216145d28e75f17bb16e2ed0"/>
            <w:id w:val="-35566390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22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库存股"/>
              <w:tag w:val="_GBC_1762a395ee414a4ab9d088576fc67b95"/>
              <w:id w:val="11850152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库存股"/>
              <w:tag w:val="_GBC_aa9b77277b2f445fb00ee31519c400b8"/>
              <w:id w:val="8787467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813"/>
            <w:gridCol w:w="1843"/>
            <w:gridCol w:w="1393"/>
            <w:gridCol w:w="1743"/>
            <w:gridCol w:w="1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bb42fd3c8c244e1ba361777cd8b061c"/>
                <w:id w:val="-347639798"/>
                <w:lock w:val="sdtLocked"/>
              </w:sdtPr>
              <w:sdtContent>
                <w:tc>
                  <w:tcPr>
                    <w:tcW w:w="1062" w:type="pct"/>
                    <w:shd w:val="clear" w:color="auto" w:fill="auto"/>
                    <w:vAlign w:val="center"/>
                  </w:tcPr>
                  <w:p>
                    <w:pPr>
                      <w:jc w:val="center"/>
                      <w:rPr>
                        <w:szCs w:val="21"/>
                      </w:rPr>
                    </w:pPr>
                    <w:r>
                      <w:rPr>
                        <w:rFonts w:hint="eastAsia"/>
                        <w:szCs w:val="21"/>
                      </w:rPr>
                      <w:t>项目</w:t>
                    </w:r>
                  </w:p>
                </w:tc>
              </w:sdtContent>
            </w:sdt>
            <w:sdt>
              <w:sdtPr>
                <w:tag w:val="_PLD_dbccb5fb3e6647159adf418aaf7a819d"/>
                <w:id w:val="-1978908685"/>
                <w:lock w:val="sdtLocked"/>
              </w:sdtPr>
              <w:sdtContent>
                <w:tc>
                  <w:tcPr>
                    <w:tcW w:w="1079" w:type="pct"/>
                    <w:shd w:val="clear" w:color="auto" w:fill="auto"/>
                    <w:vAlign w:val="center"/>
                  </w:tcPr>
                  <w:p>
                    <w:pPr>
                      <w:jc w:val="center"/>
                      <w:rPr>
                        <w:szCs w:val="21"/>
                      </w:rPr>
                    </w:pPr>
                    <w:r>
                      <w:rPr>
                        <w:rFonts w:hint="eastAsia"/>
                        <w:szCs w:val="21"/>
                      </w:rPr>
                      <w:t>期初余额</w:t>
                    </w:r>
                  </w:p>
                </w:tc>
              </w:sdtContent>
            </w:sdt>
            <w:sdt>
              <w:sdtPr>
                <w:tag w:val="_PLD_efd45699d9ff4436b9e070adb8fb59ad"/>
                <w:id w:val="-1359358248"/>
                <w:lock w:val="sdtLocked"/>
              </w:sdtPr>
              <w:sdtContent>
                <w:tc>
                  <w:tcPr>
                    <w:tcW w:w="816" w:type="pct"/>
                    <w:shd w:val="clear" w:color="auto" w:fill="auto"/>
                    <w:vAlign w:val="center"/>
                  </w:tcPr>
                  <w:p>
                    <w:pPr>
                      <w:jc w:val="center"/>
                      <w:rPr>
                        <w:szCs w:val="21"/>
                      </w:rPr>
                    </w:pPr>
                    <w:r>
                      <w:rPr>
                        <w:rFonts w:hint="eastAsia"/>
                        <w:szCs w:val="21"/>
                      </w:rPr>
                      <w:t>本期增加</w:t>
                    </w:r>
                  </w:p>
                </w:tc>
              </w:sdtContent>
            </w:sdt>
            <w:sdt>
              <w:sdtPr>
                <w:tag w:val="_PLD_98330c8585594c0b8f1ac93353a4e2bc"/>
                <w:id w:val="-1985993170"/>
                <w:lock w:val="sdtLocked"/>
              </w:sdtPr>
              <w:sdtContent>
                <w:tc>
                  <w:tcPr>
                    <w:tcW w:w="1021" w:type="pct"/>
                    <w:shd w:val="clear" w:color="auto" w:fill="auto"/>
                    <w:vAlign w:val="center"/>
                  </w:tcPr>
                  <w:p>
                    <w:pPr>
                      <w:jc w:val="center"/>
                      <w:rPr>
                        <w:szCs w:val="21"/>
                      </w:rPr>
                    </w:pPr>
                    <w:r>
                      <w:rPr>
                        <w:rFonts w:hint="eastAsia"/>
                        <w:szCs w:val="21"/>
                      </w:rPr>
                      <w:t>本期减少</w:t>
                    </w:r>
                  </w:p>
                </w:tc>
              </w:sdtContent>
            </w:sdt>
            <w:sdt>
              <w:sdtPr>
                <w:tag w:val="_PLD_6d3e824a5a6f4f1fbc66e6ffabf43d1e"/>
                <w:id w:val="155350479"/>
                <w:lock w:val="sdtLocked"/>
              </w:sdtPr>
              <w:sdtContent>
                <w:tc>
                  <w:tcPr>
                    <w:tcW w:w="1022" w:type="pct"/>
                    <w:shd w:val="clear" w:color="auto" w:fill="auto"/>
                    <w:vAlign w:val="center"/>
                  </w:tcPr>
                  <w:p>
                    <w:pPr>
                      <w:jc w:val="center"/>
                      <w:rPr>
                        <w:szCs w:val="21"/>
                      </w:rPr>
                    </w:pPr>
                    <w:r>
                      <w:rPr>
                        <w:rFonts w:hint="eastAsia"/>
                        <w:szCs w:val="21"/>
                      </w:rPr>
                      <w:t>期末余额</w:t>
                    </w:r>
                  </w:p>
                </w:tc>
              </w:sdtContent>
            </w:sdt>
          </w:tr>
          <w:sdt>
            <w:sdtPr>
              <w:rPr>
                <w:rFonts w:asciiTheme="minorHAnsi" w:hAnsiTheme="minorHAnsi" w:eastAsiaTheme="minorEastAsia" w:cstheme="minorBidi"/>
                <w:kern w:val="2"/>
                <w:szCs w:val="21"/>
              </w:rPr>
              <w:alias w:val="库存股明细"/>
              <w:tag w:val="_TUP_155668c650364b6b87e36fc6e1cff35f"/>
              <w:id w:val="-276103595"/>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62" w:type="pct"/>
                    <w:shd w:val="clear" w:color="auto" w:fill="auto"/>
                  </w:tcPr>
                  <w:p>
                    <w:pPr>
                      <w:jc w:val="center"/>
                      <w:rPr>
                        <w:szCs w:val="21"/>
                      </w:rPr>
                    </w:pPr>
                    <w:r>
                      <w:t>限制性股份支付</w:t>
                    </w:r>
                  </w:p>
                </w:tc>
                <w:tc>
                  <w:tcPr>
                    <w:tcW w:w="1079" w:type="pct"/>
                    <w:shd w:val="clear" w:color="auto" w:fill="auto"/>
                  </w:tcPr>
                  <w:p>
                    <w:pPr>
                      <w:jc w:val="right"/>
                      <w:rPr>
                        <w:szCs w:val="21"/>
                      </w:rPr>
                    </w:pPr>
                    <w:r>
                      <w:t>119,496,963.00</w:t>
                    </w:r>
                  </w:p>
                </w:tc>
                <w:tc>
                  <w:tcPr>
                    <w:tcW w:w="816" w:type="pct"/>
                    <w:shd w:val="clear" w:color="auto" w:fill="auto"/>
                  </w:tcPr>
                  <w:p>
                    <w:pPr>
                      <w:jc w:val="right"/>
                      <w:rPr>
                        <w:szCs w:val="21"/>
                      </w:rPr>
                    </w:pPr>
                  </w:p>
                </w:tc>
                <w:tc>
                  <w:tcPr>
                    <w:tcW w:w="1021" w:type="pct"/>
                    <w:shd w:val="clear" w:color="auto" w:fill="auto"/>
                  </w:tcPr>
                  <w:p>
                    <w:pPr>
                      <w:jc w:val="right"/>
                      <w:rPr>
                        <w:szCs w:val="21"/>
                      </w:rPr>
                    </w:pPr>
                    <w:r>
                      <w:t>119,496,963.00</w:t>
                    </w:r>
                  </w:p>
                </w:tc>
                <w:tc>
                  <w:tcPr>
                    <w:tcW w:w="1022" w:type="pct"/>
                    <w:shd w:val="clear" w:color="auto" w:fill="auto"/>
                  </w:tcPr>
                  <w:p>
                    <w:pPr>
                      <w:jc w:val="right"/>
                      <w:rPr>
                        <w:szCs w:val="21"/>
                      </w:rPr>
                    </w:pPr>
                  </w:p>
                </w:tc>
              </w:tr>
            </w:sdtContent>
          </w:sdt>
          <w:sdt>
            <w:sdtPr>
              <w:rPr>
                <w:rFonts w:asciiTheme="minorHAnsi" w:hAnsiTheme="minorHAnsi" w:eastAsiaTheme="minorEastAsia" w:cstheme="minorBidi"/>
                <w:kern w:val="2"/>
                <w:szCs w:val="21"/>
              </w:rPr>
              <w:alias w:val="库存股明细"/>
              <w:tag w:val="_TUP_155668c650364b6b87e36fc6e1cff35f"/>
              <w:id w:val="-2118594398"/>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062" w:type="pct"/>
                    <w:shd w:val="clear" w:color="auto" w:fill="auto"/>
                  </w:tcPr>
                  <w:p>
                    <w:pPr>
                      <w:jc w:val="center"/>
                      <w:rPr>
                        <w:szCs w:val="21"/>
                      </w:rPr>
                    </w:pPr>
                    <w:r>
                      <w:t>其他</w:t>
                    </w:r>
                  </w:p>
                </w:tc>
                <w:tc>
                  <w:tcPr>
                    <w:tcW w:w="1079" w:type="pct"/>
                    <w:shd w:val="clear" w:color="auto" w:fill="auto"/>
                  </w:tcPr>
                  <w:p>
                    <w:pPr>
                      <w:jc w:val="right"/>
                      <w:rPr>
                        <w:szCs w:val="21"/>
                      </w:rPr>
                    </w:pPr>
                    <w:r>
                      <w:t>131,100,891.00</w:t>
                    </w:r>
                  </w:p>
                </w:tc>
                <w:tc>
                  <w:tcPr>
                    <w:tcW w:w="816" w:type="pct"/>
                    <w:shd w:val="clear" w:color="auto" w:fill="auto"/>
                  </w:tcPr>
                  <w:p>
                    <w:pPr>
                      <w:jc w:val="right"/>
                      <w:rPr>
                        <w:szCs w:val="21"/>
                      </w:rPr>
                    </w:pPr>
                  </w:p>
                </w:tc>
                <w:tc>
                  <w:tcPr>
                    <w:tcW w:w="1021" w:type="pct"/>
                    <w:shd w:val="clear" w:color="auto" w:fill="auto"/>
                  </w:tcPr>
                  <w:p>
                    <w:pPr>
                      <w:jc w:val="right"/>
                      <w:rPr>
                        <w:szCs w:val="21"/>
                      </w:rPr>
                    </w:pPr>
                    <w:r>
                      <w:t>4,736,544.00</w:t>
                    </w:r>
                  </w:p>
                </w:tc>
                <w:tc>
                  <w:tcPr>
                    <w:tcW w:w="1022" w:type="pct"/>
                    <w:shd w:val="clear" w:color="auto" w:fill="auto"/>
                  </w:tcPr>
                  <w:p>
                    <w:pPr>
                      <w:jc w:val="right"/>
                      <w:rPr>
                        <w:szCs w:val="21"/>
                      </w:rPr>
                    </w:pPr>
                    <w:r>
                      <w:t>126,364,347.00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7d4f1ba4e14417684884ada7cc0062b"/>
                <w:id w:val="1212847798"/>
                <w:lock w:val="sdtLocked"/>
              </w:sdtPr>
              <w:sdtContent>
                <w:tc>
                  <w:tcPr>
                    <w:tcW w:w="1062" w:type="pct"/>
                    <w:shd w:val="clear" w:color="auto" w:fill="auto"/>
                    <w:vAlign w:val="center"/>
                  </w:tcPr>
                  <w:p>
                    <w:pPr>
                      <w:jc w:val="center"/>
                      <w:rPr>
                        <w:szCs w:val="21"/>
                      </w:rPr>
                    </w:pPr>
                    <w:r>
                      <w:rPr>
                        <w:rFonts w:hint="eastAsia"/>
                        <w:szCs w:val="21"/>
                      </w:rPr>
                      <w:t>合计</w:t>
                    </w:r>
                  </w:p>
                </w:tc>
              </w:sdtContent>
            </w:sdt>
            <w:tc>
              <w:tcPr>
                <w:tcW w:w="1079" w:type="pct"/>
                <w:shd w:val="clear" w:color="auto" w:fill="auto"/>
                <w:vAlign w:val="center"/>
              </w:tcPr>
              <w:p>
                <w:pPr>
                  <w:jc w:val="right"/>
                  <w:rPr>
                    <w:sz w:val="24"/>
                  </w:rPr>
                </w:pPr>
                <w:r>
                  <w:t>250,597,854.00</w:t>
                </w:r>
              </w:p>
            </w:tc>
            <w:tc>
              <w:tcPr>
                <w:tcW w:w="816" w:type="pct"/>
                <w:shd w:val="clear" w:color="auto" w:fill="auto"/>
                <w:vAlign w:val="center"/>
              </w:tcPr>
              <w:p>
                <w:pPr>
                  <w:jc w:val="right"/>
                  <w:rPr>
                    <w:sz w:val="24"/>
                  </w:rPr>
                </w:pPr>
              </w:p>
            </w:tc>
            <w:tc>
              <w:tcPr>
                <w:tcW w:w="1021" w:type="pct"/>
                <w:shd w:val="clear" w:color="auto" w:fill="auto"/>
                <w:vAlign w:val="center"/>
              </w:tcPr>
              <w:p>
                <w:pPr>
                  <w:jc w:val="right"/>
                  <w:rPr>
                    <w:sz w:val="24"/>
                  </w:rPr>
                </w:pPr>
                <w:r>
                  <w:t>124,233,507.00</w:t>
                </w:r>
              </w:p>
            </w:tc>
            <w:tc>
              <w:tcPr>
                <w:tcW w:w="1022" w:type="pct"/>
                <w:shd w:val="clear" w:color="auto" w:fill="auto"/>
                <w:vAlign w:val="center"/>
              </w:tcPr>
              <w:p>
                <w:pPr>
                  <w:jc w:val="right"/>
                  <w:rPr>
                    <w:sz w:val="24"/>
                  </w:rPr>
                </w:pPr>
                <w:r>
                  <w:t>126,364,347.00</w:t>
                </w:r>
              </w:p>
            </w:tc>
          </w:tr>
        </w:tbl>
        <w:p/>
        <w:p>
          <w:pPr>
            <w:rPr>
              <w:rFonts w:asciiTheme="minorEastAsia" w:hAnsiTheme="minorEastAsia" w:eastAsiaTheme="minorEastAsia"/>
              <w:szCs w:val="21"/>
            </w:rPr>
          </w:pPr>
          <w:r>
            <w:rPr>
              <w:rFonts w:hint="eastAsia" w:asciiTheme="minorEastAsia" w:hAnsiTheme="minorEastAsia" w:eastAsiaTheme="minorEastAsia"/>
              <w:szCs w:val="21"/>
            </w:rPr>
            <w:t>其他说明，包括本期增减变动情况、变动原因说明：</w:t>
          </w:r>
        </w:p>
        <w:sdt>
          <w:sdtPr>
            <w:rPr>
              <w:rFonts w:cs="宋体" w:asciiTheme="minorEastAsia" w:hAnsiTheme="minorEastAsia" w:eastAsiaTheme="minorEastAsia"/>
              <w:kern w:val="0"/>
              <w:szCs w:val="24"/>
            </w:rPr>
            <w:alias w:val="库存股情况说明"/>
            <w:tag w:val="_GBC_42d286884eca4cfab482f6fcc10c0c0b"/>
            <w:id w:val="-47371911"/>
            <w:lock w:val="sdtLocked"/>
            <w:placeholder>
              <w:docPart w:val="GBC22222222222222222222222222222"/>
            </w:placeholder>
          </w:sdtPr>
          <w:sdtEndPr>
            <w:rPr>
              <w:rFonts w:ascii="宋体" w:hAnsi="宋体" w:eastAsia="宋体" w:cs="宋体"/>
              <w:kern w:val="0"/>
              <w:szCs w:val="24"/>
            </w:rPr>
          </w:sdtEndPr>
          <w:sdtContent>
            <w:p>
              <w:pPr>
                <w:pStyle w:val="276"/>
                <w:widowControl w:val="0"/>
                <w:tabs>
                  <w:tab w:val="left" w:pos="196"/>
                  <w:tab w:val="left" w:pos="426"/>
                </w:tabs>
                <w:spacing w:before="120" w:beforeLines="50" w:line="360" w:lineRule="auto"/>
                <w:ind w:left="0" w:leftChars="0" w:firstLine="420" w:firstLineChars="200"/>
                <w:jc w:val="both"/>
                <w:rPr>
                  <w:rFonts w:asciiTheme="minorEastAsia" w:hAnsiTheme="minorEastAsia" w:eastAsiaTheme="minorEastAsia"/>
                </w:rPr>
              </w:pPr>
              <w:r>
                <w:rPr>
                  <w:rFonts w:hint="eastAsia" w:asciiTheme="minorEastAsia" w:hAnsiTheme="minorEastAsia" w:eastAsiaTheme="minorEastAsia"/>
                </w:rPr>
                <w:t>注1：本公司2019年度财务业绩未达解锁条件，激励对象所持有的首次授予第三期及预留授予第二期待解锁限制性股票已不符合解锁条件，由公司回购注销，减少库存股</w:t>
              </w:r>
              <w:r>
                <w:rPr>
                  <w:rFonts w:asciiTheme="minorEastAsia" w:hAnsiTheme="minorEastAsia" w:eastAsiaTheme="minorEastAsia"/>
                </w:rPr>
                <w:t>119,496,963.00</w:t>
              </w:r>
              <w:r>
                <w:rPr>
                  <w:rFonts w:hint="eastAsia" w:asciiTheme="minorEastAsia" w:hAnsiTheme="minorEastAsia" w:eastAsiaTheme="minorEastAsia"/>
                </w:rPr>
                <w:t>元；</w:t>
              </w:r>
            </w:p>
            <w:p>
              <w:pPr>
                <w:pStyle w:val="276"/>
                <w:widowControl w:val="0"/>
                <w:tabs>
                  <w:tab w:val="left" w:pos="196"/>
                  <w:tab w:val="left" w:pos="426"/>
                </w:tabs>
                <w:spacing w:before="120" w:beforeLines="50" w:line="360" w:lineRule="auto"/>
                <w:ind w:left="0" w:leftChars="0" w:firstLine="420" w:firstLineChars="200"/>
                <w:jc w:val="both"/>
                <w:rPr>
                  <w:rFonts w:asciiTheme="minorEastAsia" w:hAnsiTheme="minorEastAsia" w:eastAsiaTheme="minorEastAsia"/>
                </w:rPr>
                <w:sectPr>
                  <w:pgSz w:w="11906" w:h="16838"/>
                  <w:pgMar w:top="1724" w:right="1797" w:bottom="1440" w:left="1797" w:header="851" w:footer="992" w:gutter="0"/>
                  <w:cols w:space="720" w:num="1"/>
                  <w:docGrid w:linePitch="312" w:charSpace="0"/>
                </w:sectPr>
              </w:pPr>
              <w:r>
                <w:rPr>
                  <w:rFonts w:hint="eastAsia" w:asciiTheme="minorEastAsia" w:hAnsiTheme="minorEastAsia" w:eastAsiaTheme="minorEastAsia"/>
                </w:rPr>
                <w:t>注2：根据重整计划偿付债权人股份数量与提存数量差异，减少库存股</w:t>
              </w:r>
              <w:r>
                <w:rPr>
                  <w:rFonts w:asciiTheme="minorEastAsia" w:hAnsiTheme="minorEastAsia" w:eastAsiaTheme="minorEastAsia"/>
                </w:rPr>
                <w:t>4,736,544.00</w:t>
              </w:r>
              <w:r>
                <w:rPr>
                  <w:rFonts w:hint="eastAsia" w:asciiTheme="minorEastAsia" w:hAnsiTheme="minorEastAsia" w:eastAsiaTheme="minorEastAsia"/>
                </w:rPr>
                <w:t>元。</w:t>
              </w:r>
            </w:p>
            <w:p>
              <w:pPr>
                <w:rPr>
                  <w:b/>
                  <w:szCs w:val="21"/>
                </w:rPr>
              </w:pPr>
            </w:p>
          </w:sdtContent>
        </w:sdt>
      </w:sdtContent>
    </w:sdt>
    <w:sdt>
      <w:sdtPr>
        <w:rPr>
          <w:rFonts w:ascii="宋体" w:hAnsi="宋体" w:cs="宋体"/>
          <w:b w:val="0"/>
          <w:bCs w:val="0"/>
          <w:kern w:val="0"/>
          <w:szCs w:val="21"/>
        </w:rPr>
        <w:alias w:val="模块:"/>
        <w:tag w:val="_SEC_b7abde66ee9f475b9c7a82f58ed72510"/>
        <w:id w:val="-935357814"/>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77"/>
            </w:numPr>
            <w:tabs>
              <w:tab w:val="left" w:pos="504"/>
            </w:tabs>
            <w:rPr>
              <w:rFonts w:ascii="宋体" w:hAnsi="宋体"/>
              <w:szCs w:val="21"/>
            </w:rPr>
          </w:pPr>
          <w:bookmarkStart w:id="210" w:name="_Hlk10537776"/>
          <w:bookmarkEnd w:id="210"/>
          <w:bookmarkStart w:id="211" w:name="_Hlk24027351"/>
          <w:r>
            <w:rPr>
              <w:rFonts w:hint="eastAsia" w:ascii="宋体" w:hAnsi="宋体"/>
              <w:szCs w:val="21"/>
            </w:rPr>
            <w:t>其他综合收益</w:t>
          </w:r>
        </w:p>
        <w:sdt>
          <w:sdtPr>
            <w:alias w:val="是否适用：其他综合收益[双击切换]"/>
            <w:tag w:val="_GBC_60105f81909745c788232a2118ec8260"/>
            <w:id w:val="489375388"/>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其他综合收益情况"/>
              <w:tag w:val="_GBC_e409bf7299734ac38578b7aeaafe4b22"/>
              <w:id w:val="80111871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其他综合收益情况"/>
              <w:tag w:val="_GBC_27d655d96e764a21a47eae18f25945dc"/>
              <w:id w:val="174152459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08"/>
            <w:tblW w:w="5614"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341"/>
            <w:gridCol w:w="2065"/>
            <w:gridCol w:w="1036"/>
            <w:gridCol w:w="2162"/>
            <w:gridCol w:w="1812"/>
            <w:gridCol w:w="1984"/>
            <w:gridCol w:w="1850"/>
            <w:gridCol w:w="1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sdt>
              <w:sdtPr>
                <w:rPr>
                  <w:sz w:val="18"/>
                  <w:szCs w:val="18"/>
                </w:rPr>
                <w:tag w:val="_PLD_b9ff3615ccfb4fb8b5b240bdfb50f58f"/>
                <w:id w:val="1824620558"/>
                <w:lock w:val="sdtLocked"/>
              </w:sdtPr>
              <w:sdtEndPr>
                <w:rPr>
                  <w:sz w:val="18"/>
                  <w:szCs w:val="18"/>
                </w:rPr>
              </w:sdtEndPr>
              <w:sdtContent>
                <w:tc>
                  <w:tcPr>
                    <w:tcW w:w="574" w:type="pct"/>
                    <w:vMerge w:val="restart"/>
                    <w:shd w:val="clear" w:color="auto" w:fill="auto"/>
                    <w:vAlign w:val="center"/>
                  </w:tcPr>
                  <w:p>
                    <w:pPr>
                      <w:jc w:val="center"/>
                      <w:rPr>
                        <w:sz w:val="18"/>
                        <w:szCs w:val="18"/>
                      </w:rPr>
                    </w:pPr>
                    <w:r>
                      <w:rPr>
                        <w:rFonts w:hint="eastAsia"/>
                        <w:sz w:val="18"/>
                        <w:szCs w:val="18"/>
                      </w:rPr>
                      <w:t>项目</w:t>
                    </w:r>
                  </w:p>
                </w:tc>
              </w:sdtContent>
            </w:sdt>
            <w:sdt>
              <w:sdtPr>
                <w:rPr>
                  <w:sz w:val="18"/>
                  <w:szCs w:val="18"/>
                </w:rPr>
                <w:tag w:val="_PLD_c452eb3cb7084e41ba725641dbad27ab"/>
                <w:id w:val="100846626"/>
                <w:lock w:val="sdtLocked"/>
              </w:sdtPr>
              <w:sdtEndPr>
                <w:rPr>
                  <w:sz w:val="18"/>
                  <w:szCs w:val="18"/>
                </w:rPr>
              </w:sdtEndPr>
              <w:sdtContent>
                <w:tc>
                  <w:tcPr>
                    <w:tcW w:w="430" w:type="pct"/>
                    <w:vMerge w:val="restart"/>
                    <w:shd w:val="clear" w:color="auto" w:fill="auto"/>
                    <w:vAlign w:val="center"/>
                  </w:tcPr>
                  <w:p>
                    <w:pPr>
                      <w:jc w:val="center"/>
                      <w:rPr>
                        <w:sz w:val="18"/>
                        <w:szCs w:val="18"/>
                      </w:rPr>
                    </w:pPr>
                    <w:r>
                      <w:rPr>
                        <w:rFonts w:hint="eastAsia"/>
                        <w:sz w:val="18"/>
                        <w:szCs w:val="18"/>
                      </w:rPr>
                      <w:t>期初</w:t>
                    </w:r>
                  </w:p>
                  <w:p>
                    <w:pPr>
                      <w:jc w:val="center"/>
                      <w:rPr>
                        <w:sz w:val="18"/>
                        <w:szCs w:val="18"/>
                      </w:rPr>
                    </w:pPr>
                    <w:r>
                      <w:rPr>
                        <w:rFonts w:hint="eastAsia"/>
                        <w:sz w:val="18"/>
                        <w:szCs w:val="18"/>
                      </w:rPr>
                      <w:t>余额</w:t>
                    </w:r>
                  </w:p>
                </w:tc>
              </w:sdtContent>
            </w:sdt>
            <w:sdt>
              <w:sdtPr>
                <w:rPr>
                  <w:sz w:val="18"/>
                  <w:szCs w:val="18"/>
                </w:rPr>
                <w:tag w:val="_PLD_c4c67158aa744717a253a7b51b99ed00"/>
                <w:id w:val="-1943297907"/>
                <w:lock w:val="sdtLocked"/>
              </w:sdtPr>
              <w:sdtEndPr>
                <w:rPr>
                  <w:sz w:val="18"/>
                  <w:szCs w:val="18"/>
                </w:rPr>
              </w:sdtEndPr>
              <w:sdtContent>
                <w:tc>
                  <w:tcPr>
                    <w:tcW w:w="3497" w:type="pct"/>
                    <w:gridSpan w:val="6"/>
                    <w:shd w:val="clear" w:color="auto" w:fill="auto"/>
                    <w:vAlign w:val="center"/>
                  </w:tcPr>
                  <w:p>
                    <w:pPr>
                      <w:jc w:val="center"/>
                      <w:rPr>
                        <w:sz w:val="18"/>
                        <w:szCs w:val="18"/>
                      </w:rPr>
                    </w:pPr>
                    <w:r>
                      <w:rPr>
                        <w:rFonts w:hint="eastAsia"/>
                        <w:sz w:val="18"/>
                        <w:szCs w:val="18"/>
                      </w:rPr>
                      <w:t>本期发生金额</w:t>
                    </w:r>
                  </w:p>
                </w:tc>
              </w:sdtContent>
            </w:sdt>
            <w:sdt>
              <w:sdtPr>
                <w:rPr>
                  <w:sz w:val="18"/>
                  <w:szCs w:val="18"/>
                </w:rPr>
                <w:tag w:val="_PLD_2fcdc30e089b48d0af01eff4e6c0c7ad"/>
                <w:id w:val="-1621912908"/>
                <w:lock w:val="sdtLocked"/>
              </w:sdtPr>
              <w:sdtEndPr>
                <w:rPr>
                  <w:sz w:val="18"/>
                  <w:szCs w:val="18"/>
                </w:rPr>
              </w:sdtEndPr>
              <w:sdtContent>
                <w:tc>
                  <w:tcPr>
                    <w:tcW w:w="499" w:type="pct"/>
                    <w:vMerge w:val="restart"/>
                    <w:shd w:val="clear" w:color="auto" w:fill="auto"/>
                    <w:vAlign w:val="center"/>
                  </w:tcPr>
                  <w:p>
                    <w:pPr>
                      <w:jc w:val="center"/>
                      <w:rPr>
                        <w:sz w:val="18"/>
                        <w:szCs w:val="18"/>
                      </w:rPr>
                    </w:pPr>
                    <w:r>
                      <w:rPr>
                        <w:rFonts w:hint="eastAsia"/>
                        <w:sz w:val="18"/>
                        <w:szCs w:val="18"/>
                      </w:rPr>
                      <w:t>期末</w:t>
                    </w:r>
                  </w:p>
                  <w:p>
                    <w:pPr>
                      <w:jc w:val="center"/>
                      <w:rPr>
                        <w:sz w:val="18"/>
                        <w:szCs w:val="18"/>
                      </w:rPr>
                    </w:pPr>
                    <w:r>
                      <w:rPr>
                        <w:rFonts w:hint="eastAsia"/>
                        <w:sz w:val="18"/>
                        <w:szCs w:val="18"/>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pct"/>
                <w:vMerge w:val="continue"/>
                <w:shd w:val="clear" w:color="auto" w:fill="auto"/>
              </w:tcPr>
              <w:p>
                <w:pPr>
                  <w:jc w:val="center"/>
                  <w:rPr>
                    <w:sz w:val="18"/>
                    <w:szCs w:val="18"/>
                  </w:rPr>
                </w:pPr>
              </w:p>
            </w:tc>
            <w:tc>
              <w:tcPr>
                <w:tcW w:w="430" w:type="pct"/>
                <w:vMerge w:val="continue"/>
                <w:shd w:val="clear" w:color="auto" w:fill="auto"/>
              </w:tcPr>
              <w:p>
                <w:pPr>
                  <w:jc w:val="center"/>
                  <w:rPr>
                    <w:sz w:val="18"/>
                    <w:szCs w:val="18"/>
                  </w:rPr>
                </w:pPr>
              </w:p>
            </w:tc>
            <w:sdt>
              <w:sdtPr>
                <w:rPr>
                  <w:sz w:val="18"/>
                  <w:szCs w:val="18"/>
                </w:rPr>
                <w:tag w:val="_PLD_08b0381418824e1685e4223515aed1f1"/>
                <w:id w:val="1555888316"/>
                <w:lock w:val="sdtLocked"/>
              </w:sdtPr>
              <w:sdtEndPr>
                <w:rPr>
                  <w:sz w:val="18"/>
                  <w:szCs w:val="18"/>
                </w:rPr>
              </w:sdtEndPr>
              <w:sdtContent>
                <w:tc>
                  <w:tcPr>
                    <w:tcW w:w="662" w:type="pct"/>
                    <w:shd w:val="clear" w:color="auto" w:fill="auto"/>
                    <w:vAlign w:val="center"/>
                  </w:tcPr>
                  <w:p>
                    <w:pPr>
                      <w:jc w:val="center"/>
                      <w:rPr>
                        <w:sz w:val="18"/>
                        <w:szCs w:val="18"/>
                      </w:rPr>
                    </w:pPr>
                    <w:r>
                      <w:rPr>
                        <w:rFonts w:hint="eastAsia"/>
                        <w:sz w:val="18"/>
                        <w:szCs w:val="18"/>
                      </w:rPr>
                      <w:t>本期所得税前发生额</w:t>
                    </w:r>
                  </w:p>
                </w:tc>
              </w:sdtContent>
            </w:sdt>
            <w:sdt>
              <w:sdtPr>
                <w:rPr>
                  <w:sz w:val="18"/>
                  <w:szCs w:val="18"/>
                </w:rPr>
                <w:tag w:val="_PLD_b9b4a9789ab94b46aa682fa396296a6f"/>
                <w:id w:val="-1185284832"/>
                <w:lock w:val="sdtLocked"/>
              </w:sdtPr>
              <w:sdtEndPr>
                <w:rPr>
                  <w:sz w:val="18"/>
                  <w:szCs w:val="18"/>
                </w:rPr>
              </w:sdtEndPr>
              <w:sdtContent>
                <w:tc>
                  <w:tcPr>
                    <w:tcW w:w="332" w:type="pct"/>
                    <w:shd w:val="clear" w:color="auto" w:fill="auto"/>
                    <w:vAlign w:val="center"/>
                  </w:tcPr>
                  <w:p>
                    <w:pPr>
                      <w:jc w:val="center"/>
                      <w:rPr>
                        <w:sz w:val="18"/>
                        <w:szCs w:val="18"/>
                      </w:rPr>
                    </w:pPr>
                    <w:r>
                      <w:rPr>
                        <w:rFonts w:hint="eastAsia"/>
                        <w:sz w:val="18"/>
                        <w:szCs w:val="18"/>
                      </w:rPr>
                      <w:t>减：前期计入其他综合收益当期转入损益</w:t>
                    </w:r>
                  </w:p>
                </w:tc>
              </w:sdtContent>
            </w:sdt>
            <w:tc>
              <w:tcPr>
                <w:tcW w:w="693" w:type="pct"/>
              </w:tcPr>
              <w:sdt>
                <w:sdtPr>
                  <w:rPr>
                    <w:rFonts w:hint="eastAsia"/>
                    <w:sz w:val="18"/>
                    <w:szCs w:val="18"/>
                  </w:rPr>
                  <w:tag w:val="_PLD_a38fa46c72bd4d5dbd427d2107ab58cc"/>
                  <w:id w:val="850077868"/>
                  <w:lock w:val="sdtLocked"/>
                </w:sdtPr>
                <w:sdtEndPr>
                  <w:rPr>
                    <w:rFonts w:hint="eastAsia"/>
                    <w:sz w:val="18"/>
                    <w:szCs w:val="18"/>
                  </w:rPr>
                </w:sdtEndPr>
                <w:sdtContent>
                  <w:p>
                    <w:pPr>
                      <w:jc w:val="center"/>
                      <w:rPr>
                        <w:sz w:val="18"/>
                        <w:szCs w:val="18"/>
                      </w:rPr>
                    </w:pPr>
                    <w:r>
                      <w:rPr>
                        <w:rFonts w:hint="eastAsia"/>
                        <w:sz w:val="18"/>
                        <w:szCs w:val="18"/>
                      </w:rPr>
                      <w:t>减：前期计入其他综合收益当期转入留存收益</w:t>
                    </w:r>
                  </w:p>
                </w:sdtContent>
              </w:sdt>
            </w:tc>
            <w:sdt>
              <w:sdtPr>
                <w:rPr>
                  <w:sz w:val="18"/>
                  <w:szCs w:val="18"/>
                </w:rPr>
                <w:tag w:val="_PLD_3aa0b45624ce4714ba49e23b657915b8"/>
                <w:id w:val="-1426184273"/>
                <w:lock w:val="sdtLocked"/>
              </w:sdtPr>
              <w:sdtEndPr>
                <w:rPr>
                  <w:sz w:val="18"/>
                  <w:szCs w:val="18"/>
                </w:rPr>
              </w:sdtEndPr>
              <w:sdtContent>
                <w:tc>
                  <w:tcPr>
                    <w:tcW w:w="581" w:type="pct"/>
                    <w:shd w:val="clear" w:color="auto" w:fill="auto"/>
                    <w:vAlign w:val="center"/>
                  </w:tcPr>
                  <w:p>
                    <w:pPr>
                      <w:jc w:val="center"/>
                      <w:rPr>
                        <w:sz w:val="18"/>
                        <w:szCs w:val="18"/>
                      </w:rPr>
                    </w:pPr>
                    <w:r>
                      <w:rPr>
                        <w:rFonts w:hint="eastAsia"/>
                        <w:sz w:val="18"/>
                        <w:szCs w:val="18"/>
                      </w:rPr>
                      <w:t>减：所得税费用</w:t>
                    </w:r>
                  </w:p>
                </w:tc>
              </w:sdtContent>
            </w:sdt>
            <w:sdt>
              <w:sdtPr>
                <w:rPr>
                  <w:sz w:val="18"/>
                  <w:szCs w:val="18"/>
                </w:rPr>
                <w:tag w:val="_PLD_8b3cddc1172740f1a089204a9d0cbe76"/>
                <w:id w:val="-1004200912"/>
                <w:lock w:val="sdtLocked"/>
              </w:sdtPr>
              <w:sdtEndPr>
                <w:rPr>
                  <w:sz w:val="18"/>
                  <w:szCs w:val="18"/>
                </w:rPr>
              </w:sdtEndPr>
              <w:sdtContent>
                <w:tc>
                  <w:tcPr>
                    <w:tcW w:w="636" w:type="pct"/>
                    <w:shd w:val="clear" w:color="auto" w:fill="auto"/>
                    <w:vAlign w:val="center"/>
                  </w:tcPr>
                  <w:p>
                    <w:pPr>
                      <w:jc w:val="center"/>
                      <w:rPr>
                        <w:sz w:val="18"/>
                        <w:szCs w:val="18"/>
                      </w:rPr>
                    </w:pPr>
                    <w:r>
                      <w:rPr>
                        <w:rFonts w:hint="eastAsia"/>
                        <w:sz w:val="18"/>
                        <w:szCs w:val="18"/>
                      </w:rPr>
                      <w:t>税后归属于母公司</w:t>
                    </w:r>
                  </w:p>
                </w:tc>
              </w:sdtContent>
            </w:sdt>
            <w:sdt>
              <w:sdtPr>
                <w:rPr>
                  <w:sz w:val="18"/>
                  <w:szCs w:val="18"/>
                </w:rPr>
                <w:tag w:val="_PLD_addbe2b10c3b49449f4532c4ee8679a0"/>
                <w:id w:val="-1130623691"/>
                <w:lock w:val="sdtLocked"/>
              </w:sdtPr>
              <w:sdtEndPr>
                <w:rPr>
                  <w:sz w:val="18"/>
                  <w:szCs w:val="18"/>
                </w:rPr>
              </w:sdtEndPr>
              <w:sdtContent>
                <w:tc>
                  <w:tcPr>
                    <w:tcW w:w="593" w:type="pct"/>
                    <w:shd w:val="clear" w:color="auto" w:fill="auto"/>
                    <w:vAlign w:val="center"/>
                  </w:tcPr>
                  <w:p>
                    <w:pPr>
                      <w:jc w:val="center"/>
                      <w:rPr>
                        <w:sz w:val="18"/>
                        <w:szCs w:val="18"/>
                      </w:rPr>
                    </w:pPr>
                    <w:r>
                      <w:rPr>
                        <w:rFonts w:hint="eastAsia"/>
                        <w:sz w:val="18"/>
                        <w:szCs w:val="18"/>
                      </w:rPr>
                      <w:t>税后归属于少数股东</w:t>
                    </w:r>
                  </w:p>
                </w:tc>
              </w:sdtContent>
            </w:sdt>
            <w:tc>
              <w:tcPr>
                <w:tcW w:w="499" w:type="pct"/>
                <w:vMerge w:val="continue"/>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96033963bb045d6b35757f869c2a5dc"/>
                <w:id w:val="-240175965"/>
                <w:lock w:val="sdtLocked"/>
              </w:sdtPr>
              <w:sdtEndPr>
                <w:rPr>
                  <w:rFonts w:asciiTheme="minorEastAsia" w:hAnsiTheme="minorEastAsia" w:eastAsiaTheme="minorEastAsia"/>
                  <w:sz w:val="15"/>
                  <w:szCs w:val="15"/>
                </w:rPr>
              </w:sdtEndPr>
              <w:sdtContent>
                <w:tc>
                  <w:tcPr>
                    <w:tcW w:w="574" w:type="pct"/>
                    <w:shd w:val="clear" w:color="auto" w:fill="auto"/>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一、不能重分类进损益的其他综合收益</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-3,529,711.51</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-12,634,237.65</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-17,197,61</w:t>
                </w:r>
                <w:r>
                  <w:rPr>
                    <w:rFonts w:hint="eastAsia" w:asciiTheme="minorEastAsia" w:hAnsiTheme="minorEastAsia" w:eastAsiaTheme="minorEastAsia"/>
                    <w:sz w:val="15"/>
                    <w:szCs w:val="15"/>
                  </w:rPr>
                  <w:t>9</w:t>
                </w:r>
                <w:r>
                  <w:rPr>
                    <w:rFonts w:asciiTheme="minorEastAsia" w:hAnsiTheme="minorEastAsia" w:eastAsiaTheme="minorEastAsia"/>
                    <w:sz w:val="15"/>
                    <w:szCs w:val="15"/>
                  </w:rPr>
                  <w:t>.05</w:t>
                </w: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4,563,381.40</w:t>
                </w:r>
              </w:p>
              <w:p>
                <w:pPr>
                  <w:jc w:val="right"/>
                  <w:rPr>
                    <w:rFonts w:asciiTheme="minorEastAsia" w:hAnsiTheme="minorEastAsia" w:eastAsiaTheme="minorEastAsia"/>
                    <w:sz w:val="15"/>
                    <w:szCs w:val="15"/>
                  </w:rPr>
                </w:pPr>
              </w:p>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p>
                <w:pPr>
                  <w:jc w:val="right"/>
                  <w:rPr>
                    <w:rFonts w:asciiTheme="minorEastAsia" w:hAnsiTheme="minorEastAsia" w:eastAsiaTheme="minorEastAsia"/>
                    <w:sz w:val="15"/>
                    <w:szCs w:val="15"/>
                  </w:rPr>
                </w:pPr>
                <w:r>
                  <w:rPr>
                    <w:rFonts w:asciiTheme="minorEastAsia" w:hAnsiTheme="minorEastAsia" w:eastAsiaTheme="minorEastAsia"/>
                    <w:sz w:val="15"/>
                    <w:szCs w:val="15"/>
                  </w:rPr>
                  <w:t>1,033,669.89</w:t>
                </w:r>
              </w:p>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7b42172901564b6ab8ed88abade0e637"/>
                <w:id w:val="-1418017942"/>
                <w:lock w:val="sdtLocked"/>
              </w:sdtPr>
              <w:sdtEndPr>
                <w:rPr>
                  <w:rFonts w:asciiTheme="minorEastAsia" w:hAnsiTheme="minorEastAsia" w:eastAsiaTheme="minorEastAsia"/>
                  <w:sz w:val="15"/>
                  <w:szCs w:val="15"/>
                </w:rPr>
              </w:sdtEndPr>
              <w:sdtContent>
                <w:tc>
                  <w:tcPr>
                    <w:tcW w:w="574" w:type="pct"/>
                    <w:shd w:val="clear" w:color="auto" w:fill="auto"/>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其中：重新计量设定受益计划变动额</w:t>
                    </w:r>
                  </w:p>
                </w:tc>
              </w:sdtContent>
            </w:sdt>
            <w:tc>
              <w:tcPr>
                <w:tcW w:w="430" w:type="pct"/>
                <w:shd w:val="clear" w:color="auto" w:fill="auto"/>
                <w:vAlign w:val="center"/>
              </w:tcPr>
              <w:p>
                <w:pPr>
                  <w:jc w:val="right"/>
                  <w:rPr>
                    <w:rFonts w:asciiTheme="minorEastAsia" w:hAnsiTheme="minorEastAsia" w:eastAsiaTheme="minorEastAsia"/>
                    <w:sz w:val="15"/>
                    <w:szCs w:val="15"/>
                  </w:rPr>
                </w:pPr>
              </w:p>
            </w:tc>
            <w:tc>
              <w:tcPr>
                <w:tcW w:w="662" w:type="pct"/>
                <w:shd w:val="clear" w:color="auto" w:fill="auto"/>
                <w:vAlign w:val="center"/>
              </w:tcPr>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ef94ea8e8c64a679a9c004782dc0d42"/>
                <w:id w:val="354241717"/>
                <w:lock w:val="sdtLocked"/>
              </w:sdtPr>
              <w:sdtEndPr>
                <w:rPr>
                  <w:rFonts w:asciiTheme="minorEastAsia" w:hAnsiTheme="minorEastAsia" w:eastAsiaTheme="minorEastAsia"/>
                  <w:sz w:val="15"/>
                  <w:szCs w:val="15"/>
                </w:rPr>
              </w:sdtEndPr>
              <w:sdtContent>
                <w:tc>
                  <w:tcPr>
                    <w:tcW w:w="574" w:type="pct"/>
                    <w:shd w:val="clear" w:color="auto" w:fill="auto"/>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权益法下不能转损益的其他综合收益</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18,464,834.58</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-10,132,100.50</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-10,132,100.50</w:t>
                </w: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8,332,734.08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071a59f937d84467bd4e99d5ed8b0958"/>
                <w:id w:val="494302203"/>
                <w:lock w:val="sdtLocked"/>
              </w:sdtPr>
              <w:sdtEndPr>
                <w:rPr>
                  <w:rFonts w:asciiTheme="minorEastAsia" w:hAnsiTheme="minorEastAsia" w:eastAsiaTheme="minorEastAsia"/>
                  <w:sz w:val="15"/>
                  <w:szCs w:val="15"/>
                </w:rPr>
              </w:sdtEndPr>
              <w:sdtContent>
                <w:tc>
                  <w:tcPr>
                    <w:tcW w:w="574" w:type="pct"/>
                    <w:shd w:val="clear" w:color="auto" w:fill="auto"/>
                    <w:vAlign w:val="center"/>
                  </w:tcPr>
                  <w:p>
                    <w:pPr>
                      <w:ind w:firstLine="150" w:firstLineChars="100"/>
                      <w:rPr>
                        <w:rFonts w:asciiTheme="minorEastAsia" w:hAnsiTheme="minorEastAsia" w:eastAsiaTheme="minorEastAsia"/>
                        <w:sz w:val="15"/>
                        <w:szCs w:val="15"/>
                      </w:rPr>
                    </w:pPr>
                    <w:r>
                      <w:rPr>
                        <w:rFonts w:hint="eastAsia" w:asciiTheme="minorEastAsia" w:hAnsiTheme="minorEastAsia" w:eastAsiaTheme="minorEastAsia"/>
                        <w:sz w:val="15"/>
                        <w:szCs w:val="15"/>
                      </w:rPr>
                      <w:t>其他权益工具投资公允价值变动</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-21,994,546.09</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-2,502,137.15</w:t>
                </w:r>
              </w:p>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color w:val="000000"/>
                    <w:sz w:val="15"/>
                    <w:szCs w:val="15"/>
                  </w:rPr>
                </w:pPr>
              </w:p>
              <w:p>
                <w:pPr>
                  <w:jc w:val="right"/>
                  <w:rPr>
                    <w:rFonts w:asciiTheme="minorEastAsia" w:hAnsiTheme="minorEastAsia" w:eastAsiaTheme="minorEastAsia"/>
                    <w:color w:val="000000"/>
                    <w:sz w:val="15"/>
                    <w:szCs w:val="15"/>
                  </w:rPr>
                </w:pPr>
                <w:r>
                  <w:rPr>
                    <w:rFonts w:asciiTheme="minorEastAsia" w:hAnsiTheme="minorEastAsia" w:eastAsiaTheme="minorEastAsia"/>
                    <w:color w:val="000000"/>
                    <w:sz w:val="15"/>
                    <w:szCs w:val="15"/>
                  </w:rPr>
                  <w:t>-17,197,61</w:t>
                </w:r>
                <w:r>
                  <w:rPr>
                    <w:rFonts w:hint="eastAsia" w:asciiTheme="minorEastAsia" w:hAnsiTheme="minorEastAsia" w:eastAsiaTheme="minorEastAsia"/>
                    <w:color w:val="000000"/>
                    <w:sz w:val="15"/>
                    <w:szCs w:val="15"/>
                  </w:rPr>
                  <w:t>9</w:t>
                </w:r>
                <w:r>
                  <w:rPr>
                    <w:rFonts w:asciiTheme="minorEastAsia" w:hAnsiTheme="minorEastAsia" w:eastAsiaTheme="minorEastAsia"/>
                    <w:color w:val="000000"/>
                    <w:sz w:val="15"/>
                    <w:szCs w:val="15"/>
                  </w:rPr>
                  <w:t xml:space="preserve">.05 </w:t>
                </w:r>
              </w:p>
              <w:p>
                <w:pPr>
                  <w:jc w:val="right"/>
                  <w:rPr>
                    <w:rFonts w:asciiTheme="minorEastAsia" w:hAnsiTheme="minorEastAsia" w:eastAsiaTheme="minorEastAsia"/>
                    <w:sz w:val="15"/>
                    <w:szCs w:val="15"/>
                  </w:rPr>
                </w:pPr>
              </w:p>
            </w:tc>
            <w:tc>
              <w:tcPr>
                <w:tcW w:w="581" w:type="pct"/>
                <w:shd w:val="clear" w:color="auto" w:fill="auto"/>
                <w:vAlign w:val="center"/>
              </w:tcPr>
              <w:p>
                <w:pPr>
                  <w:ind w:right="420"/>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14,695,481.90</w:t>
                </w:r>
              </w:p>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-7,299,064.19</w:t>
                </w:r>
              </w:p>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cb9214acfda8482a8c8491881c32ef7c"/>
                <w:id w:val="-1275631691"/>
                <w:lock w:val="sdtLocked"/>
              </w:sdtPr>
              <w:sdtEndPr>
                <w:rPr>
                  <w:rFonts w:asciiTheme="minorEastAsia" w:hAnsiTheme="minorEastAsia" w:eastAsiaTheme="minorEastAsia"/>
                  <w:sz w:val="15"/>
                  <w:szCs w:val="15"/>
                </w:rPr>
              </w:sdtEndPr>
              <w:sdtContent>
                <w:tc>
                  <w:tcPr>
                    <w:tcW w:w="574" w:type="pct"/>
                    <w:shd w:val="clear" w:color="auto" w:fill="auto"/>
                    <w:vAlign w:val="center"/>
                  </w:tcPr>
                  <w:p>
                    <w:pPr>
                      <w:ind w:firstLine="150" w:firstLineChars="100"/>
                      <w:rPr>
                        <w:rFonts w:asciiTheme="minorEastAsia" w:hAnsiTheme="minorEastAsia" w:eastAsiaTheme="minorEastAsia"/>
                        <w:sz w:val="15"/>
                        <w:szCs w:val="15"/>
                      </w:rPr>
                    </w:pPr>
                    <w:r>
                      <w:rPr>
                        <w:rFonts w:hint="eastAsia" w:asciiTheme="minorEastAsia" w:hAnsiTheme="minorEastAsia" w:eastAsiaTheme="minorEastAsia"/>
                        <w:sz w:val="15"/>
                        <w:szCs w:val="15"/>
                      </w:rPr>
                      <w:t>企业自身信用风险公允价值变动</w:t>
                    </w:r>
                  </w:p>
                </w:tc>
              </w:sdtContent>
            </w:sdt>
            <w:tc>
              <w:tcPr>
                <w:tcW w:w="430" w:type="pct"/>
                <w:shd w:val="clear" w:color="auto" w:fill="auto"/>
                <w:vAlign w:val="center"/>
              </w:tcPr>
              <w:p>
                <w:pPr>
                  <w:jc w:val="right"/>
                  <w:rPr>
                    <w:rFonts w:asciiTheme="minorEastAsia" w:hAnsiTheme="minorEastAsia" w:eastAsiaTheme="minorEastAsia"/>
                    <w:sz w:val="15"/>
                    <w:szCs w:val="15"/>
                  </w:rPr>
                </w:pPr>
              </w:p>
            </w:tc>
            <w:tc>
              <w:tcPr>
                <w:tcW w:w="662" w:type="pct"/>
                <w:shd w:val="clear" w:color="auto" w:fill="auto"/>
                <w:vAlign w:val="center"/>
              </w:tcPr>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df0889046b734fe196430c1e5cdf2719"/>
                <w:id w:val="-1393881309"/>
                <w:lock w:val="sdtLocked"/>
              </w:sdtPr>
              <w:sdtEndPr>
                <w:rPr>
                  <w:rFonts w:asciiTheme="minorEastAsia" w:hAnsiTheme="minorEastAsia" w:eastAsiaTheme="minorEastAsia"/>
                  <w:sz w:val="15"/>
                  <w:szCs w:val="15"/>
                </w:rPr>
              </w:sdtEndPr>
              <w:sdtContent>
                <w:tc>
                  <w:tcPr>
                    <w:tcW w:w="574" w:type="pct"/>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二、将重分类进损益的其他综合收益</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-221,273,307.91</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42,789,131.67</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ind w:right="33"/>
                  <w:jc w:val="right"/>
                  <w:rPr>
                    <w:rFonts w:asciiTheme="minorEastAsia" w:hAnsiTheme="minorEastAsia" w:eastAsiaTheme="minorEastAsia"/>
                    <w:sz w:val="15"/>
                    <w:szCs w:val="15"/>
                  </w:rPr>
                </w:pPr>
                <w:r>
                  <w:rPr>
                    <w:rFonts w:asciiTheme="minorEastAsia" w:hAnsiTheme="minorEastAsia" w:eastAsiaTheme="minorEastAsia"/>
                    <w:sz w:val="15"/>
                    <w:szCs w:val="15"/>
                  </w:rPr>
                  <w:t>660,887.50</w:t>
                </w: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42,128,244.17</w:t>
                </w:r>
              </w:p>
            </w:tc>
            <w:tc>
              <w:tcPr>
                <w:tcW w:w="593"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1,982,662.50</w:t>
                </w:r>
              </w:p>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-179,145,063.74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8f0e21d82f454f408229c1cb57e09699"/>
                <w:id w:val="265430615"/>
                <w:lock w:val="sdtLocked"/>
              </w:sdtPr>
              <w:sdtEndPr>
                <w:rPr>
                  <w:rFonts w:asciiTheme="minorEastAsia" w:hAnsiTheme="minorEastAsia" w:eastAsiaTheme="minorEastAsia"/>
                  <w:sz w:val="15"/>
                  <w:szCs w:val="15"/>
                </w:rPr>
              </w:sdtEndPr>
              <w:sdtContent>
                <w:tc>
                  <w:tcPr>
                    <w:tcW w:w="574" w:type="pct"/>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其中：权益法下可转损益的其他综合收益</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38,556,534.73</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36,336,794.73</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36,336,794.73</w:t>
                </w: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74,893,329.46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b5f5542d19ea42639ccab2e59cea3068"/>
                <w:id w:val="928235182"/>
                <w:lock w:val="sdtLocked"/>
              </w:sdtPr>
              <w:sdtEndPr>
                <w:rPr>
                  <w:rFonts w:asciiTheme="minorEastAsia" w:hAnsiTheme="minorEastAsia" w:eastAsiaTheme="minorEastAsia"/>
                  <w:sz w:val="15"/>
                  <w:szCs w:val="15"/>
                </w:rPr>
              </w:sdtEndPr>
              <w:sdtContent>
                <w:tc>
                  <w:tcPr>
                    <w:tcW w:w="574" w:type="pct"/>
                    <w:shd w:val="clear" w:color="auto" w:fill="auto"/>
                  </w:tcPr>
                  <w:p>
                    <w:pPr>
                      <w:ind w:firstLine="150" w:firstLineChars="100"/>
                      <w:rPr>
                        <w:rFonts w:asciiTheme="minorEastAsia" w:hAnsiTheme="minorEastAsia" w:eastAsiaTheme="minorEastAsia"/>
                        <w:sz w:val="15"/>
                        <w:szCs w:val="15"/>
                      </w:rPr>
                    </w:pPr>
                    <w:r>
                      <w:rPr>
                        <w:rFonts w:hint="eastAsia" w:asciiTheme="minorEastAsia" w:hAnsiTheme="minorEastAsia" w:eastAsiaTheme="minorEastAsia"/>
                        <w:sz w:val="15"/>
                        <w:szCs w:val="15"/>
                      </w:rPr>
                      <w:t>其他债权投资公允价值变动</w:t>
                    </w:r>
                  </w:p>
                </w:tc>
              </w:sdtContent>
            </w:sdt>
            <w:tc>
              <w:tcPr>
                <w:tcW w:w="430" w:type="pct"/>
                <w:shd w:val="clear" w:color="auto" w:fill="auto"/>
                <w:vAlign w:val="center"/>
              </w:tcPr>
              <w:p>
                <w:pPr>
                  <w:jc w:val="right"/>
                  <w:rPr>
                    <w:rFonts w:asciiTheme="minorEastAsia" w:hAnsiTheme="minorEastAsia" w:eastAsiaTheme="minorEastAsia"/>
                    <w:sz w:val="15"/>
                    <w:szCs w:val="15"/>
                  </w:rPr>
                </w:pPr>
              </w:p>
            </w:tc>
            <w:tc>
              <w:tcPr>
                <w:tcW w:w="662" w:type="pct"/>
                <w:shd w:val="clear" w:color="auto" w:fill="auto"/>
                <w:vAlign w:val="center"/>
              </w:tcPr>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e34d4691560846d6a2e8d56eaac2fc7d"/>
                <w:id w:val="-1903977450"/>
                <w:lock w:val="sdtLocked"/>
              </w:sdtPr>
              <w:sdtEndPr>
                <w:rPr>
                  <w:rFonts w:asciiTheme="minorEastAsia" w:hAnsiTheme="minorEastAsia" w:eastAsiaTheme="minorEastAsia"/>
                  <w:sz w:val="15"/>
                  <w:szCs w:val="15"/>
                </w:rPr>
              </w:sdtEndPr>
              <w:sdtContent>
                <w:tc>
                  <w:tcPr>
                    <w:tcW w:w="574" w:type="pct"/>
                    <w:shd w:val="clear" w:color="auto" w:fill="auto"/>
                  </w:tcPr>
                  <w:p>
                    <w:pPr>
                      <w:ind w:firstLine="150" w:firstLineChars="100"/>
                      <w:rPr>
                        <w:rFonts w:asciiTheme="minorEastAsia" w:hAnsiTheme="minorEastAsia" w:eastAsiaTheme="minorEastAsia"/>
                        <w:sz w:val="15"/>
                        <w:szCs w:val="15"/>
                      </w:rPr>
                    </w:pPr>
                    <w:r>
                      <w:rPr>
                        <w:rFonts w:hint="eastAsia" w:asciiTheme="minorEastAsia" w:hAnsiTheme="minorEastAsia" w:eastAsiaTheme="minorEastAsia"/>
                        <w:sz w:val="15"/>
                        <w:szCs w:val="15"/>
                      </w:rPr>
                      <w:t>金融资产重分类计入其他综合收益的金额</w:t>
                    </w:r>
                  </w:p>
                </w:tc>
              </w:sdtContent>
            </w:sdt>
            <w:tc>
              <w:tcPr>
                <w:tcW w:w="430" w:type="pct"/>
                <w:shd w:val="clear" w:color="auto" w:fill="auto"/>
                <w:vAlign w:val="center"/>
              </w:tcPr>
              <w:p>
                <w:pPr>
                  <w:jc w:val="right"/>
                  <w:rPr>
                    <w:rFonts w:asciiTheme="minorEastAsia" w:hAnsiTheme="minorEastAsia" w:eastAsiaTheme="minorEastAsia"/>
                    <w:sz w:val="15"/>
                    <w:szCs w:val="15"/>
                  </w:rPr>
                </w:pPr>
              </w:p>
            </w:tc>
            <w:tc>
              <w:tcPr>
                <w:tcW w:w="662" w:type="pct"/>
                <w:shd w:val="clear" w:color="auto" w:fill="auto"/>
                <w:vAlign w:val="center"/>
              </w:tcPr>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54f19ba1a2e14a69bf876072b1f68cbf"/>
                <w:id w:val="1584329004"/>
                <w:lock w:val="sdtLocked"/>
              </w:sdtPr>
              <w:sdtEndPr>
                <w:rPr>
                  <w:rFonts w:asciiTheme="minorEastAsia" w:hAnsiTheme="minorEastAsia" w:eastAsiaTheme="minorEastAsia"/>
                  <w:sz w:val="15"/>
                  <w:szCs w:val="15"/>
                </w:rPr>
              </w:sdtEndPr>
              <w:sdtContent>
                <w:tc>
                  <w:tcPr>
                    <w:tcW w:w="574" w:type="pct"/>
                    <w:shd w:val="clear" w:color="auto" w:fill="auto"/>
                  </w:tcPr>
                  <w:p>
                    <w:pPr>
                      <w:ind w:firstLine="150" w:firstLineChars="100"/>
                      <w:rPr>
                        <w:rFonts w:asciiTheme="minorEastAsia" w:hAnsiTheme="minorEastAsia" w:eastAsiaTheme="minorEastAsia"/>
                        <w:sz w:val="15"/>
                        <w:szCs w:val="15"/>
                      </w:rPr>
                    </w:pPr>
                    <w:r>
                      <w:rPr>
                        <w:rFonts w:hint="eastAsia" w:asciiTheme="minorEastAsia" w:hAnsiTheme="minorEastAsia" w:eastAsiaTheme="minorEastAsia"/>
                        <w:sz w:val="15"/>
                        <w:szCs w:val="15"/>
                      </w:rPr>
                      <w:t>其他债权投资信用减值准备</w:t>
                    </w:r>
                  </w:p>
                </w:tc>
              </w:sdtContent>
            </w:sdt>
            <w:tc>
              <w:tcPr>
                <w:tcW w:w="430" w:type="pct"/>
                <w:shd w:val="clear" w:color="auto" w:fill="auto"/>
                <w:vAlign w:val="center"/>
              </w:tcPr>
              <w:p>
                <w:pPr>
                  <w:jc w:val="right"/>
                  <w:rPr>
                    <w:rFonts w:asciiTheme="minorEastAsia" w:hAnsiTheme="minorEastAsia" w:eastAsiaTheme="minorEastAsia"/>
                    <w:sz w:val="15"/>
                    <w:szCs w:val="15"/>
                  </w:rPr>
                </w:pPr>
              </w:p>
            </w:tc>
            <w:tc>
              <w:tcPr>
                <w:tcW w:w="662" w:type="pct"/>
                <w:shd w:val="clear" w:color="auto" w:fill="auto"/>
                <w:vAlign w:val="center"/>
              </w:tcPr>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4bb3a499562f4720af567084f6f57266"/>
                <w:id w:val="-2039649118"/>
                <w:lock w:val="sdtLocked"/>
              </w:sdtPr>
              <w:sdtEndPr>
                <w:rPr>
                  <w:rFonts w:asciiTheme="minorEastAsia" w:hAnsiTheme="minorEastAsia" w:eastAsiaTheme="minorEastAsia"/>
                  <w:sz w:val="15"/>
                  <w:szCs w:val="15"/>
                </w:rPr>
              </w:sdtEndPr>
              <w:sdtContent>
                <w:tc>
                  <w:tcPr>
                    <w:tcW w:w="574" w:type="pct"/>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  现金流量套期储备</w:t>
                    </w:r>
                  </w:p>
                </w:tc>
              </w:sdtContent>
            </w:sdt>
            <w:tc>
              <w:tcPr>
                <w:tcW w:w="430" w:type="pct"/>
                <w:shd w:val="clear" w:color="auto" w:fill="auto"/>
                <w:vAlign w:val="center"/>
              </w:tcPr>
              <w:p>
                <w:pPr>
                  <w:jc w:val="right"/>
                  <w:rPr>
                    <w:rFonts w:asciiTheme="minorEastAsia" w:hAnsiTheme="minorEastAsia" w:eastAsiaTheme="minorEastAsia"/>
                    <w:sz w:val="15"/>
                    <w:szCs w:val="15"/>
                  </w:rPr>
                </w:pPr>
              </w:p>
            </w:tc>
            <w:tc>
              <w:tcPr>
                <w:tcW w:w="662" w:type="pct"/>
                <w:shd w:val="clear" w:color="auto" w:fill="auto"/>
                <w:vAlign w:val="center"/>
              </w:tcPr>
              <w:p>
                <w:pPr>
                  <w:jc w:val="right"/>
                  <w:rPr>
                    <w:rFonts w:asciiTheme="minorEastAsia" w:hAnsiTheme="minorEastAsia" w:eastAsiaTheme="minorEastAsia"/>
                    <w:sz w:val="15"/>
                    <w:szCs w:val="15"/>
                  </w:rPr>
                </w:pP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jc w:val="right"/>
                  <w:rPr>
                    <w:rFonts w:asciiTheme="minorEastAsia" w:hAnsiTheme="minorEastAsia" w:eastAsiaTheme="minorEastAsia"/>
                    <w:sz w:val="15"/>
                    <w:szCs w:val="15"/>
                  </w:rPr>
                </w:pP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e61ac0c90b424af2a90f3f46f03d697d"/>
                <w:id w:val="-537669093"/>
                <w:lock w:val="sdtLocked"/>
              </w:sdtPr>
              <w:sdtEndPr>
                <w:rPr>
                  <w:rFonts w:asciiTheme="minorEastAsia" w:hAnsiTheme="minorEastAsia" w:eastAsiaTheme="minorEastAsia"/>
                  <w:sz w:val="15"/>
                  <w:szCs w:val="15"/>
                </w:rPr>
              </w:sdtEndPr>
              <w:sdtContent>
                <w:tc>
                  <w:tcPr>
                    <w:tcW w:w="574" w:type="pct"/>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 xml:space="preserve">  外币财务报表折算差额</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-302,622,786.35</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3,808,786.94</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p>
            </w:tc>
            <w:tc>
              <w:tcPr>
                <w:tcW w:w="636" w:type="pct"/>
                <w:shd w:val="clear" w:color="auto" w:fill="auto"/>
                <w:vAlign w:val="center"/>
              </w:tcPr>
              <w:p>
                <w:pPr>
                  <w:ind w:right="32"/>
                  <w:jc w:val="right"/>
                  <w:rPr>
                    <w:rFonts w:asciiTheme="minorEastAsia" w:hAnsiTheme="minorEastAsia" w:eastAsiaTheme="minorEastAsia"/>
                    <w:sz w:val="15"/>
                    <w:szCs w:val="15"/>
                  </w:rPr>
                </w:pPr>
                <w:r>
                  <w:rPr>
                    <w:rFonts w:asciiTheme="minorEastAsia" w:hAnsiTheme="minorEastAsia" w:eastAsiaTheme="minorEastAsia"/>
                    <w:sz w:val="15"/>
                    <w:szCs w:val="15"/>
                  </w:rPr>
                  <w:t>3,808,786.94</w:t>
                </w:r>
              </w:p>
            </w:tc>
            <w:tc>
              <w:tcPr>
                <w:tcW w:w="593" w:type="pct"/>
                <w:shd w:val="clear" w:color="auto" w:fill="auto"/>
                <w:vAlign w:val="center"/>
              </w:tcPr>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color w:val="000000"/>
                    <w:sz w:val="15"/>
                    <w:szCs w:val="15"/>
                  </w:rPr>
                </w:pPr>
              </w:p>
              <w:p>
                <w:pPr>
                  <w:jc w:val="right"/>
                  <w:rPr>
                    <w:rFonts w:asciiTheme="minorEastAsia" w:hAnsiTheme="minorEastAsia" w:eastAsiaTheme="minorEastAsia"/>
                    <w:color w:val="000000"/>
                    <w:sz w:val="15"/>
                    <w:szCs w:val="15"/>
                  </w:rPr>
                </w:pPr>
                <w:r>
                  <w:rPr>
                    <w:rFonts w:asciiTheme="minorEastAsia" w:hAnsiTheme="minorEastAsia" w:eastAsiaTheme="minorEastAsia"/>
                    <w:color w:val="000000"/>
                    <w:sz w:val="15"/>
                    <w:szCs w:val="15"/>
                  </w:rPr>
                  <w:t xml:space="preserve">-298,813,999.41 </w:t>
                </w:r>
              </w:p>
              <w:p>
                <w:pPr>
                  <w:jc w:val="right"/>
                  <w:rPr>
                    <w:rFonts w:asciiTheme="minorEastAsia" w:hAnsiTheme="minorEastAsia" w:eastAsiaTheme="minorEastAsia"/>
                    <w:sz w:val="15"/>
                    <w:szCs w:val="15"/>
                  </w:rPr>
                </w:pPr>
              </w:p>
            </w:tc>
          </w:tr>
          <w:sdt>
            <w:sdtPr>
              <w:rPr>
                <w:rFonts w:hint="eastAsia" w:asciiTheme="minorEastAsia" w:hAnsiTheme="minorEastAsia" w:eastAsiaTheme="minorEastAsia"/>
                <w:sz w:val="15"/>
                <w:szCs w:val="15"/>
              </w:rPr>
              <w:alias w:val="以后将重分类进损益的其他综合收益明细"/>
              <w:tag w:val="_TUP_225b59470a114f93a7b79e8713124de8"/>
              <w:id w:val="-813643113"/>
              <w:lock w:val="sdtLocked"/>
            </w:sdtPr>
            <w:sdtEndPr>
              <w:rPr>
                <w:rFonts w:hint="eastAsia" w:asciiTheme="minorEastAsia" w:hAnsiTheme="minorEastAsia" w:eastAsiaTheme="minorEastAsia"/>
                <w:sz w:val="15"/>
                <w:szCs w:val="15"/>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4" w:type="pct"/>
                    <w:tcBorders>
                      <w:bottom w:val="single" w:color="auto" w:sz="4" w:space="0"/>
                    </w:tcBorders>
                    <w:shd w:val="clear" w:color="auto" w:fill="auto"/>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其他资产转换为公允价值模式计量的投资性房地产</w:t>
                    </w:r>
                  </w:p>
                </w:tc>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42,792,943.71</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2,643,550.00</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sz w:val="15"/>
                        <w:szCs w:val="15"/>
                      </w:rPr>
                    </w:pPr>
                  </w:p>
                </w:tc>
                <w:tc>
                  <w:tcPr>
                    <w:tcW w:w="58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660,887.50</w:t>
                    </w: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1,982,662.50</w:t>
                    </w:r>
                  </w:p>
                </w:tc>
                <w:tc>
                  <w:tcPr>
                    <w:tcW w:w="593"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1,982,662.50</w:t>
                    </w:r>
                  </w:p>
                  <w:p>
                    <w:pPr>
                      <w:jc w:val="right"/>
                      <w:rPr>
                        <w:rFonts w:asciiTheme="minorEastAsia" w:hAnsiTheme="minorEastAsia" w:eastAsiaTheme="minorEastAsia"/>
                        <w:sz w:val="15"/>
                        <w:szCs w:val="15"/>
                      </w:rPr>
                    </w:pPr>
                  </w:p>
                </w:tc>
                <w:tc>
                  <w:tcPr>
                    <w:tcW w:w="49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44,775,606.21</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asciiTheme="minorEastAsia" w:hAnsiTheme="minorEastAsia" w:eastAsiaTheme="minorEastAsia"/>
                  <w:sz w:val="15"/>
                  <w:szCs w:val="15"/>
                </w:rPr>
                <w:tag w:val="_PLD_9ad7dfdffcbb4195853f9f7672607063"/>
                <w:id w:val="626044266"/>
                <w:lock w:val="sdtLocked"/>
              </w:sdtPr>
              <w:sdtEndPr>
                <w:rPr>
                  <w:rFonts w:asciiTheme="minorEastAsia" w:hAnsiTheme="minorEastAsia" w:eastAsiaTheme="minorEastAsia"/>
                  <w:sz w:val="15"/>
                  <w:szCs w:val="15"/>
                </w:rPr>
              </w:sdtEndPr>
              <w:sdtContent>
                <w:tc>
                  <w:tcPr>
                    <w:tcW w:w="574" w:type="pct"/>
                    <w:shd w:val="clear" w:color="auto" w:fill="auto"/>
                    <w:vAlign w:val="center"/>
                  </w:tcPr>
                  <w:p>
                    <w:pPr>
                      <w:rPr>
                        <w:rFonts w:asciiTheme="minorEastAsia" w:hAnsiTheme="minorEastAsia" w:eastAsiaTheme="minorEastAsia"/>
                        <w:sz w:val="15"/>
                        <w:szCs w:val="15"/>
                      </w:rPr>
                    </w:pPr>
                    <w:r>
                      <w:rPr>
                        <w:rFonts w:hint="eastAsia" w:asciiTheme="minorEastAsia" w:hAnsiTheme="minorEastAsia" w:eastAsiaTheme="minorEastAsia"/>
                        <w:sz w:val="15"/>
                        <w:szCs w:val="15"/>
                      </w:rPr>
                      <w:t>其他综合收益合计</w:t>
                    </w:r>
                  </w:p>
                </w:tc>
              </w:sdtContent>
            </w:sdt>
            <w:tc>
              <w:tcPr>
                <w:tcW w:w="430"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-224,803,019.42</w:t>
                </w:r>
              </w:p>
            </w:tc>
            <w:tc>
              <w:tcPr>
                <w:tcW w:w="662"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30,154,894.02</w:t>
                </w:r>
              </w:p>
            </w:tc>
            <w:tc>
              <w:tcPr>
                <w:tcW w:w="332" w:type="pct"/>
                <w:shd w:val="clear" w:color="auto" w:fill="auto"/>
                <w:vAlign w:val="center"/>
              </w:tcPr>
              <w:p>
                <w:pPr>
                  <w:jc w:val="right"/>
                  <w:rPr>
                    <w:rFonts w:asciiTheme="minorEastAsia" w:hAnsiTheme="minorEastAsia" w:eastAsiaTheme="minorEastAsia"/>
                    <w:sz w:val="15"/>
                    <w:szCs w:val="15"/>
                  </w:rPr>
                </w:pPr>
              </w:p>
            </w:tc>
            <w:tc>
              <w:tcPr>
                <w:tcW w:w="693" w:type="pct"/>
                <w:vAlign w:val="center"/>
              </w:tcPr>
              <w:p>
                <w:pPr>
                  <w:jc w:val="right"/>
                  <w:rPr>
                    <w:rFonts w:asciiTheme="minorEastAsia" w:hAnsiTheme="minorEastAsia" w:eastAsiaTheme="minorEastAsia"/>
                    <w:color w:val="000000"/>
                    <w:sz w:val="15"/>
                    <w:szCs w:val="15"/>
                  </w:rPr>
                </w:pPr>
                <w:r>
                  <w:rPr>
                    <w:rFonts w:asciiTheme="minorEastAsia" w:hAnsiTheme="minorEastAsia" w:eastAsiaTheme="minorEastAsia"/>
                    <w:color w:val="000000"/>
                    <w:sz w:val="15"/>
                    <w:szCs w:val="15"/>
                  </w:rPr>
                  <w:t>-17,197,61</w:t>
                </w:r>
                <w:r>
                  <w:rPr>
                    <w:rFonts w:hint="eastAsia" w:asciiTheme="minorEastAsia" w:hAnsiTheme="minorEastAsia" w:eastAsiaTheme="minorEastAsia"/>
                    <w:color w:val="000000"/>
                    <w:sz w:val="15"/>
                    <w:szCs w:val="15"/>
                  </w:rPr>
                  <w:t>9</w:t>
                </w:r>
                <w:r>
                  <w:rPr>
                    <w:rFonts w:asciiTheme="minorEastAsia" w:hAnsiTheme="minorEastAsia" w:eastAsiaTheme="minorEastAsia"/>
                    <w:color w:val="000000"/>
                    <w:sz w:val="15"/>
                    <w:szCs w:val="15"/>
                  </w:rPr>
                  <w:t xml:space="preserve">.05 </w:t>
                </w:r>
              </w:p>
            </w:tc>
            <w:tc>
              <w:tcPr>
                <w:tcW w:w="581"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660,887.50</w:t>
                </w:r>
              </w:p>
            </w:tc>
            <w:tc>
              <w:tcPr>
                <w:tcW w:w="636"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46,691,625.57</w:t>
                </w:r>
              </w:p>
            </w:tc>
            <w:tc>
              <w:tcPr>
                <w:tcW w:w="593"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1,982,662.50</w:t>
                </w:r>
              </w:p>
            </w:tc>
            <w:tc>
              <w:tcPr>
                <w:tcW w:w="499" w:type="pct"/>
                <w:shd w:val="clear" w:color="auto" w:fill="auto"/>
                <w:vAlign w:val="center"/>
              </w:tcPr>
              <w:p>
                <w:pPr>
                  <w:jc w:val="right"/>
                  <w:rPr>
                    <w:rFonts w:asciiTheme="minorEastAsia" w:hAnsiTheme="minorEastAsia" w:eastAsiaTheme="minorEastAsia"/>
                    <w:sz w:val="15"/>
                    <w:szCs w:val="15"/>
                  </w:rPr>
                </w:pPr>
                <w:r>
                  <w:rPr>
                    <w:rFonts w:asciiTheme="minorEastAsia" w:hAnsiTheme="minorEastAsia" w:eastAsiaTheme="minorEastAsia"/>
                    <w:sz w:val="15"/>
                    <w:szCs w:val="15"/>
                  </w:rPr>
                  <w:t>-178,111,393.85</w:t>
                </w:r>
              </w:p>
            </w:tc>
          </w:tr>
        </w:tbl>
        <w:p/>
        <w:p>
          <w:pPr>
            <w:spacing w:before="60" w:after="60"/>
            <w:rPr>
              <w:b/>
              <w:szCs w:val="21"/>
            </w:rPr>
          </w:pPr>
          <w:r>
            <w:rPr>
              <w:rFonts w:hint="eastAsia"/>
              <w:szCs w:val="21"/>
            </w:rPr>
            <w:t>其他说明，包括对现金流量套期损益的有效部分转为被套期项目初始确认金额调整：</w:t>
          </w:r>
        </w:p>
        <w:sdt>
          <w:sdtPr>
            <w:rPr>
              <w:rFonts w:hint="eastAsia"/>
              <w:szCs w:val="21"/>
            </w:rPr>
            <w:alias w:val="综合收益情况"/>
            <w:tag w:val="_GBC_5d84d969b6cc4ff285c66258c1721a98"/>
            <w:id w:val="538017338"/>
            <w:lock w:val="sdtLocked"/>
          </w:sdtPr>
          <w:sdtEndPr>
            <w:rPr>
              <w:rFonts w:hint="eastAsia"/>
              <w:szCs w:val="21"/>
            </w:rPr>
          </w:sdtEndPr>
          <w:sdtContent>
            <w:p>
              <w:pPr>
                <w:rPr>
                  <w:szCs w:val="21"/>
                </w:rPr>
              </w:pPr>
              <w:r>
                <w:rPr>
                  <w:rFonts w:hint="eastAsia"/>
                  <w:szCs w:val="21"/>
                </w:rPr>
                <w:t>无</w:t>
              </w:r>
            </w:p>
            <w:p>
              <w:pPr>
                <w:rPr>
                  <w:szCs w:val="21"/>
                </w:rPr>
              </w:pPr>
              <w:r>
                <w:rPr>
                  <w:szCs w:val="21"/>
                </w:rPr>
                <w:br w:type="page"/>
              </w:r>
            </w:p>
            <w:p>
              <w:pPr>
                <w:rPr>
                  <w:szCs w:val="21"/>
                </w:rPr>
                <w:sectPr>
                  <w:pgSz w:w="16838" w:h="11906" w:orient="landscape"/>
                  <w:pgMar w:top="1797" w:right="1724" w:bottom="1797" w:left="1440" w:header="856" w:footer="992" w:gutter="0"/>
                  <w:cols w:space="425" w:num="1"/>
                  <w:docGrid w:linePitch="312" w:charSpace="0"/>
                </w:sectPr>
              </w:pPr>
            </w:p>
            <w:p>
              <w:pPr>
                <w:rPr>
                  <w:szCs w:val="21"/>
                </w:rPr>
              </w:pPr>
            </w:p>
          </w:sdtContent>
        </w:sdt>
      </w:sdtContent>
    </w:sdt>
    <w:bookmarkEnd w:id="211"/>
    <w:sdt>
      <w:sdtPr>
        <w:rPr>
          <w:rFonts w:hint="eastAsia" w:ascii="宋体" w:hAnsi="宋体" w:cs="宋体"/>
          <w:b w:val="0"/>
          <w:bCs w:val="0"/>
          <w:kern w:val="0"/>
          <w:szCs w:val="21"/>
        </w:rPr>
        <w:alias w:val="模块:专项储备"/>
        <w:tag w:val="_SEC_84ba198e06284c06a5fcfe80ab43de2c"/>
        <w:id w:val="1231039056"/>
        <w:lock w:val="sdtLocked"/>
        <w:placeholder>
          <w:docPart w:val="GBC22222222222222222222222222222"/>
        </w:placeholder>
      </w:sdtPr>
      <w:sdtEndPr>
        <w:rPr>
          <w:rFonts w:hint="default" w:ascii="宋体" w:hAnsi="宋体" w:cstheme="minorBidi"/>
          <w:b w:val="0"/>
          <w:bCs w:val="0"/>
          <w:color w:val="000000" w:themeColor="text1"/>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专项储备</w:t>
          </w:r>
        </w:p>
        <w:sdt>
          <w:sdtPr>
            <w:alias w:val="是否适用：专项储备[双击切换]"/>
            <w:tag w:val="_GBC_0e2f337ccf9a4bc6919cf02a896e57c1"/>
            <w:id w:val="22512329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1"/>
        </w:rPr>
        <w:alias w:val="模块:盈余公积"/>
        <w:tag w:val="_SEC_e4999705883d4533b90d93a828deecc9"/>
        <w:id w:val="-682200281"/>
        <w:lock w:val="sdtLocked"/>
        <w:placeholder>
          <w:docPart w:val="GBC22222222222222222222222222222"/>
        </w:placeholder>
      </w:sdtPr>
      <w:sdtEndPr>
        <w:rPr>
          <w:rFonts w:hint="default" w:ascii="宋体" w:hAnsi="宋体" w:cstheme="minorBidi"/>
          <w:b w:val="0"/>
          <w:bCs w:val="0"/>
          <w:kern w:val="2"/>
          <w:szCs w:val="21"/>
        </w:rPr>
      </w:sdtEndPr>
      <w:sdtContent>
        <w:p>
          <w:pPr>
            <w:pStyle w:val="213"/>
            <w:numPr>
              <w:ilvl w:val="0"/>
              <w:numId w:val="77"/>
            </w:numPr>
            <w:tabs>
              <w:tab w:val="left" w:pos="504"/>
            </w:tabs>
            <w:rPr>
              <w:rFonts w:ascii="宋体" w:hAnsi="宋体"/>
              <w:szCs w:val="21"/>
            </w:rPr>
          </w:pPr>
          <w:r>
            <w:rPr>
              <w:rFonts w:hint="eastAsia" w:ascii="宋体" w:hAnsi="宋体"/>
              <w:szCs w:val="21"/>
            </w:rPr>
            <w:t>盈余公积</w:t>
          </w:r>
        </w:p>
        <w:sdt>
          <w:sdtPr>
            <w:alias w:val="是否适用：盈余公积[双击切换]"/>
            <w:tag w:val="_GBC_5a507b0ba3a44a2c828e4df049852353"/>
            <w:id w:val="-177177839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盈余公积"/>
              <w:tag w:val="_GBC_8ca7c8f8d04e47ff92c33109bbf55576"/>
              <w:id w:val="-126183180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4662763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1573"/>
            <w:gridCol w:w="1693"/>
            <w:gridCol w:w="1698"/>
            <w:gridCol w:w="1710"/>
            <w:gridCol w:w="1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448cc13fae91499a9f41c6e4c1f51937"/>
                <w:id w:val="-1201014378"/>
                <w:lock w:val="sdtLocked"/>
              </w:sdtPr>
              <w:sdtContent>
                <w:tc>
                  <w:tcPr>
                    <w:tcW w:w="940" w:type="pct"/>
                  </w:tcPr>
                  <w:p>
                    <w:pPr>
                      <w:autoSpaceDE w:val="0"/>
                      <w:autoSpaceDN w:val="0"/>
                      <w:adjustRightInd w:val="0"/>
                      <w:snapToGrid w:val="0"/>
                      <w:jc w:val="center"/>
                      <w:rPr>
                        <w:szCs w:val="21"/>
                      </w:rPr>
                    </w:pPr>
                    <w:r>
                      <w:rPr>
                        <w:rFonts w:hint="eastAsia"/>
                        <w:szCs w:val="21"/>
                      </w:rPr>
                      <w:t>项目</w:t>
                    </w:r>
                  </w:p>
                </w:tc>
              </w:sdtContent>
            </w:sdt>
            <w:sdt>
              <w:sdtPr>
                <w:tag w:val="_PLD_112a59f6ca7b4b5f8ced860f9465eb1a"/>
                <w:id w:val="1706676321"/>
                <w:lock w:val="sdtLocked"/>
              </w:sdtPr>
              <w:sdtContent>
                <w:tc>
                  <w:tcPr>
                    <w:tcW w:w="1011" w:type="pct"/>
                  </w:tcPr>
                  <w:p>
                    <w:pPr>
                      <w:autoSpaceDE w:val="0"/>
                      <w:autoSpaceDN w:val="0"/>
                      <w:adjustRightInd w:val="0"/>
                      <w:snapToGrid w:val="0"/>
                      <w:jc w:val="center"/>
                      <w:rPr>
                        <w:szCs w:val="21"/>
                      </w:rPr>
                    </w:pPr>
                    <w:r>
                      <w:rPr>
                        <w:rFonts w:hint="eastAsia"/>
                        <w:szCs w:val="21"/>
                      </w:rPr>
                      <w:t>期初余额</w:t>
                    </w:r>
                  </w:p>
                </w:tc>
              </w:sdtContent>
            </w:sdt>
            <w:sdt>
              <w:sdtPr>
                <w:tag w:val="_PLD_a2c4f4720dd7427b93c04e32666cfd69"/>
                <w:id w:val="1909269730"/>
                <w:lock w:val="sdtLocked"/>
              </w:sdtPr>
              <w:sdtContent>
                <w:tc>
                  <w:tcPr>
                    <w:tcW w:w="1014" w:type="pct"/>
                  </w:tcPr>
                  <w:p>
                    <w:pPr>
                      <w:autoSpaceDE w:val="0"/>
                      <w:autoSpaceDN w:val="0"/>
                      <w:adjustRightInd w:val="0"/>
                      <w:snapToGrid w:val="0"/>
                      <w:jc w:val="center"/>
                      <w:rPr>
                        <w:szCs w:val="21"/>
                      </w:rPr>
                    </w:pPr>
                    <w:r>
                      <w:rPr>
                        <w:rFonts w:hint="eastAsia"/>
                        <w:szCs w:val="21"/>
                      </w:rPr>
                      <w:t>本期增加</w:t>
                    </w:r>
                  </w:p>
                </w:tc>
              </w:sdtContent>
            </w:sdt>
            <w:sdt>
              <w:sdtPr>
                <w:tag w:val="_PLD_ad1876bb4d7c41eaa003da876ae9e601"/>
                <w:id w:val="923232786"/>
                <w:lock w:val="sdtLocked"/>
              </w:sdtPr>
              <w:sdtContent>
                <w:tc>
                  <w:tcPr>
                    <w:tcW w:w="1021" w:type="pct"/>
                  </w:tcPr>
                  <w:p>
                    <w:pPr>
                      <w:autoSpaceDE w:val="0"/>
                      <w:autoSpaceDN w:val="0"/>
                      <w:adjustRightInd w:val="0"/>
                      <w:snapToGrid w:val="0"/>
                      <w:jc w:val="center"/>
                      <w:rPr>
                        <w:szCs w:val="21"/>
                      </w:rPr>
                    </w:pPr>
                    <w:r>
                      <w:rPr>
                        <w:rFonts w:hint="eastAsia"/>
                        <w:szCs w:val="21"/>
                      </w:rPr>
                      <w:t>本期减少</w:t>
                    </w:r>
                  </w:p>
                </w:tc>
              </w:sdtContent>
            </w:sdt>
            <w:sdt>
              <w:sdtPr>
                <w:tag w:val="_PLD_45d6cc2a2d2140619579c3f035df8d6a"/>
                <w:id w:val="-1653294107"/>
                <w:lock w:val="sdtLocked"/>
              </w:sdtPr>
              <w:sdtContent>
                <w:tc>
                  <w:tcPr>
                    <w:tcW w:w="1014" w:type="pct"/>
                  </w:tcPr>
                  <w:p>
                    <w:pPr>
                      <w:autoSpaceDE w:val="0"/>
                      <w:autoSpaceDN w:val="0"/>
                      <w:adjustRightInd w:val="0"/>
                      <w:snapToGrid w:val="0"/>
                      <w:jc w:val="center"/>
                      <w:rPr>
                        <w:szCs w:val="21"/>
                      </w:rPr>
                    </w:pPr>
                    <w:r>
                      <w:rPr>
                        <w:rFonts w:hint="eastAsia"/>
                        <w:szCs w:val="21"/>
                      </w:rP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6c6453732574f80b65848edf92a42a6"/>
                <w:id w:val="-1647813257"/>
                <w:lock w:val="sdtLocked"/>
              </w:sdtPr>
              <w:sdtContent>
                <w:tc>
                  <w:tcPr>
                    <w:tcW w:w="940" w:type="pct"/>
                    <w:shd w:val="clear" w:color="auto" w:fill="auto"/>
                    <w:vAlign w:val="center"/>
                  </w:tcPr>
                  <w:p>
                    <w:pPr>
                      <w:autoSpaceDE w:val="0"/>
                      <w:autoSpaceDN w:val="0"/>
                      <w:adjustRightInd w:val="0"/>
                      <w:snapToGrid w:val="0"/>
                      <w:jc w:val="center"/>
                      <w:rPr>
                        <w:szCs w:val="21"/>
                      </w:rPr>
                    </w:pPr>
                    <w:r>
                      <w:rPr>
                        <w:rFonts w:hint="eastAsia"/>
                        <w:szCs w:val="21"/>
                      </w:rPr>
                      <w:t>法定盈余公积</w:t>
                    </w:r>
                  </w:p>
                </w:tc>
              </w:sdtContent>
            </w:sdt>
            <w:tc>
              <w:tcPr>
                <w:tcW w:w="1011" w:type="pct"/>
                <w:shd w:val="clear" w:color="auto" w:fill="auto"/>
                <w:vAlign w:val="center"/>
              </w:tcPr>
              <w:p>
                <w:pPr>
                  <w:jc w:val="right"/>
                  <w:rPr>
                    <w:sz w:val="24"/>
                  </w:rPr>
                </w:pPr>
                <w:r>
                  <w:t>426,993,753.64</w:t>
                </w:r>
              </w:p>
            </w:tc>
            <w:tc>
              <w:tcPr>
                <w:tcW w:w="1014" w:type="pct"/>
                <w:shd w:val="clear" w:color="auto" w:fill="auto"/>
                <w:vAlign w:val="center"/>
              </w:tcPr>
              <w:p>
                <w:pPr>
                  <w:jc w:val="right"/>
                  <w:rPr>
                    <w:sz w:val="24"/>
                  </w:rPr>
                </w:pPr>
              </w:p>
            </w:tc>
            <w:tc>
              <w:tcPr>
                <w:tcW w:w="1021" w:type="pct"/>
                <w:shd w:val="clear" w:color="auto" w:fill="auto"/>
                <w:vAlign w:val="center"/>
              </w:tcPr>
              <w:p>
                <w:pPr>
                  <w:jc w:val="right"/>
                  <w:rPr>
                    <w:sz w:val="24"/>
                  </w:rPr>
                </w:pPr>
              </w:p>
            </w:tc>
            <w:tc>
              <w:tcPr>
                <w:tcW w:w="1014" w:type="pct"/>
                <w:shd w:val="clear" w:color="auto" w:fill="auto"/>
                <w:vAlign w:val="center"/>
              </w:tcPr>
              <w:p>
                <w:pPr>
                  <w:jc w:val="right"/>
                  <w:rPr>
                    <w:sz w:val="24"/>
                  </w:rPr>
                </w:pPr>
                <w:r>
                  <w:t>426,993,753.64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761553a81bb545a7b32754ce7ef6325b"/>
                <w:id w:val="-286968129"/>
                <w:lock w:val="sdtLocked"/>
              </w:sdtPr>
              <w:sdtContent>
                <w:tc>
                  <w:tcPr>
                    <w:tcW w:w="940" w:type="pct"/>
                  </w:tcPr>
                  <w:p>
                    <w:pPr>
                      <w:autoSpaceDE w:val="0"/>
                      <w:autoSpaceDN w:val="0"/>
                      <w:adjustRightInd w:val="0"/>
                      <w:snapToGrid w:val="0"/>
                      <w:jc w:val="center"/>
                      <w:rPr>
                        <w:szCs w:val="21"/>
                      </w:rPr>
                    </w:pPr>
                    <w:r>
                      <w:rPr>
                        <w:rFonts w:hint="eastAsia"/>
                        <w:szCs w:val="21"/>
                      </w:rPr>
                      <w:t>合计</w:t>
                    </w:r>
                  </w:p>
                </w:tc>
              </w:sdtContent>
            </w:sdt>
            <w:tc>
              <w:tcPr>
                <w:tcW w:w="1011" w:type="pct"/>
                <w:vAlign w:val="center"/>
              </w:tcPr>
              <w:p>
                <w:pPr>
                  <w:jc w:val="right"/>
                  <w:rPr>
                    <w:sz w:val="24"/>
                  </w:rPr>
                </w:pPr>
                <w:r>
                  <w:t>426,993,753.64</w:t>
                </w:r>
              </w:p>
            </w:tc>
            <w:tc>
              <w:tcPr>
                <w:tcW w:w="1014" w:type="pct"/>
                <w:vAlign w:val="center"/>
              </w:tcPr>
              <w:p>
                <w:pPr>
                  <w:jc w:val="right"/>
                  <w:rPr>
                    <w:sz w:val="24"/>
                  </w:rPr>
                </w:pPr>
              </w:p>
            </w:tc>
            <w:tc>
              <w:tcPr>
                <w:tcW w:w="1021" w:type="pct"/>
                <w:vAlign w:val="center"/>
              </w:tcPr>
              <w:p>
                <w:pPr>
                  <w:jc w:val="right"/>
                  <w:rPr>
                    <w:sz w:val="24"/>
                  </w:rPr>
                </w:pPr>
              </w:p>
            </w:tc>
            <w:tc>
              <w:tcPr>
                <w:tcW w:w="1014" w:type="pct"/>
                <w:vAlign w:val="center"/>
              </w:tcPr>
              <w:p>
                <w:pPr>
                  <w:jc w:val="right"/>
                  <w:rPr>
                    <w:sz w:val="24"/>
                  </w:rPr>
                </w:pPr>
                <w:r>
                  <w:t>426,993,753.64</w:t>
                </w:r>
              </w:p>
            </w:tc>
          </w:tr>
        </w:tbl>
        <w:p>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956700127"/>
            <w:lock w:val="sdtLocked"/>
            <w:placeholder>
              <w:docPart w:val="GBC22222222222222222222222222222"/>
            </w:placeholder>
          </w:sdtPr>
          <w:sdtEndPr>
            <w:rPr>
              <w:szCs w:val="21"/>
            </w:rPr>
          </w:sdtEndPr>
          <w:sdtContent>
            <w:p>
              <w:pPr>
                <w:autoSpaceDE w:val="0"/>
                <w:autoSpaceDN w:val="0"/>
                <w:adjustRightInd w:val="0"/>
                <w:rPr>
                  <w:szCs w:val="21"/>
                </w:rPr>
              </w:pPr>
              <w:r>
                <w:rPr>
                  <w:rFonts w:hint="eastAsia"/>
                  <w:szCs w:val="21"/>
                </w:rPr>
                <w:t>无</w:t>
              </w:r>
            </w:p>
          </w:sdtContent>
        </w:sdt>
        <w:p>
          <w:pPr>
            <w:autoSpaceDE w:val="0"/>
            <w:autoSpaceDN w:val="0"/>
            <w:adjustRightInd w:val="0"/>
            <w:rPr>
              <w:color w:val="000000" w:themeColor="text1"/>
              <w:szCs w:val="21"/>
            </w:rPr>
          </w:pPr>
        </w:p>
      </w:sdtContent>
    </w:sdt>
    <w:p>
      <w:pPr>
        <w:pStyle w:val="213"/>
        <w:numPr>
          <w:ilvl w:val="0"/>
          <w:numId w:val="77"/>
        </w:numPr>
        <w:tabs>
          <w:tab w:val="left" w:pos="504"/>
        </w:tabs>
        <w:rPr>
          <w:rFonts w:ascii="宋体" w:hAnsi="宋体"/>
          <w:szCs w:val="21"/>
        </w:rPr>
      </w:pPr>
      <w:r>
        <w:rPr>
          <w:rFonts w:hint="eastAsia" w:ascii="宋体" w:hAnsi="宋体"/>
          <w:szCs w:val="21"/>
        </w:rPr>
        <w:t>未分配利润</w:t>
      </w:r>
    </w:p>
    <w:p>
      <w:sdt>
        <w:sdtPr>
          <w:alias w:val="是否适用：未分配利润[双击切换]"/>
          <w:tag w:val="_GBC_0ccb002da9b649db91afd1ca2a9330f8"/>
          <w:id w:val="145562032"/>
          <w:lock w:val="sdtConten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sdt>
      <w:sdtPr>
        <w:rPr>
          <w:rFonts w:hint="eastAsia"/>
          <w:b/>
          <w:bCs/>
          <w:szCs w:val="21"/>
        </w:rPr>
        <w:alias w:val="模块:未分配利润;"/>
        <w:tag w:val="_SEC_099bae2e74dd4c638d827dd234536518"/>
        <w:id w:val="-1547207722"/>
        <w:lock w:val="sdtLocked"/>
        <w:placeholder>
          <w:docPart w:val="GBC22222222222222222222222222222"/>
        </w:placeholder>
      </w:sdtPr>
      <w:sdtEndPr>
        <w:rPr>
          <w:rFonts w:hint="eastAsia"/>
          <w:b w:val="0"/>
          <w:bCs w:val="0"/>
          <w:szCs w:val="21"/>
        </w:rPr>
      </w:sdtEndPr>
      <w:sdtContent>
        <w:p>
          <w:pPr>
            <w:jc w:val="right"/>
            <w:rPr>
              <w:szCs w:val="21"/>
            </w:rPr>
          </w:pPr>
          <w:r>
            <w:rPr>
              <w:rFonts w:hint="eastAsia"/>
              <w:szCs w:val="21"/>
            </w:rPr>
            <w:t>单位：</w:t>
          </w:r>
          <w:sdt>
            <w:sdtPr>
              <w:rPr>
                <w:rFonts w:hint="eastAsia"/>
                <w:szCs w:val="21"/>
              </w:rPr>
              <w:alias w:val="单位：财务附注：未分配利润"/>
              <w:tag w:val="_GBC_fc12fabcd66949d39f6f74b747284465"/>
              <w:id w:val="-11266882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201726615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91"/>
            <w:gridCol w:w="2664"/>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30da0a90f08b46f090b6fee887a691bc"/>
                <w:id w:val="-1881073994"/>
                <w:lock w:val="sdtLocked"/>
              </w:sdtPr>
              <w:sdtContent>
                <w:tc>
                  <w:tcPr>
                    <w:tcW w:w="1927" w:type="pct"/>
                    <w:vAlign w:val="center"/>
                  </w:tcPr>
                  <w:p>
                    <w:pPr>
                      <w:jc w:val="center"/>
                      <w:rPr>
                        <w:szCs w:val="21"/>
                      </w:rPr>
                    </w:pPr>
                    <w:r>
                      <w:rPr>
                        <w:rFonts w:hint="eastAsia"/>
                        <w:szCs w:val="21"/>
                      </w:rPr>
                      <w:t>项目</w:t>
                    </w:r>
                  </w:p>
                </w:tc>
              </w:sdtContent>
            </w:sdt>
            <w:sdt>
              <w:sdtPr>
                <w:tag w:val="_PLD_27c0ff4064964dc5b9e335151d04b603"/>
                <w:id w:val="-1783405282"/>
                <w:lock w:val="sdtLocked"/>
              </w:sdtPr>
              <w:sdtContent>
                <w:tc>
                  <w:tcPr>
                    <w:tcW w:w="1560" w:type="pct"/>
                    <w:vAlign w:val="center"/>
                  </w:tcPr>
                  <w:p>
                    <w:pPr>
                      <w:jc w:val="center"/>
                      <w:rPr>
                        <w:szCs w:val="21"/>
                      </w:rPr>
                    </w:pPr>
                    <w:r>
                      <w:rPr>
                        <w:rFonts w:hint="eastAsia"/>
                        <w:szCs w:val="21"/>
                      </w:rPr>
                      <w:t>本期</w:t>
                    </w:r>
                  </w:p>
                </w:tc>
              </w:sdtContent>
            </w:sdt>
            <w:sdt>
              <w:sdtPr>
                <w:tag w:val="_PLD_613460741a0147b7be8212812793694e"/>
                <w:id w:val="-1814861773"/>
                <w:lock w:val="sdtLocked"/>
              </w:sdtPr>
              <w:sdtContent>
                <w:tc>
                  <w:tcPr>
                    <w:tcW w:w="1512" w:type="pct"/>
                    <w:vAlign w:val="center"/>
                  </w:tcPr>
                  <w:p>
                    <w:pPr>
                      <w:jc w:val="center"/>
                      <w:rPr>
                        <w:szCs w:val="21"/>
                      </w:rPr>
                    </w:pPr>
                    <w:r>
                      <w:rPr>
                        <w:rFonts w:hint="eastAsia"/>
                        <w:szCs w:val="21"/>
                      </w:rPr>
                      <w:t>上期</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a8a908ccb6754af7b684355be7043ef6"/>
                <w:id w:val="-874762241"/>
                <w:lock w:val="sdtLocked"/>
              </w:sdtPr>
              <w:sdtContent>
                <w:tc>
                  <w:tcPr>
                    <w:tcW w:w="1927" w:type="pct"/>
                  </w:tcPr>
                  <w:p>
                    <w:pPr>
                      <w:rPr>
                        <w:szCs w:val="21"/>
                      </w:rPr>
                    </w:pPr>
                    <w:r>
                      <w:rPr>
                        <w:rFonts w:hint="eastAsia"/>
                        <w:szCs w:val="21"/>
                      </w:rPr>
                      <w:t>调整前上期末未分配利润</w:t>
                    </w:r>
                  </w:p>
                </w:tc>
              </w:sdtContent>
            </w:sdt>
            <w:tc>
              <w:tcPr>
                <w:tcW w:w="1560" w:type="pct"/>
                <w:vAlign w:val="center"/>
              </w:tcPr>
              <w:p>
                <w:pPr>
                  <w:jc w:val="right"/>
                  <w:rPr>
                    <w:sz w:val="24"/>
                  </w:rPr>
                </w:pPr>
                <w:r>
                  <w:t>-3,044,426,693.79</w:t>
                </w:r>
              </w:p>
            </w:tc>
            <w:tc>
              <w:tcPr>
                <w:tcW w:w="1512" w:type="pct"/>
              </w:tcPr>
              <w:p>
                <w:pPr>
                  <w:jc w:val="right"/>
                  <w:rPr>
                    <w:szCs w:val="21"/>
                  </w:rPr>
                </w:pPr>
                <w:r>
                  <w:rPr>
                    <w:rFonts w:hint="eastAsia"/>
                    <w:szCs w:val="21"/>
                  </w:rPr>
                  <w:t>-3</w:t>
                </w:r>
                <w:r>
                  <w:rPr>
                    <w:szCs w:val="21"/>
                  </w:rPr>
                  <w:t>,</w:t>
                </w:r>
                <w:r>
                  <w:rPr>
                    <w:rFonts w:hint="eastAsia"/>
                    <w:szCs w:val="21"/>
                  </w:rPr>
                  <w:t>102</w:t>
                </w:r>
                <w:r>
                  <w:rPr>
                    <w:szCs w:val="21"/>
                  </w:rPr>
                  <w:t>,</w:t>
                </w:r>
                <w:r>
                  <w:rPr>
                    <w:rFonts w:hint="eastAsia"/>
                    <w:szCs w:val="21"/>
                  </w:rPr>
                  <w:t>530</w:t>
                </w:r>
                <w:r>
                  <w:rPr>
                    <w:szCs w:val="21"/>
                  </w:rPr>
                  <w:t>,</w:t>
                </w:r>
                <w:r>
                  <w:rPr>
                    <w:rFonts w:hint="eastAsia"/>
                    <w:szCs w:val="21"/>
                  </w:rPr>
                  <w:t>488.25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02ab5ac1239f40a6a46e28f567884d1f"/>
                <w:id w:val="-1938206871"/>
                <w:lock w:val="sdtLocked"/>
              </w:sdtPr>
              <w:sdtContent>
                <w:tc>
                  <w:tcPr>
                    <w:tcW w:w="1927" w:type="pct"/>
                  </w:tcPr>
                  <w:p>
                    <w:pPr>
                      <w:rPr>
                        <w:szCs w:val="21"/>
                      </w:rPr>
                    </w:pPr>
                    <w:r>
                      <w:rPr>
                        <w:rFonts w:hint="eastAsia"/>
                        <w:szCs w:val="21"/>
                      </w:rPr>
                      <w:t>调整期初未分配利润合计数（调增</w:t>
                    </w:r>
                    <w:r>
                      <w:rPr>
                        <w:szCs w:val="21"/>
                      </w:rPr>
                      <w:t>+</w:t>
                    </w:r>
                    <w:r>
                      <w:rPr>
                        <w:rFonts w:hint="eastAsia"/>
                        <w:szCs w:val="21"/>
                      </w:rPr>
                      <w:t>，调减－）</w:t>
                    </w:r>
                  </w:p>
                </w:tc>
              </w:sdtContent>
            </w:sdt>
            <w:tc>
              <w:tcPr>
                <w:tcW w:w="1560" w:type="pct"/>
                <w:vAlign w:val="center"/>
              </w:tcPr>
              <w:p>
                <w:pPr>
                  <w:jc w:val="right"/>
                  <w:rPr>
                    <w:sz w:val="24"/>
                  </w:rPr>
                </w:pPr>
              </w:p>
            </w:tc>
            <w:tc>
              <w:tcPr>
                <w:tcW w:w="1512" w:type="pct"/>
              </w:tcPr>
              <w:p>
                <w:pPr>
                  <w:ind w:right="6"/>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77ca15ebef62468eb0dd24c8e090b1ab"/>
                <w:id w:val="-1039667960"/>
                <w:lock w:val="sdtLocked"/>
              </w:sdtPr>
              <w:sdtContent>
                <w:tc>
                  <w:tcPr>
                    <w:tcW w:w="1927" w:type="pct"/>
                  </w:tcPr>
                  <w:p>
                    <w:pPr>
                      <w:rPr>
                        <w:szCs w:val="21"/>
                      </w:rPr>
                    </w:pPr>
                    <w:r>
                      <w:rPr>
                        <w:rFonts w:hint="eastAsia"/>
                        <w:szCs w:val="21"/>
                      </w:rPr>
                      <w:t>调整后期初未分配利润</w:t>
                    </w:r>
                  </w:p>
                </w:tc>
              </w:sdtContent>
            </w:sdt>
            <w:tc>
              <w:tcPr>
                <w:tcW w:w="1560" w:type="pct"/>
                <w:vAlign w:val="center"/>
              </w:tcPr>
              <w:p>
                <w:pPr>
                  <w:jc w:val="right"/>
                  <w:rPr>
                    <w:sz w:val="24"/>
                  </w:rPr>
                </w:pPr>
                <w:r>
                  <w:t>-3,044,426,693.79</w:t>
                </w:r>
              </w:p>
            </w:tc>
            <w:tc>
              <w:tcPr>
                <w:tcW w:w="1512" w:type="pct"/>
              </w:tcPr>
              <w:p>
                <w:pPr>
                  <w:ind w:right="6"/>
                  <w:jc w:val="right"/>
                  <w:rPr>
                    <w:szCs w:val="21"/>
                  </w:rPr>
                </w:pPr>
                <w:r>
                  <w:rPr>
                    <w:szCs w:val="21"/>
                  </w:rPr>
                  <w:t>-3,102,530,488.25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9fc7a2bfee39423d80a60d153fe240df"/>
                <w:id w:val="-881319608"/>
                <w:lock w:val="sdtLocked"/>
              </w:sdtPr>
              <w:sdtContent>
                <w:tc>
                  <w:tcPr>
                    <w:tcW w:w="1927" w:type="pct"/>
                  </w:tcPr>
                  <w:p>
                    <w:pPr>
                      <w:ind w:right="6"/>
                      <w:rPr>
                        <w:szCs w:val="21"/>
                      </w:rPr>
                    </w:pPr>
                    <w:r>
                      <w:rPr>
                        <w:rFonts w:hint="eastAsia"/>
                        <w:szCs w:val="21"/>
                      </w:rPr>
                      <w:t>加：本期归属于母公司所有者的净利润</w:t>
                    </w:r>
                  </w:p>
                </w:tc>
              </w:sdtContent>
            </w:sdt>
            <w:tc>
              <w:tcPr>
                <w:tcW w:w="1560" w:type="pct"/>
                <w:vAlign w:val="center"/>
              </w:tcPr>
              <w:p>
                <w:pPr>
                  <w:jc w:val="right"/>
                  <w:rPr>
                    <w:sz w:val="24"/>
                  </w:rPr>
                </w:pPr>
                <w:r>
                  <w:t>55,642,068.60</w:t>
                </w:r>
              </w:p>
            </w:tc>
            <w:tc>
              <w:tcPr>
                <w:tcW w:w="1512" w:type="pct"/>
              </w:tcPr>
              <w:p>
                <w:pPr>
                  <w:ind w:right="6"/>
                  <w:jc w:val="right"/>
                  <w:rPr>
                    <w:szCs w:val="21"/>
                  </w:rPr>
                </w:pPr>
                <w:r>
                  <w:rPr>
                    <w:rFonts w:hint="eastAsia"/>
                    <w:szCs w:val="21"/>
                  </w:rPr>
                  <w:t>58</w:t>
                </w:r>
                <w:r>
                  <w:rPr>
                    <w:szCs w:val="21"/>
                  </w:rPr>
                  <w:t>,</w:t>
                </w:r>
                <w:r>
                  <w:rPr>
                    <w:rFonts w:hint="eastAsia"/>
                    <w:szCs w:val="21"/>
                  </w:rPr>
                  <w:t>103</w:t>
                </w:r>
                <w:r>
                  <w:rPr>
                    <w:szCs w:val="21"/>
                  </w:rPr>
                  <w:t>,</w:t>
                </w:r>
                <w:r>
                  <w:rPr>
                    <w:rFonts w:hint="eastAsia"/>
                    <w:szCs w:val="21"/>
                  </w:rPr>
                  <w:t>794.46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5ceb5eda6064d7ea7b72559c6fb383d"/>
                <w:id w:val="258037749"/>
                <w:lock w:val="sdtLocked"/>
              </w:sdtPr>
              <w:sdtContent>
                <w:tc>
                  <w:tcPr>
                    <w:tcW w:w="1927" w:type="pct"/>
                  </w:tcPr>
                  <w:p>
                    <w:pPr>
                      <w:autoSpaceDE w:val="0"/>
                      <w:autoSpaceDN w:val="0"/>
                      <w:adjustRightInd w:val="0"/>
                      <w:rPr>
                        <w:szCs w:val="21"/>
                      </w:rPr>
                    </w:pPr>
                    <w:r>
                      <w:rPr>
                        <w:rFonts w:hint="eastAsia"/>
                        <w:szCs w:val="21"/>
                      </w:rPr>
                      <w:t>减：提取法定盈余公积</w:t>
                    </w:r>
                  </w:p>
                </w:tc>
              </w:sdtContent>
            </w:sdt>
            <w:tc>
              <w:tcPr>
                <w:tcW w:w="1560" w:type="pct"/>
              </w:tcPr>
              <w:p>
                <w:pPr>
                  <w:jc w:val="right"/>
                  <w:rPr>
                    <w:szCs w:val="21"/>
                  </w:rPr>
                </w:pPr>
              </w:p>
            </w:tc>
            <w:tc>
              <w:tcPr>
                <w:tcW w:w="1512" w:type="pct"/>
              </w:tcPr>
              <w:p>
                <w:pPr>
                  <w:ind w:right="6"/>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b9048167f4e548f88b2ee2db042401a5"/>
                <w:id w:val="-1759894222"/>
                <w:lock w:val="sdtLocked"/>
              </w:sdtPr>
              <w:sdtContent>
                <w:tc>
                  <w:tcPr>
                    <w:tcW w:w="1927" w:type="pct"/>
                  </w:tcPr>
                  <w:p>
                    <w:pPr>
                      <w:autoSpaceDE w:val="0"/>
                      <w:autoSpaceDN w:val="0"/>
                      <w:adjustRightInd w:val="0"/>
                      <w:ind w:firstLine="420"/>
                      <w:rPr>
                        <w:szCs w:val="21"/>
                      </w:rPr>
                    </w:pPr>
                    <w:r>
                      <w:rPr>
                        <w:rFonts w:hint="eastAsia"/>
                        <w:szCs w:val="21"/>
                      </w:rPr>
                      <w:t>提取任意盈余公积</w:t>
                    </w:r>
                  </w:p>
                </w:tc>
              </w:sdtContent>
            </w:sdt>
            <w:tc>
              <w:tcPr>
                <w:tcW w:w="1560" w:type="pct"/>
              </w:tcPr>
              <w:p>
                <w:pPr>
                  <w:jc w:val="right"/>
                  <w:rPr>
                    <w:szCs w:val="21"/>
                  </w:rPr>
                </w:pPr>
              </w:p>
            </w:tc>
            <w:tc>
              <w:tcPr>
                <w:tcW w:w="1512" w:type="pct"/>
              </w:tcPr>
              <w:p>
                <w:pPr>
                  <w:ind w:right="6"/>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50cefe8e83c143188bf2474236d80680"/>
                <w:id w:val="806050719"/>
                <w:lock w:val="sdtLocked"/>
              </w:sdtPr>
              <w:sdtContent>
                <w:tc>
                  <w:tcPr>
                    <w:tcW w:w="1927" w:type="pct"/>
                  </w:tcPr>
                  <w:p>
                    <w:pPr>
                      <w:autoSpaceDE w:val="0"/>
                      <w:autoSpaceDN w:val="0"/>
                      <w:adjustRightInd w:val="0"/>
                      <w:ind w:firstLine="420"/>
                      <w:rPr>
                        <w:szCs w:val="21"/>
                      </w:rPr>
                    </w:pPr>
                    <w:r>
                      <w:rPr>
                        <w:rFonts w:hint="eastAsia"/>
                        <w:szCs w:val="21"/>
                      </w:rPr>
                      <w:t>提取一般风险准备</w:t>
                    </w:r>
                  </w:p>
                </w:tc>
              </w:sdtContent>
            </w:sdt>
            <w:tc>
              <w:tcPr>
                <w:tcW w:w="1560" w:type="pct"/>
              </w:tcPr>
              <w:p>
                <w:pPr>
                  <w:jc w:val="right"/>
                  <w:rPr>
                    <w:szCs w:val="21"/>
                  </w:rPr>
                </w:pPr>
              </w:p>
            </w:tc>
            <w:tc>
              <w:tcPr>
                <w:tcW w:w="1512" w:type="pct"/>
              </w:tcPr>
              <w:p>
                <w:pPr>
                  <w:ind w:right="6"/>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87bbb7d2e8fe4a08961cba210a7ec6dc"/>
                <w:id w:val="1225567231"/>
                <w:lock w:val="sdtLocked"/>
              </w:sdtPr>
              <w:sdtContent>
                <w:tc>
                  <w:tcPr>
                    <w:tcW w:w="1927" w:type="pct"/>
                  </w:tcPr>
                  <w:p>
                    <w:pPr>
                      <w:autoSpaceDE w:val="0"/>
                      <w:autoSpaceDN w:val="0"/>
                      <w:adjustRightInd w:val="0"/>
                      <w:ind w:firstLine="420"/>
                      <w:rPr>
                        <w:szCs w:val="21"/>
                      </w:rPr>
                    </w:pPr>
                    <w:r>
                      <w:rPr>
                        <w:rFonts w:hint="eastAsia"/>
                        <w:szCs w:val="21"/>
                      </w:rPr>
                      <w:t>应付普通股股利</w:t>
                    </w:r>
                  </w:p>
                </w:tc>
              </w:sdtContent>
            </w:sdt>
            <w:tc>
              <w:tcPr>
                <w:tcW w:w="1560" w:type="pct"/>
              </w:tcPr>
              <w:p>
                <w:pPr>
                  <w:jc w:val="right"/>
                  <w:rPr>
                    <w:szCs w:val="21"/>
                  </w:rPr>
                </w:pPr>
              </w:p>
            </w:tc>
            <w:tc>
              <w:tcPr>
                <w:tcW w:w="1512" w:type="pct"/>
              </w:tcPr>
              <w:p>
                <w:pPr>
                  <w:ind w:right="6"/>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4bbfbdfbfae0435097e7295f7e9172d3"/>
                <w:id w:val="-1513136415"/>
                <w:lock w:val="sdtLocked"/>
              </w:sdtPr>
              <w:sdtContent>
                <w:tc>
                  <w:tcPr>
                    <w:tcW w:w="1927" w:type="pct"/>
                  </w:tcPr>
                  <w:p>
                    <w:pPr>
                      <w:autoSpaceDE w:val="0"/>
                      <w:autoSpaceDN w:val="0"/>
                      <w:adjustRightInd w:val="0"/>
                      <w:ind w:firstLine="420"/>
                      <w:rPr>
                        <w:szCs w:val="21"/>
                      </w:rPr>
                    </w:pPr>
                    <w:r>
                      <w:rPr>
                        <w:rFonts w:hint="eastAsia"/>
                        <w:szCs w:val="21"/>
                      </w:rPr>
                      <w:t>转作股本的普通股股利</w:t>
                    </w:r>
                  </w:p>
                </w:tc>
              </w:sdtContent>
            </w:sdt>
            <w:tc>
              <w:tcPr>
                <w:tcW w:w="1560" w:type="pct"/>
              </w:tcPr>
              <w:p>
                <w:pPr>
                  <w:jc w:val="right"/>
                  <w:rPr>
                    <w:szCs w:val="21"/>
                  </w:rPr>
                </w:pPr>
              </w:p>
            </w:tc>
            <w:tc>
              <w:tcPr>
                <w:tcW w:w="1512" w:type="pct"/>
              </w:tcPr>
              <w:p>
                <w:pPr>
                  <w:ind w:right="6"/>
                  <w:jc w:val="right"/>
                  <w:rPr>
                    <w:szCs w:val="21"/>
                  </w:rPr>
                </w:pPr>
              </w:p>
            </w:tc>
          </w:tr>
          <w:sdt>
            <w:sdtPr>
              <w:rPr>
                <w:rFonts w:hint="eastAsia"/>
                <w:szCs w:val="21"/>
              </w:rPr>
              <w:alias w:val="本期其他利润分配"/>
              <w:tag w:val="_TUP_9c08dab1f601442f9635f5bc53591d1f"/>
              <w:id w:val="59512974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tc>
                  <w:tcPr>
                    <w:tcW w:w="1927" w:type="pct"/>
                  </w:tcPr>
                  <w:p>
                    <w:pPr>
                      <w:autoSpaceDE w:val="0"/>
                      <w:autoSpaceDN w:val="0"/>
                      <w:adjustRightInd w:val="0"/>
                      <w:rPr>
                        <w:szCs w:val="21"/>
                      </w:rPr>
                    </w:pPr>
                    <w:r>
                      <w:rPr>
                        <w:rFonts w:hint="eastAsia"/>
                        <w:szCs w:val="21"/>
                      </w:rPr>
                      <w:t>加：</w:t>
                    </w:r>
                    <w:r>
                      <w:t>其他综合收益结转留存收益</w:t>
                    </w:r>
                  </w:p>
                </w:tc>
                <w:tc>
                  <w:tcPr>
                    <w:tcW w:w="1560" w:type="pct"/>
                  </w:tcPr>
                  <w:p>
                    <w:pPr>
                      <w:jc w:val="right"/>
                      <w:rPr>
                        <w:rFonts w:asciiTheme="minorEastAsia" w:hAnsiTheme="minorEastAsia" w:eastAsiaTheme="minorEastAsia"/>
                      </w:rPr>
                    </w:pPr>
                    <w:r>
                      <w:rPr>
                        <w:rFonts w:asciiTheme="minorEastAsia" w:hAnsiTheme="minorEastAsia" w:eastAsiaTheme="minorEastAsia"/>
                      </w:rPr>
                      <w:t>-17,197,619.05</w:t>
                    </w:r>
                  </w:p>
                </w:tc>
                <w:tc>
                  <w:tcPr>
                    <w:tcW w:w="1512" w:type="pct"/>
                  </w:tcPr>
                  <w:p>
                    <w:pPr>
                      <w:ind w:right="6"/>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Pr>
            <w:sdt>
              <w:sdtPr>
                <w:tag w:val="_PLD_d7d3f7cba9bf4a16a498b0ccb214564d"/>
                <w:id w:val="-460419352"/>
                <w:lock w:val="sdtLocked"/>
              </w:sdtPr>
              <w:sdtContent>
                <w:tc>
                  <w:tcPr>
                    <w:tcW w:w="1927" w:type="pct"/>
                  </w:tcPr>
                  <w:p>
                    <w:pPr>
                      <w:autoSpaceDE w:val="0"/>
                      <w:autoSpaceDN w:val="0"/>
                      <w:adjustRightInd w:val="0"/>
                      <w:rPr>
                        <w:szCs w:val="21"/>
                      </w:rPr>
                    </w:pPr>
                    <w:r>
                      <w:rPr>
                        <w:rFonts w:hint="eastAsia"/>
                        <w:szCs w:val="21"/>
                      </w:rPr>
                      <w:t>期末未分配利润</w:t>
                    </w:r>
                  </w:p>
                </w:tc>
              </w:sdtContent>
            </w:sdt>
            <w:tc>
              <w:tcPr>
                <w:tcW w:w="1560" w:type="pct"/>
              </w:tcPr>
              <w:p>
                <w:pPr>
                  <w:jc w:val="right"/>
                  <w:rPr>
                    <w:rFonts w:asciiTheme="minorEastAsia" w:hAnsiTheme="minorEastAsia" w:eastAsiaTheme="minorEastAsia"/>
                    <w:szCs w:val="21"/>
                  </w:rPr>
                </w:pPr>
                <w:r>
                  <w:rPr>
                    <w:rFonts w:asciiTheme="minorEastAsia" w:hAnsiTheme="minorEastAsia" w:eastAsiaTheme="minorEastAsia"/>
                  </w:rPr>
                  <w:t>-3,005,982,244.24</w:t>
                </w:r>
              </w:p>
            </w:tc>
            <w:tc>
              <w:tcPr>
                <w:tcW w:w="1512" w:type="pct"/>
              </w:tcPr>
              <w:p>
                <w:pPr>
                  <w:ind w:right="6"/>
                  <w:jc w:val="right"/>
                  <w:rPr>
                    <w:szCs w:val="21"/>
                  </w:rPr>
                </w:pPr>
                <w:r>
                  <w:rPr>
                    <w:szCs w:val="21"/>
                  </w:rPr>
                  <w:t>-3,044,426,693.79</w:t>
                </w:r>
              </w:p>
            </w:tc>
          </w:tr>
        </w:tbl>
        <w:p/>
        <w:p>
          <w:pPr>
            <w:tabs>
              <w:tab w:val="left" w:pos="6225"/>
            </w:tabs>
            <w:spacing w:before="60" w:after="60"/>
            <w:rPr>
              <w:color w:val="000000" w:themeColor="text1"/>
              <w:szCs w:val="21"/>
            </w:rPr>
          </w:pPr>
          <w:r>
            <w:rPr>
              <w:rFonts w:hint="eastAsia"/>
              <w:color w:val="000000" w:themeColor="text1"/>
              <w:szCs w:val="21"/>
            </w:rPr>
            <w:t>调整期初未分配利润明细：</w:t>
          </w:r>
          <w:r>
            <w:rPr>
              <w:color w:val="000000" w:themeColor="text1"/>
              <w:szCs w:val="21"/>
            </w:rPr>
            <w:tab/>
          </w:r>
        </w:p>
        <w:p>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947933798"/>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567300972"/>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159472975"/>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915011068"/>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p>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2097663471"/>
              <w:lock w:val="sdtLocked"/>
              <w:placeholder>
                <w:docPart w:val="GBC22222222222222222222222222222"/>
              </w:placeholder>
            </w:sdtPr>
            <w:sdtEndPr>
              <w:rPr>
                <w:rFonts w:hint="eastAsia"/>
                <w:szCs w:val="21"/>
              </w:rPr>
            </w:sdtEndPr>
            <w:sdtContent>
              <w:r>
                <w:rPr>
                  <w:rFonts w:hint="eastAsia"/>
                  <w:szCs w:val="21"/>
                </w:rPr>
                <w:t>0</w:t>
              </w:r>
            </w:sdtContent>
          </w:sdt>
          <w:r>
            <w:rPr>
              <w:rFonts w:hint="eastAsia"/>
              <w:szCs w:val="21"/>
            </w:rPr>
            <w:t xml:space="preserve"> 元。</w:t>
          </w:r>
        </w:p>
      </w:sdtContent>
    </w:sdt>
    <w:p>
      <w:pPr>
        <w:rPr>
          <w:szCs w:val="21"/>
        </w:rPr>
      </w:pPr>
    </w:p>
    <w:sdt>
      <w:sdtPr>
        <w:rPr>
          <w:rFonts w:hint="eastAsia" w:ascii="宋体" w:hAnsi="宋体" w:cs="宋体"/>
          <w:b w:val="0"/>
          <w:bCs w:val="0"/>
          <w:kern w:val="0"/>
          <w:szCs w:val="21"/>
        </w:rPr>
        <w:alias w:val="模块:营业收入和营业成本"/>
        <w:tag w:val="_SEC_4f278fa30cb04e56a01c1330e71747dc"/>
        <w:id w:val="-1908687514"/>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szCs w:val="21"/>
            </w:rPr>
          </w:pPr>
          <w:r>
            <w:rPr>
              <w:szCs w:val="21"/>
            </w:rPr>
            <w:t>营业</w:t>
          </w:r>
          <w:r>
            <w:rPr>
              <w:rFonts w:ascii="宋体" w:hAnsi="宋体"/>
              <w:szCs w:val="21"/>
            </w:rPr>
            <w:t>收入</w:t>
          </w:r>
          <w:r>
            <w:rPr>
              <w:szCs w:val="21"/>
            </w:rPr>
            <w:t>和营业成本</w:t>
          </w:r>
        </w:p>
        <w:p>
          <w:pPr>
            <w:pStyle w:val="214"/>
            <w:numPr>
              <w:ilvl w:val="0"/>
              <w:numId w:val="107"/>
            </w:numPr>
            <w:ind w:left="426" w:hanging="426"/>
          </w:pPr>
          <w:r>
            <w:rPr>
              <w:rFonts w:hint="eastAsia"/>
            </w:rPr>
            <w:t>营业收入和营业成本情况</w:t>
          </w:r>
        </w:p>
        <w:sdt>
          <w:sdtPr>
            <w:alias w:val="是否适用：营业收入和营业成本[双击切换]"/>
            <w:tag w:val="_GBC_c0388196e3634afc823f4b5822c5937a"/>
            <w:id w:val="6967438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bCs/>
              <w:szCs w:val="21"/>
            </w:rPr>
            <w:t>单位：</w:t>
          </w:r>
          <w:sdt>
            <w:sdtPr>
              <w:rPr>
                <w:rFonts w:hint="eastAsia"/>
                <w:bCs/>
                <w:szCs w:val="21"/>
              </w:rPr>
              <w:alias w:val="单位：财务附注：营业收入"/>
              <w:tag w:val="_GBC_65cadde8ae1e4b178e7f2737b89bb434"/>
              <w:id w:val="5937481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bCs/>
                <w:szCs w:val="21"/>
              </w:rPr>
            </w:sdtEndPr>
            <w:sdtContent>
              <w:r>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8951035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bCs/>
                <w:szCs w:val="21"/>
              </w:rPr>
            </w:sdtEndPr>
            <w:sdtContent>
              <w:r>
                <w:rPr>
                  <w:rFonts w:hint="eastAsia"/>
                  <w:bCs/>
                  <w:szCs w:val="21"/>
                </w:rPr>
                <w:t>人民币</w:t>
              </w:r>
            </w:sdtContent>
          </w:sdt>
        </w:p>
        <w:tbl>
          <w:tblPr>
            <w:tblStyle w:val="110"/>
            <w:tblW w:w="4933" w:type="pct"/>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0"/>
            <w:gridCol w:w="1896"/>
            <w:gridCol w:w="1896"/>
            <w:gridCol w:w="1896"/>
            <w:gridCol w:w="1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7e8683f75cd4c9e919404e1278fe9a0"/>
                <w:id w:val="1743602615"/>
                <w:lock w:val="sdtLocked"/>
              </w:sdtPr>
              <w:sdtContent>
                <w:tc>
                  <w:tcPr>
                    <w:tcW w:w="804"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e956f55a311f45a19dc3ce9396b931c9"/>
                <w:id w:val="82882909"/>
                <w:lock w:val="sdtLocked"/>
              </w:sdtPr>
              <w:sdtContent>
                <w:tc>
                  <w:tcPr>
                    <w:tcW w:w="209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d175a7df90684e2bbdccc1ba942f2760"/>
                <w:id w:val="-1380239890"/>
                <w:lock w:val="sdtLocked"/>
              </w:sdtPr>
              <w:sdtContent>
                <w:tc>
                  <w:tcPr>
                    <w:tcW w:w="21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4"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fe053e4bca564a1fbda44c85256ce067"/>
                <w:id w:val="905498435"/>
                <w:lock w:val="sdtLocked"/>
              </w:sdtPr>
              <w:sdtConten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88be7d92d03d4168a79d4492be4a258c"/>
                <w:id w:val="-1519302520"/>
                <w:lock w:val="sdtLocked"/>
              </w:sdtPr>
              <w:sdtContent>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sdt>
              <w:sdtPr>
                <w:tag w:val="_PLD_5ba4682bc5644bc38c4b795c78508b1f"/>
                <w:id w:val="-780177780"/>
                <w:lock w:val="sdtLocked"/>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94a3ede4ab834e37a20364f2c6897976"/>
                <w:id w:val="1129279556"/>
                <w:lock w:val="sdtLocked"/>
              </w:sdtPr>
              <w:sdtContent>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940b00507304d829a4504bf1ed9614e"/>
                <w:id w:val="1262259802"/>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主营业务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3,947,199,314.37</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3,325,630,889.15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3,592,060,341.19</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3,241,580,780.63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6f7d26b9aa400b90e8820fa4049db6"/>
                <w:id w:val="2142463014"/>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其他业务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30,025,504.82</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12,331,818.91</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45,045,722.25</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37,787,806.95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98cf287f001436badb631738dfa74be"/>
                <w:id w:val="1707224353"/>
                <w:lock w:val="sdtLocked"/>
              </w:sdtPr>
              <w:sdtContent>
                <w:tc>
                  <w:tcPr>
                    <w:tcW w:w="80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044"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3,977,224,819.19</w:t>
                </w:r>
              </w:p>
            </w:tc>
            <w:tc>
              <w:tcPr>
                <w:tcW w:w="1051"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3,337,962,708.06</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3,637,106,063.44</w:t>
                </w:r>
              </w:p>
            </w:tc>
            <w:tc>
              <w:tcPr>
                <w:tcW w:w="105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3,279,368,587.58</w:t>
                </w:r>
              </w:p>
            </w:tc>
          </w:tr>
        </w:tbl>
        <w:p/>
      </w:sdtContent>
    </w:sdt>
    <w:p>
      <w:pPr>
        <w:pStyle w:val="284"/>
        <w:widowControl w:val="0"/>
        <w:spacing w:before="120" w:beforeLines="50" w:line="360" w:lineRule="auto"/>
        <w:ind w:left="0" w:leftChars="0" w:firstLine="420" w:firstLineChars="200"/>
        <w:jc w:val="both"/>
        <w:rPr>
          <w:rFonts w:ascii="Times New Roman" w:hAnsi="Times New Roman"/>
        </w:rPr>
      </w:pPr>
      <w:r>
        <w:rPr>
          <w:rFonts w:hint="eastAsia"/>
        </w:rPr>
        <w:t>来源于房地产的营业收入情况：本年度来源于房地产行业的营业收入为</w:t>
      </w:r>
      <w:r>
        <w:rPr>
          <w:rFonts w:ascii="Times New Roman" w:hAnsi="Times New Roman"/>
        </w:rPr>
        <w:t>286,103,969.59</w:t>
      </w:r>
      <w:r>
        <w:rPr>
          <w:rFonts w:hint="eastAsia"/>
        </w:rPr>
        <w:t>元。</w:t>
      </w:r>
    </w:p>
    <w:tbl>
      <w:tblPr>
        <w:tblStyle w:val="36"/>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410"/>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943" w:type="dxa"/>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项目</w:t>
            </w:r>
          </w:p>
        </w:tc>
        <w:tc>
          <w:tcPr>
            <w:tcW w:w="2410" w:type="dxa"/>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本期发生额</w:t>
            </w:r>
          </w:p>
        </w:tc>
        <w:tc>
          <w:tcPr>
            <w:tcW w:w="3119" w:type="dxa"/>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上期发生额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943" w:type="dxa"/>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力帆红星广场</w:t>
            </w:r>
            <w:r>
              <w:rPr>
                <w:rFonts w:hint="eastAsia" w:asciiTheme="minorEastAsia" w:hAnsiTheme="minorEastAsia" w:eastAsiaTheme="minorEastAsia"/>
              </w:rPr>
              <w:t>-</w:t>
            </w:r>
            <w:r>
              <w:rPr>
                <w:rFonts w:asciiTheme="minorEastAsia" w:hAnsiTheme="minorEastAsia" w:eastAsiaTheme="minorEastAsia"/>
              </w:rPr>
              <w:t>房屋销售</w:t>
            </w:r>
          </w:p>
        </w:tc>
        <w:tc>
          <w:tcPr>
            <w:tcW w:w="2410"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189,318,229.33</w:t>
            </w:r>
          </w:p>
        </w:tc>
        <w:tc>
          <w:tcPr>
            <w:tcW w:w="3119" w:type="dxa"/>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204,818,948.87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943" w:type="dxa"/>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力帆红星广场</w:t>
            </w:r>
            <w:r>
              <w:rPr>
                <w:rFonts w:hint="eastAsia" w:asciiTheme="minorEastAsia" w:hAnsiTheme="minorEastAsia" w:eastAsiaTheme="minorEastAsia"/>
              </w:rPr>
              <w:t>-</w:t>
            </w:r>
            <w:r>
              <w:rPr>
                <w:rFonts w:asciiTheme="minorEastAsia" w:hAnsiTheme="minorEastAsia" w:eastAsiaTheme="minorEastAsia"/>
              </w:rPr>
              <w:t>房屋租赁</w:t>
            </w:r>
          </w:p>
        </w:tc>
        <w:tc>
          <w:tcPr>
            <w:tcW w:w="2410"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96,785,740.26</w:t>
            </w:r>
          </w:p>
        </w:tc>
        <w:tc>
          <w:tcPr>
            <w:tcW w:w="3119" w:type="dxa"/>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50,271,453.17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943" w:type="dxa"/>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合计</w:t>
            </w:r>
          </w:p>
        </w:tc>
        <w:tc>
          <w:tcPr>
            <w:tcW w:w="2410"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286,103,969.59</w:t>
            </w:r>
          </w:p>
        </w:tc>
        <w:tc>
          <w:tcPr>
            <w:tcW w:w="3119" w:type="dxa"/>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255,090,402.04</w:t>
            </w:r>
          </w:p>
        </w:tc>
      </w:tr>
    </w:tbl>
    <w:p>
      <w:pPr>
        <w:sectPr>
          <w:pgSz w:w="11906" w:h="16838"/>
          <w:pgMar w:top="1724" w:right="1797" w:bottom="1440" w:left="1797" w:header="856" w:footer="992" w:gutter="0"/>
          <w:cols w:space="425" w:num="1"/>
          <w:docGrid w:linePitch="312" w:charSpace="0"/>
        </w:sectPr>
      </w:pPr>
    </w:p>
    <w:p/>
    <w:sdt>
      <w:sdtPr>
        <w:rPr>
          <w:rFonts w:hint="eastAsia" w:ascii="宋体" w:hAnsi="宋体" w:eastAsia="宋体" w:cs="宋体"/>
          <w:b w:val="0"/>
          <w:bCs w:val="0"/>
          <w:kern w:val="0"/>
          <w:szCs w:val="24"/>
        </w:rPr>
        <w:alias w:val="模块:合同产生的收入的情况"/>
        <w:tag w:val="_SEC_020e88e24a604d8684cb34b724e2379b"/>
        <w:id w:val="119820402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0"/>
              <w:numId w:val="107"/>
            </w:numPr>
            <w:ind w:left="426" w:hanging="426"/>
          </w:pPr>
          <w:bookmarkStart w:id="212" w:name="_Hlk533756233"/>
          <w:r>
            <w:rPr>
              <w:rFonts w:hint="eastAsia"/>
            </w:rPr>
            <w:t>合同产生的收入的情况</w:t>
          </w:r>
        </w:p>
        <w:sdt>
          <w:sdtPr>
            <w:rPr>
              <w:rFonts w:ascii="宋体" w:hAnsi="宋体"/>
              <w:szCs w:val="21"/>
            </w:rPr>
            <w:alias w:val="是否适用：合同产生的收入[双击切换]"/>
            <w:tag w:val="_GBC_9ca3964974eb4c71856442f0683fa140"/>
            <w:id w:val="1358318771"/>
            <w:lock w:val="sdtLocked"/>
            <w:placeholder>
              <w:docPart w:val="GBC22222222222222222222222222222"/>
            </w:placeholder>
          </w:sdtPr>
          <w:sdtEndPr>
            <w:rPr>
              <w:rFonts w:ascii="宋体" w:hAnsi="宋体"/>
              <w:szCs w:val="21"/>
            </w:rPr>
          </w:sdtEndPr>
          <w:sdtContent>
            <w:p>
              <w:pPr>
                <w:pStyle w:val="224"/>
                <w:ind w:firstLine="0" w:firstLineChars="0"/>
                <w:jc w:val="left"/>
                <w:rPr>
                  <w:rFonts w:ascii="宋体" w:hAnsi="宋体"/>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jc w:val="right"/>
            <w:rPr>
              <w:szCs w:val="21"/>
            </w:rPr>
          </w:pPr>
          <w:r>
            <w:rPr>
              <w:rFonts w:hint="eastAsia"/>
              <w:szCs w:val="21"/>
            </w:rPr>
            <w:t>单位：</w:t>
          </w:r>
          <w:sdt>
            <w:sdtPr>
              <w:rPr>
                <w:rFonts w:hint="eastAsia"/>
                <w:szCs w:val="21"/>
              </w:rPr>
              <w:alias w:val="单位：合同产生的收入"/>
              <w:tag w:val="_GBC_712aadfd959247489c16d4246880bfef"/>
              <w:id w:val="-1780635799"/>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合同产生的收入"/>
              <w:tag w:val="_GBC_ca9b26593dbf458b829ac632033cd724"/>
              <w:id w:val="2880892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1"/>
            <w:gridCol w:w="3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tag w:val="_PLD_0e9269f20e6e4b7f8a6a8c59b9077225"/>
                <w:id w:val="34631098"/>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合同分类</w:t>
                    </w:r>
                  </w:p>
                </w:tc>
              </w:sdtContent>
            </w:sdt>
            <w:sdt>
              <w:sdtPr>
                <w:rPr>
                  <w:rFonts w:hint="eastAsia"/>
                  <w:szCs w:val="21"/>
                </w:rPr>
                <w:tag w:val="_PLD_4c617eb15d544d45ba3090cf4fb369da"/>
                <w:id w:val="34631099"/>
                <w:lock w:val="sdtLocked"/>
              </w:sdtPr>
              <w:sdtEndPr>
                <w:rPr>
                  <w:rFonts w:hint="eastAsia"/>
                  <w:szCs w:val="21"/>
                </w:rPr>
              </w:sdtEndPr>
              <w:sdtContent>
                <w:tc>
                  <w:tcPr>
                    <w:tcW w:w="2238" w:type="pct"/>
                    <w:tcBorders>
                      <w:top w:val="single" w:color="auto" w:sz="4" w:space="0"/>
                      <w:left w:val="single" w:color="auto" w:sz="4" w:space="0"/>
                      <w:bottom w:val="single" w:color="auto" w:sz="4" w:space="0"/>
                      <w:right w:val="single" w:color="auto" w:sz="4" w:space="0"/>
                    </w:tcBorders>
                    <w:vAlign w:val="center"/>
                  </w:tcPr>
                  <w:p>
                    <w:pPr>
                      <w:jc w:val="center"/>
                      <w:rPr>
                        <w:color w:val="808080"/>
                        <w:szCs w:val="21"/>
                      </w:rPr>
                    </w:pPr>
                    <w:r>
                      <w:rPr>
                        <w:rFonts w:hint="eastAs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行业分类</w:t>
                </w:r>
              </w:p>
            </w:tc>
            <w:tc>
              <w:tcPr>
                <w:tcW w:w="2238"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rPr>
                  <w:t>制造业</w:t>
                </w:r>
              </w:p>
            </w:tc>
            <w:tc>
              <w:tcPr>
                <w:tcW w:w="2238" w:type="pct"/>
                <w:tcBorders>
                  <w:top w:val="single" w:color="auto" w:sz="4" w:space="0"/>
                  <w:left w:val="single" w:color="auto" w:sz="4" w:space="0"/>
                  <w:bottom w:val="single" w:color="auto" w:sz="4" w:space="0"/>
                  <w:right w:val="single" w:color="auto" w:sz="4" w:space="0"/>
                </w:tcBorders>
                <w:vAlign w:val="center"/>
              </w:tcPr>
              <w:p>
                <w:pPr>
                  <w:jc w:val="right"/>
                  <w:rPr>
                    <w:szCs w:val="21"/>
                  </w:rPr>
                </w:pPr>
                <w:r>
                  <w:rPr>
                    <w:szCs w:val="21"/>
                  </w:rPr>
                  <w:t>3,661,095,344.78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rPr>
                  <w:t>房地产</w:t>
                </w:r>
              </w:p>
            </w:tc>
            <w:tc>
              <w:tcPr>
                <w:tcW w:w="2238" w:type="pct"/>
                <w:tcBorders>
                  <w:top w:val="single" w:color="auto" w:sz="4" w:space="0"/>
                  <w:left w:val="single" w:color="auto" w:sz="4" w:space="0"/>
                  <w:bottom w:val="single" w:color="auto" w:sz="4" w:space="0"/>
                  <w:right w:val="single" w:color="auto" w:sz="4" w:space="0"/>
                </w:tcBorders>
                <w:vAlign w:val="center"/>
              </w:tcPr>
              <w:p>
                <w:pPr>
                  <w:jc w:val="right"/>
                  <w:rPr>
                    <w:sz w:val="24"/>
                  </w:rPr>
                </w:pPr>
                <w:r>
                  <w:t>286,103,969.59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 xml:space="preserve">    小计</w:t>
                </w:r>
              </w:p>
            </w:tc>
            <w:tc>
              <w:tcPr>
                <w:tcW w:w="2238" w:type="pct"/>
                <w:tcBorders>
                  <w:top w:val="single" w:color="auto" w:sz="4" w:space="0"/>
                  <w:left w:val="single" w:color="auto" w:sz="4" w:space="0"/>
                  <w:bottom w:val="single" w:color="auto" w:sz="4" w:space="0"/>
                  <w:right w:val="single" w:color="auto" w:sz="4" w:space="0"/>
                </w:tcBorders>
                <w:vAlign w:val="center"/>
              </w:tcPr>
              <w:p>
                <w:pPr>
                  <w:jc w:val="right"/>
                  <w:rPr>
                    <w:sz w:val="24"/>
                  </w:rPr>
                </w:pPr>
                <w:r>
                  <w:t>3,947,199,314.37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szCs w:val="21"/>
                  </w:rPr>
                  <w:tag w:val="_PLD_b92765c3e6564760896007fd46d35dc8"/>
                  <w:id w:val="34631100"/>
                  <w:lock w:val="sdtLocked"/>
                </w:sdtPr>
                <w:sdtEndPr>
                  <w:rPr>
                    <w:rFonts w:hint="eastAsia"/>
                    <w:szCs w:val="21"/>
                  </w:rPr>
                </w:sdtEndPr>
                <w:sdtContent>
                  <w:p>
                    <w:pPr>
                      <w:rPr>
                        <w:szCs w:val="21"/>
                      </w:rPr>
                    </w:pPr>
                    <w:r>
                      <w:rPr>
                        <w:rFonts w:hint="eastAsia"/>
                        <w:szCs w:val="21"/>
                      </w:rPr>
                      <w:t>商品类型</w:t>
                    </w:r>
                  </w:p>
                </w:sdtContent>
              </w:sdt>
            </w:tc>
            <w:sdt>
              <w:sdtPr>
                <w:rPr>
                  <w:szCs w:val="21"/>
                </w:rPr>
                <w:alias w:val="商品类型合同产生的收入"/>
                <w:tag w:val="_GBC_35b092c4368d4bb5a84a2ae736a8fde7"/>
                <w:id w:val="34631101"/>
                <w:lock w:val="sdtLocked"/>
                <w:showingPlcHdr/>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rFonts w:hint="eastAsia"/>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商品类型明细名称"/>
                <w:tag w:val="_GBC_9ebd9e070acd4adf92e6375fc006f4d5"/>
                <w:id w:val="34631102"/>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乘用车及配件</w:t>
                    </w:r>
                  </w:p>
                </w:tc>
              </w:sdtContent>
            </w:sdt>
            <w:sdt>
              <w:sdtPr>
                <w:rPr>
                  <w:szCs w:val="21"/>
                </w:rPr>
                <w:alias w:val="商品类型明细合同产生的收入"/>
                <w:tag w:val="_GBC_5274060bc38f41b7b2445d10181bf340"/>
                <w:id w:val="34631103"/>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534,446,129.26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商品类型明细名称"/>
                <w:tag w:val="_GBC_9ebd9e070acd4adf92e6375fc006f4d5"/>
                <w:id w:val="34631104"/>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摩托车及配件</w:t>
                    </w:r>
                  </w:p>
                </w:tc>
              </w:sdtContent>
            </w:sdt>
            <w:sdt>
              <w:sdtPr>
                <w:rPr>
                  <w:szCs w:val="21"/>
                </w:rPr>
                <w:alias w:val="商品类型明细合同产生的收入"/>
                <w:tag w:val="_GBC_5274060bc38f41b7b2445d10181bf340"/>
                <w:id w:val="34631105"/>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2,729,601,905.89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商品类型明细名称"/>
                <w:tag w:val="_GBC_9ebd9e070acd4adf92e6375fc006f4d5"/>
                <w:id w:val="34631106"/>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内燃机及配件</w:t>
                    </w:r>
                  </w:p>
                </w:tc>
              </w:sdtContent>
            </w:sdt>
            <w:sdt>
              <w:sdtPr>
                <w:rPr>
                  <w:szCs w:val="21"/>
                </w:rPr>
                <w:alias w:val="商品类型明细合同产生的收入"/>
                <w:tag w:val="_GBC_5274060bc38f41b7b2445d10181bf340"/>
                <w:id w:val="34631107"/>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397,047,309.63</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商品类型明细名称"/>
                <w:tag w:val="_GBC_9ebd9e070acd4adf92e6375fc006f4d5"/>
                <w:id w:val="34631108"/>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房地产</w:t>
                    </w:r>
                  </w:p>
                </w:tc>
              </w:sdtContent>
            </w:sdt>
            <w:sdt>
              <w:sdtPr>
                <w:rPr>
                  <w:szCs w:val="21"/>
                </w:rPr>
                <w:alias w:val="商品类型明细合同产生的收入"/>
                <w:tag w:val="_GBC_5274060bc38f41b7b2445d10181bf340"/>
                <w:id w:val="34631109"/>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286,103,969.59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小计</w:t>
                </w:r>
              </w:p>
            </w:tc>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3,947,199,314.37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szCs w:val="21"/>
                  </w:rPr>
                  <w:tag w:val="_PLD_33985b1c4b4545a8892482dac9792bfc"/>
                  <w:id w:val="34631110"/>
                  <w:lock w:val="sdtLocked"/>
                </w:sdtPr>
                <w:sdtEndPr>
                  <w:rPr>
                    <w:rFonts w:hint="eastAsia"/>
                    <w:szCs w:val="21"/>
                  </w:rPr>
                </w:sdtEndPr>
                <w:sdtContent>
                  <w:p>
                    <w:pPr>
                      <w:rPr>
                        <w:szCs w:val="21"/>
                      </w:rPr>
                    </w:pPr>
                    <w:r>
                      <w:rPr>
                        <w:rFonts w:hint="eastAsia"/>
                        <w:szCs w:val="21"/>
                      </w:rPr>
                      <w:t>按经营地区分类</w:t>
                    </w:r>
                  </w:p>
                </w:sdtContent>
              </w:sdt>
            </w:tc>
            <w:sdt>
              <w:sdtPr>
                <w:rPr>
                  <w:szCs w:val="21"/>
                </w:rPr>
                <w:alias w:val="按经营地区分类合同产生的收入"/>
                <w:tag w:val="_GBC_28ee878f8a98481893b5465d49da822f"/>
                <w:id w:val="34631111"/>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经营地区分类明细名称"/>
                <w:tag w:val="_GBC_bb77c9a1ea494319bd6195d9f63fabc9"/>
                <w:id w:val="34631112"/>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内销</w:t>
                    </w:r>
                  </w:p>
                </w:tc>
              </w:sdtContent>
            </w:sdt>
            <w:sdt>
              <w:sdtPr>
                <w:rPr>
                  <w:szCs w:val="21"/>
                </w:rPr>
                <w:alias w:val="按经营地区分类明细合同产生的收入"/>
                <w:tag w:val="_GBC_7455ce4c20ec4d8d97a0e73e62a37e37"/>
                <w:id w:val="34631113"/>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1,819,486,922.20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经营地区分类明细名称"/>
                <w:tag w:val="_GBC_bb77c9a1ea494319bd6195d9f63fabc9"/>
                <w:id w:val="34631114"/>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进出口</w:t>
                    </w:r>
                  </w:p>
                </w:tc>
              </w:sdtContent>
            </w:sdt>
            <w:sdt>
              <w:sdtPr>
                <w:rPr>
                  <w:szCs w:val="21"/>
                </w:rPr>
                <w:alias w:val="按经营地区分类明细合同产生的收入"/>
                <w:tag w:val="_GBC_7455ce4c20ec4d8d97a0e73e62a37e37"/>
                <w:id w:val="34631115"/>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2,127,712,392.17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经营地区分类明细名称"/>
                <w:tag w:val="_GBC_bb77c9a1ea494319bd6195d9f63fabc9"/>
                <w:id w:val="34631116"/>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小计</w:t>
                    </w:r>
                  </w:p>
                </w:tc>
              </w:sdtContent>
            </w:sdt>
            <w:sdt>
              <w:sdtPr>
                <w:rPr>
                  <w:szCs w:val="21"/>
                </w:rPr>
                <w:alias w:val="按经营地区分类明细合同产生的收入"/>
                <w:tag w:val="_GBC_7455ce4c20ec4d8d97a0e73e62a37e37"/>
                <w:id w:val="34631117"/>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3,947,199,314.3</w:t>
                    </w:r>
                    <w:r>
                      <w:rPr>
                        <w:rFonts w:hint="eastAsia"/>
                        <w:szCs w:val="21"/>
                      </w:rPr>
                      <w:t>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szCs w:val="21"/>
                  </w:rPr>
                  <w:tag w:val="_PLD_876b40877c954068af38d79031ae25d4"/>
                  <w:id w:val="34631118"/>
                  <w:lock w:val="sdtLocked"/>
                </w:sdtPr>
                <w:sdtEndPr>
                  <w:rPr>
                    <w:rFonts w:hint="eastAsia"/>
                    <w:szCs w:val="21"/>
                  </w:rPr>
                </w:sdtEndPr>
                <w:sdtContent>
                  <w:p>
                    <w:pPr>
                      <w:rPr>
                        <w:szCs w:val="21"/>
                      </w:rPr>
                    </w:pPr>
                    <w:r>
                      <w:rPr>
                        <w:rFonts w:hint="eastAsia"/>
                        <w:szCs w:val="21"/>
                      </w:rPr>
                      <w:t>合同类型</w:t>
                    </w:r>
                  </w:p>
                </w:sdtContent>
              </w:sdt>
            </w:tc>
            <w:sdt>
              <w:sdtPr>
                <w:rPr>
                  <w:szCs w:val="21"/>
                </w:rPr>
                <w:alias w:val="合同类型合同产生的收入"/>
                <w:tag w:val="_GBC_832204b3472240dca9fee91214a91f42"/>
                <w:id w:val="34631119"/>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合同类型明细名称"/>
                <w:tag w:val="_GBC_a0439cab9096412998de3329d5ed78f4"/>
                <w:id w:val="34631120"/>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商品销售合同</w:t>
                    </w:r>
                  </w:p>
                </w:tc>
              </w:sdtContent>
            </w:sdt>
            <w:sdt>
              <w:sdtPr>
                <w:rPr>
                  <w:szCs w:val="21"/>
                </w:rPr>
                <w:alias w:val="合同类型明细合同产生的收入"/>
                <w:tag w:val="_GBC_b3216b827e834bf6be51bd95a05bc62b"/>
                <w:id w:val="34631121"/>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3,850,413,574.11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合同类型明细名称"/>
                <w:tag w:val="_GBC_a0439cab9096412998de3329d5ed78f4"/>
                <w:id w:val="34631122"/>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租赁合同</w:t>
                    </w:r>
                  </w:p>
                </w:tc>
              </w:sdtContent>
            </w:sdt>
            <w:sdt>
              <w:sdtPr>
                <w:rPr>
                  <w:szCs w:val="21"/>
                </w:rPr>
                <w:alias w:val="合同类型明细合同产生的收入"/>
                <w:tag w:val="_GBC_b3216b827e834bf6be51bd95a05bc62b"/>
                <w:id w:val="34631123"/>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96,785,740.26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合同类型明细名称"/>
                <w:tag w:val="_GBC_a0439cab9096412998de3329d5ed78f4"/>
                <w:id w:val="34631124"/>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小计</w:t>
                    </w:r>
                  </w:p>
                </w:tc>
              </w:sdtContent>
            </w:sdt>
            <w:sdt>
              <w:sdtPr>
                <w:rPr>
                  <w:szCs w:val="21"/>
                </w:rPr>
                <w:alias w:val="合同类型明细合同产生的收入"/>
                <w:tag w:val="_GBC_b3216b827e834bf6be51bd95a05bc62b"/>
                <w:id w:val="34631125"/>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3,947,199,314.3</w:t>
                    </w:r>
                    <w:r>
                      <w:rPr>
                        <w:rFonts w:hint="eastAsia"/>
                        <w:szCs w:val="21"/>
                      </w:rPr>
                      <w:t>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szCs w:val="21"/>
                  </w:rPr>
                  <w:tag w:val="_PLD_c1c882aee274449b8105b0e9bd7e039f"/>
                  <w:id w:val="34631126"/>
                  <w:lock w:val="sdtLocked"/>
                </w:sdtPr>
                <w:sdtEndPr>
                  <w:rPr>
                    <w:rFonts w:hint="eastAsia"/>
                    <w:szCs w:val="21"/>
                  </w:rPr>
                </w:sdtEndPr>
                <w:sdtContent>
                  <w:p>
                    <w:pPr>
                      <w:rPr>
                        <w:szCs w:val="21"/>
                      </w:rPr>
                    </w:pPr>
                    <w:r>
                      <w:rPr>
                        <w:rFonts w:hint="eastAsia"/>
                        <w:szCs w:val="21"/>
                      </w:rPr>
                      <w:t>按商品转让的时间分类</w:t>
                    </w:r>
                  </w:p>
                </w:sdtContent>
              </w:sdt>
            </w:tc>
            <w:sdt>
              <w:sdtPr>
                <w:rPr>
                  <w:szCs w:val="21"/>
                </w:rPr>
                <w:alias w:val="按商品转让的时间分类合同产生的收入"/>
                <w:tag w:val="_GBC_468c4261479d439489e658692f297b7b"/>
                <w:id w:val="34631127"/>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商品转让的时间分类明细名称"/>
                <w:tag w:val="_GBC_845ae172b9204419a97e7a8ef5dfc145"/>
                <w:id w:val="34631128"/>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在某一时点转让</w:t>
                    </w:r>
                  </w:p>
                </w:tc>
              </w:sdtContent>
            </w:sdt>
            <w:sdt>
              <w:sdtPr>
                <w:rPr>
                  <w:szCs w:val="21"/>
                </w:rPr>
                <w:alias w:val="按商品转让的时间分类明细合同产生的收入"/>
                <w:tag w:val="_GBC_652ab23a7fe047e2b9d0f12989dadd41"/>
                <w:id w:val="34631129"/>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3,947,199,314.37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商品转让的时间分类明细名称"/>
                <w:tag w:val="_GBC_845ae172b9204419a97e7a8ef5dfc145"/>
                <w:id w:val="34631130"/>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在某一时段内转让</w:t>
                    </w:r>
                  </w:p>
                </w:tc>
              </w:sdtContent>
            </w:sdt>
            <w:sdt>
              <w:sdtPr>
                <w:rPr>
                  <w:szCs w:val="21"/>
                </w:rPr>
                <w:alias w:val="按商品转让的时间分类明细合同产生的收入"/>
                <w:tag w:val="_GBC_652ab23a7fe047e2b9d0f12989dadd41"/>
                <w:id w:val="34631131"/>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商品转让的时间分类明细名称"/>
                <w:tag w:val="_GBC_845ae172b9204419a97e7a8ef5dfc145"/>
                <w:id w:val="34631132"/>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小计</w:t>
                    </w:r>
                  </w:p>
                </w:tc>
              </w:sdtContent>
            </w:sdt>
            <w:sdt>
              <w:sdtPr>
                <w:rPr>
                  <w:szCs w:val="21"/>
                </w:rPr>
                <w:alias w:val="按商品转让的时间分类明细合同产生的收入"/>
                <w:tag w:val="_GBC_652ab23a7fe047e2b9d0f12989dadd41"/>
                <w:id w:val="34631133"/>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3,947,199,314.3</w:t>
                    </w:r>
                    <w:r>
                      <w:rPr>
                        <w:rFonts w:hint="eastAsia"/>
                        <w:szCs w:val="21"/>
                      </w:rPr>
                      <w:t>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olor w:val="000000"/>
                    <w:szCs w:val="21"/>
                    <w:shd w:val="clear" w:color="auto" w:fill="FFFFFF"/>
                  </w:rPr>
                  <w:tag w:val="_PLD_4c9e157ce7d04dcda8b9301769e2ae4a"/>
                  <w:id w:val="34631134"/>
                  <w:lock w:val="sdtLocked"/>
                </w:sdtPr>
                <w:sdtEndPr>
                  <w:rPr>
                    <w:rFonts w:hint="eastAsia"/>
                    <w:color w:val="auto"/>
                    <w:szCs w:val="21"/>
                    <w:shd w:val="clear" w:color="auto" w:fill="auto"/>
                  </w:rPr>
                </w:sdtEndPr>
                <w:sdtContent>
                  <w:p>
                    <w:pPr>
                      <w:rPr>
                        <w:szCs w:val="21"/>
                      </w:rPr>
                    </w:pPr>
                    <w:r>
                      <w:rPr>
                        <w:rFonts w:hint="eastAsia"/>
                        <w:color w:val="000000"/>
                        <w:szCs w:val="21"/>
                        <w:shd w:val="clear" w:color="auto" w:fill="FFFFFF"/>
                      </w:rPr>
                      <w:t>按</w:t>
                    </w:r>
                    <w:r>
                      <w:rPr>
                        <w:rFonts w:hint="eastAsia"/>
                        <w:szCs w:val="21"/>
                      </w:rPr>
                      <w:t>销售渠道分类</w:t>
                    </w:r>
                  </w:p>
                </w:sdtContent>
              </w:sdt>
            </w:tc>
            <w:sdt>
              <w:sdtPr>
                <w:rPr>
                  <w:szCs w:val="21"/>
                </w:rPr>
                <w:alias w:val="按销售渠道分类合同产生的收入"/>
                <w:tag w:val="_GBC_257f280f51724b4d94af84d5673d7e00"/>
                <w:id w:val="34631135"/>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销售渠道分类明细名称"/>
                <w:tag w:val="_GBC_49f69056038a482da5d4649438be19ae"/>
                <w:id w:val="34631136"/>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直销</w:t>
                    </w:r>
                  </w:p>
                </w:tc>
              </w:sdtContent>
            </w:sdt>
            <w:sdt>
              <w:sdtPr>
                <w:rPr>
                  <w:szCs w:val="21"/>
                </w:rPr>
                <w:alias w:val="按销售渠道分类明细合同产生的收入"/>
                <w:tag w:val="_GBC_b60de03de6a54d57b52c24e0e8d6a85d"/>
                <w:id w:val="34631137"/>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791,995,347.55</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rPr>
                  <w:rFonts w:hint="eastAsia"/>
                  <w:szCs w:val="21"/>
                </w:rPr>
                <w:alias w:val="分部按销售渠道分类明细名称"/>
                <w:tag w:val="_GBC_49f69056038a482da5d4649438be19ae"/>
                <w:id w:val="34631138"/>
                <w:lock w:val="sdtLocked"/>
              </w:sdtPr>
              <w:sdtEndPr>
                <w:rPr>
                  <w:rFonts w:hint="eastAsia"/>
                  <w:szCs w:val="21"/>
                </w:rPr>
              </w:sdtEndPr>
              <w:sdtContent>
                <w:tc>
                  <w:tcPr>
                    <w:tcW w:w="2762"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rPr>
                        <w:szCs w:val="21"/>
                      </w:rPr>
                    </w:pPr>
                    <w:r>
                      <w:rPr>
                        <w:rFonts w:hint="eastAsia"/>
                        <w:szCs w:val="21"/>
                      </w:rPr>
                      <w:t>经销</w:t>
                    </w:r>
                  </w:p>
                </w:tc>
              </w:sdtContent>
            </w:sdt>
            <w:sdt>
              <w:sdtPr>
                <w:rPr>
                  <w:szCs w:val="21"/>
                </w:rPr>
                <w:alias w:val="按销售渠道分类明细合同产生的收入"/>
                <w:tag w:val="_GBC_b60de03de6a54d57b52c24e0e8d6a85d"/>
                <w:id w:val="34631139"/>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3,155,203,966.82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62"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szCs w:val="21"/>
                  </w:rPr>
                  <w:tag w:val="_PLD_fc2447677af74925b8ccfd3b582b0ac5"/>
                  <w:id w:val="34631140"/>
                  <w:lock w:val="sdtLocked"/>
                </w:sdtPr>
                <w:sdtEndPr>
                  <w:rPr>
                    <w:rFonts w:hint="eastAsia"/>
                    <w:szCs w:val="21"/>
                  </w:rPr>
                </w:sdtEndPr>
                <w:sdtContent>
                  <w:p>
                    <w:pPr>
                      <w:jc w:val="center"/>
                      <w:rPr>
                        <w:szCs w:val="21"/>
                      </w:rPr>
                    </w:pPr>
                    <w:r>
                      <w:rPr>
                        <w:rFonts w:hint="eastAsia"/>
                        <w:szCs w:val="21"/>
                      </w:rPr>
                      <w:t>合计</w:t>
                    </w:r>
                  </w:p>
                </w:sdtContent>
              </w:sdt>
            </w:tc>
            <w:sdt>
              <w:sdtPr>
                <w:rPr>
                  <w:szCs w:val="21"/>
                </w:rPr>
                <w:alias w:val="合同产生的收入"/>
                <w:tag w:val="_GBC_f00e97b0cdad4ae6a1991491fb2cf279"/>
                <w:id w:val="34631141"/>
                <w:lock w:val="sdtLocked"/>
              </w:sdtPr>
              <w:sdtEndPr>
                <w:rPr>
                  <w:szCs w:val="21"/>
                </w:rPr>
              </w:sdtEndPr>
              <w:sdtContent>
                <w:tc>
                  <w:tcPr>
                    <w:tcW w:w="2238"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3,947,199,314.37</w:t>
                    </w:r>
                  </w:p>
                </w:tc>
              </w:sdtContent>
            </w:sdt>
          </w:tr>
        </w:tbl>
        <w:p/>
        <w:p>
          <w:r>
            <w:rPr>
              <w:rFonts w:hint="eastAsia"/>
            </w:rPr>
            <w:t>合同产生的收入说明：</w:t>
          </w:r>
        </w:p>
        <w:sdt>
          <w:sdtPr>
            <w:alias w:val="是否适用：合同产生的收入说明[双击切换]"/>
            <w:tag w:val="_GBC_6b1c596da7e54e4dbad540aca212ec14"/>
            <w:id w:val="-128417617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12"/>
    <w:sdt>
      <w:sdtPr>
        <w:rPr>
          <w:rFonts w:hint="eastAsia" w:ascii="宋体" w:hAnsi="宋体" w:eastAsia="宋体" w:cs="宋体"/>
          <w:b w:val="0"/>
          <w:bCs w:val="0"/>
          <w:kern w:val="0"/>
          <w:szCs w:val="24"/>
        </w:rPr>
        <w:alias w:val="模块:履约义务的说明"/>
        <w:tag w:val="_SEC_865a1cfefc5c4d048224b9061806c0cd"/>
        <w:id w:val="-49094645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214"/>
            <w:numPr>
              <w:ilvl w:val="0"/>
              <w:numId w:val="107"/>
            </w:numPr>
            <w:ind w:left="426" w:hanging="426"/>
          </w:pPr>
          <w:bookmarkStart w:id="213" w:name="_Hlk533670431"/>
          <w:r>
            <w:rPr>
              <w:rFonts w:hint="eastAsia"/>
            </w:rPr>
            <w:t>履约义务的说明</w:t>
          </w:r>
        </w:p>
        <w:sdt>
          <w:sdtPr>
            <w:alias w:val="是否适用：履约义务的说明[双击切换]"/>
            <w:tag w:val="_GBC_2bcc2970f5df4fc982ad2497089d8292"/>
            <w:id w:val="209481558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
          <w:sdtPr>
            <w:alias w:val="履约义务的说明"/>
            <w:tag w:val="_GBC_db7cba36697d4dd496580af0a9352823"/>
            <w:id w:val="128454194"/>
            <w:lock w:val="sdtLocked"/>
          </w:sdtPr>
          <w:sdtContent>
            <w:p>
              <w:pPr>
                <w:pStyle w:val="284"/>
                <w:widowControl w:val="0"/>
                <w:spacing w:line="360" w:lineRule="auto"/>
                <w:ind w:left="0" w:leftChars="0" w:firstLine="420" w:firstLineChars="200"/>
                <w:jc w:val="both"/>
                <w:rPr>
                  <w:rFonts w:ascii="Times New Roman" w:hAnsi="Times New Roman"/>
                </w:rPr>
              </w:pPr>
              <w:r>
                <w:rPr>
                  <w:rFonts w:hint="eastAsia"/>
                </w:rPr>
                <w:t>主要涉及与客户之间的商品销售合同，通常包含一项履约义务，该项履约义务在控制权发生转移时完成。</w:t>
              </w:r>
            </w:p>
          </w:sdtContent>
        </w:sdt>
        <w:p/>
      </w:sdtContent>
    </w:sdt>
    <w:bookmarkEnd w:id="213"/>
    <w:sdt>
      <w:sdtPr>
        <w:rPr>
          <w:rFonts w:hint="eastAsia" w:ascii="宋体" w:hAnsi="宋体" w:eastAsia="宋体" w:cs="宋体"/>
          <w:b w:val="0"/>
          <w:bCs w:val="0"/>
          <w:kern w:val="0"/>
          <w:szCs w:val="24"/>
        </w:rPr>
        <w:alias w:val="模块:分摊至剩余履约义务的说明"/>
        <w:tag w:val="_SEC_982b67e019e6431a8776b813c56bff19"/>
        <w:id w:val="-1544742888"/>
        <w:lock w:val="sdtLocked"/>
        <w:placeholder>
          <w:docPart w:val="GBC22222222222222222222222222222"/>
        </w:placeholder>
      </w:sdtPr>
      <w:sdtEndPr>
        <w:rPr>
          <w:rFonts w:hint="eastAsia" w:ascii="Arial" w:hAnsi="Arial" w:eastAsia="宋体" w:cs="宋体"/>
          <w:b w:val="0"/>
          <w:bCs w:val="0"/>
          <w:kern w:val="0"/>
          <w:szCs w:val="21"/>
        </w:rPr>
      </w:sdtEndPr>
      <w:sdtContent>
        <w:p>
          <w:pPr>
            <w:pStyle w:val="214"/>
            <w:numPr>
              <w:ilvl w:val="0"/>
              <w:numId w:val="107"/>
            </w:numPr>
            <w:ind w:left="426" w:hanging="426"/>
          </w:pPr>
          <w:bookmarkStart w:id="214" w:name="_Hlk533423938"/>
          <w:r>
            <w:rPr>
              <w:rFonts w:hint="eastAsia"/>
            </w:rPr>
            <w:t>分摊至剩余履约义务的说明</w:t>
          </w:r>
        </w:p>
        <w:sdt>
          <w:sdtPr>
            <w:alias w:val="是否适用：分摊至剩余履约义务的说明[双击切换]"/>
            <w:tag w:val="_GBC_67defaacf38a42549a2ed747c0fdb075"/>
            <w:id w:val="-1384703602"/>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Arial" w:hAnsi="Arial"/>
              <w:szCs w:val="21"/>
            </w:rPr>
          </w:pPr>
        </w:p>
      </w:sdtContent>
    </w:sdt>
    <w:bookmarkEnd w:id="214"/>
    <w:sdt>
      <w:sdtPr>
        <w:rPr>
          <w:rFonts w:hint="eastAsia"/>
          <w:szCs w:val="21"/>
        </w:rPr>
        <w:alias w:val="模块:营业收入和营业成本的其他说明"/>
        <w:tag w:val="_SEC_bf9c8800b7bc4046a57c9b28cfebe1e9"/>
        <w:id w:val="133766499"/>
        <w:lock w:val="sdtLocked"/>
        <w:placeholder>
          <w:docPart w:val="GBC22222222222222222222222222222"/>
        </w:placeholder>
      </w:sdtPr>
      <w:sdtEndPr>
        <w:rPr>
          <w:rFonts w:hint="eastAsia"/>
          <w:szCs w:val="21"/>
        </w:rPr>
      </w:sdtEndPr>
      <w:sdtContent>
        <w:p>
          <w:pPr>
            <w:spacing w:before="60" w:after="60"/>
            <w:rPr>
              <w:szCs w:val="21"/>
            </w:rPr>
          </w:pPr>
          <w:bookmarkStart w:id="215" w:name="_Hlk26364697"/>
          <w:r>
            <w:rPr>
              <w:rFonts w:hint="eastAsia"/>
              <w:szCs w:val="21"/>
            </w:rPr>
            <w:t>其他说明：</w:t>
          </w:r>
        </w:p>
        <w:p>
          <w:pPr>
            <w:rPr>
              <w:szCs w:val="21"/>
            </w:rPr>
          </w:pPr>
          <w:sdt>
            <w:sdtPr>
              <w:rPr>
                <w:szCs w:val="21"/>
              </w:rPr>
              <w:alias w:val="主营业务说明"/>
              <w:tag w:val="_GBC_817222ab73384ad1a188a632c919c846"/>
              <w:id w:val="-1931039042"/>
              <w:lock w:val="sdtLocked"/>
              <w:placeholder>
                <w:docPart w:val="GBC22222222222222222222222222222"/>
              </w:placeholder>
            </w:sdtPr>
            <w:sdtEndPr>
              <w:rPr>
                <w:szCs w:val="21"/>
              </w:rPr>
            </w:sdtEndPr>
            <w:sdtContent>
              <w:r>
                <w:rPr>
                  <w:rFonts w:hint="eastAsia"/>
                  <w:szCs w:val="21"/>
                </w:rPr>
                <w:t>无</w:t>
              </w:r>
            </w:sdtContent>
          </w:sdt>
        </w:p>
        <w:p>
          <w:pPr>
            <w:rPr>
              <w:szCs w:val="21"/>
            </w:rPr>
          </w:pPr>
        </w:p>
      </w:sdtContent>
    </w:sdt>
    <w:bookmarkEnd w:id="215"/>
    <w:sdt>
      <w:sdtPr>
        <w:rPr>
          <w:rFonts w:hint="eastAsia" w:ascii="宋体" w:hAnsi="宋体" w:cs="宋体"/>
          <w:b w:val="0"/>
          <w:bCs w:val="0"/>
          <w:kern w:val="0"/>
          <w:szCs w:val="21"/>
        </w:rPr>
        <w:alias w:val="模块:税金及附加"/>
        <w:tag w:val="_SEC_f69e6c0ae3f44fea9945d377a149f8ef"/>
        <w:id w:val="930393282"/>
        <w:lock w:val="sdtLocked"/>
        <w:placeholder>
          <w:docPart w:val="GBC22222222222222222222222222222"/>
        </w:placeholder>
      </w:sdtPr>
      <w:sdtEndPr>
        <w:rPr>
          <w:rFonts w:hint="eastAsia" w:ascii="宋体" w:hAnsi="宋体" w:cstheme="minorBidi"/>
          <w:b w:val="0"/>
          <w:bCs w:val="0"/>
          <w:kern w:val="2"/>
          <w:szCs w:val="21"/>
        </w:rPr>
      </w:sdtEndPr>
      <w:sdtContent>
        <w:p>
          <w:pPr>
            <w:pStyle w:val="213"/>
            <w:numPr>
              <w:ilvl w:val="0"/>
              <w:numId w:val="77"/>
            </w:numPr>
            <w:tabs>
              <w:tab w:val="left" w:pos="504"/>
            </w:tabs>
            <w:rPr>
              <w:rFonts w:ascii="宋体" w:hAnsi="宋体"/>
              <w:szCs w:val="21"/>
            </w:rPr>
          </w:pPr>
          <w:r>
            <w:rPr>
              <w:rFonts w:hint="eastAsia" w:ascii="宋体" w:hAnsi="宋体"/>
              <w:szCs w:val="21"/>
            </w:rPr>
            <w:t>税金及附加</w:t>
          </w:r>
        </w:p>
        <w:sdt>
          <w:sdtPr>
            <w:alias w:val="是否适用：税金及附加[双击切换]"/>
            <w:tag w:val="_GBC_08eb9cdd2a3940549b0f2b47081f0a3d"/>
            <w:id w:val="-14148433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szCs w:val="21"/>
            </w:rPr>
            <w:t>单位：</w:t>
          </w:r>
          <w:sdt>
            <w:sdtPr>
              <w:rPr>
                <w:rFonts w:hint="eastAsia"/>
                <w:szCs w:val="21"/>
              </w:rPr>
              <w:alias w:val="单位：财务附注：税金及附加"/>
              <w:tag w:val="_GBC_6e5742d697d44a7dabc4411d4cd3c055"/>
              <w:id w:val="-21184336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税金及附加"/>
              <w:tag w:val="_GBC_7ad96346369145ef9c54edaefcc18214"/>
              <w:id w:val="-9291994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742"/>
            <w:gridCol w:w="2898"/>
            <w:gridCol w:w="289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2dcdcc171754a7b940a70d1c7daa5c1"/>
                <w:id w:val="-1478912578"/>
                <w:lock w:val="sdtLocked"/>
              </w:sdtPr>
              <w:sdtContent>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a015e641f9074bee9ed1ee81511407cc"/>
                <w:id w:val="151422482"/>
                <w:lock w:val="sdtLocked"/>
              </w:sdtPr>
              <w:sdtContent>
                <w:tc>
                  <w:tcPr>
                    <w:tcW w:w="1697" w:type="pct"/>
                    <w:tcBorders>
                      <w:top w:val="single" w:color="auto" w:sz="6" w:space="0"/>
                      <w:left w:val="single" w:color="auto" w:sz="6" w:space="0"/>
                      <w:bottom w:val="single" w:color="auto" w:sz="6" w:space="0"/>
                      <w:right w:val="single" w:color="auto" w:sz="6" w:space="0"/>
                    </w:tcBorders>
                  </w:tcPr>
                  <w:p>
                    <w:pPr>
                      <w:jc w:val="center"/>
                      <w:rPr>
                        <w:szCs w:val="21"/>
                      </w:rPr>
                    </w:pPr>
                    <w:r>
                      <w:rPr>
                        <w:rFonts w:hint="eastAsia"/>
                        <w:szCs w:val="21"/>
                      </w:rPr>
                      <w:t>本期发生额</w:t>
                    </w:r>
                  </w:p>
                </w:tc>
              </w:sdtContent>
            </w:sdt>
            <w:sdt>
              <w:sdtPr>
                <w:tag w:val="_PLD_5e944d291c9a4b0aab9f6558226d9112"/>
                <w:id w:val="-1302466881"/>
                <w:lock w:val="sdtLocked"/>
              </w:sdtPr>
              <w:sdtContent>
                <w:tc>
                  <w:tcPr>
                    <w:tcW w:w="1697" w:type="pct"/>
                    <w:tcBorders>
                      <w:top w:val="single" w:color="auto" w:sz="6" w:space="0"/>
                      <w:left w:val="single" w:color="auto" w:sz="6" w:space="0"/>
                      <w:bottom w:val="single" w:color="auto" w:sz="6" w:space="0"/>
                      <w:right w:val="single" w:color="auto" w:sz="6" w:space="0"/>
                    </w:tcBorders>
                    <w:vAlign w:val="center"/>
                  </w:tcPr>
                  <w:p>
                    <w:pPr>
                      <w:jc w:val="center"/>
                      <w:rPr>
                        <w:szCs w:val="21"/>
                      </w:rPr>
                    </w:pPr>
                    <w:r>
                      <w:rPr>
                        <w:rFonts w:hint="eastAsia"/>
                        <w:szCs w:val="21"/>
                      </w:rPr>
                      <w:t>上期发生额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城市维护建设税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3,128,885.87</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1,274,656.99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消费税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846,673.25</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3,096,656.33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教育费附加</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1,469,669.65</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417,477.97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地方教育附加</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893,888.73</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364,184.33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t>房产税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21,775,635.33</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8,803,925.53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t>土地使用税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9,462,101.93</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6,741,082.37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t>印花税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4,445,571.37</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2,493,633.96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t>车船使用税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20,623.04</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34,864.68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t>土地增值税</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4,747,189.69</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7,097,304.76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t>其他</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926,498.34</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1,534,834.84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606" w:type="pc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spacing w:line="240" w:lineRule="atLeast"/>
                  <w:jc w:val="center"/>
                  <w:rPr>
                    <w:szCs w:val="21"/>
                  </w:rPr>
                </w:pPr>
                <w:r>
                  <w:rPr>
                    <w:rFonts w:hint="eastAsia"/>
                    <w:szCs w:val="21"/>
                  </w:rPr>
                  <w:t>合计</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47,716,737.20</w:t>
                </w:r>
              </w:p>
            </w:tc>
            <w:tc>
              <w:tcPr>
                <w:tcW w:w="1697" w:type="pct"/>
                <w:tcBorders>
                  <w:top w:val="single" w:color="auto" w:sz="6" w:space="0"/>
                  <w:left w:val="single" w:color="auto" w:sz="6" w:space="0"/>
                  <w:bottom w:val="single" w:color="auto" w:sz="6" w:space="0"/>
                  <w:right w:val="single" w:color="auto" w:sz="6" w:space="0"/>
                </w:tcBorders>
                <w:vAlign w:val="center"/>
              </w:tcPr>
              <w:p>
                <w:pPr>
                  <w:jc w:val="right"/>
                  <w:rPr>
                    <w:sz w:val="24"/>
                  </w:rPr>
                </w:pPr>
                <w:r>
                  <w:t>31,858,621.76</w:t>
                </w:r>
              </w:p>
            </w:tc>
          </w:tr>
        </w:tbl>
        <w:p/>
        <w:p>
          <w:pPr>
            <w:spacing w:before="60" w:after="60"/>
            <w:rPr>
              <w:szCs w:val="21"/>
            </w:rPr>
          </w:pPr>
          <w:r>
            <w:rPr>
              <w:rFonts w:hint="eastAsia"/>
              <w:szCs w:val="21"/>
            </w:rPr>
            <w:t>其他说明：</w:t>
          </w:r>
        </w:p>
        <w:sdt>
          <w:sdtPr>
            <w:rPr>
              <w:rFonts w:hint="eastAsia"/>
              <w:szCs w:val="21"/>
            </w:rPr>
            <w:alias w:val="税金及附加说明"/>
            <w:tag w:val="_GBC_d333a7e7c5ed4b7896c9db975439c1ec"/>
            <w:id w:val="1876892043"/>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p>
          <w:pPr>
            <w:rPr>
              <w:szCs w:val="21"/>
            </w:rPr>
          </w:pPr>
        </w:p>
      </w:sdtContent>
    </w:sdt>
    <w:sdt>
      <w:sdtPr>
        <w:rPr>
          <w:rFonts w:hint="eastAsia" w:ascii="宋体" w:hAnsi="宋体" w:cs="宋体"/>
          <w:b w:val="0"/>
          <w:bCs w:val="0"/>
          <w:kern w:val="0"/>
          <w:szCs w:val="21"/>
        </w:rPr>
        <w:alias w:val="模块:成本费用"/>
        <w:tag w:val="_SEC_5d1ca8a31f664ab6b4c2e40e3350a771"/>
        <w:id w:val="1826156794"/>
        <w:lock w:val="sdtLocked"/>
        <w:placeholder>
          <w:docPart w:val="GBC22222222222222222222222222222"/>
        </w:placeholder>
      </w:sdtPr>
      <w:sdtEndPr>
        <w:rPr>
          <w:rFonts w:hint="eastAsia" w:ascii="宋体" w:hAnsi="宋体" w:cstheme="minorBidi"/>
          <w:b w:val="0"/>
          <w:bCs w:val="0"/>
          <w:kern w:val="2"/>
          <w:szCs w:val="21"/>
        </w:rPr>
      </w:sdtEndPr>
      <w:sdtContent>
        <w:p>
          <w:pPr>
            <w:pStyle w:val="213"/>
            <w:numPr>
              <w:ilvl w:val="0"/>
              <w:numId w:val="77"/>
            </w:numPr>
            <w:tabs>
              <w:tab w:val="left" w:pos="504"/>
            </w:tabs>
            <w:rPr>
              <w:rFonts w:ascii="宋体" w:hAnsi="宋体" w:cs="宋体"/>
              <w:bCs w:val="0"/>
              <w:kern w:val="0"/>
              <w:szCs w:val="21"/>
            </w:rPr>
          </w:pPr>
          <w:r>
            <w:rPr>
              <w:rFonts w:hint="eastAsia" w:ascii="宋体" w:hAnsi="宋体" w:cs="宋体"/>
              <w:bCs w:val="0"/>
              <w:kern w:val="0"/>
              <w:szCs w:val="21"/>
            </w:rPr>
            <w:t>销售费用</w:t>
          </w:r>
        </w:p>
        <w:sdt>
          <w:sdtPr>
            <w:alias w:val="是否适用：销售费用[双击切换]"/>
            <w:tag w:val="_GBC_1a0ad35d35924f068ce1b2a2dc02a25f"/>
            <w:id w:val="8057521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22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销售费用"/>
              <w:tag w:val="_GBC_c5a59d97d8a94cda9b9fbd8a93ad19dc"/>
              <w:id w:val="71378206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销售费用"/>
              <w:tag w:val="_GBC_57a629bddf6343a1aebbefc90d9378b0"/>
              <w:id w:val="-90028847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40"/>
            <w:gridCol w:w="2695"/>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7c4bc503cfe4eafa415de62f182f2c1"/>
                <w:id w:val="1100918727"/>
                <w:lock w:val="sdtLocked"/>
              </w:sdt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105cce5212fb42a182b1fd8e309ba67c"/>
                <w:id w:val="-695306041"/>
                <w:lock w:val="sdtLocked"/>
              </w:sdtPr>
              <w:sdtConten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5f148659054c4187a80f7bdffc9e9cde"/>
                <w:id w:val="-781491496"/>
                <w:lock w:val="sdtLocked"/>
              </w:sdtPr>
              <w:sdtContent>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sdt>
            <w:sdtPr>
              <w:rPr>
                <w:szCs w:val="21"/>
              </w:rPr>
              <w:alias w:val="销售费用明细"/>
              <w:tag w:val="_TUP_db10d8762ce542a4962ce4cb14ddabbc"/>
              <w:id w:val="111331928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运输费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3,704,325.20</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6,212,724.99</w:t>
                    </w:r>
                  </w:p>
                </w:tc>
              </w:tr>
            </w:sdtContent>
          </w:sdt>
          <w:sdt>
            <w:sdtPr>
              <w:rPr>
                <w:szCs w:val="21"/>
              </w:rPr>
              <w:alias w:val="销售费用明细"/>
              <w:tag w:val="_TUP_db10d8762ce542a4962ce4cb14ddabbc"/>
              <w:id w:val="25355073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工资及社保</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70,805,781.18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91,509,964.14</w:t>
                    </w:r>
                  </w:p>
                </w:tc>
              </w:tr>
            </w:sdtContent>
          </w:sdt>
          <w:sdt>
            <w:sdtPr>
              <w:rPr>
                <w:szCs w:val="21"/>
              </w:rPr>
              <w:alias w:val="销售费用明细"/>
              <w:tag w:val="_TUP_db10d8762ce542a4962ce4cb14ddabbc"/>
              <w:id w:val="178900987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办公费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1,743,541.71</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3,953,288.00</w:t>
                    </w:r>
                  </w:p>
                </w:tc>
              </w:tr>
            </w:sdtContent>
          </w:sdt>
          <w:sdt>
            <w:sdtPr>
              <w:rPr>
                <w:szCs w:val="21"/>
              </w:rPr>
              <w:alias w:val="销售费用明细"/>
              <w:tag w:val="_TUP_db10d8762ce542a4962ce4cb14ddabbc"/>
              <w:id w:val="177458366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使用权资产累计折旧</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1,071,048.66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sdtContent>
          </w:sdt>
          <w:sdt>
            <w:sdtPr>
              <w:rPr>
                <w:szCs w:val="21"/>
              </w:rPr>
              <w:alias w:val="销售费用明细"/>
              <w:tag w:val="_TUP_db10d8762ce542a4962ce4cb14ddabbc"/>
              <w:id w:val="-142063779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广告费及宣传费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35,880,757.27</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35,334,917.29</w:t>
                    </w:r>
                  </w:p>
                </w:tc>
              </w:tr>
            </w:sdtContent>
          </w:sdt>
          <w:sdt>
            <w:sdtPr>
              <w:rPr>
                <w:szCs w:val="21"/>
              </w:rPr>
              <w:alias w:val="销售费用明细"/>
              <w:tag w:val="_TUP_db10d8762ce542a4962ce4cb14ddabbc"/>
              <w:id w:val="140494478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差旅费及交际应酬费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5,736,916.93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16,950,788.07</w:t>
                    </w:r>
                  </w:p>
                </w:tc>
              </w:tr>
            </w:sdtContent>
          </w:sdt>
          <w:sdt>
            <w:sdtPr>
              <w:rPr>
                <w:szCs w:val="21"/>
              </w:rPr>
              <w:alias w:val="销售费用明细"/>
              <w:tag w:val="_TUP_db10d8762ce542a4962ce4cb14ddabbc"/>
              <w:id w:val="82656353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售后服务费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-2,065,737.48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70,747,702.00</w:t>
                    </w:r>
                  </w:p>
                </w:tc>
              </w:tr>
            </w:sdtContent>
          </w:sdt>
          <w:sdt>
            <w:sdtPr>
              <w:rPr>
                <w:szCs w:val="21"/>
              </w:rPr>
              <w:alias w:val="销售费用明细"/>
              <w:tag w:val="_TUP_db10d8762ce542a4962ce4cb14ddabbc"/>
              <w:id w:val="-164380556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促销费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37,389,238.60</w:t>
                    </w:r>
                  </w:p>
                </w:tc>
              </w:tr>
            </w:sdtContent>
          </w:sdt>
          <w:sdt>
            <w:sdtPr>
              <w:rPr>
                <w:szCs w:val="21"/>
              </w:rPr>
              <w:alias w:val="销售费用明细"/>
              <w:tag w:val="_TUP_db10d8762ce542a4962ce4cb14ddabbc"/>
              <w:id w:val="-198916756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展览费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640,070.53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178,131.17</w:t>
                    </w:r>
                  </w:p>
                </w:tc>
              </w:tr>
            </w:sdtContent>
          </w:sdt>
          <w:sdt>
            <w:sdtPr>
              <w:rPr>
                <w:szCs w:val="21"/>
              </w:rPr>
              <w:alias w:val="销售费用明细"/>
              <w:tag w:val="_TUP_db10d8762ce542a4962ce4cb14ddabbc"/>
              <w:id w:val="-53250387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租赁费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5,848,936.69</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6,963,448.94</w:t>
                    </w:r>
                  </w:p>
                </w:tc>
              </w:tr>
            </w:sdtContent>
          </w:sdt>
          <w:sdt>
            <w:sdtPr>
              <w:rPr>
                <w:szCs w:val="21"/>
              </w:rPr>
              <w:alias w:val="销售费用明细"/>
              <w:tag w:val="_TUP_db10d8762ce542a4962ce4cb14ddabbc"/>
              <w:id w:val="109790229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索赔费用</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90,481,287.57</w:t>
                    </w:r>
                  </w:p>
                </w:tc>
              </w:tr>
            </w:sdtContent>
          </w:sdt>
          <w:sdt>
            <w:sdtPr>
              <w:rPr>
                <w:szCs w:val="21"/>
              </w:rPr>
              <w:alias w:val="销售费用明细"/>
              <w:tag w:val="_TUP_db10d8762ce542a4962ce4cb14ddabbc"/>
              <w:id w:val="-127924572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中介机构费</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7,850,905.46</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4,916,988.83</w:t>
                    </w:r>
                  </w:p>
                </w:tc>
              </w:tr>
            </w:sdtContent>
          </w:sdt>
          <w:sdt>
            <w:sdtPr>
              <w:rPr>
                <w:szCs w:val="21"/>
              </w:rPr>
              <w:alias w:val="销售费用明细"/>
              <w:tag w:val="_TUP_db10d8762ce542a4962ce4cb14ddabbc"/>
              <w:id w:val="94543393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其他</w:t>
                    </w:r>
                  </w:p>
                </w:tc>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17,339,068.08</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40,499,718.27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3cd99c4dd241c78fe0542c641fb610"/>
                <w:id w:val="701058452"/>
                <w:lock w:val="sdtLocked"/>
              </w:sdtPr>
              <w:sdtContent>
                <w:tc>
                  <w:tcPr>
                    <w:tcW w:w="184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5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148,555,614.23</w:t>
                </w:r>
              </w:p>
            </w:tc>
            <w:tc>
              <w:tcPr>
                <w:tcW w:w="157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405,138,197.87</w:t>
                </w:r>
              </w:p>
            </w:tc>
          </w:tr>
        </w:tbl>
        <w:p/>
        <w:p>
          <w:pPr>
            <w:spacing w:before="60" w:after="60"/>
            <w:rPr>
              <w:szCs w:val="21"/>
            </w:rPr>
          </w:pPr>
          <w:r>
            <w:rPr>
              <w:rFonts w:hint="eastAsia"/>
              <w:szCs w:val="21"/>
            </w:rPr>
            <w:t>其他说明：</w:t>
          </w:r>
        </w:p>
        <w:sdt>
          <w:sdtPr>
            <w:rPr>
              <w:szCs w:val="21"/>
            </w:rPr>
            <w:alias w:val="销售费用的其他说明事项"/>
            <w:tag w:val="_GBC_da5acaab2dfe4976b479907a904edb4f"/>
            <w:id w:val="1907038024"/>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Content>
    </w:sdt>
    <w:sdt>
      <w:sdtPr>
        <w:rPr>
          <w:rFonts w:hint="eastAsia" w:ascii="宋体" w:hAnsi="宋体" w:cs="宋体"/>
          <w:b w:val="0"/>
          <w:bCs w:val="0"/>
          <w:kern w:val="0"/>
          <w:szCs w:val="21"/>
        </w:rPr>
        <w:alias w:val="模块:管理费用"/>
        <w:tag w:val="_SEC_7f6cbd459a55483f8da09e1ad1378e98"/>
        <w:id w:val="44488260"/>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tabs>
              <w:tab w:val="left" w:pos="504"/>
            </w:tabs>
            <w:rPr>
              <w:szCs w:val="21"/>
            </w:rPr>
          </w:pPr>
          <w:r>
            <w:rPr>
              <w:rFonts w:hint="eastAsia"/>
              <w:szCs w:val="21"/>
            </w:rPr>
            <w:t>管理费用</w:t>
          </w:r>
        </w:p>
        <w:sdt>
          <w:sdtPr>
            <w:alias w:val="是否适用：管理费用[双击切换]"/>
            <w:tag w:val="_GBC_b376fd9abaac4f3b8e5956b8dcd72faf"/>
            <w:id w:val="27182453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管理费用"/>
              <w:tag w:val="_GBC_73606f31bd404afb8bfe5aabe1a68278"/>
              <w:id w:val="-144160647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管理费用"/>
              <w:tag w:val="_GBC_0549259a290d43c39c63d67cdad7f80d"/>
              <w:id w:val="11633540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4"/>
            <w:gridCol w:w="2454"/>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88268d9a550441d943c27cfc1105eb0"/>
                <w:id w:val="-1126243441"/>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0e4f4d04bcb2408d8a5744ac90a1f89b"/>
                <w:id w:val="1471403337"/>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6f1ab61237164c0db56540ae1980b62c"/>
                <w:id w:val="-1078752779"/>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sdt>
            <w:sdtPr>
              <w:rPr>
                <w:rFonts w:hint="eastAsia"/>
              </w:rPr>
              <w:alias w:val="管理费用明细"/>
              <w:tag w:val="_TUP_722eb986b9ca44cea4b28d9c73b66176"/>
              <w:id w:val="-827507791"/>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工资及社保</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202,124,351.44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195,892,166.46</w:t>
                    </w:r>
                  </w:p>
                </w:tc>
              </w:tr>
            </w:sdtContent>
          </w:sdt>
          <w:sdt>
            <w:sdtPr>
              <w:rPr>
                <w:rFonts w:hint="eastAsia"/>
              </w:rPr>
              <w:alias w:val="管理费用明细"/>
              <w:tag w:val="_TUP_722eb986b9ca44cea4b28d9c73b66176"/>
              <w:id w:val="1399482530"/>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折旧费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112,625,323.65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174,176,014.88</w:t>
                    </w:r>
                  </w:p>
                </w:tc>
              </w:tr>
            </w:sdtContent>
          </w:sdt>
          <w:sdt>
            <w:sdtPr>
              <w:rPr>
                <w:rFonts w:hint="eastAsia"/>
              </w:rPr>
              <w:alias w:val="管理费用明细"/>
              <w:tag w:val="_TUP_722eb986b9ca44cea4b28d9c73b66176"/>
              <w:id w:val="1967697232"/>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使用权资产累计折旧</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282,900.85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p>
                </w:tc>
              </w:tr>
            </w:sdtContent>
          </w:sdt>
          <w:sdt>
            <w:sdtPr>
              <w:rPr>
                <w:rFonts w:hint="eastAsia"/>
              </w:rPr>
              <w:alias w:val="管理费用明细"/>
              <w:tag w:val="_TUP_722eb986b9ca44cea4b28d9c73b66176"/>
              <w:id w:val="834499306"/>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无形资产摊销</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20,152,880.94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27,132,531.63</w:t>
                    </w:r>
                  </w:p>
                </w:tc>
              </w:tr>
            </w:sdtContent>
          </w:sdt>
          <w:sdt>
            <w:sdtPr>
              <w:rPr>
                <w:rFonts w:hint="eastAsia"/>
              </w:rPr>
              <w:alias w:val="管理费用明细"/>
              <w:tag w:val="_TUP_722eb986b9ca44cea4b28d9c73b66176"/>
              <w:id w:val="-798992482"/>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租赁费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17,460,600.13</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28,209,416.77</w:t>
                    </w:r>
                  </w:p>
                </w:tc>
              </w:tr>
            </w:sdtContent>
          </w:sdt>
          <w:sdt>
            <w:sdtPr>
              <w:rPr>
                <w:rFonts w:hint="eastAsia"/>
              </w:rPr>
              <w:alias w:val="管理费用明细"/>
              <w:tag w:val="_TUP_722eb986b9ca44cea4b28d9c73b66176"/>
              <w:id w:val="-152216159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咨询费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8,355,495.69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166,496,935.15</w:t>
                    </w:r>
                  </w:p>
                </w:tc>
              </w:tr>
            </w:sdtContent>
          </w:sdt>
          <w:sdt>
            <w:sdtPr>
              <w:rPr>
                <w:rFonts w:hint="eastAsia"/>
              </w:rPr>
              <w:alias w:val="管理费用明细"/>
              <w:tag w:val="_TUP_722eb986b9ca44cea4b28d9c73b66176"/>
              <w:id w:val="1265810185"/>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差旅费及交际应酬费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4,866,588.60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7,378,956.57</w:t>
                    </w:r>
                  </w:p>
                </w:tc>
              </w:tr>
            </w:sdtContent>
          </w:sdt>
          <w:sdt>
            <w:sdtPr>
              <w:rPr>
                <w:rFonts w:hint="eastAsia"/>
              </w:rPr>
              <w:alias w:val="管理费用明细"/>
              <w:tag w:val="_TUP_722eb986b9ca44cea4b28d9c73b66176"/>
              <w:id w:val="-1208021035"/>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办公费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4,665,231.89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8,887,923.49</w:t>
                    </w:r>
                  </w:p>
                </w:tc>
              </w:tr>
            </w:sdtContent>
          </w:sdt>
          <w:sdt>
            <w:sdtPr>
              <w:rPr>
                <w:rFonts w:hint="eastAsia"/>
              </w:rPr>
              <w:alias w:val="管理费用明细"/>
              <w:tag w:val="_TUP_722eb986b9ca44cea4b28d9c73b66176"/>
              <w:id w:val="-1296140845"/>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机物料消耗</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2,754,777.31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6,993,211.41</w:t>
                    </w:r>
                  </w:p>
                </w:tc>
              </w:tr>
            </w:sdtContent>
          </w:sdt>
          <w:sdt>
            <w:sdtPr>
              <w:rPr>
                <w:rFonts w:hint="eastAsia"/>
              </w:rPr>
              <w:alias w:val="管理费用明细"/>
              <w:tag w:val="_TUP_722eb986b9ca44cea4b28d9c73b66176"/>
              <w:id w:val="-1956090283"/>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修理费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3,443,760.12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10,861,318.87</w:t>
                    </w:r>
                  </w:p>
                </w:tc>
              </w:tr>
            </w:sdtContent>
          </w:sdt>
          <w:sdt>
            <w:sdtPr>
              <w:rPr>
                <w:rFonts w:hint="eastAsia"/>
              </w:rPr>
              <w:alias w:val="管理费用明细"/>
              <w:tag w:val="_TUP_722eb986b9ca44cea4b28d9c73b66176"/>
              <w:id w:val="473030861"/>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运输费</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754,664.75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1,719,082.41</w:t>
                    </w:r>
                  </w:p>
                </w:tc>
              </w:tr>
            </w:sdtContent>
          </w:sdt>
          <w:sdt>
            <w:sdtPr>
              <w:rPr>
                <w:rFonts w:hint="eastAsia"/>
              </w:rPr>
              <w:alias w:val="管理费用明细"/>
              <w:tag w:val="_TUP_722eb986b9ca44cea4b28d9c73b66176"/>
              <w:id w:val="-2058383428"/>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39,810,677.74</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74,189,281.27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aed7858ee4845698b1e1703ad5c4d1f"/>
                <w:id w:val="1808582312"/>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417,297,253.11</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701,936,838.91</w:t>
                </w:r>
              </w:p>
            </w:tc>
          </w:tr>
        </w:tbl>
        <w:p/>
        <w:p>
          <w:pPr>
            <w:rPr>
              <w:szCs w:val="21"/>
            </w:rPr>
          </w:pPr>
          <w:r>
            <w:rPr>
              <w:rFonts w:hint="eastAsia"/>
              <w:szCs w:val="21"/>
            </w:rPr>
            <w:t>其他说明：</w:t>
          </w:r>
        </w:p>
        <w:sdt>
          <w:sdtPr>
            <w:rPr>
              <w:szCs w:val="21"/>
            </w:rPr>
            <w:alias w:val="管理费用的其他说明事项"/>
            <w:tag w:val="_GBC_9b151103b3714e6c9261d3362f24bd0a"/>
            <w:id w:val="2135834267"/>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Content>
    </w:sdt>
    <w:sdt>
      <w:sdtPr>
        <w:rPr>
          <w:rFonts w:hint="eastAsia" w:ascii="宋体" w:hAnsi="宋体" w:cs="宋体"/>
          <w:b w:val="0"/>
          <w:bCs w:val="0"/>
          <w:kern w:val="0"/>
          <w:szCs w:val="21"/>
        </w:rPr>
        <w:alias w:val="模块:研发费用"/>
        <w:tag w:val="_SEC_82bf03b829d641c299349e9d5db687f0"/>
        <w:id w:val="1578327539"/>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szCs w:val="21"/>
            </w:rPr>
          </w:pPr>
          <w:bookmarkStart w:id="216" w:name="_Hlk532912714"/>
          <w:r>
            <w:rPr>
              <w:rFonts w:hint="eastAsia"/>
              <w:szCs w:val="21"/>
            </w:rPr>
            <w:t>研发费用</w:t>
          </w:r>
        </w:p>
        <w:sdt>
          <w:sdtPr>
            <w:rPr>
              <w:szCs w:val="21"/>
            </w:rPr>
            <w:alias w:val="是否适用：研发费用[双击切换]"/>
            <w:tag w:val="_GBC_447085648bd3455aade2b93965762fb7"/>
            <w:id w:val="1691407969"/>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pStyle w:val="224"/>
            <w:ind w:left="420" w:firstLine="0" w:firstLineChars="0"/>
            <w:jc w:val="right"/>
            <w:rPr>
              <w:szCs w:val="21"/>
            </w:rPr>
          </w:pPr>
          <w:r>
            <w:rPr>
              <w:rFonts w:hint="eastAsia"/>
              <w:szCs w:val="21"/>
            </w:rPr>
            <w:t>单位：</w:t>
          </w:r>
          <w:sdt>
            <w:sdtPr>
              <w:rPr>
                <w:rFonts w:hint="eastAsia"/>
                <w:szCs w:val="21"/>
              </w:rPr>
              <w:alias w:val="单位：研发费用"/>
              <w:tag w:val="_GBC_1b1f4be1acd049ce8e7935f0a111d07a"/>
              <w:id w:val="-12687773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研发费用"/>
              <w:tag w:val="_GBC_26bfad334e744cb79af11c6aa10e96ad"/>
              <w:id w:val="-20547633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4"/>
            <w:gridCol w:w="2454"/>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2420652c2154f7cbee5669a7dc715b9"/>
                <w:id w:val="1443577370"/>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项目</w:t>
                    </w:r>
                  </w:p>
                </w:tc>
              </w:sdtContent>
            </w:sdt>
            <w:sdt>
              <w:sdtPr>
                <w:tag w:val="_PLD_301f10da19c0458dbf502fb4181b8435"/>
                <w:id w:val="-1308164285"/>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本期发生额</w:t>
                    </w:r>
                  </w:p>
                </w:tc>
              </w:sdtContent>
            </w:sdt>
            <w:sdt>
              <w:sdtPr>
                <w:tag w:val="_PLD_657399a6b7d84b83b048a7e1f5ab1c45"/>
                <w:id w:val="269899476"/>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上期发生额</w:t>
                    </w:r>
                  </w:p>
                </w:tc>
              </w:sdtContent>
            </w:sdt>
          </w:tr>
          <w:sdt>
            <w:sdtPr>
              <w:rPr>
                <w:szCs w:val="21"/>
              </w:rPr>
              <w:alias w:val="研发费用明细"/>
              <w:tag w:val="_TUP_e20dd3fcf365400290d382be3f4e0697"/>
              <w:id w:val="151388306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职工薪酬</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49,374,782.76</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56,522,305.70</w:t>
                    </w:r>
                  </w:p>
                </w:tc>
              </w:tr>
            </w:sdtContent>
          </w:sdt>
          <w:sdt>
            <w:sdtPr>
              <w:rPr>
                <w:szCs w:val="21"/>
              </w:rPr>
              <w:alias w:val="研发费用明细"/>
              <w:tag w:val="_TUP_e20dd3fcf365400290d382be3f4e0697"/>
              <w:id w:val="197517626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研发领料</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8,064,144.79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30,078,245.52</w:t>
                    </w:r>
                  </w:p>
                </w:tc>
              </w:tr>
            </w:sdtContent>
          </w:sdt>
          <w:sdt>
            <w:sdtPr>
              <w:rPr>
                <w:szCs w:val="21"/>
              </w:rPr>
              <w:alias w:val="研发费用明细"/>
              <w:tag w:val="_TUP_e20dd3fcf365400290d382be3f4e0697"/>
              <w:id w:val="-81787632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折旧及摊销</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11,350,346.89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52,138,279.23</w:t>
                    </w:r>
                  </w:p>
                </w:tc>
              </w:tr>
            </w:sdtContent>
          </w:sdt>
          <w:sdt>
            <w:sdtPr>
              <w:rPr>
                <w:szCs w:val="21"/>
              </w:rPr>
              <w:alias w:val="研发费用明细"/>
              <w:tag w:val="_TUP_e20dd3fcf365400290d382be3f4e0697"/>
              <w:id w:val="5659597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直接费用</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46,858,707.25</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81,813,902.74</w:t>
                    </w:r>
                  </w:p>
                </w:tc>
              </w:tr>
            </w:sdtContent>
          </w:sdt>
          <w:sdt>
            <w:sdtPr>
              <w:rPr>
                <w:szCs w:val="21"/>
              </w:rPr>
              <w:alias w:val="研发费用明细"/>
              <w:tag w:val="_TUP_e20dd3fcf365400290d382be3f4e0697"/>
              <w:id w:val="-30802436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t>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4,521,898.71</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32,479,339.73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cab7ee68b8c41309b94c4fd276833fd"/>
                <w:id w:val="66472443"/>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120,169,880.40</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253,032,072.92</w:t>
                </w:r>
              </w:p>
            </w:tc>
          </w:tr>
        </w:tbl>
        <w:p/>
        <w:p>
          <w:pPr>
            <w:rPr>
              <w:szCs w:val="21"/>
            </w:rPr>
          </w:pPr>
          <w:r>
            <w:rPr>
              <w:rFonts w:hint="eastAsia"/>
              <w:szCs w:val="21"/>
            </w:rPr>
            <w:t>其他说明：</w:t>
          </w:r>
        </w:p>
        <w:sdt>
          <w:sdtPr>
            <w:alias w:val="研发费用其他说明"/>
            <w:tag w:val="_GBC_54ee6f091b584e948f5e7b3ca9f827ce"/>
            <w:id w:val="1713688439"/>
            <w:lock w:val="sdtLocked"/>
            <w:placeholder>
              <w:docPart w:val="GBC22222222222222222222222222222"/>
            </w:placeholder>
          </w:sdtPr>
          <w:sdtContent>
            <w:p>
              <w:r>
                <w:rPr>
                  <w:rFonts w:hint="eastAsia"/>
                </w:rPr>
                <w:t>无</w:t>
              </w:r>
            </w:p>
          </w:sdtContent>
        </w:sdt>
        <w:p/>
      </w:sdtContent>
    </w:sdt>
    <w:bookmarkEnd w:id="216"/>
    <w:sdt>
      <w:sdtPr>
        <w:rPr>
          <w:rFonts w:hint="eastAsia" w:ascii="宋体" w:hAnsi="宋体" w:cs="宋体"/>
          <w:b w:val="0"/>
          <w:bCs w:val="0"/>
          <w:kern w:val="0"/>
          <w:szCs w:val="21"/>
        </w:rPr>
        <w:alias w:val="模块:财务费用"/>
        <w:tag w:val="_SEC_e64e0ff353b940238889b35d13a33128"/>
        <w:id w:val="628901794"/>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tabs>
              <w:tab w:val="left" w:pos="504"/>
            </w:tabs>
            <w:rPr>
              <w:szCs w:val="21"/>
            </w:rPr>
          </w:pPr>
          <w:r>
            <w:rPr>
              <w:rFonts w:hint="eastAsia"/>
              <w:szCs w:val="21"/>
            </w:rPr>
            <w:t>财务费用</w:t>
          </w:r>
        </w:p>
        <w:sdt>
          <w:sdtPr>
            <w:alias w:val="是否适用：财务费用[双击切换]"/>
            <w:tag w:val="_GBC_7e467c6faebc402ab141f588df31680d"/>
            <w:id w:val="-191847110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费用"/>
              <w:tag w:val="_GBC_adcf988d29cd43aba011ce1310eac264"/>
              <w:id w:val="-119345087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费用"/>
              <w:tag w:val="_GBC_f6066e571d54449daf358ae3037f9712"/>
              <w:id w:val="18467375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74"/>
            <w:gridCol w:w="2454"/>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977e87dd3f474489b24bbaed00293d"/>
                <w:id w:val="-1918238047"/>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f64aa2e290ce4904a39347c56117acb7"/>
                <w:id w:val="882059719"/>
                <w:lock w:val="sdtLocked"/>
              </w:sdtPr>
              <w:sdtContent>
                <w:tc>
                  <w:tcPr>
                    <w:tcW w:w="1439"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sdt>
              <w:sdtPr>
                <w:tag w:val="_PLD_178c78585f7e495ebd86923cb8c24338"/>
                <w:id w:val="-161164376"/>
                <w:lock w:val="sdtLocked"/>
              </w:sdtPr>
              <w:sdtContent>
                <w:tc>
                  <w:tcPr>
                    <w:tcW w:w="1348"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上期发生额</w:t>
                    </w:r>
                  </w:p>
                </w:tc>
              </w:sdtContent>
            </w:sdt>
          </w:tr>
          <w:sdt>
            <w:sdtPr>
              <w:rPr>
                <w:rFonts w:hint="eastAsia"/>
              </w:rPr>
              <w:alias w:val="财务费用明细"/>
              <w:tag w:val="_TUP_532e2d560b3e474f82bbcbba74b0e810"/>
              <w:id w:val="1205374319"/>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利息支出</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162,207,151.39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902,149,051.82</w:t>
                    </w:r>
                  </w:p>
                </w:tc>
              </w:tr>
            </w:sdtContent>
          </w:sdt>
          <w:sdt>
            <w:sdtPr>
              <w:rPr>
                <w:rFonts w:hint="eastAsia"/>
              </w:rPr>
              <w:alias w:val="财务费用明细"/>
              <w:tag w:val="_TUP_532e2d560b3e474f82bbcbba74b0e810"/>
              <w:id w:val="1185786523"/>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减：利息收入</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75,227,203.62</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9,184,609.56</w:t>
                    </w:r>
                  </w:p>
                </w:tc>
              </w:tr>
            </w:sdtContent>
          </w:sdt>
          <w:sdt>
            <w:sdtPr>
              <w:rPr>
                <w:rFonts w:hint="eastAsia"/>
              </w:rPr>
              <w:alias w:val="财务费用明细"/>
              <w:tag w:val="_TUP_532e2d560b3e474f82bbcbba74b0e810"/>
              <w:id w:val="1684469061"/>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汇兑损益</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47,448,321.80</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979,967,588.28</w:t>
                    </w:r>
                  </w:p>
                </w:tc>
              </w:tr>
            </w:sdtContent>
          </w:sdt>
          <w:sdt>
            <w:sdtPr>
              <w:rPr>
                <w:rFonts w:hint="eastAsia"/>
              </w:rPr>
              <w:alias w:val="财务费用明细"/>
              <w:tag w:val="_TUP_532e2d560b3e474f82bbcbba74b0e810"/>
              <w:id w:val="-861588421"/>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t>银行手续费及其他</w:t>
                    </w:r>
                  </w:p>
                </w:tc>
                <w:tc>
                  <w:tcPr>
                    <w:tcW w:w="1439" w:type="pct"/>
                    <w:tcBorders>
                      <w:top w:val="single" w:color="auto" w:sz="4" w:space="0"/>
                      <w:left w:val="single" w:color="auto" w:sz="4" w:space="0"/>
                      <w:bottom w:val="single" w:color="auto" w:sz="4" w:space="0"/>
                      <w:right w:val="single" w:color="auto" w:sz="4" w:space="0"/>
                    </w:tcBorders>
                    <w:shd w:val="clear" w:color="auto" w:fill="auto"/>
                  </w:tcPr>
                  <w:p>
                    <w:pPr>
                      <w:jc w:val="right"/>
                    </w:pPr>
                    <w:r>
                      <w:t>6,371,210.69</w:t>
                    </w:r>
                  </w:p>
                </w:tc>
                <w:tc>
                  <w:tcPr>
                    <w:tcW w:w="1348" w:type="pct"/>
                    <w:tcBorders>
                      <w:top w:val="single" w:color="auto" w:sz="4" w:space="0"/>
                      <w:left w:val="single" w:color="auto" w:sz="4" w:space="0"/>
                      <w:bottom w:val="single" w:color="auto" w:sz="4" w:space="0"/>
                      <w:right w:val="single" w:color="auto" w:sz="4" w:space="0"/>
                    </w:tcBorders>
                    <w:shd w:val="clear" w:color="auto" w:fill="auto"/>
                  </w:tcPr>
                  <w:p>
                    <w:pPr>
                      <w:jc w:val="right"/>
                    </w:pPr>
                    <w:r>
                      <w:t>15,382,855.09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5dda636e4a845d7a035b74881476be3"/>
                <w:id w:val="303818635"/>
                <w:lock w:val="sdtLocked"/>
              </w:sdtPr>
              <w:sdtContent>
                <w:tc>
                  <w:tcPr>
                    <w:tcW w:w="22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合计</w:t>
                    </w:r>
                  </w:p>
                </w:tc>
              </w:sdtContent>
            </w:sdt>
            <w:tc>
              <w:tcPr>
                <w:tcW w:w="1439"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140,799,480.26</w:t>
                </w:r>
              </w:p>
            </w:tc>
            <w:tc>
              <w:tcPr>
                <w:tcW w:w="134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1,888,314,885.63</w:t>
                </w:r>
              </w:p>
            </w:tc>
          </w:tr>
        </w:tbl>
        <w:p/>
        <w:p>
          <w:pPr>
            <w:rPr>
              <w:szCs w:val="21"/>
            </w:rPr>
          </w:pPr>
          <w:r>
            <w:rPr>
              <w:rFonts w:hint="eastAsia"/>
              <w:szCs w:val="21"/>
            </w:rPr>
            <w:t>其他说明：</w:t>
          </w:r>
        </w:p>
        <w:sdt>
          <w:sdtPr>
            <w:rPr>
              <w:szCs w:val="21"/>
            </w:rPr>
            <w:alias w:val="财务费用的其他说明事项"/>
            <w:tag w:val="_GBC_ac6200ee95c7483d9ee9565f49369f9a"/>
            <w:id w:val="1037622184"/>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Content>
    </w:sdt>
    <w:sdt>
      <w:sdtPr>
        <w:rPr>
          <w:rFonts w:hint="eastAsia" w:ascii="宋体" w:hAnsi="宋体" w:cs="宋体"/>
          <w:b w:val="0"/>
          <w:bCs w:val="0"/>
          <w:kern w:val="0"/>
          <w:szCs w:val="24"/>
        </w:rPr>
        <w:alias w:val="模块:其他收益"/>
        <w:tag w:val="_SEC_e9bc7b10fbe24a58a2a8e3ac1ff96a97"/>
        <w:id w:val="-2052980663"/>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pPr>
          <w:r>
            <w:rPr>
              <w:rFonts w:hint="eastAsia"/>
            </w:rPr>
            <w:t>其他收益</w:t>
          </w:r>
        </w:p>
        <w:sdt>
          <w:sdtPr>
            <w:rPr>
              <w:bCs/>
            </w:rPr>
            <w:alias w:val="是否适用：财务报表其他收益[双击切换]"/>
            <w:tag w:val="_GBC_24722ffac3b6474db1e1d7972d6e4a7b"/>
            <w:id w:val="1867256882"/>
            <w:lock w:val="sdtLocked"/>
            <w:placeholder>
              <w:docPart w:val="GBC22222222222222222222222222222"/>
            </w:placeholder>
          </w:sdtPr>
          <w:sdtEndPr>
            <w:rPr>
              <w:bCs/>
            </w:rPr>
          </w:sdtEnd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224"/>
            <w:ind w:left="420" w:firstLine="0" w:firstLineChars="0"/>
            <w:jc w:val="right"/>
            <w:rPr>
              <w:bCs/>
            </w:rPr>
          </w:pPr>
          <w:r>
            <w:rPr>
              <w:bCs/>
            </w:rPr>
            <w:t>单位：</w:t>
          </w:r>
          <w:sdt>
            <w:sdtPr>
              <w:rPr>
                <w:bCs/>
              </w:rPr>
              <w:alias w:val="单位：财务报表其他收益明细"/>
              <w:tag w:val="_GBC_74ea52f952324be7ab2c4c494ff673ce"/>
              <w:id w:val="17562068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币种：</w:t>
          </w:r>
          <w:sdt>
            <w:sdtPr>
              <w:rPr>
                <w:bCs/>
              </w:rPr>
              <w:alias w:val="币种：财务报表其他收益明细"/>
              <w:tag w:val="_GBC_8360ed9b182a496c9b5d2220a414a4cb"/>
              <w:id w:val="-12006309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3"/>
            <w:gridCol w:w="2872"/>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df5d6dc8fe1463b8e0d41784241e311"/>
                <w:id w:val="-1168473224"/>
                <w:lock w:val="sdtLocked"/>
              </w:sdtPr>
              <w:sdtContent>
                <w:tc>
                  <w:tcPr>
                    <w:tcW w:w="3016" w:type="dxa"/>
                    <w:shd w:val="clear" w:color="auto" w:fill="auto"/>
                  </w:tcPr>
                  <w:p>
                    <w:pPr>
                      <w:jc w:val="center"/>
                    </w:pPr>
                    <w:r>
                      <w:rPr>
                        <w:rFonts w:hint="eastAsia"/>
                      </w:rPr>
                      <w:t>项目</w:t>
                    </w:r>
                  </w:p>
                </w:tc>
              </w:sdtContent>
            </w:sdt>
            <w:sdt>
              <w:sdtPr>
                <w:tag w:val="_PLD_2c34d48a6a534080943d2d340c325c15"/>
                <w:id w:val="-155304341"/>
                <w:lock w:val="sdtLocked"/>
              </w:sdtPr>
              <w:sdtContent>
                <w:tc>
                  <w:tcPr>
                    <w:tcW w:w="3016" w:type="dxa"/>
                    <w:shd w:val="clear" w:color="auto" w:fill="auto"/>
                  </w:tcPr>
                  <w:p>
                    <w:pPr>
                      <w:jc w:val="center"/>
                    </w:pPr>
                    <w:r>
                      <w:rPr>
                        <w:rFonts w:hint="eastAsia"/>
                      </w:rPr>
                      <w:t>本期发生额</w:t>
                    </w:r>
                  </w:p>
                </w:tc>
              </w:sdtContent>
            </w:sdt>
            <w:sdt>
              <w:sdtPr>
                <w:tag w:val="_PLD_1a2c9ed0a9704089897421e22b8696dd"/>
                <w:id w:val="-201870894"/>
                <w:lock w:val="sdtLocked"/>
              </w:sdtPr>
              <w:sdtContent>
                <w:tc>
                  <w:tcPr>
                    <w:tcW w:w="3017" w:type="dxa"/>
                    <w:shd w:val="clear" w:color="auto" w:fill="auto"/>
                  </w:tcPr>
                  <w:p>
                    <w:pPr>
                      <w:jc w:val="center"/>
                    </w:pPr>
                    <w:r>
                      <w:rPr>
                        <w:rFonts w:hint="eastAsia"/>
                      </w:rPr>
                      <w:t>上期发生额</w:t>
                    </w:r>
                  </w:p>
                </w:tc>
              </w:sdtContent>
            </w:sdt>
          </w:tr>
          <w:sdt>
            <w:sdtPr>
              <w:alias w:val="财务报表其他收益明细"/>
              <w:tag w:val="_TUP_0ed2ced1ccdb4c10982baeb73855c8ba"/>
              <w:id w:val="436259401"/>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jc w:val="center"/>
                    </w:pPr>
                    <w:r>
                      <w:t>政府补助</w:t>
                    </w:r>
                  </w:p>
                </w:tc>
                <w:tc>
                  <w:tcPr>
                    <w:tcW w:w="3016" w:type="dxa"/>
                    <w:shd w:val="clear" w:color="auto" w:fill="auto"/>
                  </w:tcPr>
                  <w:p>
                    <w:pPr>
                      <w:jc w:val="right"/>
                    </w:pPr>
                    <w:r>
                      <w:t>8,800,548.36</w:t>
                    </w:r>
                  </w:p>
                </w:tc>
                <w:tc>
                  <w:tcPr>
                    <w:tcW w:w="3017" w:type="dxa"/>
                    <w:shd w:val="clear" w:color="auto" w:fill="auto"/>
                  </w:tcPr>
                  <w:p>
                    <w:pPr>
                      <w:jc w:val="right"/>
                    </w:pPr>
                    <w:r>
                      <w:t>22,825,588.92</w:t>
                    </w:r>
                  </w:p>
                </w:tc>
              </w:tr>
            </w:sdtContent>
          </w:sdt>
          <w:sdt>
            <w:sdtPr>
              <w:alias w:val="财务报表其他收益明细"/>
              <w:tag w:val="_TUP_0ed2ced1ccdb4c10982baeb73855c8ba"/>
              <w:id w:val="-851951195"/>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pPr>
                      <w:jc w:val="center"/>
                    </w:pPr>
                    <w:r>
                      <w:t>其他</w:t>
                    </w:r>
                  </w:p>
                </w:tc>
                <w:tc>
                  <w:tcPr>
                    <w:tcW w:w="3016" w:type="dxa"/>
                    <w:shd w:val="clear" w:color="auto" w:fill="auto"/>
                  </w:tcPr>
                  <w:p>
                    <w:pPr>
                      <w:jc w:val="right"/>
                    </w:pPr>
                    <w:r>
                      <w:t>103,181.35</w:t>
                    </w:r>
                  </w:p>
                </w:tc>
                <w:tc>
                  <w:tcPr>
                    <w:tcW w:w="3017" w:type="dxa"/>
                    <w:shd w:val="clear" w:color="auto" w:fill="auto"/>
                  </w:tcPr>
                  <w:p>
                    <w:pPr>
                      <w:jc w:val="right"/>
                    </w:pPr>
                    <w:r>
                      <w:t>2,424,859.53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061f381a4f4b81848cbe7eb2e8df05"/>
                <w:id w:val="-1643270154"/>
                <w:lock w:val="sdtLocked"/>
              </w:sdtPr>
              <w:sdtContent>
                <w:tc>
                  <w:tcPr>
                    <w:tcW w:w="3016" w:type="dxa"/>
                    <w:shd w:val="clear" w:color="auto" w:fill="auto"/>
                  </w:tcPr>
                  <w:p>
                    <w:pPr>
                      <w:jc w:val="center"/>
                    </w:pPr>
                    <w:r>
                      <w:rPr>
                        <w:rFonts w:hint="eastAsia"/>
                      </w:rPr>
                      <w:t>合计</w:t>
                    </w:r>
                  </w:p>
                </w:tc>
              </w:sdtContent>
            </w:sdt>
            <w:tc>
              <w:tcPr>
                <w:tcW w:w="3016" w:type="dxa"/>
                <w:shd w:val="clear" w:color="auto" w:fill="auto"/>
                <w:vAlign w:val="center"/>
              </w:tcPr>
              <w:p>
                <w:pPr>
                  <w:jc w:val="right"/>
                  <w:rPr>
                    <w:sz w:val="24"/>
                  </w:rPr>
                </w:pPr>
                <w:r>
                  <w:t>8,903,729.71</w:t>
                </w:r>
              </w:p>
            </w:tc>
            <w:tc>
              <w:tcPr>
                <w:tcW w:w="3017" w:type="dxa"/>
                <w:shd w:val="clear" w:color="auto" w:fill="auto"/>
                <w:vAlign w:val="center"/>
              </w:tcPr>
              <w:p>
                <w:pPr>
                  <w:jc w:val="right"/>
                  <w:rPr>
                    <w:sz w:val="24"/>
                  </w:rPr>
                </w:pPr>
                <w:r>
                  <w:t>25,250,448.45</w:t>
                </w:r>
              </w:p>
            </w:tc>
          </w:tr>
        </w:tbl>
        <w:p/>
        <w:p>
          <w:r>
            <w:rPr>
              <w:rFonts w:hint="eastAsia"/>
            </w:rPr>
            <w:t>其他说明：</w:t>
          </w:r>
        </w:p>
        <w:sdt>
          <w:sdtPr>
            <w:rPr>
              <w:rFonts w:cs="宋体"/>
              <w:kern w:val="0"/>
              <w:szCs w:val="24"/>
            </w:rPr>
            <w:alias w:val="财务报表其他收益其他说明"/>
            <w:tag w:val="_GBC_4b4ba73a66704c609e7c6617d0fa6694"/>
            <w:id w:val="-1018686684"/>
            <w:lock w:val="sdtLocked"/>
            <w:placeholder>
              <w:docPart w:val="GBC22222222222222222222222222222"/>
            </w:placeholder>
          </w:sdtPr>
          <w:sdtEndPr>
            <w:rPr>
              <w:rFonts w:cs="宋体"/>
              <w:kern w:val="0"/>
              <w:szCs w:val="24"/>
            </w:rPr>
          </w:sdtEndPr>
          <w:sdtContent>
            <w:p>
              <w:pPr>
                <w:pStyle w:val="284"/>
                <w:widowControl w:val="0"/>
                <w:spacing w:before="120" w:beforeLines="50" w:line="360" w:lineRule="auto"/>
                <w:ind w:left="0" w:leftChars="0"/>
                <w:outlineLvl w:val="3"/>
                <w:rPr>
                  <w:rFonts w:ascii="Times New Roman" w:hAnsi="Times New Roman"/>
                  <w:b/>
                </w:rPr>
              </w:pPr>
              <w:r>
                <w:rPr>
                  <w:rFonts w:hint="eastAsia"/>
                </w:rPr>
                <w:t>（1）计入其他收益的政府补助</w:t>
              </w:r>
            </w:p>
            <w:tbl>
              <w:tblPr>
                <w:tblStyle w:val="1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7"/>
                <w:gridCol w:w="1549"/>
                <w:gridCol w:w="1581"/>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142" w:type="pct"/>
                    <w:vAlign w:val="center"/>
                  </w:tcPr>
                  <w:p>
                    <w:pPr>
                      <w:widowControl w:val="0"/>
                      <w:tabs>
                        <w:tab w:val="left" w:pos="196"/>
                        <w:tab w:val="left" w:pos="426"/>
                      </w:tabs>
                      <w:snapToGrid w:val="0"/>
                      <w:jc w:val="center"/>
                      <w:rPr>
                        <w:rFonts w:ascii="Arial Narrow" w:hAnsi="Arial Narrow"/>
                        <w:szCs w:val="21"/>
                      </w:rPr>
                    </w:pPr>
                    <w:bookmarkStart w:id="217" w:name="RANGE!A1:D12"/>
                    <w:r>
                      <w:rPr>
                        <w:rFonts w:ascii="Arial Narrow" w:hAnsi="Arial Narrow"/>
                        <w:szCs w:val="21"/>
                      </w:rPr>
                      <w:t>项目</w:t>
                    </w:r>
                    <w:bookmarkEnd w:id="217"/>
                  </w:p>
                </w:tc>
                <w:tc>
                  <w:tcPr>
                    <w:tcW w:w="91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本期发生额</w:t>
                    </w:r>
                  </w:p>
                </w:tc>
                <w:tc>
                  <w:tcPr>
                    <w:tcW w:w="915"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上期发生额</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与资产相关/</w:t>
                    </w:r>
                  </w:p>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进口汽车补贴款</w:t>
                    </w:r>
                  </w:p>
                </w:tc>
                <w:tc>
                  <w:tcPr>
                    <w:tcW w:w="912" w:type="pct"/>
                    <w:vAlign w:val="center"/>
                  </w:tcPr>
                  <w:p>
                    <w:pPr>
                      <w:widowControl w:val="0"/>
                      <w:tabs>
                        <w:tab w:val="left" w:pos="196"/>
                        <w:tab w:val="left" w:pos="426"/>
                      </w:tabs>
                      <w:snapToGrid w:val="0"/>
                      <w:jc w:val="right"/>
                      <w:rPr>
                        <w:szCs w:val="21"/>
                      </w:rPr>
                    </w:pPr>
                  </w:p>
                </w:tc>
                <w:tc>
                  <w:tcPr>
                    <w:tcW w:w="915" w:type="pct"/>
                    <w:vAlign w:val="center"/>
                  </w:tcPr>
                  <w:p>
                    <w:pPr>
                      <w:widowControl w:val="0"/>
                      <w:tabs>
                        <w:tab w:val="left" w:pos="196"/>
                        <w:tab w:val="left" w:pos="426"/>
                      </w:tabs>
                      <w:snapToGrid w:val="0"/>
                      <w:jc w:val="right"/>
                      <w:rPr>
                        <w:szCs w:val="21"/>
                      </w:rPr>
                    </w:pPr>
                    <w:r>
                      <w:rPr>
                        <w:szCs w:val="21"/>
                      </w:rPr>
                      <w:t>538,510.68</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工业和信息化专项资金</w:t>
                    </w:r>
                  </w:p>
                </w:tc>
                <w:tc>
                  <w:tcPr>
                    <w:tcW w:w="912" w:type="pct"/>
                    <w:vAlign w:val="center"/>
                  </w:tcPr>
                  <w:p>
                    <w:pPr>
                      <w:widowControl w:val="0"/>
                      <w:tabs>
                        <w:tab w:val="left" w:pos="196"/>
                        <w:tab w:val="left" w:pos="426"/>
                      </w:tabs>
                      <w:snapToGrid w:val="0"/>
                      <w:jc w:val="right"/>
                      <w:rPr>
                        <w:szCs w:val="21"/>
                      </w:rPr>
                    </w:pPr>
                  </w:p>
                </w:tc>
                <w:tc>
                  <w:tcPr>
                    <w:tcW w:w="915" w:type="pct"/>
                    <w:vAlign w:val="center"/>
                  </w:tcPr>
                  <w:p>
                    <w:pPr>
                      <w:widowControl w:val="0"/>
                      <w:tabs>
                        <w:tab w:val="left" w:pos="196"/>
                        <w:tab w:val="left" w:pos="426"/>
                      </w:tabs>
                      <w:snapToGrid w:val="0"/>
                      <w:jc w:val="right"/>
                      <w:rPr>
                        <w:szCs w:val="21"/>
                      </w:rPr>
                    </w:pPr>
                    <w:r>
                      <w:rPr>
                        <w:szCs w:val="21"/>
                      </w:rPr>
                      <w:t>1,320,000.00</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专利资助及品牌发展奖励</w:t>
                    </w:r>
                  </w:p>
                </w:tc>
                <w:tc>
                  <w:tcPr>
                    <w:tcW w:w="912" w:type="pct"/>
                    <w:vAlign w:val="center"/>
                  </w:tcPr>
                  <w:p>
                    <w:pPr>
                      <w:widowControl w:val="0"/>
                      <w:tabs>
                        <w:tab w:val="left" w:pos="196"/>
                        <w:tab w:val="left" w:pos="426"/>
                      </w:tabs>
                      <w:snapToGrid w:val="0"/>
                      <w:jc w:val="right"/>
                      <w:rPr>
                        <w:szCs w:val="21"/>
                      </w:rPr>
                    </w:pPr>
                    <w:r>
                      <w:rPr>
                        <w:szCs w:val="21"/>
                      </w:rPr>
                      <w:t>1,694,500.00</w:t>
                    </w:r>
                  </w:p>
                </w:tc>
                <w:tc>
                  <w:tcPr>
                    <w:tcW w:w="915" w:type="pct"/>
                    <w:vAlign w:val="center"/>
                  </w:tcPr>
                  <w:p>
                    <w:pPr>
                      <w:widowControl w:val="0"/>
                      <w:tabs>
                        <w:tab w:val="left" w:pos="196"/>
                        <w:tab w:val="left" w:pos="426"/>
                      </w:tabs>
                      <w:snapToGrid w:val="0"/>
                      <w:jc w:val="right"/>
                      <w:rPr>
                        <w:szCs w:val="21"/>
                      </w:rPr>
                    </w:pPr>
                    <w:r>
                      <w:rPr>
                        <w:szCs w:val="21"/>
                      </w:rPr>
                      <w:t>1,027,500.00</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稳岗补贴</w:t>
                    </w:r>
                  </w:p>
                </w:tc>
                <w:tc>
                  <w:tcPr>
                    <w:tcW w:w="912" w:type="pct"/>
                    <w:vAlign w:val="center"/>
                  </w:tcPr>
                  <w:p>
                    <w:pPr>
                      <w:widowControl w:val="0"/>
                      <w:tabs>
                        <w:tab w:val="left" w:pos="196"/>
                        <w:tab w:val="left" w:pos="426"/>
                      </w:tabs>
                      <w:snapToGrid w:val="0"/>
                      <w:jc w:val="right"/>
                      <w:rPr>
                        <w:szCs w:val="21"/>
                      </w:rPr>
                    </w:pPr>
                    <w:r>
                      <w:rPr>
                        <w:szCs w:val="21"/>
                      </w:rPr>
                      <w:t>588,982.36</w:t>
                    </w:r>
                  </w:p>
                </w:tc>
                <w:tc>
                  <w:tcPr>
                    <w:tcW w:w="915" w:type="pct"/>
                    <w:vAlign w:val="center"/>
                  </w:tcPr>
                  <w:p>
                    <w:pPr>
                      <w:widowControl w:val="0"/>
                      <w:tabs>
                        <w:tab w:val="left" w:pos="196"/>
                        <w:tab w:val="left" w:pos="426"/>
                      </w:tabs>
                      <w:snapToGrid w:val="0"/>
                      <w:jc w:val="right"/>
                      <w:rPr>
                        <w:szCs w:val="21"/>
                      </w:rPr>
                    </w:pPr>
                    <w:r>
                      <w:rPr>
                        <w:szCs w:val="21"/>
                      </w:rPr>
                      <w:t>1,868,524.30</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企业研发补助资金</w:t>
                    </w:r>
                  </w:p>
                </w:tc>
                <w:tc>
                  <w:tcPr>
                    <w:tcW w:w="912" w:type="pct"/>
                    <w:vAlign w:val="center"/>
                  </w:tcPr>
                  <w:p>
                    <w:pPr>
                      <w:widowControl w:val="0"/>
                      <w:tabs>
                        <w:tab w:val="left" w:pos="196"/>
                        <w:tab w:val="left" w:pos="426"/>
                      </w:tabs>
                      <w:snapToGrid w:val="0"/>
                      <w:jc w:val="right"/>
                      <w:rPr>
                        <w:szCs w:val="21"/>
                      </w:rPr>
                    </w:pPr>
                  </w:p>
                </w:tc>
                <w:tc>
                  <w:tcPr>
                    <w:tcW w:w="915" w:type="pct"/>
                    <w:vAlign w:val="center"/>
                  </w:tcPr>
                  <w:p>
                    <w:pPr>
                      <w:widowControl w:val="0"/>
                      <w:tabs>
                        <w:tab w:val="left" w:pos="196"/>
                        <w:tab w:val="left" w:pos="426"/>
                      </w:tabs>
                      <w:snapToGrid w:val="0"/>
                      <w:jc w:val="right"/>
                      <w:rPr>
                        <w:szCs w:val="21"/>
                      </w:rPr>
                    </w:pPr>
                    <w:r>
                      <w:rPr>
                        <w:szCs w:val="21"/>
                      </w:rPr>
                      <w:t>1,190,000.00</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商务发展专项资金</w:t>
                    </w:r>
                  </w:p>
                </w:tc>
                <w:tc>
                  <w:tcPr>
                    <w:tcW w:w="912" w:type="pct"/>
                    <w:vAlign w:val="center"/>
                  </w:tcPr>
                  <w:p>
                    <w:pPr>
                      <w:widowControl w:val="0"/>
                      <w:tabs>
                        <w:tab w:val="left" w:pos="196"/>
                        <w:tab w:val="left" w:pos="426"/>
                      </w:tabs>
                      <w:snapToGrid w:val="0"/>
                      <w:jc w:val="right"/>
                      <w:rPr>
                        <w:szCs w:val="21"/>
                      </w:rPr>
                    </w:pPr>
                    <w:r>
                      <w:rPr>
                        <w:szCs w:val="21"/>
                      </w:rPr>
                      <w:t>2,552,966.89</w:t>
                    </w:r>
                  </w:p>
                </w:tc>
                <w:tc>
                  <w:tcPr>
                    <w:tcW w:w="915" w:type="pct"/>
                    <w:vAlign w:val="center"/>
                  </w:tcPr>
                  <w:p>
                    <w:pPr>
                      <w:widowControl w:val="0"/>
                      <w:tabs>
                        <w:tab w:val="left" w:pos="196"/>
                        <w:tab w:val="left" w:pos="426"/>
                      </w:tabs>
                      <w:snapToGrid w:val="0"/>
                      <w:jc w:val="right"/>
                      <w:rPr>
                        <w:szCs w:val="21"/>
                      </w:rPr>
                    </w:pPr>
                    <w:r>
                      <w:rPr>
                        <w:szCs w:val="21"/>
                      </w:rPr>
                      <w:t>3,200,144.21</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涉外贸易补贴</w:t>
                    </w:r>
                  </w:p>
                </w:tc>
                <w:tc>
                  <w:tcPr>
                    <w:tcW w:w="912" w:type="pct"/>
                    <w:vAlign w:val="center"/>
                  </w:tcPr>
                  <w:p>
                    <w:pPr>
                      <w:widowControl w:val="0"/>
                      <w:tabs>
                        <w:tab w:val="left" w:pos="196"/>
                        <w:tab w:val="left" w:pos="426"/>
                      </w:tabs>
                      <w:snapToGrid w:val="0"/>
                      <w:jc w:val="right"/>
                      <w:rPr>
                        <w:szCs w:val="21"/>
                      </w:rPr>
                    </w:pPr>
                  </w:p>
                </w:tc>
                <w:tc>
                  <w:tcPr>
                    <w:tcW w:w="915" w:type="pct"/>
                    <w:vAlign w:val="center"/>
                  </w:tcPr>
                  <w:p>
                    <w:pPr>
                      <w:widowControl w:val="0"/>
                      <w:tabs>
                        <w:tab w:val="left" w:pos="196"/>
                        <w:tab w:val="left" w:pos="426"/>
                      </w:tabs>
                      <w:snapToGrid w:val="0"/>
                      <w:jc w:val="right"/>
                      <w:rPr>
                        <w:szCs w:val="21"/>
                      </w:rPr>
                    </w:pPr>
                    <w:r>
                      <w:rPr>
                        <w:szCs w:val="21"/>
                      </w:rPr>
                      <w:t>106,492.72</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递延收益摊销</w:t>
                    </w:r>
                  </w:p>
                </w:tc>
                <w:tc>
                  <w:tcPr>
                    <w:tcW w:w="912" w:type="pct"/>
                    <w:vAlign w:val="center"/>
                  </w:tcPr>
                  <w:p>
                    <w:pPr>
                      <w:widowControl w:val="0"/>
                      <w:tabs>
                        <w:tab w:val="left" w:pos="196"/>
                        <w:tab w:val="left" w:pos="426"/>
                      </w:tabs>
                      <w:snapToGrid w:val="0"/>
                      <w:jc w:val="right"/>
                      <w:rPr>
                        <w:szCs w:val="21"/>
                      </w:rPr>
                    </w:pPr>
                    <w:r>
                      <w:rPr>
                        <w:szCs w:val="21"/>
                      </w:rPr>
                      <w:t>1,309,324.16</w:t>
                    </w:r>
                  </w:p>
                </w:tc>
                <w:tc>
                  <w:tcPr>
                    <w:tcW w:w="915" w:type="pct"/>
                    <w:vAlign w:val="center"/>
                  </w:tcPr>
                  <w:p>
                    <w:pPr>
                      <w:widowControl w:val="0"/>
                      <w:tabs>
                        <w:tab w:val="left" w:pos="196"/>
                        <w:tab w:val="left" w:pos="426"/>
                      </w:tabs>
                      <w:snapToGrid w:val="0"/>
                      <w:jc w:val="right"/>
                      <w:rPr>
                        <w:szCs w:val="21"/>
                      </w:rPr>
                    </w:pPr>
                    <w:r>
                      <w:rPr>
                        <w:szCs w:val="21"/>
                      </w:rPr>
                      <w:t>8,065,097.54</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w:t>
                    </w:r>
                    <w:r>
                      <w:rPr>
                        <w:rFonts w:hint="eastAsia" w:ascii="Arial Narrow" w:hAnsi="Arial Narrow"/>
                        <w:szCs w:val="21"/>
                      </w:rPr>
                      <w:t>资产</w:t>
                    </w:r>
                    <w:r>
                      <w:rPr>
                        <w:rFonts w:ascii="Arial Narrow" w:hAnsi="Arial Narrow"/>
                        <w:szCs w:val="21"/>
                      </w:rPr>
                      <w:t>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财政抗疫暖企专项扶持资金</w:t>
                    </w:r>
                  </w:p>
                </w:tc>
                <w:tc>
                  <w:tcPr>
                    <w:tcW w:w="912" w:type="pct"/>
                    <w:vAlign w:val="center"/>
                  </w:tcPr>
                  <w:p>
                    <w:pPr>
                      <w:widowControl w:val="0"/>
                      <w:tabs>
                        <w:tab w:val="left" w:pos="196"/>
                        <w:tab w:val="left" w:pos="426"/>
                      </w:tabs>
                      <w:snapToGrid w:val="0"/>
                      <w:jc w:val="right"/>
                      <w:rPr>
                        <w:szCs w:val="21"/>
                      </w:rPr>
                    </w:pPr>
                    <w:r>
                      <w:rPr>
                        <w:szCs w:val="21"/>
                      </w:rPr>
                      <w:t>49,625.64</w:t>
                    </w:r>
                  </w:p>
                </w:tc>
                <w:tc>
                  <w:tcPr>
                    <w:tcW w:w="915" w:type="pct"/>
                    <w:vAlign w:val="center"/>
                  </w:tcPr>
                  <w:p>
                    <w:pPr>
                      <w:widowControl w:val="0"/>
                      <w:tabs>
                        <w:tab w:val="left" w:pos="196"/>
                        <w:tab w:val="left" w:pos="426"/>
                      </w:tabs>
                      <w:snapToGrid w:val="0"/>
                      <w:jc w:val="right"/>
                      <w:rPr>
                        <w:szCs w:val="21"/>
                      </w:rPr>
                    </w:pPr>
                    <w:r>
                      <w:rPr>
                        <w:szCs w:val="21"/>
                      </w:rPr>
                      <w:t>468,786.39</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规模以上企业补助款</w:t>
                    </w:r>
                  </w:p>
                </w:tc>
                <w:tc>
                  <w:tcPr>
                    <w:tcW w:w="912" w:type="pct"/>
                    <w:vAlign w:val="center"/>
                  </w:tcPr>
                  <w:p>
                    <w:pPr>
                      <w:widowControl w:val="0"/>
                      <w:tabs>
                        <w:tab w:val="left" w:pos="196"/>
                        <w:tab w:val="left" w:pos="426"/>
                      </w:tabs>
                      <w:snapToGrid w:val="0"/>
                      <w:jc w:val="right"/>
                      <w:rPr>
                        <w:szCs w:val="21"/>
                      </w:rPr>
                    </w:pPr>
                  </w:p>
                </w:tc>
                <w:tc>
                  <w:tcPr>
                    <w:tcW w:w="915" w:type="pct"/>
                    <w:vAlign w:val="center"/>
                  </w:tcPr>
                  <w:p>
                    <w:pPr>
                      <w:widowControl w:val="0"/>
                      <w:tabs>
                        <w:tab w:val="left" w:pos="196"/>
                        <w:tab w:val="left" w:pos="426"/>
                      </w:tabs>
                      <w:snapToGrid w:val="0"/>
                      <w:jc w:val="right"/>
                      <w:rPr>
                        <w:szCs w:val="21"/>
                      </w:rPr>
                    </w:pPr>
                    <w:r>
                      <w:rPr>
                        <w:szCs w:val="21"/>
                      </w:rPr>
                      <w:t>750,500.00</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先进制造业财政补贴</w:t>
                    </w:r>
                  </w:p>
                </w:tc>
                <w:tc>
                  <w:tcPr>
                    <w:tcW w:w="912" w:type="pct"/>
                    <w:vAlign w:val="center"/>
                  </w:tcPr>
                  <w:p>
                    <w:pPr>
                      <w:widowControl w:val="0"/>
                      <w:tabs>
                        <w:tab w:val="left" w:pos="196"/>
                        <w:tab w:val="left" w:pos="426"/>
                      </w:tabs>
                      <w:snapToGrid w:val="0"/>
                      <w:jc w:val="right"/>
                      <w:rPr>
                        <w:szCs w:val="21"/>
                      </w:rPr>
                    </w:pPr>
                  </w:p>
                </w:tc>
                <w:tc>
                  <w:tcPr>
                    <w:tcW w:w="915" w:type="pct"/>
                    <w:vAlign w:val="center"/>
                  </w:tcPr>
                  <w:p>
                    <w:pPr>
                      <w:widowControl w:val="0"/>
                      <w:tabs>
                        <w:tab w:val="left" w:pos="196"/>
                        <w:tab w:val="left" w:pos="426"/>
                      </w:tabs>
                      <w:snapToGrid w:val="0"/>
                      <w:jc w:val="right"/>
                      <w:rPr>
                        <w:szCs w:val="21"/>
                      </w:rPr>
                    </w:pPr>
                    <w:r>
                      <w:rPr>
                        <w:szCs w:val="21"/>
                      </w:rPr>
                      <w:t>2,799,200.00</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其他</w:t>
                    </w:r>
                  </w:p>
                </w:tc>
                <w:tc>
                  <w:tcPr>
                    <w:tcW w:w="912" w:type="pct"/>
                    <w:vAlign w:val="center"/>
                  </w:tcPr>
                  <w:p>
                    <w:pPr>
                      <w:widowControl w:val="0"/>
                      <w:tabs>
                        <w:tab w:val="left" w:pos="196"/>
                        <w:tab w:val="left" w:pos="426"/>
                      </w:tabs>
                      <w:snapToGrid w:val="0"/>
                      <w:jc w:val="right"/>
                      <w:rPr>
                        <w:szCs w:val="21"/>
                      </w:rPr>
                    </w:pPr>
                    <w:r>
                      <w:rPr>
                        <w:szCs w:val="21"/>
                      </w:rPr>
                      <w:t>2,605,149.31</w:t>
                    </w:r>
                  </w:p>
                </w:tc>
                <w:tc>
                  <w:tcPr>
                    <w:tcW w:w="915" w:type="pct"/>
                    <w:vAlign w:val="center"/>
                  </w:tcPr>
                  <w:p>
                    <w:pPr>
                      <w:widowControl w:val="0"/>
                      <w:tabs>
                        <w:tab w:val="left" w:pos="196"/>
                        <w:tab w:val="left" w:pos="426"/>
                      </w:tabs>
                      <w:snapToGrid w:val="0"/>
                      <w:jc w:val="right"/>
                      <w:rPr>
                        <w:szCs w:val="21"/>
                      </w:rPr>
                    </w:pPr>
                    <w:r>
                      <w:rPr>
                        <w:szCs w:val="21"/>
                      </w:rPr>
                      <w:t>1,490,833.08</w:t>
                    </w:r>
                  </w:p>
                </w:tc>
                <w:tc>
                  <w:tcPr>
                    <w:tcW w:w="1030"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与收益相关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2" w:type="pct"/>
                    <w:vAlign w:val="center"/>
                  </w:tcPr>
                  <w:p>
                    <w:pPr>
                      <w:widowControl w:val="0"/>
                      <w:tabs>
                        <w:tab w:val="left" w:pos="196"/>
                        <w:tab w:val="left" w:pos="426"/>
                      </w:tabs>
                      <w:snapToGrid w:val="0"/>
                      <w:jc w:val="center"/>
                      <w:rPr>
                        <w:rFonts w:ascii="Arial Narrow" w:hAnsi="Arial Narrow"/>
                        <w:szCs w:val="21"/>
                      </w:rPr>
                    </w:pPr>
                    <w:r>
                      <w:rPr>
                        <w:rFonts w:ascii="Arial Narrow" w:hAnsi="Arial Narrow"/>
                        <w:szCs w:val="21"/>
                      </w:rPr>
                      <w:t>合计</w:t>
                    </w:r>
                  </w:p>
                </w:tc>
                <w:tc>
                  <w:tcPr>
                    <w:tcW w:w="912" w:type="pct"/>
                    <w:vAlign w:val="center"/>
                  </w:tcPr>
                  <w:p>
                    <w:pPr>
                      <w:widowControl w:val="0"/>
                      <w:tabs>
                        <w:tab w:val="left" w:pos="196"/>
                        <w:tab w:val="left" w:pos="426"/>
                      </w:tabs>
                      <w:snapToGrid w:val="0"/>
                      <w:jc w:val="right"/>
                      <w:rPr>
                        <w:szCs w:val="21"/>
                      </w:rPr>
                    </w:pPr>
                    <w:r>
                      <w:rPr>
                        <w:szCs w:val="21"/>
                      </w:rPr>
                      <w:t>8,800,548.36</w:t>
                    </w:r>
                  </w:p>
                </w:tc>
                <w:tc>
                  <w:tcPr>
                    <w:tcW w:w="915" w:type="pct"/>
                    <w:vAlign w:val="center"/>
                  </w:tcPr>
                  <w:p>
                    <w:pPr>
                      <w:widowControl w:val="0"/>
                      <w:tabs>
                        <w:tab w:val="left" w:pos="196"/>
                        <w:tab w:val="left" w:pos="426"/>
                      </w:tabs>
                      <w:snapToGrid w:val="0"/>
                      <w:jc w:val="right"/>
                      <w:rPr>
                        <w:szCs w:val="21"/>
                      </w:rPr>
                    </w:pPr>
                    <w:r>
                      <w:rPr>
                        <w:szCs w:val="21"/>
                      </w:rPr>
                      <w:t>22,825,588.92</w:t>
                    </w:r>
                  </w:p>
                </w:tc>
                <w:tc>
                  <w:tcPr>
                    <w:tcW w:w="1030" w:type="pct"/>
                    <w:vAlign w:val="center"/>
                  </w:tcPr>
                  <w:p>
                    <w:pPr>
                      <w:widowControl w:val="0"/>
                      <w:tabs>
                        <w:tab w:val="left" w:pos="196"/>
                        <w:tab w:val="left" w:pos="426"/>
                      </w:tabs>
                      <w:snapToGrid w:val="0"/>
                      <w:jc w:val="both"/>
                      <w:rPr>
                        <w:rFonts w:ascii="Arial Narrow" w:hAnsi="Arial Narrow"/>
                        <w:szCs w:val="21"/>
                      </w:rPr>
                    </w:pPr>
                  </w:p>
                </w:tc>
              </w:tr>
            </w:tbl>
            <w:p/>
          </w:sdtContent>
        </w:sdt>
      </w:sdtContent>
    </w:sdt>
    <w:sdt>
      <w:sdtPr>
        <w:rPr>
          <w:rFonts w:ascii="宋体" w:hAnsi="宋体" w:cs="宋体"/>
          <w:b w:val="0"/>
          <w:bCs w:val="0"/>
          <w:kern w:val="0"/>
          <w:szCs w:val="21"/>
        </w:rPr>
        <w:alias w:val="模块:"/>
        <w:tag w:val="_SEC_153dc505def641b68896504f5596ef5b"/>
        <w:id w:val="978114093"/>
        <w:lock w:val="sdtLocked"/>
        <w:placeholder>
          <w:docPart w:val="GBC22222222222222222222222222222"/>
        </w:placeholder>
      </w:sdtPr>
      <w:sdtEndPr>
        <w:rPr>
          <w:rFonts w:ascii="宋体" w:hAnsi="宋体" w:cs="宋体"/>
          <w:b w:val="0"/>
          <w:bCs w:val="0"/>
          <w:kern w:val="0"/>
          <w:szCs w:val="21"/>
        </w:rPr>
      </w:sdtEndPr>
      <w:sdtContent>
        <w:p>
          <w:pPr>
            <w:pStyle w:val="213"/>
            <w:numPr>
              <w:ilvl w:val="0"/>
              <w:numId w:val="77"/>
            </w:numPr>
            <w:tabs>
              <w:tab w:val="left" w:pos="504"/>
            </w:tabs>
            <w:rPr>
              <w:rFonts w:ascii="宋体" w:hAnsi="宋体"/>
              <w:szCs w:val="21"/>
            </w:rPr>
          </w:pPr>
          <w:bookmarkStart w:id="218" w:name="_Hlk11857276"/>
          <w:bookmarkEnd w:id="218"/>
          <w:bookmarkStart w:id="219" w:name="_Hlk24027658"/>
          <w:r>
            <w:rPr>
              <w:rFonts w:hint="eastAsia" w:ascii="宋体" w:hAnsi="宋体"/>
              <w:szCs w:val="21"/>
            </w:rPr>
            <w:t>投资收益</w:t>
          </w:r>
        </w:p>
        <w:sdt>
          <w:sdtPr>
            <w:alias w:val="是否适用：投资收益[双击切换]"/>
            <w:tag w:val="_GBC_f581223c46c2426aa46b9e88b6b47f4f"/>
            <w:id w:val="76472939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bookmarkStart w:id="220" w:name="_Hlk10538462"/>
          <w:r>
            <w:rPr>
              <w:szCs w:val="21"/>
            </w:rPr>
            <w:t>单位</w:t>
          </w:r>
          <w:r>
            <w:rPr>
              <w:rFonts w:hint="eastAsia"/>
              <w:szCs w:val="21"/>
            </w:rPr>
            <w:t>：</w:t>
          </w:r>
          <w:sdt>
            <w:sdtPr>
              <w:rPr>
                <w:rFonts w:hint="eastAsia"/>
                <w:szCs w:val="21"/>
              </w:rPr>
              <w:alias w:val="单位：财务附注：会计报表中的投资收益项目增加"/>
              <w:tag w:val="_GBC_aeb04d73052c442cb4e2c86d75a8fbb5"/>
              <w:id w:val="62960466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9845e736e0054165b2ee74d48d6dd757"/>
              <w:id w:val="108125501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bookmarkEnd w:id="220"/>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2"/>
            <w:gridCol w:w="1984"/>
            <w:gridCol w:w="20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98e1ec79cfc4df397c6fa0a751f3489"/>
                <w:id w:val="292953483"/>
                <w:lock w:val="sdtLocked"/>
              </w:sdtPr>
              <w:sdtContent>
                <w:tc>
                  <w:tcPr>
                    <w:tcW w:w="2640" w:type="pct"/>
                    <w:vAlign w:val="center"/>
                  </w:tcPr>
                  <w:p>
                    <w:pPr>
                      <w:ind w:left="420" w:hanging="420"/>
                      <w:jc w:val="center"/>
                      <w:rPr>
                        <w:szCs w:val="21"/>
                      </w:rPr>
                    </w:pPr>
                    <w:r>
                      <w:rPr>
                        <w:rFonts w:hint="eastAsia"/>
                        <w:szCs w:val="21"/>
                      </w:rPr>
                      <w:t>项目</w:t>
                    </w:r>
                  </w:p>
                </w:tc>
              </w:sdtContent>
            </w:sdt>
            <w:sdt>
              <w:sdtPr>
                <w:tag w:val="_PLD_239208f1271348119306f77c15ab0ec0"/>
                <w:id w:val="-1714649509"/>
                <w:lock w:val="sdtLocked"/>
              </w:sdtPr>
              <w:sdtContent>
                <w:tc>
                  <w:tcPr>
                    <w:tcW w:w="1163" w:type="pct"/>
                    <w:vAlign w:val="center"/>
                  </w:tcPr>
                  <w:p>
                    <w:pPr>
                      <w:jc w:val="center"/>
                      <w:rPr>
                        <w:szCs w:val="21"/>
                      </w:rPr>
                    </w:pPr>
                    <w:r>
                      <w:rPr>
                        <w:rFonts w:hint="eastAsia"/>
                        <w:szCs w:val="21"/>
                      </w:rPr>
                      <w:t>本期发生额</w:t>
                    </w:r>
                  </w:p>
                </w:tc>
              </w:sdtContent>
            </w:sdt>
            <w:sdt>
              <w:sdtPr>
                <w:tag w:val="_PLD_c548c34a5b7b4e3eb5536d1408d6cc7b"/>
                <w:id w:val="-1564016122"/>
                <w:lock w:val="sdtLocked"/>
              </w:sdtPr>
              <w:sdtContent>
                <w:tc>
                  <w:tcPr>
                    <w:tcW w:w="1197" w:type="pct"/>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e207f6cced48018cb57ab3b134bc4b"/>
                <w:id w:val="735819575"/>
                <w:lock w:val="sdtLocked"/>
              </w:sdtPr>
              <w:sdtContent>
                <w:tc>
                  <w:tcPr>
                    <w:tcW w:w="2640" w:type="pct"/>
                  </w:tcPr>
                  <w:p>
                    <w:pPr>
                      <w:jc w:val="center"/>
                      <w:rPr>
                        <w:szCs w:val="21"/>
                      </w:rPr>
                    </w:pPr>
                    <w:r>
                      <w:rPr>
                        <w:rFonts w:hint="eastAsia"/>
                        <w:szCs w:val="21"/>
                      </w:rPr>
                      <w:t>权益法核算的长期股权投资收益</w:t>
                    </w:r>
                  </w:p>
                </w:tc>
              </w:sdtContent>
            </w:sdt>
            <w:tc>
              <w:tcPr>
                <w:tcW w:w="1163" w:type="pct"/>
                <w:vAlign w:val="center"/>
              </w:tcPr>
              <w:p>
                <w:pPr>
                  <w:jc w:val="right"/>
                  <w:rPr>
                    <w:sz w:val="24"/>
                  </w:rPr>
                </w:pPr>
                <w:r>
                  <w:t>253,173,753.33</w:t>
                </w:r>
              </w:p>
            </w:tc>
            <w:tc>
              <w:tcPr>
                <w:tcW w:w="1197" w:type="pct"/>
                <w:vAlign w:val="center"/>
              </w:tcPr>
              <w:p>
                <w:pPr>
                  <w:jc w:val="right"/>
                  <w:rPr>
                    <w:sz w:val="24"/>
                  </w:rPr>
                </w:pPr>
                <w:r>
                  <w:t>37,487,893.38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1926907cd994756b13d806f0156d433"/>
                <w:id w:val="605925113"/>
                <w:lock w:val="sdtLocked"/>
              </w:sdtPr>
              <w:sdtContent>
                <w:tc>
                  <w:tcPr>
                    <w:tcW w:w="2640" w:type="pct"/>
                  </w:tcPr>
                  <w:p>
                    <w:pPr>
                      <w:jc w:val="center"/>
                      <w:rPr>
                        <w:szCs w:val="21"/>
                      </w:rPr>
                    </w:pPr>
                    <w:r>
                      <w:rPr>
                        <w:rFonts w:hint="eastAsia"/>
                        <w:szCs w:val="21"/>
                      </w:rPr>
                      <w:t>处置长期股权投资产生的投资收益</w:t>
                    </w:r>
                  </w:p>
                </w:tc>
              </w:sdtContent>
            </w:sdt>
            <w:tc>
              <w:tcPr>
                <w:tcW w:w="1163" w:type="pct"/>
                <w:vAlign w:val="center"/>
              </w:tcPr>
              <w:p>
                <w:pPr>
                  <w:jc w:val="right"/>
                  <w:rPr>
                    <w:sz w:val="24"/>
                  </w:rPr>
                </w:pPr>
                <w:r>
                  <w:t>7,753,401.48</w:t>
                </w:r>
              </w:p>
            </w:tc>
            <w:tc>
              <w:tcPr>
                <w:tcW w:w="1197" w:type="pct"/>
                <w:vAlign w:val="center"/>
              </w:tcPr>
              <w:p>
                <w:pPr>
                  <w:jc w:val="right"/>
                  <w:rPr>
                    <w:sz w:val="24"/>
                  </w:rPr>
                </w:pPr>
                <w:r>
                  <w:t>-55,072.08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4b8ae2ace4b543c199716a420a775768"/>
                  <w:id w:val="-450473788"/>
                  <w:lock w:val="sdtLocked"/>
                </w:sdtPr>
                <w:sdtEndPr>
                  <w:rPr>
                    <w:rFonts w:hint="eastAsia"/>
                  </w:rPr>
                </w:sdtEndPr>
                <w:sdtContent>
                  <w:p>
                    <w:pPr>
                      <w:jc w:val="center"/>
                    </w:pPr>
                    <w:r>
                      <w:rPr>
                        <w:rFonts w:hint="eastAsia"/>
                      </w:rPr>
                      <w:t>交易性金融资产在持有期间的投资收益</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7c58c52facb64de086eed2650b83b40f"/>
                  <w:id w:val="-945536340"/>
                  <w:lock w:val="sdtLocked"/>
                </w:sdtPr>
                <w:sdtEndPr>
                  <w:rPr>
                    <w:rFonts w:hint="eastAsia"/>
                  </w:rPr>
                </w:sdtEndPr>
                <w:sdtContent>
                  <w:p>
                    <w:pPr>
                      <w:jc w:val="center"/>
                    </w:pPr>
                    <w:r>
                      <w:rPr>
                        <w:rFonts w:hint="eastAsia"/>
                      </w:rPr>
                      <w:t>其他权益工具投资在持有期间取得的股利收入</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b4a5a5542dbf4c9ba7531d227285e539"/>
                  <w:id w:val="265348803"/>
                  <w:lock w:val="sdtLocked"/>
                </w:sdtPr>
                <w:sdtEndPr>
                  <w:rPr>
                    <w:rFonts w:hint="eastAsia"/>
                  </w:rPr>
                </w:sdtEndPr>
                <w:sdtContent>
                  <w:p>
                    <w:pPr>
                      <w:jc w:val="center"/>
                    </w:pPr>
                    <w:r>
                      <w:rPr>
                        <w:rFonts w:hint="eastAsia"/>
                      </w:rPr>
                      <w:t>债权投资在持有期间取得的利息收入</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ce0eb61b794a44c49f53088cf81803e7"/>
                  <w:id w:val="871346931"/>
                  <w:lock w:val="sdtLocked"/>
                </w:sdtPr>
                <w:sdtEndPr>
                  <w:rPr>
                    <w:rFonts w:hint="eastAsia"/>
                  </w:rPr>
                </w:sdtEndPr>
                <w:sdtContent>
                  <w:p>
                    <w:pPr>
                      <w:jc w:val="center"/>
                    </w:pPr>
                    <w:r>
                      <w:rPr>
                        <w:rFonts w:hint="eastAsia"/>
                      </w:rPr>
                      <w:t>其他债权投资在持有期间取得的利息收入</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34a3eb08d3fd4e668dbcd428a07d1e01"/>
                  <w:id w:val="1890454840"/>
                  <w:lock w:val="sdtLocked"/>
                </w:sdtPr>
                <w:sdtEndPr>
                  <w:rPr>
                    <w:rFonts w:hint="eastAsia"/>
                  </w:rPr>
                </w:sdtEndPr>
                <w:sdtContent>
                  <w:p>
                    <w:pPr>
                      <w:jc w:val="center"/>
                    </w:pPr>
                    <w:r>
                      <w:rPr>
                        <w:rFonts w:hint="eastAsia"/>
                      </w:rPr>
                      <w:t>处置交易性金融资产取得的投资收益</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879db1048fca46dea448b557a9f0dc0e"/>
                  <w:id w:val="1526138693"/>
                  <w:lock w:val="sdtLocked"/>
                </w:sdtPr>
                <w:sdtEndPr>
                  <w:rPr>
                    <w:rFonts w:hint="eastAsia"/>
                  </w:rPr>
                </w:sdtEndPr>
                <w:sdtContent>
                  <w:p>
                    <w:pPr>
                      <w:jc w:val="center"/>
                    </w:pPr>
                    <w:r>
                      <w:rPr>
                        <w:rFonts w:hint="eastAsia"/>
                      </w:rPr>
                      <w:t>处置其他权益工具投资取得的投资收益</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016372af60e14d1393b77dbe654f3a56"/>
                  <w:id w:val="534394637"/>
                  <w:lock w:val="sdtLocked"/>
                </w:sdtPr>
                <w:sdtEndPr>
                  <w:rPr>
                    <w:rFonts w:hint="eastAsia"/>
                  </w:rPr>
                </w:sdtEndPr>
                <w:sdtContent>
                  <w:p>
                    <w:pPr>
                      <w:jc w:val="center"/>
                    </w:pPr>
                    <w:r>
                      <w:rPr>
                        <w:rFonts w:hint="eastAsia"/>
                      </w:rPr>
                      <w:t>处置债权投资取得的投资收益</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827e07bc846b46778c4ccb93138b543f"/>
                  <w:id w:val="986600580"/>
                  <w:lock w:val="sdtLocked"/>
                </w:sdtPr>
                <w:sdtEndPr>
                  <w:rPr>
                    <w:rFonts w:hint="eastAsia"/>
                  </w:rPr>
                </w:sdtEndPr>
                <w:sdtContent>
                  <w:p>
                    <w:pPr>
                      <w:jc w:val="center"/>
                    </w:pPr>
                    <w:r>
                      <w:rPr>
                        <w:rFonts w:hint="eastAsia"/>
                      </w:rPr>
                      <w:t>处置其他债权投资取得的投资收益</w:t>
                    </w:r>
                  </w:p>
                </w:sdtContent>
              </w:sdt>
            </w:tc>
            <w:tc>
              <w:tcPr>
                <w:tcW w:w="1163" w:type="pct"/>
              </w:tcPr>
              <w:p>
                <w:pPr>
                  <w:jc w:val="right"/>
                  <w:rPr>
                    <w:szCs w:val="21"/>
                  </w:rPr>
                </w:pPr>
              </w:p>
            </w:tc>
            <w:tc>
              <w:tcPr>
                <w:tcW w:w="1197"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9ca2411f6e544bea9550159eeaa3f9f7"/>
                  <w:id w:val="-1537268713"/>
                  <w:lock w:val="sdtLocked"/>
                </w:sdtPr>
                <w:sdtEndPr>
                  <w:rPr>
                    <w:rFonts w:hint="eastAsia"/>
                  </w:rPr>
                </w:sdtEndPr>
                <w:sdtContent>
                  <w:p>
                    <w:pPr>
                      <w:jc w:val="center"/>
                    </w:pPr>
                    <w:r>
                      <w:rPr>
                        <w:rFonts w:hint="eastAsia"/>
                      </w:rPr>
                      <w:t>债务重组收益</w:t>
                    </w:r>
                  </w:p>
                </w:sdtContent>
              </w:sdt>
            </w:tc>
            <w:tc>
              <w:tcPr>
                <w:tcW w:w="1163" w:type="pct"/>
              </w:tcPr>
              <w:p>
                <w:pPr>
                  <w:jc w:val="right"/>
                  <w:rPr>
                    <w:szCs w:val="21"/>
                  </w:rPr>
                </w:pPr>
              </w:p>
            </w:tc>
            <w:tc>
              <w:tcPr>
                <w:tcW w:w="1197" w:type="pct"/>
              </w:tcPr>
              <w:p>
                <w:pPr>
                  <w:jc w:val="right"/>
                  <w:rPr>
                    <w:szCs w:val="21"/>
                  </w:rPr>
                </w:pPr>
              </w:p>
            </w:tc>
          </w:tr>
          <w:sdt>
            <w:sdtPr>
              <w:alias w:val="其他投资收益"/>
              <w:tag w:val="_TUP_d2e8b365f69f4959881d75822cf5ad29"/>
              <w:id w:val="-95255408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p>
                    <w:pPr>
                      <w:jc w:val="center"/>
                    </w:pPr>
                    <w:r>
                      <w:t>债务重组利得</w:t>
                    </w:r>
                  </w:p>
                </w:tc>
                <w:tc>
                  <w:tcPr>
                    <w:tcW w:w="1163" w:type="pct"/>
                  </w:tcPr>
                  <w:p>
                    <w:pPr>
                      <w:jc w:val="right"/>
                      <w:rPr>
                        <w:szCs w:val="21"/>
                      </w:rPr>
                    </w:pPr>
                    <w:r>
                      <w:t>35,402,775.19</w:t>
                    </w:r>
                  </w:p>
                </w:tc>
                <w:tc>
                  <w:tcPr>
                    <w:tcW w:w="1197" w:type="pct"/>
                  </w:tcPr>
                  <w:p>
                    <w:pPr>
                      <w:jc w:val="right"/>
                      <w:rPr>
                        <w:szCs w:val="21"/>
                      </w:rPr>
                    </w:pPr>
                    <w:r>
                      <w:t>9,188,411,194.81</w:t>
                    </w:r>
                  </w:p>
                </w:tc>
              </w:tr>
            </w:sdtContent>
          </w:sdt>
          <w:sdt>
            <w:sdtPr>
              <w:alias w:val="其他投资收益"/>
              <w:tag w:val="_TUP_d2e8b365f69f4959881d75822cf5ad29"/>
              <w:id w:val="119896810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p>
                    <w:pPr>
                      <w:jc w:val="center"/>
                    </w:pPr>
                    <w:r>
                      <w:t>理财产品投资收益</w:t>
                    </w:r>
                  </w:p>
                </w:tc>
                <w:tc>
                  <w:tcPr>
                    <w:tcW w:w="1163" w:type="pct"/>
                  </w:tcPr>
                  <w:p>
                    <w:pPr>
                      <w:jc w:val="right"/>
                      <w:rPr>
                        <w:szCs w:val="21"/>
                      </w:rPr>
                    </w:pPr>
                    <w:r>
                      <w:t>61,717.10</w:t>
                    </w:r>
                  </w:p>
                </w:tc>
                <w:tc>
                  <w:tcPr>
                    <w:tcW w:w="1197" w:type="pct"/>
                  </w:tcPr>
                  <w:p>
                    <w:pPr>
                      <w:jc w:val="right"/>
                      <w:rPr>
                        <w:szCs w:val="21"/>
                      </w:rPr>
                    </w:pPr>
                    <w:r>
                      <w:t>214,318.17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0c4d59085e54017b3965846c39e4742"/>
                <w:id w:val="-2122752432"/>
                <w:lock w:val="sdtLocked"/>
              </w:sdtPr>
              <w:sdtContent>
                <w:tc>
                  <w:tcPr>
                    <w:tcW w:w="2640" w:type="pct"/>
                    <w:vAlign w:val="center"/>
                  </w:tcPr>
                  <w:p>
                    <w:pPr>
                      <w:jc w:val="center"/>
                      <w:rPr>
                        <w:szCs w:val="21"/>
                      </w:rPr>
                    </w:pPr>
                    <w:r>
                      <w:rPr>
                        <w:rFonts w:hint="eastAsia"/>
                        <w:szCs w:val="21"/>
                      </w:rPr>
                      <w:t>合计</w:t>
                    </w:r>
                  </w:p>
                </w:tc>
              </w:sdtContent>
            </w:sdt>
            <w:tc>
              <w:tcPr>
                <w:tcW w:w="1163" w:type="pct"/>
                <w:vAlign w:val="center"/>
              </w:tcPr>
              <w:p>
                <w:pPr>
                  <w:jc w:val="right"/>
                  <w:rPr>
                    <w:sz w:val="24"/>
                  </w:rPr>
                </w:pPr>
                <w:r>
                  <w:t>296,391,647.10</w:t>
                </w:r>
              </w:p>
            </w:tc>
            <w:tc>
              <w:tcPr>
                <w:tcW w:w="1197" w:type="pct"/>
                <w:vAlign w:val="center"/>
              </w:tcPr>
              <w:p>
                <w:pPr>
                  <w:jc w:val="right"/>
                  <w:rPr>
                    <w:sz w:val="24"/>
                  </w:rPr>
                </w:pPr>
                <w:r>
                  <w:t>9,226,058,334.28</w:t>
                </w:r>
              </w:p>
            </w:tc>
          </w:tr>
        </w:tbl>
        <w:p/>
        <w:p>
          <w:pPr>
            <w:spacing w:before="60" w:after="60" w:line="360" w:lineRule="exact"/>
            <w:rPr>
              <w:szCs w:val="21"/>
            </w:rPr>
          </w:pPr>
          <w:r>
            <w:rPr>
              <w:rFonts w:hint="eastAsia"/>
              <w:szCs w:val="21"/>
            </w:rPr>
            <w:t>其他说明：</w:t>
          </w:r>
        </w:p>
        <w:sdt>
          <w:sdtPr>
            <w:rPr>
              <w:rFonts w:hint="eastAsia"/>
              <w:szCs w:val="21"/>
            </w:rPr>
            <w:alias w:val="投资收益说明"/>
            <w:tag w:val="_GBC_4461c08be8cf4739a76957c4ebbfc521"/>
            <w:id w:val="1815600000"/>
            <w:lock w:val="sdtLocked"/>
            <w:placeholder>
              <w:docPart w:val="GBC22222222222222222222222222222"/>
            </w:placeholder>
          </w:sdtPr>
          <w:sdtEndPr>
            <w:rPr>
              <w:rFonts w:hint="eastAsia"/>
              <w:szCs w:val="21"/>
            </w:rPr>
          </w:sdtEndPr>
          <w:sdtContent>
            <w:p>
              <w:pPr>
                <w:autoSpaceDE w:val="0"/>
                <w:autoSpaceDN w:val="0"/>
                <w:adjustRightInd w:val="0"/>
                <w:rPr>
                  <w:szCs w:val="21"/>
                </w:rPr>
              </w:pPr>
              <w:r>
                <w:rPr>
                  <w:rFonts w:hint="eastAsia"/>
                  <w:szCs w:val="21"/>
                </w:rPr>
                <w:t>无</w:t>
              </w:r>
            </w:p>
          </w:sdtContent>
        </w:sdt>
        <w:p>
          <w:pPr>
            <w:autoSpaceDE w:val="0"/>
            <w:autoSpaceDN w:val="0"/>
            <w:adjustRightInd w:val="0"/>
            <w:rPr>
              <w:szCs w:val="21"/>
            </w:rPr>
          </w:pPr>
        </w:p>
      </w:sdtContent>
    </w:sdt>
    <w:bookmarkEnd w:id="219"/>
    <w:sdt>
      <w:sdtPr>
        <w:rPr>
          <w:rFonts w:hint="eastAsia" w:ascii="宋体" w:hAnsi="宋体" w:cs="宋体"/>
          <w:b w:val="0"/>
          <w:bCs w:val="0"/>
          <w:kern w:val="0"/>
          <w:szCs w:val="21"/>
        </w:rPr>
        <w:alias w:val="模块:净敞口套期收益"/>
        <w:tag w:val="_SEC_1b8fb7a0e4a44723ab3a865986917571"/>
        <w:id w:val="1883599347"/>
        <w:lock w:val="sdtLocked"/>
        <w:placeholder>
          <w:docPart w:val="GBC22222222222222222222222222222"/>
        </w:placeholder>
      </w:sdtPr>
      <w:sdtEndPr>
        <w:rPr>
          <w:rFonts w:hint="default" w:ascii="宋体" w:hAnsi="宋体" w:cs="宋体"/>
          <w:b w:val="0"/>
          <w:bCs w:val="0"/>
          <w:kern w:val="0"/>
          <w:szCs w:val="21"/>
        </w:rPr>
      </w:sdtEndPr>
      <w:sdtContent>
        <w:p>
          <w:pPr>
            <w:pStyle w:val="213"/>
            <w:numPr>
              <w:ilvl w:val="0"/>
              <w:numId w:val="77"/>
            </w:numPr>
            <w:tabs>
              <w:tab w:val="left" w:pos="504"/>
            </w:tabs>
            <w:rPr>
              <w:szCs w:val="21"/>
            </w:rPr>
          </w:pPr>
          <w:r>
            <w:rPr>
              <w:rFonts w:hint="eastAsia"/>
              <w:szCs w:val="21"/>
            </w:rPr>
            <w:t>净敞口套期收益</w:t>
          </w:r>
        </w:p>
        <w:sdt>
          <w:sdtPr>
            <w:alias w:val="是否适用：净敞口套期收益[双击切换]"/>
            <w:tag w:val="_GBC_0b9c0635e78547e1b23b27daf08672cd"/>
            <w:id w:val="-656305170"/>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rPr>
              <w:szCs w:val="21"/>
            </w:rPr>
          </w:pPr>
        </w:p>
      </w:sdtContent>
    </w:sdt>
    <w:sdt>
      <w:sdtPr>
        <w:rPr>
          <w:rFonts w:hint="eastAsia" w:ascii="宋体" w:hAnsi="宋体" w:cs="宋体"/>
          <w:b w:val="0"/>
          <w:bCs w:val="0"/>
          <w:kern w:val="0"/>
          <w:szCs w:val="21"/>
        </w:rPr>
        <w:alias w:val="模块:公允价值变动收益"/>
        <w:tag w:val="_SEC_ba248bb644d24508b56cf476e57a1ad1"/>
        <w:id w:val="-203953293"/>
        <w:lock w:val="sdtLocked"/>
        <w:placeholder>
          <w:docPart w:val="GBC22222222222222222222222222222"/>
        </w:placeholder>
      </w:sdtPr>
      <w:sdtEndPr>
        <w:rPr>
          <w:rFonts w:hint="eastAsia" w:ascii="宋体" w:hAnsi="宋体" w:cstheme="minorBidi"/>
          <w:b w:val="0"/>
          <w:bCs w:val="0"/>
          <w:kern w:val="2"/>
          <w:szCs w:val="21"/>
        </w:rPr>
      </w:sdtEndPr>
      <w:sdtContent>
        <w:p>
          <w:pPr>
            <w:pStyle w:val="213"/>
            <w:numPr>
              <w:ilvl w:val="0"/>
              <w:numId w:val="77"/>
            </w:numPr>
            <w:tabs>
              <w:tab w:val="left" w:pos="504"/>
            </w:tabs>
            <w:rPr>
              <w:rFonts w:ascii="宋体" w:hAnsi="宋体"/>
              <w:szCs w:val="21"/>
            </w:rPr>
          </w:pPr>
          <w:bookmarkStart w:id="221" w:name="_Hlk534895224"/>
          <w:r>
            <w:rPr>
              <w:rFonts w:hint="eastAsia" w:ascii="宋体" w:hAnsi="宋体"/>
              <w:szCs w:val="21"/>
            </w:rPr>
            <w:t>公允价值变动收益</w:t>
          </w:r>
        </w:p>
        <w:sdt>
          <w:sdtPr>
            <w:alias w:val="是否适用：公允价值变动收益[双击切换]"/>
            <w:tag w:val="_GBC_703e46a239ba45afa37afdd4dcae0cb4"/>
            <w:id w:val="-57929049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公允价值变动收益"/>
              <w:tag w:val="_GBC_c4e1118ffbdf4d6f90815a9b487cc79b"/>
              <w:id w:val="-761344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公允价值变动收益"/>
              <w:tag w:val="_GBC_704565e01a4148fe85dcf135bb9be9b6"/>
              <w:id w:val="12497825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1"/>
            <w:gridCol w:w="1984"/>
            <w:gridCol w:w="2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e9a92135b46440eb6d0daa39f0ec40f"/>
                <w:id w:val="-398438020"/>
                <w:lock w:val="sdtLocked"/>
              </w:sdtPr>
              <w:sdtContent>
                <w:tc>
                  <w:tcPr>
                    <w:tcW w:w="255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产生公允价值变动收益的来源</w:t>
                    </w:r>
                  </w:p>
                </w:tc>
              </w:sdtContent>
            </w:sdt>
            <w:sdt>
              <w:sdtPr>
                <w:tag w:val="_PLD_7cd0c8223b6b499990a24553e928cba4"/>
                <w:id w:val="1268515085"/>
                <w:lock w:val="sdtLocked"/>
              </w:sdtPr>
              <w:sdtContent>
                <w:tc>
                  <w:tcPr>
                    <w:tcW w:w="116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1ebddc94af9345a99e7800415f9811c7"/>
                <w:id w:val="-1811699692"/>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8fdad34a3ea4bf88d13d2cea1763e5f"/>
                <w:id w:val="1841342561"/>
                <w:lock w:val="sdtLocked"/>
              </w:sdtPr>
              <w:sdtContent>
                <w:tc>
                  <w:tcPr>
                    <w:tcW w:w="2557"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交易性金融资产</w:t>
                    </w:r>
                  </w:p>
                </w:tc>
              </w:sdtContent>
            </w:sdt>
            <w:tc>
              <w:tcPr>
                <w:tcW w:w="1163"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b01843590fe419a970a6ed4f04b1565"/>
                <w:id w:val="-359123815"/>
                <w:lock w:val="sdtLocked"/>
              </w:sdtPr>
              <w:sdtContent>
                <w:tc>
                  <w:tcPr>
                    <w:tcW w:w="2557"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其中：衍生金融工具产生的公允价值变动收益</w:t>
                    </w:r>
                  </w:p>
                </w:tc>
              </w:sdtContent>
            </w:sdt>
            <w:tc>
              <w:tcPr>
                <w:tcW w:w="1163"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bbf0a974c3b4741b9d53ed083461508"/>
                <w:id w:val="753853504"/>
                <w:lock w:val="sdtLocked"/>
              </w:sdtPr>
              <w:sdtContent>
                <w:tc>
                  <w:tcPr>
                    <w:tcW w:w="2557"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交易性金融负债</w:t>
                    </w:r>
                  </w:p>
                </w:tc>
              </w:sdtContent>
            </w:sdt>
            <w:tc>
              <w:tcPr>
                <w:tcW w:w="1163"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8f8aca983494a3987845fa26d1fc496"/>
                <w:id w:val="-935124817"/>
                <w:lock w:val="sdtLocked"/>
              </w:sdtPr>
              <w:sdtContent>
                <w:tc>
                  <w:tcPr>
                    <w:tcW w:w="2557"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按公允价值计量的投资性房地产</w:t>
                    </w:r>
                  </w:p>
                </w:tc>
              </w:sdtContent>
            </w:sdt>
            <w:tc>
              <w:tcPr>
                <w:tcW w:w="1163" w:type="pct"/>
                <w:tcBorders>
                  <w:top w:val="single" w:color="auto" w:sz="4" w:space="0"/>
                  <w:left w:val="single" w:color="auto" w:sz="4" w:space="0"/>
                  <w:bottom w:val="single" w:color="auto" w:sz="4" w:space="0"/>
                  <w:right w:val="single" w:color="auto" w:sz="4" w:space="0"/>
                </w:tcBorders>
                <w:vAlign w:val="center"/>
              </w:tcPr>
              <w:p>
                <w:pPr>
                  <w:jc w:val="right"/>
                  <w:rPr>
                    <w:sz w:val="24"/>
                  </w:rPr>
                </w:pPr>
                <w:r>
                  <w:t>50,677,613.50</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sz w:val="24"/>
                  </w:rPr>
                </w:pPr>
                <w:r>
                  <w:t>-2,524,257.60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e60e6b2a8a44ce9663011df3f14a75"/>
                <w:id w:val="953285754"/>
                <w:lock w:val="sdtLocked"/>
              </w:sdtPr>
              <w:sdtContent>
                <w:tc>
                  <w:tcPr>
                    <w:tcW w:w="255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合计</w:t>
                    </w:r>
                  </w:p>
                </w:tc>
              </w:sdtContent>
            </w:sdt>
            <w:tc>
              <w:tcPr>
                <w:tcW w:w="1163" w:type="pct"/>
                <w:tcBorders>
                  <w:top w:val="single" w:color="auto" w:sz="4" w:space="0"/>
                  <w:left w:val="single" w:color="auto" w:sz="4" w:space="0"/>
                  <w:bottom w:val="single" w:color="auto" w:sz="4" w:space="0"/>
                  <w:right w:val="single" w:color="auto" w:sz="4" w:space="0"/>
                </w:tcBorders>
                <w:vAlign w:val="center"/>
              </w:tcPr>
              <w:p>
                <w:pPr>
                  <w:jc w:val="right"/>
                  <w:rPr>
                    <w:sz w:val="24"/>
                  </w:rPr>
                </w:pPr>
                <w:r>
                  <w:t>50,677,613.50</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sz w:val="24"/>
                  </w:rPr>
                </w:pPr>
                <w:r>
                  <w:t>-2,524,257.60</w:t>
                </w:r>
              </w:p>
            </w:tc>
          </w:tr>
        </w:tbl>
        <w:p>
          <w:pPr>
            <w:spacing w:before="60" w:after="60"/>
            <w:rPr>
              <w:szCs w:val="21"/>
            </w:rPr>
          </w:pPr>
          <w:r>
            <w:rPr>
              <w:rFonts w:hint="eastAsia"/>
              <w:szCs w:val="21"/>
            </w:rPr>
            <w:t>其他说明：</w:t>
          </w:r>
        </w:p>
        <w:sdt>
          <w:sdtPr>
            <w:rPr>
              <w:rFonts w:hint="eastAsia"/>
              <w:szCs w:val="21"/>
            </w:rPr>
            <w:alias w:val="公允价值变动收益的说明"/>
            <w:tag w:val="_GBC_2de79fa0260c440dae18401771bdd5db"/>
            <w:id w:val="1335488801"/>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p>
          <w:pPr>
            <w:rPr>
              <w:rFonts w:cstheme="minorBidi"/>
              <w:kern w:val="2"/>
              <w:szCs w:val="21"/>
            </w:rPr>
          </w:pPr>
        </w:p>
      </w:sdtContent>
    </w:sdt>
    <w:bookmarkEnd w:id="221"/>
    <w:sdt>
      <w:sdtPr>
        <w:rPr>
          <w:rFonts w:hint="eastAsia" w:ascii="宋体" w:hAnsi="宋体" w:cs="宋体"/>
          <w:b w:val="0"/>
          <w:bCs w:val="0"/>
          <w:kern w:val="0"/>
          <w:szCs w:val="24"/>
        </w:rPr>
        <w:alias w:val="模块:信用减值损失"/>
        <w:tag w:val="_SEC_f3aa22c360ad4d4fa144dfe2d37137a3"/>
        <w:id w:val="255638415"/>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pPr>
          <w:r>
            <w:rPr>
              <w:rFonts w:hint="eastAsia"/>
            </w:rPr>
            <w:t>信用减值损失</w:t>
          </w:r>
        </w:p>
        <w:sdt>
          <w:sdtPr>
            <w:alias w:val="是否适用：信用减值损失[双击切换]"/>
            <w:tag w:val="_GBC_3e1c9d9dad6c4530991d2befd4b098e3"/>
            <w:id w:val="26982498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pStyle w:val="224"/>
            <w:ind w:left="420" w:firstLine="0" w:firstLineChars="0"/>
            <w:jc w:val="right"/>
          </w:pPr>
          <w:r>
            <w:rPr>
              <w:rFonts w:hint="eastAsia"/>
            </w:rPr>
            <w:t>单位：</w:t>
          </w:r>
          <w:sdt>
            <w:sdtPr>
              <w:rPr>
                <w:rFonts w:hint="eastAsia"/>
              </w:rPr>
              <w:alias w:val="单位：信用减值损失"/>
              <w:tag w:val="_GBC_64c0f12c02d44b548838a6936d90e525"/>
              <w:id w:val="-1736394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币种：</w:t>
          </w:r>
          <w:sdt>
            <w:sdtPr>
              <w:rPr>
                <w:rFonts w:hint="eastAsia"/>
              </w:rPr>
              <w:alias w:val="币种：信用减值损失"/>
              <w:tag w:val="_GBC_4d6a964234bf4666a052d68fb8b9d060"/>
              <w:id w:val="-5297161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440"/>
            <w:gridCol w:w="2533"/>
            <w:gridCol w:w="25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32efbc222fba4f8b87e71fbd7550f57d"/>
                <w:id w:val="-1064721376"/>
                <w:lock w:val="sdtLocked"/>
              </w:sdtPr>
              <w:sdtContent>
                <w:tc>
                  <w:tcPr>
                    <w:tcW w:w="2017" w:type="pct"/>
                    <w:shd w:val="clear" w:color="auto" w:fill="auto"/>
                    <w:vAlign w:val="center"/>
                  </w:tcPr>
                  <w:p>
                    <w:pPr>
                      <w:jc w:val="center"/>
                      <w:rPr>
                        <w:szCs w:val="21"/>
                      </w:rPr>
                    </w:pPr>
                    <w:r>
                      <w:rPr>
                        <w:rFonts w:hint="eastAsia"/>
                        <w:szCs w:val="21"/>
                      </w:rPr>
                      <w:t>项目</w:t>
                    </w:r>
                  </w:p>
                </w:tc>
              </w:sdtContent>
            </w:sdt>
            <w:sdt>
              <w:sdtPr>
                <w:tag w:val="_PLD_57fc93ac35684eca9207e23d2b2d6664"/>
                <w:id w:val="-760451250"/>
                <w:lock w:val="sdtLocked"/>
              </w:sdtPr>
              <w:sdtContent>
                <w:tc>
                  <w:tcPr>
                    <w:tcW w:w="1485" w:type="pct"/>
                    <w:tcBorders>
                      <w:bottom w:val="single" w:color="auto" w:sz="6" w:space="0"/>
                    </w:tcBorders>
                    <w:shd w:val="clear" w:color="auto" w:fill="auto"/>
                    <w:vAlign w:val="center"/>
                  </w:tcPr>
                  <w:p>
                    <w:pPr>
                      <w:jc w:val="center"/>
                      <w:rPr>
                        <w:szCs w:val="21"/>
                      </w:rPr>
                    </w:pPr>
                    <w:r>
                      <w:rPr>
                        <w:rFonts w:hint="eastAsia"/>
                        <w:szCs w:val="21"/>
                      </w:rPr>
                      <w:t>本期发生额</w:t>
                    </w:r>
                  </w:p>
                </w:tc>
              </w:sdtContent>
            </w:sdt>
            <w:sdt>
              <w:sdtPr>
                <w:tag w:val="_PLD_ddb6bc4a58314fb2abbbb04ed4af2419"/>
                <w:id w:val="1552413950"/>
                <w:lock w:val="sdtLocked"/>
              </w:sdtPr>
              <w:sdtContent>
                <w:tc>
                  <w:tcPr>
                    <w:tcW w:w="1498" w:type="pct"/>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3dea696ffc7a401fb0b2813dfdf2ee05"/>
                  <w:id w:val="626208542"/>
                  <w:lock w:val="sdtLocked"/>
                </w:sdtPr>
                <w:sdtEndPr>
                  <w:rPr>
                    <w:rFonts w:hint="eastAsia"/>
                    <w:szCs w:val="21"/>
                  </w:rPr>
                </w:sdtEndPr>
                <w:sdtContent>
                  <w:p>
                    <w:pPr>
                      <w:jc w:val="center"/>
                      <w:rPr>
                        <w:szCs w:val="21"/>
                      </w:rPr>
                    </w:pPr>
                    <w:r>
                      <w:rPr>
                        <w:rFonts w:hint="eastAsia"/>
                        <w:szCs w:val="21"/>
                      </w:rPr>
                      <w:t>应收票据坏账损失</w:t>
                    </w:r>
                  </w:p>
                </w:sdtContent>
              </w:sdt>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8f95ae55a83148e8a935f39fa8f92ca4"/>
                  <w:id w:val="-516537416"/>
                  <w:lock w:val="sdtLocked"/>
                </w:sdtPr>
                <w:sdtEndPr>
                  <w:rPr>
                    <w:rFonts w:hint="eastAsia"/>
                    <w:szCs w:val="21"/>
                  </w:rPr>
                </w:sdtEndPr>
                <w:sdtContent>
                  <w:p>
                    <w:pPr>
                      <w:jc w:val="center"/>
                      <w:rPr>
                        <w:szCs w:val="21"/>
                      </w:rPr>
                    </w:pPr>
                    <w:r>
                      <w:rPr>
                        <w:rFonts w:hint="eastAsia"/>
                        <w:szCs w:val="21"/>
                      </w:rPr>
                      <w:t>应收账款坏账损失</w:t>
                    </w:r>
                  </w:p>
                </w:sdtContent>
              </w:sdt>
            </w:tc>
            <w:tc>
              <w:tcPr>
                <w:tcW w:w="1485" w:type="pct"/>
                <w:tcBorders>
                  <w:top w:val="single" w:color="auto" w:sz="6" w:space="0"/>
                  <w:bottom w:val="single" w:color="auto" w:sz="6" w:space="0"/>
                </w:tcBorders>
                <w:shd w:val="clear" w:color="auto" w:fill="auto"/>
                <w:vAlign w:val="center"/>
              </w:tcPr>
              <w:p>
                <w:pPr>
                  <w:jc w:val="right"/>
                  <w:rPr>
                    <w:sz w:val="24"/>
                  </w:rPr>
                </w:pPr>
                <w:r>
                  <w:t>10,054,794.59</w:t>
                </w:r>
              </w:p>
            </w:tc>
            <w:tc>
              <w:tcPr>
                <w:tcW w:w="1498" w:type="pct"/>
                <w:shd w:val="clear" w:color="auto" w:fill="auto"/>
                <w:vAlign w:val="center"/>
              </w:tcPr>
              <w:p>
                <w:pPr>
                  <w:jc w:val="right"/>
                  <w:rPr>
                    <w:sz w:val="24"/>
                  </w:rPr>
                </w:pPr>
                <w:r>
                  <w:t>-485,986,083.74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d9f7b1208cc747c9bd80ca0b7a90857e"/>
                  <w:id w:val="1074866903"/>
                  <w:lock w:val="sdtLocked"/>
                </w:sdtPr>
                <w:sdtEndPr>
                  <w:rPr>
                    <w:rFonts w:hint="eastAsia"/>
                    <w:szCs w:val="21"/>
                  </w:rPr>
                </w:sdtEndPr>
                <w:sdtContent>
                  <w:p>
                    <w:pPr>
                      <w:jc w:val="center"/>
                      <w:rPr>
                        <w:szCs w:val="21"/>
                      </w:rPr>
                    </w:pPr>
                    <w:r>
                      <w:rPr>
                        <w:rFonts w:hint="eastAsia"/>
                        <w:szCs w:val="21"/>
                      </w:rPr>
                      <w:t>其他应收款坏账损失</w:t>
                    </w:r>
                  </w:p>
                </w:sdtContent>
              </w:sdt>
            </w:tc>
            <w:tc>
              <w:tcPr>
                <w:tcW w:w="1485" w:type="pct"/>
                <w:tcBorders>
                  <w:top w:val="single" w:color="auto" w:sz="6" w:space="0"/>
                  <w:bottom w:val="single" w:color="auto" w:sz="6" w:space="0"/>
                </w:tcBorders>
                <w:shd w:val="clear" w:color="auto" w:fill="auto"/>
                <w:vAlign w:val="center"/>
              </w:tcPr>
              <w:p>
                <w:pPr>
                  <w:jc w:val="right"/>
                  <w:rPr>
                    <w:sz w:val="24"/>
                  </w:rPr>
                </w:pPr>
                <w:r>
                  <w:t>12,912,978.38</w:t>
                </w:r>
              </w:p>
            </w:tc>
            <w:tc>
              <w:tcPr>
                <w:tcW w:w="1498" w:type="pct"/>
                <w:shd w:val="clear" w:color="auto" w:fill="auto"/>
                <w:vAlign w:val="center"/>
              </w:tcPr>
              <w:p>
                <w:pPr>
                  <w:jc w:val="right"/>
                  <w:rPr>
                    <w:sz w:val="24"/>
                  </w:rPr>
                </w:pPr>
                <w:r>
                  <w:t>-295,957,181.77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2c9adec2cb4a46aeb2cec6f99fe0fe9f"/>
                  <w:id w:val="-990334178"/>
                  <w:lock w:val="sdtLocked"/>
                </w:sdtPr>
                <w:sdtEndPr>
                  <w:rPr>
                    <w:rFonts w:hint="eastAsia"/>
                    <w:szCs w:val="21"/>
                  </w:rPr>
                </w:sdtEndPr>
                <w:sdtContent>
                  <w:p>
                    <w:pPr>
                      <w:jc w:val="center"/>
                      <w:rPr>
                        <w:szCs w:val="21"/>
                      </w:rPr>
                    </w:pPr>
                    <w:r>
                      <w:rPr>
                        <w:rFonts w:hint="eastAsia"/>
                        <w:szCs w:val="21"/>
                      </w:rPr>
                      <w:t>债权投资减值损失</w:t>
                    </w:r>
                  </w:p>
                </w:sdtContent>
              </w:sdt>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ae55071e73dc4bc4a7ae2758f22c1239"/>
                  <w:id w:val="-66576432"/>
                  <w:lock w:val="sdtLocked"/>
                </w:sdtPr>
                <w:sdtEndPr>
                  <w:rPr>
                    <w:rFonts w:hint="eastAsia"/>
                    <w:szCs w:val="21"/>
                  </w:rPr>
                </w:sdtEndPr>
                <w:sdtContent>
                  <w:p>
                    <w:pPr>
                      <w:jc w:val="center"/>
                      <w:rPr>
                        <w:szCs w:val="21"/>
                      </w:rPr>
                    </w:pPr>
                    <w:r>
                      <w:rPr>
                        <w:rFonts w:hint="eastAsia"/>
                        <w:szCs w:val="21"/>
                      </w:rPr>
                      <w:t>其他债权投资减值损失</w:t>
                    </w:r>
                  </w:p>
                </w:sdtContent>
              </w:sdt>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6533e6f8c0f84283b74361e70d6b5710"/>
                  <w:id w:val="-1027472770"/>
                  <w:lock w:val="sdtLocked"/>
                </w:sdtPr>
                <w:sdtEndPr>
                  <w:rPr>
                    <w:rFonts w:hint="eastAsia"/>
                    <w:szCs w:val="21"/>
                  </w:rPr>
                </w:sdtEndPr>
                <w:sdtContent>
                  <w:p>
                    <w:pPr>
                      <w:jc w:val="center"/>
                      <w:rPr>
                        <w:szCs w:val="21"/>
                      </w:rPr>
                    </w:pPr>
                    <w:r>
                      <w:rPr>
                        <w:rFonts w:hint="eastAsia"/>
                        <w:szCs w:val="21"/>
                      </w:rPr>
                      <w:t>长期应收款坏账损失</w:t>
                    </w:r>
                  </w:p>
                </w:sdtContent>
              </w:sdt>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017" w:type="pct"/>
                <w:shd w:val="clear" w:color="auto" w:fill="auto"/>
                <w:vAlign w:val="center"/>
              </w:tcPr>
              <w:sdt>
                <w:sdtPr>
                  <w:rPr>
                    <w:rFonts w:hint="eastAsia"/>
                    <w:szCs w:val="21"/>
                  </w:rPr>
                  <w:tag w:val="_PLD_7476643019704ecf8be783f76b96e872"/>
                  <w:id w:val="-592239308"/>
                  <w:lock w:val="sdtLocked"/>
                </w:sdtPr>
                <w:sdtEndPr>
                  <w:rPr>
                    <w:rFonts w:hint="eastAsia"/>
                    <w:szCs w:val="21"/>
                  </w:rPr>
                </w:sdtEndPr>
                <w:sdtContent>
                  <w:p>
                    <w:pPr>
                      <w:jc w:val="center"/>
                      <w:rPr>
                        <w:szCs w:val="21"/>
                      </w:rPr>
                    </w:pPr>
                    <w:r>
                      <w:rPr>
                        <w:rFonts w:hint="eastAsia"/>
                        <w:szCs w:val="21"/>
                      </w:rPr>
                      <w:t>合同资产减值损失</w:t>
                    </w:r>
                  </w:p>
                </w:sdtContent>
              </w:sdt>
            </w:tc>
            <w:tc>
              <w:tcPr>
                <w:tcW w:w="1485" w:type="pct"/>
                <w:tcBorders>
                  <w:top w:val="single" w:color="auto" w:sz="6" w:space="0"/>
                  <w:bottom w:val="single" w:color="auto" w:sz="6" w:space="0"/>
                </w:tcBorders>
                <w:shd w:val="clear" w:color="auto" w:fill="auto"/>
              </w:tcPr>
              <w:p>
                <w:pPr>
                  <w:jc w:val="right"/>
                  <w:rPr>
                    <w:szCs w:val="21"/>
                  </w:rPr>
                </w:pPr>
              </w:p>
            </w:tc>
            <w:tc>
              <w:tcPr>
                <w:tcW w:w="1498"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fb4052249318445ab343a63eb6ab6e3b"/>
                <w:id w:val="1014340444"/>
                <w:lock w:val="sdtLocked"/>
              </w:sdtPr>
              <w:sdtContent>
                <w:tc>
                  <w:tcPr>
                    <w:tcW w:w="2017" w:type="pct"/>
                    <w:shd w:val="clear" w:color="auto" w:fill="auto"/>
                    <w:vAlign w:val="center"/>
                  </w:tcPr>
                  <w:p>
                    <w:pPr>
                      <w:jc w:val="center"/>
                      <w:rPr>
                        <w:szCs w:val="21"/>
                      </w:rPr>
                    </w:pPr>
                    <w:r>
                      <w:rPr>
                        <w:rFonts w:hint="eastAsia"/>
                        <w:szCs w:val="21"/>
                      </w:rPr>
                      <w:t>合计</w:t>
                    </w:r>
                  </w:p>
                </w:tc>
              </w:sdtContent>
            </w:sdt>
            <w:tc>
              <w:tcPr>
                <w:tcW w:w="1485" w:type="pct"/>
                <w:tcBorders>
                  <w:top w:val="single" w:color="auto" w:sz="6" w:space="0"/>
                  <w:bottom w:val="single" w:color="auto" w:sz="4" w:space="0"/>
                </w:tcBorders>
                <w:shd w:val="clear" w:color="auto" w:fill="auto"/>
                <w:vAlign w:val="center"/>
              </w:tcPr>
              <w:p>
                <w:pPr>
                  <w:jc w:val="right"/>
                  <w:rPr>
                    <w:sz w:val="24"/>
                  </w:rPr>
                </w:pPr>
                <w:r>
                  <w:t>22,967,772.97</w:t>
                </w:r>
              </w:p>
            </w:tc>
            <w:tc>
              <w:tcPr>
                <w:tcW w:w="1498" w:type="pct"/>
                <w:shd w:val="clear" w:color="auto" w:fill="auto"/>
                <w:vAlign w:val="center"/>
              </w:tcPr>
              <w:p>
                <w:pPr>
                  <w:jc w:val="right"/>
                  <w:rPr>
                    <w:sz w:val="24"/>
                  </w:rPr>
                </w:pPr>
                <w:r>
                  <w:t>-781,943,265.51</w:t>
                </w:r>
              </w:p>
            </w:tc>
          </w:tr>
        </w:tbl>
        <w:p>
          <w:r>
            <w:rPr>
              <w:rFonts w:hint="eastAsia"/>
            </w:rPr>
            <w:t>其他</w:t>
          </w:r>
          <w:r>
            <w:t>说明</w:t>
          </w:r>
          <w:r>
            <w:rPr>
              <w:rFonts w:hint="eastAsia"/>
            </w:rPr>
            <w:t>：</w:t>
          </w:r>
        </w:p>
        <w:sdt>
          <w:sdtPr>
            <w:alias w:val="信用减值损失其他说明"/>
            <w:tag w:val="_GBC_c4f5a3728c354e07a647f36805e2176b"/>
            <w:id w:val="1926301462"/>
            <w:lock w:val="sdtLocked"/>
            <w:placeholder>
              <w:docPart w:val="GBC22222222222222222222222222222"/>
            </w:placeholder>
          </w:sdtPr>
          <w:sdtContent>
            <w:p>
              <w:r>
                <w:rPr>
                  <w:rFonts w:hint="eastAsia"/>
                </w:rPr>
                <w:t>无</w:t>
              </w:r>
            </w:p>
          </w:sdtContent>
        </w:sdt>
        <w:p/>
      </w:sdtContent>
    </w:sdt>
    <w:sdt>
      <w:sdtPr>
        <w:rPr>
          <w:rFonts w:hint="eastAsia" w:ascii="宋体" w:hAnsi="宋体" w:cs="宋体"/>
          <w:b w:val="0"/>
          <w:bCs w:val="0"/>
          <w:kern w:val="0"/>
          <w:szCs w:val="21"/>
        </w:rPr>
        <w:alias w:val="模块:资产减值损失"/>
        <w:tag w:val="_SEC_0711b4002bfe46319954a4204926581c"/>
        <w:id w:val="-847332268"/>
        <w:lock w:val="sdtLocked"/>
        <w:placeholder>
          <w:docPart w:val="GBC22222222222222222222222222222"/>
        </w:placeholder>
      </w:sdtPr>
      <w:sdtEndPr>
        <w:rPr>
          <w:rFonts w:hint="default" w:cs="宋体" w:asciiTheme="minorHAnsi" w:hAnsiTheme="minorHAnsi" w:eastAsiaTheme="minorEastAsia"/>
          <w:b w:val="0"/>
          <w:bCs w:val="0"/>
          <w:kern w:val="0"/>
          <w:szCs w:val="22"/>
        </w:rPr>
      </w:sdtEndPr>
      <w:sdtContent>
        <w:p>
          <w:pPr>
            <w:pStyle w:val="213"/>
            <w:numPr>
              <w:ilvl w:val="0"/>
              <w:numId w:val="77"/>
            </w:numPr>
            <w:tabs>
              <w:tab w:val="left" w:pos="504"/>
            </w:tabs>
            <w:rPr>
              <w:rFonts w:ascii="宋体" w:hAnsi="宋体"/>
              <w:szCs w:val="21"/>
            </w:rPr>
          </w:pPr>
          <w:r>
            <w:rPr>
              <w:rFonts w:hint="eastAsia" w:ascii="宋体" w:hAnsi="宋体"/>
              <w:bCs w:val="0"/>
              <w:szCs w:val="21"/>
            </w:rPr>
            <w:t>资</w:t>
          </w:r>
          <w:r>
            <w:rPr>
              <w:rFonts w:hint="eastAsia" w:ascii="宋体" w:hAnsi="宋体"/>
              <w:szCs w:val="21"/>
            </w:rPr>
            <w:t>产减值损失</w:t>
          </w:r>
        </w:p>
        <w:sdt>
          <w:sdtPr>
            <w:alias w:val="是否适用：资产减值损失[双击切换]"/>
            <w:tag w:val="_GBC_8b37643fea7c43289fdaf85f79b2bcae"/>
            <w:id w:val="-121603984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资产减值损失"/>
              <w:tag w:val="_GBC_fe85f36c54dd476ea970b9d8ae08135d"/>
              <w:id w:val="63452946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20292189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03"/>
            <w:gridCol w:w="2425"/>
            <w:gridCol w:w="2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44de032f71b4e06985c561df3bcf55a"/>
                <w:id w:val="-1939665817"/>
                <w:lock w:val="sdtLocked"/>
              </w:sdtPr>
              <w:sdtContent>
                <w:tc>
                  <w:tcPr>
                    <w:tcW w:w="1878"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9551307ec5c049a3aa84c3c7d3e61d92"/>
                <w:id w:val="634076773"/>
                <w:lock w:val="sdtLocked"/>
              </w:sdtPr>
              <w:sdtContent>
                <w:tc>
                  <w:tcPr>
                    <w:tcW w:w="142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46a2a62cd1b1406f877f135b9d7e38a6"/>
                <w:id w:val="-123458762"/>
                <w:lock w:val="sdtLocked"/>
              </w:sdtPr>
              <w:sdtContent>
                <w:tc>
                  <w:tcPr>
                    <w:tcW w:w="170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b0452207d64fb88ccbca66f785c80a"/>
                <w:id w:val="2483863"/>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一、坏账损失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pct"/>
                <w:tcBorders>
                  <w:top w:val="single" w:color="auto" w:sz="4" w:space="0"/>
                  <w:left w:val="single" w:color="auto" w:sz="4" w:space="0"/>
                  <w:bottom w:val="single" w:color="auto" w:sz="4" w:space="0"/>
                  <w:right w:val="single" w:color="auto" w:sz="4" w:space="0"/>
                </w:tcBorders>
              </w:tcPr>
              <w:sdt>
                <w:sdtPr>
                  <w:rPr>
                    <w:rFonts w:hint="eastAsia"/>
                  </w:rPr>
                  <w:tag w:val="_PLD_f3e56bd86dd541bb999fb148048ad094"/>
                  <w:id w:val="-1839074497"/>
                  <w:lock w:val="sdtLocked"/>
                </w:sdtPr>
                <w:sdtEndPr>
                  <w:rPr>
                    <w:rFonts w:hint="eastAsia"/>
                  </w:rPr>
                </w:sdtEndPr>
                <w:sdtContent>
                  <w:p>
                    <w:pPr>
                      <w:autoSpaceDE w:val="0"/>
                      <w:autoSpaceDN w:val="0"/>
                      <w:adjustRightInd w:val="0"/>
                    </w:pPr>
                    <w:r>
                      <w:rPr>
                        <w:rFonts w:hint="eastAsia"/>
                      </w:rPr>
                      <w:t>二、存货跌价损失及合同履约成本减值损失</w:t>
                    </w:r>
                  </w:p>
                </w:sdtContent>
              </w:sdt>
            </w:tc>
            <w:tc>
              <w:tcPr>
                <w:tcW w:w="1422" w:type="pct"/>
                <w:tcBorders>
                  <w:top w:val="single" w:color="auto" w:sz="4" w:space="0"/>
                  <w:left w:val="single" w:color="auto" w:sz="4" w:space="0"/>
                  <w:bottom w:val="single" w:color="auto" w:sz="4" w:space="0"/>
                  <w:right w:val="single" w:color="auto" w:sz="4" w:space="0"/>
                </w:tcBorders>
                <w:vAlign w:val="center"/>
              </w:tcPr>
              <w:p>
                <w:pPr>
                  <w:jc w:val="right"/>
                  <w:rPr>
                    <w:sz w:val="24"/>
                  </w:rPr>
                </w:pPr>
                <w:r>
                  <w:t>-8,925,268.18</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 w:val="24"/>
                  </w:rPr>
                </w:pPr>
                <w:r>
                  <w:t>-254,820,583.48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18ffd8efce148388b465543a65deb36"/>
                <w:id w:val="388929569"/>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三</w:t>
                    </w:r>
                    <w:r>
                      <w:rPr>
                        <w:rFonts w:hint="eastAsia"/>
                        <w:szCs w:val="21"/>
                      </w:rPr>
                      <w:t>、长期股权投资减值损失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sz w:val="24"/>
                  </w:rPr>
                </w:pPr>
                <w:r>
                  <w:t>-12,607,438.71</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 w:val="24"/>
                  </w:rPr>
                </w:pPr>
                <w:r>
                  <w:t>-1,470,651,496.43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59a34614d64642bfafae6cfb83a911"/>
                <w:id w:val="-1838301289"/>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四、投资性房地产减值损失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1f6d2fa18b94283b7668413c57d5953"/>
                <w:id w:val="1883206195"/>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五</w:t>
                    </w:r>
                    <w:r>
                      <w:rPr>
                        <w:rFonts w:hint="eastAsia"/>
                        <w:szCs w:val="21"/>
                      </w:rPr>
                      <w:t>、固定资产减值损失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sz w:val="24"/>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 w:val="24"/>
                  </w:rPr>
                </w:pPr>
                <w:r>
                  <w:t>-1,323,402,530.37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b3a63c2cafd4c51b8eeeb5a43d993d0"/>
                <w:id w:val="1710373894"/>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六</w:t>
                    </w:r>
                    <w:r>
                      <w:rPr>
                        <w:rFonts w:hint="eastAsia"/>
                        <w:szCs w:val="21"/>
                      </w:rPr>
                      <w:t>、工程物资减值损失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003d11a19b40018cbc74adbbdcdf57"/>
                <w:id w:val="50281333"/>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七</w:t>
                    </w:r>
                    <w:r>
                      <w:rPr>
                        <w:rFonts w:hint="eastAsia"/>
                        <w:szCs w:val="21"/>
                      </w:rPr>
                      <w:t>、在建工程减值损失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sz w:val="24"/>
                  </w:rPr>
                </w:pPr>
                <w:r>
                  <w:t>-1,255,557.54</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 w:val="24"/>
                  </w:rPr>
                </w:pPr>
                <w:r>
                  <w:t>-90,117,205.33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3b89e0837b14e99b4a3438b489d0532"/>
                <w:id w:val="1383980426"/>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八</w:t>
                    </w:r>
                    <w:r>
                      <w:rPr>
                        <w:rFonts w:hint="eastAsia"/>
                        <w:szCs w:val="21"/>
                      </w:rPr>
                      <w:t>、生产性生物资产减值损失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0a5e5bd19264127be2c136789d951e4"/>
                <w:id w:val="1522673401"/>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rPr>
                      <w:t>九</w:t>
                    </w:r>
                    <w:r>
                      <w:rPr>
                        <w:rFonts w:hint="eastAsia"/>
                        <w:szCs w:val="21"/>
                      </w:rPr>
                      <w:t>、油气资产减值损失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02d22ed8f36479cbf68f338da9798f3"/>
                <w:id w:val="1646626999"/>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十、无形资产减值损失</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sz w:val="24"/>
                  </w:rPr>
                </w:pP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 w:val="24"/>
                  </w:rPr>
                </w:pPr>
                <w:r>
                  <w:t>-468,576,718.19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6f4245c2b749e385563afef515c3da"/>
                <w:id w:val="777141726"/>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十一、商誉减值损失</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ca415e40b044bc3bb78421db6605bbe"/>
                <w:id w:val="-913392167"/>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rPr>
                        <w:rFonts w:hint="eastAsia"/>
                        <w:szCs w:val="21"/>
                      </w:rPr>
                      <w:t>十二、其他</w:t>
                    </w:r>
                  </w:p>
                </w:tc>
              </w:sdtContent>
            </w:sdt>
            <w:tc>
              <w:tcPr>
                <w:tcW w:w="1422" w:type="pct"/>
                <w:tcBorders>
                  <w:top w:val="single" w:color="auto" w:sz="4" w:space="0"/>
                  <w:left w:val="single" w:color="auto" w:sz="4" w:space="0"/>
                  <w:bottom w:val="single" w:color="auto" w:sz="4" w:space="0"/>
                  <w:right w:val="single" w:color="auto" w:sz="4" w:space="0"/>
                </w:tcBorders>
              </w:tcPr>
              <w:p>
                <w:pPr>
                  <w:jc w:val="right"/>
                  <w:rPr>
                    <w:szCs w:val="21"/>
                  </w:rPr>
                </w:pPr>
              </w:p>
            </w:tc>
            <w:tc>
              <w:tcPr>
                <w:tcW w:w="1700" w:type="pct"/>
                <w:tcBorders>
                  <w:top w:val="single" w:color="auto" w:sz="4" w:space="0"/>
                  <w:left w:val="single" w:color="auto" w:sz="4" w:space="0"/>
                  <w:bottom w:val="single" w:color="auto" w:sz="4" w:space="0"/>
                  <w:right w:val="single" w:color="auto" w:sz="4" w:space="0"/>
                </w:tcBorders>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34f2e9360a2400a89862cd125871d4c"/>
                <w:id w:val="1495909164"/>
                <w:lock w:val="sdtLocked"/>
              </w:sdtPr>
              <w:sdtContent>
                <w:tc>
                  <w:tcPr>
                    <w:tcW w:w="1878"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szCs w:val="21"/>
                      </w:rPr>
                    </w:pPr>
                    <w:r>
                      <w:rPr>
                        <w:rFonts w:hint="eastAsia"/>
                        <w:szCs w:val="21"/>
                      </w:rPr>
                      <w:t>合计</w:t>
                    </w:r>
                  </w:p>
                </w:tc>
              </w:sdtContent>
            </w:sdt>
            <w:tc>
              <w:tcPr>
                <w:tcW w:w="1422" w:type="pct"/>
                <w:tcBorders>
                  <w:top w:val="single" w:color="auto" w:sz="4" w:space="0"/>
                  <w:left w:val="single" w:color="auto" w:sz="4" w:space="0"/>
                  <w:bottom w:val="single" w:color="auto" w:sz="4" w:space="0"/>
                  <w:right w:val="single" w:color="auto" w:sz="4" w:space="0"/>
                </w:tcBorders>
                <w:vAlign w:val="center"/>
              </w:tcPr>
              <w:p>
                <w:pPr>
                  <w:jc w:val="right"/>
                  <w:rPr>
                    <w:sz w:val="24"/>
                  </w:rPr>
                </w:pPr>
                <w:r>
                  <w:t>-22,788,264.43</w:t>
                </w:r>
              </w:p>
            </w:tc>
            <w:tc>
              <w:tcPr>
                <w:tcW w:w="1700" w:type="pct"/>
                <w:tcBorders>
                  <w:top w:val="single" w:color="auto" w:sz="4" w:space="0"/>
                  <w:left w:val="single" w:color="auto" w:sz="4" w:space="0"/>
                  <w:bottom w:val="single" w:color="auto" w:sz="4" w:space="0"/>
                  <w:right w:val="single" w:color="auto" w:sz="4" w:space="0"/>
                </w:tcBorders>
                <w:vAlign w:val="center"/>
              </w:tcPr>
              <w:p>
                <w:pPr>
                  <w:jc w:val="right"/>
                  <w:rPr>
                    <w:sz w:val="24"/>
                  </w:rPr>
                </w:pPr>
                <w:r>
                  <w:t>-3,607,568,533.80</w:t>
                </w:r>
              </w:p>
            </w:tc>
          </w:tr>
        </w:tbl>
        <w:p>
          <w:pPr>
            <w:spacing w:before="60" w:after="60"/>
            <w:rPr>
              <w:szCs w:val="21"/>
            </w:rPr>
          </w:pPr>
          <w:r>
            <w:rPr>
              <w:rFonts w:hint="eastAsia"/>
              <w:szCs w:val="21"/>
            </w:rPr>
            <w:t>其他说明：</w:t>
          </w:r>
        </w:p>
        <w:sdt>
          <w:sdtPr>
            <w:alias w:val="资产减值损失的说明"/>
            <w:tag w:val="_GBC_1e9b73a63ce74456883b0a5fd2597461"/>
            <w:id w:val="-996720498"/>
            <w:lock w:val="sdtLocked"/>
            <w:placeholder>
              <w:docPart w:val="GBC22222222222222222222222222222"/>
            </w:placeholder>
          </w:sdtPr>
          <w:sdtContent>
            <w:p>
              <w:r>
                <w:rPr>
                  <w:rFonts w:hint="eastAsia"/>
                </w:rPr>
                <w:t>无</w:t>
              </w:r>
            </w:p>
          </w:sdtContent>
        </w:sdt>
        <w:p>
          <w:pPr>
            <w:rPr>
              <w:rFonts w:asciiTheme="minorHAnsi" w:hAnsiTheme="minorHAnsi" w:eastAsiaTheme="minorEastAsia"/>
              <w:szCs w:val="22"/>
            </w:rPr>
          </w:pPr>
        </w:p>
      </w:sdtContent>
    </w:sdt>
    <w:sdt>
      <w:sdtPr>
        <w:rPr>
          <w:rFonts w:hint="eastAsia" w:ascii="宋体" w:hAnsi="宋体" w:cs="宋体"/>
          <w:b w:val="0"/>
          <w:bCs w:val="0"/>
          <w:kern w:val="0"/>
          <w:szCs w:val="21"/>
        </w:rPr>
        <w:alias w:val="模块:资产处置收益"/>
        <w:tag w:val="_SEC_467f7368f09741c792396e7413b66bc2"/>
        <w:id w:val="-1496721318"/>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149017363"/>
            <w:lock w:val="sdtLocked"/>
            <w:placeholder>
              <w:docPart w:val="GBC22222222222222222222222222222"/>
            </w:placeholder>
          </w:sdtPr>
          <w:sdtEndPr>
            <w:rPr>
              <w:bCs/>
            </w:rPr>
          </w:sdtEndPr>
          <w:sdtContent>
            <w:p>
              <w:pPr>
                <w:rPr>
                  <w:bCs/>
                </w:rPr>
              </w:pPr>
              <w:r>
                <w:rPr>
                  <w:bCs/>
                </w:rPr>
                <w:fldChar w:fldCharType="begin"/>
              </w:r>
              <w:r>
                <w:rPr>
                  <w:bCs/>
                </w:rPr>
                <w:instrText xml:space="preserve"> MACROBUTTON  SnrToggleCheckbox √适用 </w:instrText>
              </w:r>
              <w:r>
                <w:rPr>
                  <w:bCs/>
                </w:rPr>
                <w:fldChar w:fldCharType="end"/>
              </w:r>
              <w:r>
                <w:rPr>
                  <w:bCs/>
                </w:rPr>
                <w:fldChar w:fldCharType="begin"/>
              </w:r>
              <w:r>
                <w:rPr>
                  <w:bCs/>
                </w:rPr>
                <w:instrText xml:space="preserve"> MACROBUTTON  SnrToggleCheckbox □不适用 </w:instrText>
              </w:r>
              <w:r>
                <w:rPr>
                  <w:bCs/>
                </w:rPr>
                <w:fldChar w:fldCharType="end"/>
              </w:r>
            </w:p>
          </w:sdtContent>
        </w:sdt>
        <w:p>
          <w:pPr>
            <w:pStyle w:val="224"/>
            <w:ind w:left="420" w:firstLine="0" w:firstLineChars="0"/>
            <w:jc w:val="right"/>
            <w:rPr>
              <w:bCs/>
            </w:rPr>
          </w:pPr>
          <w:r>
            <w:rPr>
              <w:bCs/>
            </w:rPr>
            <w:t>单位：</w:t>
          </w:r>
          <w:sdt>
            <w:sdtPr>
              <w:rPr>
                <w:bCs/>
              </w:rPr>
              <w:alias w:val="单位：资产处置收益明细"/>
              <w:tag w:val="_GBC_7ec9558ba3654efb8bffe62787e178bb"/>
              <w:id w:val="854397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bCs/>
              </w:rPr>
            </w:sdtEndPr>
            <w:sdtContent>
              <w:r>
                <w:rPr>
                  <w:bCs/>
                </w:rPr>
                <w:t>元</w:t>
              </w:r>
            </w:sdtContent>
          </w:sdt>
          <w:r>
            <w:rPr>
              <w:bCs/>
            </w:rPr>
            <w:t>币种：</w:t>
          </w:r>
          <w:sdt>
            <w:sdtPr>
              <w:rPr>
                <w:bCs/>
              </w:rPr>
              <w:alias w:val="币种：资产处置收益明细"/>
              <w:tag w:val="_GBC_6a67bd424d2842be9fe48ecebd5d6f35"/>
              <w:id w:val="55035070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bCs/>
              </w:rPr>
            </w:sdtEndPr>
            <w:sdtContent>
              <w:r>
                <w:rPr>
                  <w:bCs/>
                </w:rPr>
                <w:t>人民币</w:t>
              </w:r>
            </w:sdtContent>
          </w:sdt>
        </w:p>
        <w:tbl>
          <w:tblPr>
            <w:tblStyle w:val="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2"/>
            <w:gridCol w:w="2876"/>
            <w:gridCol w:w="2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aa248f59d784f95a8d1e935bd71e05e"/>
                <w:id w:val="1777218656"/>
                <w:lock w:val="sdtLocked"/>
              </w:sdtPr>
              <w:sdtContent>
                <w:tc>
                  <w:tcPr>
                    <w:tcW w:w="3016" w:type="dxa"/>
                    <w:shd w:val="clear" w:color="auto" w:fill="auto"/>
                  </w:tcPr>
                  <w:p>
                    <w:pPr>
                      <w:jc w:val="center"/>
                    </w:pPr>
                    <w:r>
                      <w:rPr>
                        <w:rFonts w:hint="eastAsia"/>
                      </w:rPr>
                      <w:t>项目</w:t>
                    </w:r>
                  </w:p>
                </w:tc>
              </w:sdtContent>
            </w:sdt>
            <w:sdt>
              <w:sdtPr>
                <w:tag w:val="_PLD_130aaf0b75144f7d943c5d780cfc1b6b"/>
                <w:id w:val="-1924178116"/>
                <w:lock w:val="sdtLocked"/>
              </w:sdtPr>
              <w:sdtContent>
                <w:tc>
                  <w:tcPr>
                    <w:tcW w:w="3016" w:type="dxa"/>
                    <w:shd w:val="clear" w:color="auto" w:fill="auto"/>
                  </w:tcPr>
                  <w:p>
                    <w:pPr>
                      <w:jc w:val="center"/>
                    </w:pPr>
                    <w:r>
                      <w:rPr>
                        <w:rFonts w:hint="eastAsia"/>
                      </w:rPr>
                      <w:t>本期发生额</w:t>
                    </w:r>
                  </w:p>
                </w:tc>
              </w:sdtContent>
            </w:sdt>
            <w:sdt>
              <w:sdtPr>
                <w:tag w:val="_PLD_482f220f08ce46dc8e769190f957eec7"/>
                <w:id w:val="-940065163"/>
                <w:lock w:val="sdtLocked"/>
              </w:sdtPr>
              <w:sdtContent>
                <w:tc>
                  <w:tcPr>
                    <w:tcW w:w="3017" w:type="dxa"/>
                    <w:shd w:val="clear" w:color="auto" w:fill="auto"/>
                  </w:tcPr>
                  <w:p>
                    <w:pPr>
                      <w:jc w:val="center"/>
                    </w:pPr>
                    <w:r>
                      <w:rPr>
                        <w:rFonts w:hint="eastAsia"/>
                      </w:rPr>
                      <w:t>上期发生额</w:t>
                    </w:r>
                  </w:p>
                </w:tc>
              </w:sdtContent>
            </w:sdt>
          </w:tr>
          <w:sdt>
            <w:sdtPr>
              <w:alias w:val="资产处置收益明细"/>
              <w:tag w:val="_TUP_4e7f3b54af98459f9a8813a3573b07d6"/>
              <w:id w:val="-346794539"/>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r>
                      <w:t>固定资产处置利得或损失</w:t>
                    </w:r>
                  </w:p>
                </w:tc>
                <w:tc>
                  <w:tcPr>
                    <w:tcW w:w="3016" w:type="dxa"/>
                    <w:shd w:val="clear" w:color="auto" w:fill="auto"/>
                  </w:tcPr>
                  <w:p>
                    <w:pPr>
                      <w:jc w:val="right"/>
                    </w:pPr>
                    <w:r>
                      <w:t>-10,750,500.07</w:t>
                    </w:r>
                  </w:p>
                </w:tc>
                <w:tc>
                  <w:tcPr>
                    <w:tcW w:w="3017" w:type="dxa"/>
                    <w:shd w:val="clear" w:color="auto" w:fill="auto"/>
                  </w:tcPr>
                  <w:p>
                    <w:pPr>
                      <w:jc w:val="right"/>
                    </w:pPr>
                    <w:r>
                      <w:t>-1,136,771,457.70</w:t>
                    </w:r>
                  </w:p>
                </w:tc>
              </w:tr>
            </w:sdtContent>
          </w:sdt>
          <w:sdt>
            <w:sdtPr>
              <w:alias w:val="资产处置收益明细"/>
              <w:tag w:val="_TUP_4e7f3b54af98459f9a8813a3573b07d6"/>
              <w:id w:val="868426525"/>
              <w:lock w:val="sdtLocked"/>
            </w:sdt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shd w:val="clear" w:color="auto" w:fill="auto"/>
                  </w:tcPr>
                  <w:p>
                    <w:r>
                      <w:t>在建工程处置利得或损失</w:t>
                    </w:r>
                  </w:p>
                </w:tc>
                <w:tc>
                  <w:tcPr>
                    <w:tcW w:w="3016" w:type="dxa"/>
                    <w:shd w:val="clear" w:color="auto" w:fill="auto"/>
                  </w:tcPr>
                  <w:p>
                    <w:pPr>
                      <w:jc w:val="right"/>
                    </w:pPr>
                    <w:r>
                      <w:t>-289,100.95</w:t>
                    </w:r>
                  </w:p>
                </w:tc>
                <w:tc>
                  <w:tcPr>
                    <w:tcW w:w="3017" w:type="dxa"/>
                    <w:shd w:val="clear" w:color="auto" w:fill="auto"/>
                  </w:tcPr>
                  <w:p>
                    <w:pPr>
                      <w:jc w:val="right"/>
                    </w:pPr>
                    <w:r>
                      <w:t>955,500.00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ff6aaf90ab6455a8f0879f18bec11b2"/>
                <w:id w:val="1835334764"/>
                <w:lock w:val="sdtLocked"/>
              </w:sdtPr>
              <w:sdtContent>
                <w:tc>
                  <w:tcPr>
                    <w:tcW w:w="3016" w:type="dxa"/>
                    <w:shd w:val="clear" w:color="auto" w:fill="auto"/>
                  </w:tcPr>
                  <w:p>
                    <w:pPr>
                      <w:jc w:val="center"/>
                    </w:pPr>
                    <w:r>
                      <w:rPr>
                        <w:rFonts w:hint="eastAsia"/>
                      </w:rPr>
                      <w:t>合计</w:t>
                    </w:r>
                  </w:p>
                </w:tc>
              </w:sdtContent>
            </w:sdt>
            <w:tc>
              <w:tcPr>
                <w:tcW w:w="3016" w:type="dxa"/>
                <w:shd w:val="clear" w:color="auto" w:fill="auto"/>
                <w:vAlign w:val="center"/>
              </w:tcPr>
              <w:p>
                <w:pPr>
                  <w:jc w:val="right"/>
                  <w:rPr>
                    <w:sz w:val="24"/>
                  </w:rPr>
                </w:pPr>
                <w:r>
                  <w:t>-11,039,601.02</w:t>
                </w:r>
              </w:p>
            </w:tc>
            <w:tc>
              <w:tcPr>
                <w:tcW w:w="3017" w:type="dxa"/>
                <w:shd w:val="clear" w:color="auto" w:fill="auto"/>
                <w:vAlign w:val="center"/>
              </w:tcPr>
              <w:p>
                <w:pPr>
                  <w:jc w:val="right"/>
                  <w:rPr>
                    <w:sz w:val="24"/>
                  </w:rPr>
                </w:pPr>
                <w:r>
                  <w:t>-1,135,815,957.70</w:t>
                </w:r>
              </w:p>
            </w:tc>
          </w:tr>
        </w:tbl>
        <w:p/>
        <w:p>
          <w:r>
            <w:rPr>
              <w:rFonts w:hint="eastAsia"/>
            </w:rPr>
            <w:t>其他说明：</w:t>
          </w:r>
        </w:p>
        <w:sdt>
          <w:sdtPr>
            <w:alias w:val="资产处置收益其他说明"/>
            <w:tag w:val="_GBC_a5d14cbbaa9b4b96b1c008693dadc2d6"/>
            <w:id w:val="440736269"/>
            <w:lock w:val="sdtLocked"/>
            <w:placeholder>
              <w:docPart w:val="GBC22222222222222222222222222222"/>
            </w:placeholder>
          </w:sdtPr>
          <w:sdtContent>
            <w:p>
              <w:r>
                <w:rPr>
                  <w:rFonts w:hint="eastAsia"/>
                </w:rPr>
                <w:t>无</w:t>
              </w:r>
            </w:p>
          </w:sdtContent>
        </w:sdt>
      </w:sdtContent>
    </w:sdt>
    <w:p>
      <w:pPr>
        <w:autoSpaceDE w:val="0"/>
        <w:autoSpaceDN w:val="0"/>
        <w:adjustRightInd w:val="0"/>
        <w:rPr>
          <w:szCs w:val="21"/>
        </w:rPr>
      </w:pPr>
    </w:p>
    <w:p>
      <w:pPr>
        <w:pStyle w:val="213"/>
        <w:numPr>
          <w:ilvl w:val="0"/>
          <w:numId w:val="77"/>
        </w:numPr>
        <w:tabs>
          <w:tab w:val="left" w:pos="504"/>
        </w:tabs>
        <w:rPr>
          <w:rFonts w:ascii="宋体" w:hAnsi="宋体"/>
          <w:szCs w:val="21"/>
        </w:rPr>
      </w:pPr>
      <w:r>
        <w:rPr>
          <w:rFonts w:hint="eastAsia" w:ascii="宋体" w:hAnsi="宋体"/>
          <w:szCs w:val="21"/>
        </w:rPr>
        <w:t>营业外收入</w:t>
      </w:r>
    </w:p>
    <w:sdt>
      <w:sdtPr>
        <w:rPr>
          <w:rFonts w:hint="eastAsia"/>
        </w:rPr>
        <w:alias w:val="模块:营业外收入情况"/>
        <w:tag w:val="_SEC_f6bd1fb85aac4d5fae732da5669c7d98"/>
        <w:id w:val="-179350044"/>
        <w:lock w:val="sdtLocked"/>
        <w:placeholder>
          <w:docPart w:val="GBC22222222222222222222222222222"/>
        </w:placeholder>
      </w:sdtPr>
      <w:sdtEndPr>
        <w:rPr>
          <w:rFonts w:hint="default"/>
        </w:rPr>
      </w:sdtEndPr>
      <w:sdtContent>
        <w:p>
          <w:r>
            <w:rPr>
              <w:rFonts w:hint="eastAsia"/>
            </w:rPr>
            <w:t>营业外收入情况</w:t>
          </w:r>
        </w:p>
        <w:sdt>
          <w:sdtPr>
            <w:rPr>
              <w:rFonts w:hint="eastAsia"/>
            </w:rPr>
            <w:alias w:val="是否适用：营业外收入情况 [双击切换]"/>
            <w:tag w:val="_GBC_4aec8b65d0e744aaaddac8859ae249bc"/>
            <w:id w:val="1415054752"/>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营业外收入"/>
              <w:tag w:val="_GBC_79d3fe1c29e746e7b2a9a9acfcc43449"/>
              <w:id w:val="526707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营业外收入"/>
              <w:tag w:val="_GBC_4266913812da4517aa68b2f8bff79fbe"/>
              <w:id w:val="-11525157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4"/>
            <w:gridCol w:w="1929"/>
            <w:gridCol w:w="2181"/>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b52b1902e1443609ba6891d7076aebe"/>
                <w:id w:val="1558057387"/>
                <w:lock w:val="sdtLocked"/>
              </w:sdtPr>
              <w:sdtContent>
                <w:tc>
                  <w:tcPr>
                    <w:tcW w:w="131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9dc87bd465124a2289f545f76d28c96c"/>
                <w:id w:val="477039354"/>
                <w:lock w:val="sdtLocked"/>
              </w:sdtPr>
              <w:sdtContent>
                <w:tc>
                  <w:tcPr>
                    <w:tcW w:w="113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e1b91f5db91a439083c1f9a1b7d17ef9"/>
                <w:id w:val="1795324050"/>
                <w:lock w:val="sdtLocked"/>
              </w:sdtPr>
              <w:sdtContent>
                <w:tc>
                  <w:tcPr>
                    <w:tcW w:w="127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sdt>
              <w:sdtPr>
                <w:tag w:val="_PLD_db1c9e08e7ea407889a350e8451d2848"/>
                <w:id w:val="-602885751"/>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color w:val="FF0000"/>
                        <w:szCs w:val="21"/>
                      </w:rPr>
                    </w:pPr>
                    <w:r>
                      <w:rPr>
                        <w:rFonts w:hint="eastAsia"/>
                        <w:szCs w:val="21"/>
                      </w:rPr>
                      <w:t>计入当期非经常性损益的金额</w:t>
                    </w:r>
                  </w:p>
                </w:tc>
              </w:sdtContent>
            </w:sdt>
          </w:tr>
          <w:sdt>
            <w:sdtPr>
              <w:rPr>
                <w:rFonts w:hint="eastAsia"/>
                <w:szCs w:val="21"/>
              </w:rPr>
              <w:alias w:val="营业外收入明细"/>
              <w:tag w:val="_TUP_46937c9656934b67a9abb141e7420d0e"/>
              <w:id w:val="124876464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tcBorders>
                      <w:top w:val="single" w:color="auto" w:sz="4" w:space="0"/>
                      <w:left w:val="single" w:color="auto" w:sz="4" w:space="0"/>
                      <w:bottom w:val="single" w:color="auto" w:sz="4" w:space="0"/>
                      <w:right w:val="single" w:color="auto" w:sz="4" w:space="0"/>
                    </w:tcBorders>
                  </w:tcPr>
                  <w:p>
                    <w:pPr>
                      <w:rPr>
                        <w:szCs w:val="21"/>
                      </w:rPr>
                    </w:pPr>
                    <w:r>
                      <w:t>与日常活动无关的政府补助</w:t>
                    </w:r>
                  </w:p>
                </w:tc>
                <w:tc>
                  <w:tcPr>
                    <w:tcW w:w="1131"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79" w:type="pct"/>
                    <w:tcBorders>
                      <w:top w:val="single" w:color="auto" w:sz="4" w:space="0"/>
                      <w:left w:val="single" w:color="auto" w:sz="4" w:space="0"/>
                      <w:bottom w:val="single" w:color="auto" w:sz="4" w:space="0"/>
                      <w:right w:val="single" w:color="auto" w:sz="4" w:space="0"/>
                    </w:tcBorders>
                  </w:tcPr>
                  <w:p>
                    <w:pPr>
                      <w:jc w:val="right"/>
                      <w:rPr>
                        <w:szCs w:val="21"/>
                      </w:rPr>
                    </w:pPr>
                    <w:r>
                      <w:t>275,652.58</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p>
                </w:tc>
              </w:tr>
            </w:sdtContent>
          </w:sdt>
          <w:sdt>
            <w:sdtPr>
              <w:rPr>
                <w:rFonts w:hint="eastAsia"/>
                <w:szCs w:val="21"/>
              </w:rPr>
              <w:alias w:val="营业外收入明细"/>
              <w:tag w:val="_TUP_46937c9656934b67a9abb141e7420d0e"/>
              <w:id w:val="188243289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tcBorders>
                      <w:top w:val="single" w:color="auto" w:sz="4" w:space="0"/>
                      <w:left w:val="single" w:color="auto" w:sz="4" w:space="0"/>
                      <w:bottom w:val="single" w:color="auto" w:sz="4" w:space="0"/>
                      <w:right w:val="single" w:color="auto" w:sz="4" w:space="0"/>
                    </w:tcBorders>
                  </w:tcPr>
                  <w:p>
                    <w:pPr>
                      <w:rPr>
                        <w:szCs w:val="21"/>
                      </w:rPr>
                    </w:pPr>
                    <w:r>
                      <w:t>违约赔偿收入</w:t>
                    </w:r>
                  </w:p>
                </w:tc>
                <w:tc>
                  <w:tcPr>
                    <w:tcW w:w="1131" w:type="pct"/>
                    <w:tcBorders>
                      <w:top w:val="single" w:color="auto" w:sz="4" w:space="0"/>
                      <w:left w:val="single" w:color="auto" w:sz="4" w:space="0"/>
                      <w:bottom w:val="single" w:color="auto" w:sz="4" w:space="0"/>
                      <w:right w:val="single" w:color="auto" w:sz="4" w:space="0"/>
                    </w:tcBorders>
                  </w:tcPr>
                  <w:p>
                    <w:pPr>
                      <w:jc w:val="right"/>
                      <w:rPr>
                        <w:szCs w:val="21"/>
                      </w:rPr>
                    </w:pPr>
                    <w:r>
                      <w:t>1,109,128.15</w:t>
                    </w:r>
                  </w:p>
                </w:tc>
                <w:tc>
                  <w:tcPr>
                    <w:tcW w:w="1279" w:type="pct"/>
                    <w:tcBorders>
                      <w:top w:val="single" w:color="auto" w:sz="4" w:space="0"/>
                      <w:left w:val="single" w:color="auto" w:sz="4" w:space="0"/>
                      <w:bottom w:val="single" w:color="auto" w:sz="4" w:space="0"/>
                      <w:right w:val="single" w:color="auto" w:sz="4" w:space="0"/>
                    </w:tcBorders>
                  </w:tcPr>
                  <w:p>
                    <w:pPr>
                      <w:jc w:val="right"/>
                      <w:rPr>
                        <w:szCs w:val="21"/>
                      </w:rPr>
                    </w:pPr>
                    <w:r>
                      <w:t>752,279.62</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1,109,128.15</w:t>
                    </w:r>
                  </w:p>
                </w:tc>
              </w:tr>
            </w:sdtContent>
          </w:sdt>
          <w:sdt>
            <w:sdtPr>
              <w:rPr>
                <w:rFonts w:hint="eastAsia"/>
                <w:szCs w:val="21"/>
              </w:rPr>
              <w:alias w:val="营业外收入明细"/>
              <w:tag w:val="_TUP_46937c9656934b67a9abb141e7420d0e"/>
              <w:id w:val="-53018375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tcBorders>
                      <w:top w:val="single" w:color="auto" w:sz="4" w:space="0"/>
                      <w:left w:val="single" w:color="auto" w:sz="4" w:space="0"/>
                      <w:bottom w:val="single" w:color="auto" w:sz="4" w:space="0"/>
                      <w:right w:val="single" w:color="auto" w:sz="4" w:space="0"/>
                    </w:tcBorders>
                  </w:tcPr>
                  <w:p>
                    <w:pPr>
                      <w:rPr>
                        <w:szCs w:val="21"/>
                      </w:rPr>
                    </w:pPr>
                    <w:r>
                      <w:t>盘盈利得</w:t>
                    </w:r>
                  </w:p>
                </w:tc>
                <w:tc>
                  <w:tcPr>
                    <w:tcW w:w="1131" w:type="pct"/>
                    <w:tcBorders>
                      <w:top w:val="single" w:color="auto" w:sz="4" w:space="0"/>
                      <w:left w:val="single" w:color="auto" w:sz="4" w:space="0"/>
                      <w:bottom w:val="single" w:color="auto" w:sz="4" w:space="0"/>
                      <w:right w:val="single" w:color="auto" w:sz="4" w:space="0"/>
                    </w:tcBorders>
                  </w:tcPr>
                  <w:p>
                    <w:pPr>
                      <w:jc w:val="right"/>
                      <w:rPr>
                        <w:szCs w:val="21"/>
                      </w:rPr>
                    </w:pPr>
                    <w:r>
                      <w:t>0.84</w:t>
                    </w:r>
                  </w:p>
                </w:tc>
                <w:tc>
                  <w:tcPr>
                    <w:tcW w:w="1279" w:type="pct"/>
                    <w:tcBorders>
                      <w:top w:val="single" w:color="auto" w:sz="4" w:space="0"/>
                      <w:left w:val="single" w:color="auto" w:sz="4" w:space="0"/>
                      <w:bottom w:val="single" w:color="auto" w:sz="4" w:space="0"/>
                      <w:right w:val="single" w:color="auto" w:sz="4" w:space="0"/>
                    </w:tcBorders>
                  </w:tcPr>
                  <w:p>
                    <w:pPr>
                      <w:jc w:val="right"/>
                      <w:rPr>
                        <w:szCs w:val="21"/>
                      </w:rPr>
                    </w:pPr>
                    <w:r>
                      <w:t>1,716,918.70</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0.84</w:t>
                    </w:r>
                  </w:p>
                </w:tc>
              </w:tr>
            </w:sdtContent>
          </w:sdt>
          <w:sdt>
            <w:sdtPr>
              <w:rPr>
                <w:rFonts w:hint="eastAsia"/>
                <w:szCs w:val="21"/>
              </w:rPr>
              <w:alias w:val="营业外收入明细"/>
              <w:tag w:val="_TUP_46937c9656934b67a9abb141e7420d0e"/>
              <w:id w:val="-121704034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tcBorders>
                      <w:top w:val="single" w:color="auto" w:sz="4" w:space="0"/>
                      <w:left w:val="single" w:color="auto" w:sz="4" w:space="0"/>
                      <w:bottom w:val="single" w:color="auto" w:sz="4" w:space="0"/>
                      <w:right w:val="single" w:color="auto" w:sz="4" w:space="0"/>
                    </w:tcBorders>
                  </w:tcPr>
                  <w:p>
                    <w:pPr>
                      <w:rPr>
                        <w:szCs w:val="21"/>
                      </w:rPr>
                    </w:pPr>
                    <w:r>
                      <w:t>罚款收入</w:t>
                    </w:r>
                  </w:p>
                </w:tc>
                <w:tc>
                  <w:tcPr>
                    <w:tcW w:w="1131" w:type="pct"/>
                    <w:tcBorders>
                      <w:top w:val="single" w:color="auto" w:sz="4" w:space="0"/>
                      <w:left w:val="single" w:color="auto" w:sz="4" w:space="0"/>
                      <w:bottom w:val="single" w:color="auto" w:sz="4" w:space="0"/>
                      <w:right w:val="single" w:color="auto" w:sz="4" w:space="0"/>
                    </w:tcBorders>
                  </w:tcPr>
                  <w:p>
                    <w:pPr>
                      <w:jc w:val="right"/>
                      <w:rPr>
                        <w:szCs w:val="21"/>
                      </w:rPr>
                    </w:pPr>
                    <w:r>
                      <w:t>514,221.01</w:t>
                    </w:r>
                  </w:p>
                </w:tc>
                <w:tc>
                  <w:tcPr>
                    <w:tcW w:w="1279" w:type="pct"/>
                    <w:tcBorders>
                      <w:top w:val="single" w:color="auto" w:sz="4" w:space="0"/>
                      <w:left w:val="single" w:color="auto" w:sz="4" w:space="0"/>
                      <w:bottom w:val="single" w:color="auto" w:sz="4" w:space="0"/>
                      <w:right w:val="single" w:color="auto" w:sz="4" w:space="0"/>
                    </w:tcBorders>
                  </w:tcPr>
                  <w:p>
                    <w:pPr>
                      <w:jc w:val="right"/>
                      <w:rPr>
                        <w:szCs w:val="21"/>
                      </w:rPr>
                    </w:pPr>
                    <w:r>
                      <w:t>441,599.60</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514,221.01</w:t>
                    </w:r>
                  </w:p>
                </w:tc>
              </w:tr>
            </w:sdtContent>
          </w:sdt>
          <w:sdt>
            <w:sdtPr>
              <w:rPr>
                <w:rFonts w:hint="eastAsia"/>
                <w:szCs w:val="21"/>
              </w:rPr>
              <w:alias w:val="营业外收入明细"/>
              <w:tag w:val="_TUP_46937c9656934b67a9abb141e7420d0e"/>
              <w:id w:val="-172450859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tcBorders>
                      <w:top w:val="single" w:color="auto" w:sz="4" w:space="0"/>
                      <w:left w:val="single" w:color="auto" w:sz="4" w:space="0"/>
                      <w:bottom w:val="single" w:color="auto" w:sz="4" w:space="0"/>
                      <w:right w:val="single" w:color="auto" w:sz="4" w:space="0"/>
                    </w:tcBorders>
                  </w:tcPr>
                  <w:p>
                    <w:pPr>
                      <w:rPr>
                        <w:szCs w:val="21"/>
                      </w:rPr>
                    </w:pPr>
                    <w:r>
                      <w:t>无法支付的应付款项</w:t>
                    </w:r>
                  </w:p>
                </w:tc>
                <w:tc>
                  <w:tcPr>
                    <w:tcW w:w="1131" w:type="pct"/>
                    <w:tcBorders>
                      <w:top w:val="single" w:color="auto" w:sz="4" w:space="0"/>
                      <w:left w:val="single" w:color="auto" w:sz="4" w:space="0"/>
                      <w:bottom w:val="single" w:color="auto" w:sz="4" w:space="0"/>
                      <w:right w:val="single" w:color="auto" w:sz="4" w:space="0"/>
                    </w:tcBorders>
                  </w:tcPr>
                  <w:p>
                    <w:pPr>
                      <w:jc w:val="right"/>
                      <w:rPr>
                        <w:szCs w:val="21"/>
                      </w:rPr>
                    </w:pPr>
                    <w:r>
                      <w:t>892,288.84</w:t>
                    </w:r>
                  </w:p>
                </w:tc>
                <w:tc>
                  <w:tcPr>
                    <w:tcW w:w="1279"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892,288.84</w:t>
                    </w:r>
                  </w:p>
                </w:tc>
              </w:tr>
            </w:sdtContent>
          </w:sdt>
          <w:sdt>
            <w:sdtPr>
              <w:rPr>
                <w:rFonts w:hint="eastAsia"/>
                <w:szCs w:val="21"/>
              </w:rPr>
              <w:alias w:val="营业外收入明细"/>
              <w:tag w:val="_TUP_46937c9656934b67a9abb141e7420d0e"/>
              <w:id w:val="1208601407"/>
              <w:lock w:val="sdtLocked"/>
            </w:sdtPr>
            <w:sdtEndPr>
              <w:rPr>
                <w:rFonts w:hint="default"/>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pct"/>
                    <w:tcBorders>
                      <w:top w:val="single" w:color="auto" w:sz="4" w:space="0"/>
                      <w:left w:val="single" w:color="auto" w:sz="4" w:space="0"/>
                      <w:bottom w:val="single" w:color="auto" w:sz="4" w:space="0"/>
                      <w:right w:val="single" w:color="auto" w:sz="4" w:space="0"/>
                    </w:tcBorders>
                  </w:tcPr>
                  <w:p>
                    <w:pPr>
                      <w:rPr>
                        <w:szCs w:val="21"/>
                      </w:rPr>
                    </w:pPr>
                    <w:r>
                      <w:t>其他</w:t>
                    </w:r>
                  </w:p>
                </w:tc>
                <w:tc>
                  <w:tcPr>
                    <w:tcW w:w="1131" w:type="pct"/>
                    <w:tcBorders>
                      <w:top w:val="single" w:color="auto" w:sz="4" w:space="0"/>
                      <w:left w:val="single" w:color="auto" w:sz="4" w:space="0"/>
                      <w:bottom w:val="single" w:color="auto" w:sz="4" w:space="0"/>
                      <w:right w:val="single" w:color="auto" w:sz="4" w:space="0"/>
                    </w:tcBorders>
                  </w:tcPr>
                  <w:p>
                    <w:pPr>
                      <w:jc w:val="right"/>
                    </w:pPr>
                    <w:r>
                      <w:t>2,856,842.83</w:t>
                    </w:r>
                  </w:p>
                </w:tc>
                <w:tc>
                  <w:tcPr>
                    <w:tcW w:w="1279" w:type="pct"/>
                    <w:tcBorders>
                      <w:top w:val="single" w:color="auto" w:sz="4" w:space="0"/>
                      <w:left w:val="single" w:color="auto" w:sz="4" w:space="0"/>
                      <w:bottom w:val="single" w:color="auto" w:sz="4" w:space="0"/>
                      <w:right w:val="single" w:color="auto" w:sz="4" w:space="0"/>
                    </w:tcBorders>
                  </w:tcPr>
                  <w:p>
                    <w:pPr>
                      <w:jc w:val="right"/>
                      <w:rPr>
                        <w:szCs w:val="21"/>
                      </w:rPr>
                    </w:pPr>
                    <w:r>
                      <w:t>5,547,128.51</w:t>
                    </w:r>
                  </w:p>
                </w:tc>
                <w:tc>
                  <w:tcPr>
                    <w:tcW w:w="1280" w:type="pct"/>
                    <w:tcBorders>
                      <w:top w:val="single" w:color="auto" w:sz="4" w:space="0"/>
                      <w:left w:val="single" w:color="auto" w:sz="4" w:space="0"/>
                      <w:bottom w:val="single" w:color="auto" w:sz="4" w:space="0"/>
                      <w:right w:val="single" w:color="auto" w:sz="4" w:space="0"/>
                    </w:tcBorders>
                  </w:tcPr>
                  <w:p>
                    <w:pPr>
                      <w:jc w:val="right"/>
                    </w:pPr>
                    <w:r>
                      <w:t>2,856,842.83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701136e79c0479f9536922958a26987"/>
                <w:id w:val="-1645653051"/>
                <w:lock w:val="sdtLocked"/>
              </w:sdtPr>
              <w:sdtContent>
                <w:tc>
                  <w:tcPr>
                    <w:tcW w:w="131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1131" w:type="pct"/>
                <w:tcBorders>
                  <w:top w:val="single" w:color="auto" w:sz="4" w:space="0"/>
                  <w:left w:val="single" w:color="auto" w:sz="4" w:space="0"/>
                  <w:bottom w:val="single" w:color="auto" w:sz="4" w:space="0"/>
                  <w:right w:val="single" w:color="auto" w:sz="4" w:space="0"/>
                </w:tcBorders>
                <w:vAlign w:val="center"/>
              </w:tcPr>
              <w:p>
                <w:pPr>
                  <w:jc w:val="right"/>
                  <w:rPr>
                    <w:sz w:val="24"/>
                  </w:rPr>
                </w:pPr>
                <w:r>
                  <w:t>5,372,481.67</w:t>
                </w:r>
              </w:p>
            </w:tc>
            <w:tc>
              <w:tcPr>
                <w:tcW w:w="1279" w:type="pct"/>
                <w:tcBorders>
                  <w:top w:val="single" w:color="auto" w:sz="4" w:space="0"/>
                  <w:left w:val="single" w:color="auto" w:sz="4" w:space="0"/>
                  <w:bottom w:val="single" w:color="auto" w:sz="4" w:space="0"/>
                  <w:right w:val="single" w:color="auto" w:sz="4" w:space="0"/>
                </w:tcBorders>
                <w:vAlign w:val="center"/>
              </w:tcPr>
              <w:p>
                <w:pPr>
                  <w:jc w:val="right"/>
                  <w:rPr>
                    <w:sz w:val="24"/>
                  </w:rPr>
                </w:pPr>
                <w:r>
                  <w:t>8,733,579.01</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sz w:val="24"/>
                  </w:rPr>
                </w:pPr>
                <w:r>
                  <w:t>5,372,481.67</w:t>
                </w:r>
              </w:p>
            </w:tc>
          </w:tr>
        </w:tbl>
        <w:p/>
      </w:sdtContent>
    </w:sdt>
    <w:sdt>
      <w:sdtPr>
        <w:rPr>
          <w:rFonts w:hint="eastAsia"/>
          <w:b/>
        </w:rPr>
        <w:alias w:val="模块:计入当期损益的政府补助"/>
        <w:tag w:val="_SEC_7da34acddedf41ad98cc013fa3418dfa"/>
        <w:id w:val="-515765472"/>
        <w:lock w:val="sdtLocked"/>
        <w:placeholder>
          <w:docPart w:val="GBC22222222222222222222222222222"/>
        </w:placeholder>
      </w:sdtPr>
      <w:sdtEndPr>
        <w:rPr>
          <w:rFonts w:hint="default"/>
          <w:b w:val="0"/>
        </w:rPr>
      </w:sdtEndPr>
      <w:sdtContent>
        <w:p>
          <w:pPr>
            <w:rPr>
              <w:rStyle w:val="152"/>
              <w:rFonts w:ascii="宋体" w:hAnsi="宋体"/>
              <w:b w:val="0"/>
              <w:szCs w:val="21"/>
            </w:rPr>
          </w:pPr>
          <w:r>
            <w:rPr>
              <w:rStyle w:val="152"/>
              <w:rFonts w:hint="eastAsia" w:ascii="宋体" w:hAnsi="宋体"/>
              <w:b w:val="0"/>
              <w:szCs w:val="21"/>
            </w:rPr>
            <w:t>计入当期</w:t>
          </w:r>
          <w:r>
            <w:rPr>
              <w:rFonts w:hint="eastAsia"/>
            </w:rPr>
            <w:t>损益</w:t>
          </w:r>
          <w:r>
            <w:rPr>
              <w:rStyle w:val="152"/>
              <w:rFonts w:hint="eastAsia" w:ascii="宋体" w:hAnsi="宋体"/>
              <w:b w:val="0"/>
              <w:szCs w:val="21"/>
            </w:rPr>
            <w:t>的政府补助</w:t>
          </w:r>
        </w:p>
        <w:sdt>
          <w:sdtPr>
            <w:rPr>
              <w:rStyle w:val="152"/>
              <w:rFonts w:ascii="宋体" w:hAnsi="宋体"/>
              <w:b w:val="0"/>
              <w:szCs w:val="21"/>
            </w:rPr>
            <w:alias w:val="是否适用：计入当期损益的政府补助[双击切换]"/>
            <w:tag w:val="_GBC_4a57096a511a4052b159cd6811fa40df"/>
            <w:id w:val="2115396345"/>
            <w:lock w:val="sdtLocked"/>
            <w:placeholder>
              <w:docPart w:val="GBC22222222222222222222222222222"/>
            </w:placeholder>
          </w:sdtPr>
          <w:sdtEndPr>
            <w:rPr>
              <w:rStyle w:val="152"/>
              <w:rFonts w:ascii="宋体" w:hAnsi="宋体"/>
              <w:b w:val="0"/>
              <w:szCs w:val="21"/>
            </w:rPr>
          </w:sdtEndPr>
          <w:sdtContent>
            <w:p>
              <w:pPr>
                <w:rPr>
                  <w:rStyle w:val="152"/>
                  <w:rFonts w:ascii="宋体" w:hAnsi="宋体"/>
                  <w:b w:val="0"/>
                  <w:szCs w:val="21"/>
                </w:rPr>
              </w:pPr>
              <w:r>
                <w:rPr>
                  <w:rStyle w:val="152"/>
                  <w:rFonts w:ascii="宋体" w:hAnsi="宋体"/>
                  <w:b w:val="0"/>
                  <w:szCs w:val="21"/>
                </w:rPr>
                <w:fldChar w:fldCharType="begin"/>
              </w:r>
              <w:r>
                <w:rPr>
                  <w:rStyle w:val="152"/>
                  <w:rFonts w:ascii="宋体" w:hAnsi="宋体"/>
                  <w:b w:val="0"/>
                  <w:szCs w:val="21"/>
                </w:rPr>
                <w:instrText xml:space="preserve">MACROBUTTON  SnrToggleCheckbox √适用 </w:instrText>
              </w:r>
              <w:r>
                <w:rPr>
                  <w:rStyle w:val="152"/>
                  <w:rFonts w:ascii="宋体" w:hAnsi="宋体"/>
                  <w:b w:val="0"/>
                  <w:szCs w:val="21"/>
                </w:rPr>
                <w:fldChar w:fldCharType="end"/>
              </w:r>
              <w:r>
                <w:rPr>
                  <w:rStyle w:val="152"/>
                  <w:rFonts w:ascii="宋体" w:hAnsi="宋体"/>
                  <w:b w:val="0"/>
                  <w:szCs w:val="21"/>
                </w:rPr>
                <w:fldChar w:fldCharType="begin"/>
              </w:r>
              <w:r>
                <w:rPr>
                  <w:rStyle w:val="152"/>
                  <w:rFonts w:ascii="宋体" w:hAnsi="宋体"/>
                  <w:b w:val="0"/>
                  <w:szCs w:val="21"/>
                </w:rPr>
                <w:instrText xml:space="preserve"> MACROBUTTON  SnrToggleCheckbox □不适用 </w:instrText>
              </w:r>
              <w:r>
                <w:rPr>
                  <w:rStyle w:val="152"/>
                  <w:rFonts w:ascii="宋体" w:hAnsi="宋体"/>
                  <w:b w:val="0"/>
                  <w:szCs w:val="21"/>
                </w:rPr>
                <w:fldChar w:fldCharType="end"/>
              </w:r>
            </w:p>
          </w:sdtContent>
        </w:sdt>
        <w:p>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96570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4950046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977"/>
            <w:gridCol w:w="2186"/>
            <w:gridCol w:w="2186"/>
            <w:gridCol w:w="2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556" w:hRule="atLeast"/>
              <w:jc w:val="center"/>
            </w:trPr>
            <w:sdt>
              <w:sdtPr>
                <w:tag w:val="_PLD_86798175e8274935b14c55657369624d"/>
                <w:id w:val="-657077429"/>
                <w:lock w:val="sdtLocked"/>
              </w:sdtPr>
              <w:sdtContent>
                <w:tc>
                  <w:tcPr>
                    <w:tcW w:w="1158"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补助项目</w:t>
                    </w:r>
                  </w:p>
                </w:tc>
              </w:sdtContent>
            </w:sdt>
            <w:sdt>
              <w:sdtPr>
                <w:tag w:val="_PLD_4aa15420d5c045e4a4982225afbb2ce5"/>
                <w:id w:val="1732653031"/>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本期发生</w:t>
                    </w:r>
                    <w:r>
                      <w:rPr>
                        <w:rFonts w:hint="eastAsia"/>
                        <w:szCs w:val="21"/>
                      </w:rPr>
                      <w:t>金</w:t>
                    </w:r>
                    <w:r>
                      <w:rPr>
                        <w:szCs w:val="21"/>
                      </w:rPr>
                      <w:t>额</w:t>
                    </w:r>
                  </w:p>
                </w:tc>
              </w:sdtContent>
            </w:sdt>
            <w:sdt>
              <w:sdtPr>
                <w:tag w:val="_PLD_698f3be90de143b0ab21d08bd35dfea3"/>
                <w:id w:val="-140110944"/>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上期发生</w:t>
                    </w:r>
                    <w:r>
                      <w:rPr>
                        <w:rFonts w:hint="eastAsia"/>
                        <w:szCs w:val="21"/>
                      </w:rPr>
                      <w:t>金</w:t>
                    </w:r>
                    <w:r>
                      <w:rPr>
                        <w:szCs w:val="21"/>
                      </w:rPr>
                      <w:t>额</w:t>
                    </w:r>
                  </w:p>
                </w:tc>
              </w:sdtContent>
            </w:sdt>
            <w:sdt>
              <w:sdtPr>
                <w:tag w:val="_PLD_1ccc55fac54348899e665549cfebd368"/>
                <w:id w:val="830175831"/>
                <w:lock w:val="sdtLocked"/>
              </w:sdtPr>
              <w:sdtContent>
                <w:tc>
                  <w:tcPr>
                    <w:tcW w:w="128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与资产相关/与收益相关</w:t>
                    </w:r>
                  </w:p>
                </w:tc>
              </w:sdtContent>
            </w:sdt>
          </w:tr>
          <w:sdt>
            <w:sdtPr>
              <w:rPr>
                <w:szCs w:val="21"/>
              </w:rPr>
              <w:alias w:val="计入当期损益的政府补助明细"/>
              <w:tag w:val="_TUP_a1482265863e4cccb3ef6f5ba7bda669"/>
              <w:id w:val="-93251732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15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非公党建专项经费</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176,200.00</w:t>
                    </w:r>
                  </w:p>
                </w:tc>
                <w:tc>
                  <w:tcPr>
                    <w:tcW w:w="1282"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szCs w:val="21"/>
              </w:rPr>
              <w:alias w:val="计入当期损益的政府补助明细"/>
              <w:tag w:val="_TUP_a1482265863e4cccb3ef6f5ba7bda669"/>
              <w:id w:val="-212760967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15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其他</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99,452.58</w:t>
                    </w:r>
                  </w:p>
                </w:tc>
                <w:tc>
                  <w:tcPr>
                    <w:tcW w:w="1282" w:type="pct"/>
                    <w:tcBorders>
                      <w:top w:val="single" w:color="auto" w:sz="4" w:space="0"/>
                      <w:left w:val="single" w:color="auto" w:sz="4" w:space="0"/>
                      <w:bottom w:val="single" w:color="auto" w:sz="4" w:space="0"/>
                      <w:right w:val="single" w:color="auto" w:sz="4" w:space="0"/>
                    </w:tcBorders>
                  </w:tcPr>
                  <w:p>
                    <w:pPr>
                      <w:rPr>
                        <w:szCs w:val="21"/>
                      </w:rPr>
                    </w:pPr>
                  </w:p>
                </w:tc>
              </w:tr>
            </w:sdtContent>
          </w:sdt>
          <w:sdt>
            <w:sdtPr>
              <w:rPr>
                <w:szCs w:val="21"/>
              </w:rPr>
              <w:alias w:val="计入当期损益的政府补助明细"/>
              <w:tag w:val="_TUP_a1482265863e4cccb3ef6f5ba7bda669"/>
              <w:id w:val="212419104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jc w:val="center"/>
                </w:trPr>
                <w:tc>
                  <w:tcPr>
                    <w:tcW w:w="1158" w:type="pct"/>
                    <w:tcBorders>
                      <w:top w:val="single" w:color="auto" w:sz="4" w:space="0"/>
                      <w:left w:val="single" w:color="auto" w:sz="4" w:space="0"/>
                      <w:bottom w:val="single" w:color="auto" w:sz="4" w:space="0"/>
                      <w:right w:val="single" w:color="auto" w:sz="4" w:space="0"/>
                    </w:tcBorders>
                    <w:vAlign w:val="center"/>
                  </w:tcPr>
                  <w:p>
                    <w:pPr>
                      <w:jc w:val="center"/>
                      <w:rPr>
                        <w:szCs w:val="21"/>
                      </w:rPr>
                    </w:pPr>
                    <w:r>
                      <w:t>合计</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275,652.58</w:t>
                    </w:r>
                  </w:p>
                </w:tc>
                <w:tc>
                  <w:tcPr>
                    <w:tcW w:w="1282" w:type="pct"/>
                    <w:tcBorders>
                      <w:top w:val="single" w:color="auto" w:sz="4" w:space="0"/>
                      <w:left w:val="single" w:color="auto" w:sz="4" w:space="0"/>
                      <w:bottom w:val="single" w:color="auto" w:sz="4" w:space="0"/>
                      <w:right w:val="single" w:color="auto" w:sz="4" w:space="0"/>
                    </w:tcBorders>
                  </w:tcPr>
                  <w:p>
                    <w:pPr>
                      <w:rPr>
                        <w:szCs w:val="21"/>
                      </w:rPr>
                    </w:pPr>
                    <w:r>
                      <w:t> </w:t>
                    </w:r>
                  </w:p>
                </w:tc>
              </w:tr>
            </w:sdtContent>
          </w:sdt>
        </w:tbl>
        <w:p/>
      </w:sdtContent>
    </w:sdt>
    <w:sdt>
      <w:sdtPr>
        <w:rPr>
          <w:rFonts w:hint="eastAsia"/>
          <w:szCs w:val="21"/>
        </w:rPr>
        <w:alias w:val="模块:营业外收入说明"/>
        <w:tag w:val="_SEC_784c1ba1d166453d9ae358ccd8c78ff4"/>
        <w:id w:val="-1824116552"/>
        <w:lock w:val="sdtLocked"/>
        <w:placeholder>
          <w:docPart w:val="GBC22222222222222222222222222222"/>
        </w:placeholder>
      </w:sdtPr>
      <w:sdtEndPr>
        <w:rPr>
          <w:rFonts w:hint="eastAsia"/>
          <w:szCs w:val="21"/>
        </w:rPr>
      </w:sdtEndPr>
      <w:sdtContent>
        <w:p>
          <w:pPr>
            <w:spacing w:before="60" w:after="60" w:line="360" w:lineRule="exact"/>
            <w:rPr>
              <w:szCs w:val="21"/>
            </w:rPr>
          </w:pPr>
          <w:r>
            <w:rPr>
              <w:rFonts w:hint="eastAsia"/>
              <w:szCs w:val="21"/>
            </w:rPr>
            <w:t>其他说明：</w:t>
          </w:r>
        </w:p>
        <w:sdt>
          <w:sdtPr>
            <w:rPr>
              <w:szCs w:val="21"/>
            </w:rPr>
            <w:alias w:val="是否适用：营业外收入说明[双击切换]"/>
            <w:tag w:val="_GBC_746f9c9c9cab4c2a87c7913a430e2392"/>
            <w:id w:val="231897506"/>
            <w:lock w:val="sdtLocked"/>
            <w:placeholder>
              <w:docPart w:val="GBC22222222222222222222222222222"/>
            </w:placeholder>
          </w:sdtPr>
          <w:sdtEndPr>
            <w:rPr>
              <w:szCs w:val="21"/>
            </w:rPr>
          </w:sdtEndPr>
          <w:sdtContent>
            <w:p>
              <w:pPr>
                <w:spacing w:before="60" w:after="60"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营业外支出"/>
        <w:tag w:val="_SEC_c9367abe549f4ea783abbf3c125e949f"/>
        <w:id w:val="-821968165"/>
        <w:lock w:val="sdtLocked"/>
        <w:placeholder>
          <w:docPart w:val="GBC22222222222222222222222222222"/>
        </w:placeholder>
      </w:sdtPr>
      <w:sdtEndPr>
        <w:rPr>
          <w:rFonts w:hint="eastAsia" w:asciiTheme="minorHAnsi" w:hAnsiTheme="minorHAnsi" w:cstheme="minorBidi"/>
          <w:b w:val="0"/>
          <w:bCs w:val="0"/>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营业外支出</w:t>
          </w:r>
        </w:p>
        <w:sdt>
          <w:sdtPr>
            <w:rPr>
              <w:rFonts w:hint="eastAsia"/>
              <w:szCs w:val="21"/>
            </w:rPr>
            <w:alias w:val="是否适用：营业外支出[双击切换]"/>
            <w:tag w:val="_GBC_8e8d3e6e563742f48edf759d6034f4ce"/>
            <w:id w:val="1590881306"/>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财务附注：营业外支出"/>
              <w:tag w:val="_GBC_825ccc5a51fd47a4888bf19121bc88e6"/>
              <w:id w:val="54942220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3291250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0"/>
            <w:gridCol w:w="2239"/>
            <w:gridCol w:w="2195"/>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e5b39f95fae41609c103f36a1017c54"/>
                <w:id w:val="-1934896654"/>
                <w:lock w:val="sdtLocked"/>
              </w:sdtPr>
              <w:sdtContent>
                <w:tc>
                  <w:tcPr>
                    <w:tcW w:w="112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项目</w:t>
                    </w:r>
                  </w:p>
                </w:tc>
              </w:sdtContent>
            </w:sdt>
            <w:sdt>
              <w:sdtPr>
                <w:tag w:val="_PLD_9ea5703e0d9641a1acf20638053e3dd5"/>
                <w:id w:val="-1659838998"/>
                <w:lock w:val="sdtLocked"/>
              </w:sdtPr>
              <w:sdtContent>
                <w:tc>
                  <w:tcPr>
                    <w:tcW w:w="131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本期发生额</w:t>
                    </w:r>
                  </w:p>
                </w:tc>
              </w:sdtContent>
            </w:sdt>
            <w:sdt>
              <w:sdtPr>
                <w:tag w:val="_PLD_27cbc4bb29594bcfa61154a0d46b4d20"/>
                <w:id w:val="-886113741"/>
                <w:lock w:val="sdtLocked"/>
              </w:sdtPr>
              <w:sdtContent>
                <w:tc>
                  <w:tcPr>
                    <w:tcW w:w="12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上期发生额</w:t>
                    </w:r>
                  </w:p>
                </w:tc>
              </w:sdtContent>
            </w:sdt>
            <w:sdt>
              <w:sdtPr>
                <w:tag w:val="_PLD_cab5bf568f924fed9d087fb26b588481"/>
                <w:id w:val="-421492139"/>
                <w:lock w:val="sdtLocked"/>
              </w:sdtPr>
              <w:sdtContent>
                <w:tc>
                  <w:tcPr>
                    <w:tcW w:w="1280"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center"/>
                      <w:rPr>
                        <w:szCs w:val="21"/>
                      </w:rPr>
                    </w:pPr>
                    <w:r>
                      <w:rPr>
                        <w:rFonts w:hint="eastAsia"/>
                        <w:szCs w:val="21"/>
                      </w:rPr>
                      <w:t>计入当期非经常性损益的金额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e47fed3bcb1413ea1180de7d4fc5c85"/>
                <w:id w:val="855766033"/>
                <w:lock w:val="sdtLocked"/>
              </w:sdtPr>
              <w:sdtContent>
                <w:tc>
                  <w:tcPr>
                    <w:tcW w:w="112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center"/>
                      <w:rPr>
                        <w:szCs w:val="21"/>
                      </w:rPr>
                    </w:pPr>
                    <w:r>
                      <w:rPr>
                        <w:rFonts w:hint="eastAsia"/>
                        <w:szCs w:val="21"/>
                      </w:rPr>
                      <w:t>对外捐赠</w:t>
                    </w:r>
                  </w:p>
                </w:tc>
              </w:sdtContent>
            </w:sdt>
            <w:tc>
              <w:tcPr>
                <w:tcW w:w="1313" w:type="pct"/>
                <w:tcBorders>
                  <w:top w:val="single" w:color="auto" w:sz="4" w:space="0"/>
                  <w:left w:val="single" w:color="auto" w:sz="4" w:space="0"/>
                  <w:bottom w:val="single" w:color="auto" w:sz="4" w:space="0"/>
                  <w:right w:val="single" w:color="auto" w:sz="4" w:space="0"/>
                </w:tcBorders>
              </w:tcPr>
              <w:p>
                <w:pPr>
                  <w:jc w:val="right"/>
                  <w:rPr>
                    <w:szCs w:val="21"/>
                  </w:rPr>
                </w:pPr>
                <w:r>
                  <w:t>29,800.00</w:t>
                </w:r>
              </w:p>
            </w:tc>
            <w:tc>
              <w:tcPr>
                <w:tcW w:w="1287" w:type="pct"/>
                <w:tcBorders>
                  <w:top w:val="single" w:color="auto" w:sz="4" w:space="0"/>
                  <w:left w:val="single" w:color="auto" w:sz="4" w:space="0"/>
                  <w:bottom w:val="single" w:color="auto" w:sz="4" w:space="0"/>
                  <w:right w:val="single" w:color="auto" w:sz="4" w:space="0"/>
                </w:tcBorders>
              </w:tcPr>
              <w:p>
                <w:pPr>
                  <w:jc w:val="right"/>
                  <w:rPr>
                    <w:szCs w:val="21"/>
                  </w:rPr>
                </w:pPr>
                <w:r>
                  <w:t>212,934.36</w:t>
                </w:r>
              </w:p>
            </w:tc>
            <w:tc>
              <w:tcPr>
                <w:tcW w:w="1280"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r>
                  <w:t>29,800.00</w:t>
                </w:r>
              </w:p>
            </w:tc>
          </w:tr>
          <w:sdt>
            <w:sdtPr>
              <w:rPr>
                <w:rFonts w:hint="eastAsia"/>
                <w:szCs w:val="21"/>
              </w:rPr>
              <w:alias w:val="营业外支出明细"/>
              <w:tag w:val="_TUP_bd09bb7bd32c41f2b26ca414c6e9418d"/>
              <w:id w:val="-162745289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jc w:val="center"/>
                      <w:rPr>
                        <w:szCs w:val="21"/>
                      </w:rPr>
                    </w:pPr>
                    <w:r>
                      <w:t>罚款支出</w:t>
                    </w:r>
                  </w:p>
                </w:tc>
                <w:tc>
                  <w:tcPr>
                    <w:tcW w:w="1313" w:type="pct"/>
                    <w:tcBorders>
                      <w:top w:val="single" w:color="auto" w:sz="4" w:space="0"/>
                      <w:left w:val="single" w:color="auto" w:sz="4" w:space="0"/>
                      <w:bottom w:val="single" w:color="auto" w:sz="4" w:space="0"/>
                      <w:right w:val="single" w:color="auto" w:sz="4" w:space="0"/>
                    </w:tcBorders>
                  </w:tcPr>
                  <w:p>
                    <w:pPr>
                      <w:jc w:val="right"/>
                      <w:rPr>
                        <w:szCs w:val="21"/>
                      </w:rPr>
                    </w:pPr>
                    <w:r>
                      <w:t>991,606.42</w:t>
                    </w:r>
                  </w:p>
                </w:tc>
                <w:tc>
                  <w:tcPr>
                    <w:tcW w:w="1287" w:type="pct"/>
                    <w:tcBorders>
                      <w:top w:val="single" w:color="auto" w:sz="4" w:space="0"/>
                      <w:left w:val="single" w:color="auto" w:sz="4" w:space="0"/>
                      <w:bottom w:val="single" w:color="auto" w:sz="4" w:space="0"/>
                      <w:right w:val="single" w:color="auto" w:sz="4" w:space="0"/>
                    </w:tcBorders>
                  </w:tcPr>
                  <w:p>
                    <w:pPr>
                      <w:jc w:val="right"/>
                      <w:rPr>
                        <w:szCs w:val="21"/>
                      </w:rPr>
                    </w:pPr>
                    <w:r>
                      <w:t>1,262,344.09</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991,606.42</w:t>
                    </w:r>
                  </w:p>
                </w:tc>
              </w:tr>
            </w:sdtContent>
          </w:sdt>
          <w:sdt>
            <w:sdtPr>
              <w:rPr>
                <w:rFonts w:hint="eastAsia"/>
                <w:szCs w:val="21"/>
              </w:rPr>
              <w:alias w:val="营业外支出明细"/>
              <w:tag w:val="_TUP_bd09bb7bd32c41f2b26ca414c6e9418d"/>
              <w:id w:val="196337697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jc w:val="center"/>
                      <w:rPr>
                        <w:szCs w:val="21"/>
                      </w:rPr>
                    </w:pPr>
                    <w:r>
                      <w:t>赔偿支出</w:t>
                    </w:r>
                  </w:p>
                </w:tc>
                <w:tc>
                  <w:tcPr>
                    <w:tcW w:w="1313" w:type="pct"/>
                    <w:tcBorders>
                      <w:top w:val="single" w:color="auto" w:sz="4" w:space="0"/>
                      <w:left w:val="single" w:color="auto" w:sz="4" w:space="0"/>
                      <w:bottom w:val="single" w:color="auto" w:sz="4" w:space="0"/>
                      <w:right w:val="single" w:color="auto" w:sz="4" w:space="0"/>
                    </w:tcBorders>
                  </w:tcPr>
                  <w:p>
                    <w:pPr>
                      <w:jc w:val="right"/>
                      <w:rPr>
                        <w:szCs w:val="21"/>
                      </w:rPr>
                    </w:pPr>
                    <w:r>
                      <w:t>3,610,736.22</w:t>
                    </w:r>
                  </w:p>
                </w:tc>
                <w:tc>
                  <w:tcPr>
                    <w:tcW w:w="1287" w:type="pct"/>
                    <w:tcBorders>
                      <w:top w:val="single" w:color="auto" w:sz="4" w:space="0"/>
                      <w:left w:val="single" w:color="auto" w:sz="4" w:space="0"/>
                      <w:bottom w:val="single" w:color="auto" w:sz="4" w:space="0"/>
                      <w:right w:val="single" w:color="auto" w:sz="4" w:space="0"/>
                    </w:tcBorders>
                  </w:tcPr>
                  <w:p>
                    <w:pPr>
                      <w:jc w:val="right"/>
                      <w:rPr>
                        <w:szCs w:val="21"/>
                      </w:rPr>
                    </w:pPr>
                    <w:r>
                      <w:t>693,363,284.82</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3,610,736.22</w:t>
                    </w:r>
                  </w:p>
                </w:tc>
              </w:tr>
            </w:sdtContent>
          </w:sdt>
          <w:sdt>
            <w:sdtPr>
              <w:rPr>
                <w:rFonts w:hint="eastAsia"/>
                <w:szCs w:val="21"/>
              </w:rPr>
              <w:alias w:val="营业外支出明细"/>
              <w:tag w:val="_TUP_bd09bb7bd32c41f2b26ca414c6e9418d"/>
              <w:id w:val="157316042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jc w:val="center"/>
                      <w:rPr>
                        <w:szCs w:val="21"/>
                      </w:rPr>
                    </w:pPr>
                    <w:r>
                      <w:t>非流动资产毁损报废损失</w:t>
                    </w:r>
                  </w:p>
                </w:tc>
                <w:tc>
                  <w:tcPr>
                    <w:tcW w:w="1313" w:type="pct"/>
                    <w:tcBorders>
                      <w:top w:val="single" w:color="auto" w:sz="4" w:space="0"/>
                      <w:left w:val="single" w:color="auto" w:sz="4" w:space="0"/>
                      <w:bottom w:val="single" w:color="auto" w:sz="4" w:space="0"/>
                      <w:right w:val="single" w:color="auto" w:sz="4" w:space="0"/>
                    </w:tcBorders>
                  </w:tcPr>
                  <w:p>
                    <w:pPr>
                      <w:jc w:val="right"/>
                      <w:rPr>
                        <w:szCs w:val="21"/>
                      </w:rPr>
                    </w:pPr>
                    <w:r>
                      <w:t>2,210,863.09</w:t>
                    </w:r>
                  </w:p>
                </w:tc>
                <w:tc>
                  <w:tcPr>
                    <w:tcW w:w="1287" w:type="pct"/>
                    <w:tcBorders>
                      <w:top w:val="single" w:color="auto" w:sz="4" w:space="0"/>
                      <w:left w:val="single" w:color="auto" w:sz="4" w:space="0"/>
                      <w:bottom w:val="single" w:color="auto" w:sz="4" w:space="0"/>
                      <w:right w:val="single" w:color="auto" w:sz="4" w:space="0"/>
                    </w:tcBorders>
                  </w:tcPr>
                  <w:p>
                    <w:pPr>
                      <w:jc w:val="right"/>
                      <w:rPr>
                        <w:szCs w:val="21"/>
                      </w:rPr>
                    </w:pPr>
                    <w:r>
                      <w:t>26,355,430.70</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2,210,863.09</w:t>
                    </w:r>
                  </w:p>
                </w:tc>
              </w:tr>
            </w:sdtContent>
          </w:sdt>
          <w:sdt>
            <w:sdtPr>
              <w:rPr>
                <w:rFonts w:hint="eastAsia"/>
                <w:szCs w:val="21"/>
              </w:rPr>
              <w:alias w:val="营业外支出明细"/>
              <w:tag w:val="_TUP_bd09bb7bd32c41f2b26ca414c6e9418d"/>
              <w:id w:val="68825560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0" w:type="pct"/>
                    <w:tcBorders>
                      <w:top w:val="single" w:color="auto" w:sz="4" w:space="0"/>
                      <w:left w:val="single" w:color="auto" w:sz="4" w:space="0"/>
                      <w:bottom w:val="single" w:color="auto" w:sz="4" w:space="0"/>
                      <w:right w:val="single" w:color="auto" w:sz="4" w:space="0"/>
                    </w:tcBorders>
                  </w:tcPr>
                  <w:p>
                    <w:pPr>
                      <w:jc w:val="center"/>
                      <w:rPr>
                        <w:szCs w:val="21"/>
                      </w:rPr>
                    </w:pPr>
                    <w:r>
                      <w:t>其他</w:t>
                    </w:r>
                  </w:p>
                </w:tc>
                <w:tc>
                  <w:tcPr>
                    <w:tcW w:w="1313" w:type="pct"/>
                    <w:tcBorders>
                      <w:top w:val="single" w:color="auto" w:sz="4" w:space="0"/>
                      <w:left w:val="single" w:color="auto" w:sz="4" w:space="0"/>
                      <w:bottom w:val="single" w:color="auto" w:sz="4" w:space="0"/>
                      <w:right w:val="single" w:color="auto" w:sz="4" w:space="0"/>
                    </w:tcBorders>
                  </w:tcPr>
                  <w:p>
                    <w:pPr>
                      <w:jc w:val="right"/>
                      <w:rPr>
                        <w:szCs w:val="21"/>
                      </w:rPr>
                    </w:pPr>
                    <w:r>
                      <w:t>4,020,960.49</w:t>
                    </w:r>
                  </w:p>
                </w:tc>
                <w:tc>
                  <w:tcPr>
                    <w:tcW w:w="1287" w:type="pct"/>
                    <w:tcBorders>
                      <w:top w:val="single" w:color="auto" w:sz="4" w:space="0"/>
                      <w:left w:val="single" w:color="auto" w:sz="4" w:space="0"/>
                      <w:bottom w:val="single" w:color="auto" w:sz="4" w:space="0"/>
                      <w:right w:val="single" w:color="auto" w:sz="4" w:space="0"/>
                    </w:tcBorders>
                  </w:tcPr>
                  <w:p>
                    <w:pPr>
                      <w:jc w:val="right"/>
                      <w:rPr>
                        <w:szCs w:val="21"/>
                      </w:rPr>
                    </w:pPr>
                    <w:r>
                      <w:t>14,041,759.98</w:t>
                    </w:r>
                  </w:p>
                </w:tc>
                <w:tc>
                  <w:tcPr>
                    <w:tcW w:w="1280" w:type="pct"/>
                    <w:tcBorders>
                      <w:top w:val="single" w:color="auto" w:sz="4" w:space="0"/>
                      <w:left w:val="single" w:color="auto" w:sz="4" w:space="0"/>
                      <w:bottom w:val="single" w:color="auto" w:sz="4" w:space="0"/>
                      <w:right w:val="single" w:color="auto" w:sz="4" w:space="0"/>
                    </w:tcBorders>
                  </w:tcPr>
                  <w:p>
                    <w:pPr>
                      <w:jc w:val="right"/>
                      <w:rPr>
                        <w:szCs w:val="21"/>
                      </w:rPr>
                    </w:pPr>
                    <w:r>
                      <w:t>4,020,960.49</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10e235b598c4cba837dde9ff8f4cdba"/>
                <w:id w:val="-1679577598"/>
                <w:lock w:val="sdtLocked"/>
              </w:sdtPr>
              <w:sdtContent>
                <w:tc>
                  <w:tcPr>
                    <w:tcW w:w="1120" w:type="pct"/>
                    <w:tcBorders>
                      <w:top w:val="single" w:color="auto" w:sz="4" w:space="0"/>
                      <w:left w:val="single" w:color="auto" w:sz="4" w:space="0"/>
                      <w:bottom w:val="single" w:color="auto" w:sz="4" w:space="0"/>
                      <w:right w:val="single" w:color="auto" w:sz="4" w:space="0"/>
                    </w:tcBorders>
                  </w:tcPr>
                  <w:p>
                    <w:pPr>
                      <w:ind w:right="6"/>
                      <w:jc w:val="center"/>
                      <w:rPr>
                        <w:szCs w:val="21"/>
                      </w:rPr>
                    </w:pPr>
                    <w:r>
                      <w:rPr>
                        <w:rFonts w:hint="eastAsia"/>
                        <w:szCs w:val="21"/>
                      </w:rPr>
                      <w:t>合计</w:t>
                    </w:r>
                  </w:p>
                </w:tc>
              </w:sdtContent>
            </w:sdt>
            <w:tc>
              <w:tcPr>
                <w:tcW w:w="1313" w:type="pct"/>
                <w:tcBorders>
                  <w:top w:val="single" w:color="auto" w:sz="4" w:space="0"/>
                  <w:left w:val="single" w:color="auto" w:sz="4" w:space="0"/>
                  <w:bottom w:val="single" w:color="auto" w:sz="4" w:space="0"/>
                  <w:right w:val="single" w:color="auto" w:sz="4" w:space="0"/>
                </w:tcBorders>
                <w:vAlign w:val="center"/>
              </w:tcPr>
              <w:p>
                <w:pPr>
                  <w:jc w:val="right"/>
                  <w:rPr>
                    <w:sz w:val="24"/>
                  </w:rPr>
                </w:pPr>
                <w:r>
                  <w:t>10,863,966.22</w:t>
                </w:r>
              </w:p>
            </w:tc>
            <w:tc>
              <w:tcPr>
                <w:tcW w:w="1287" w:type="pct"/>
                <w:tcBorders>
                  <w:top w:val="single" w:color="auto" w:sz="4" w:space="0"/>
                  <w:left w:val="single" w:color="auto" w:sz="4" w:space="0"/>
                  <w:bottom w:val="single" w:color="auto" w:sz="4" w:space="0"/>
                  <w:right w:val="single" w:color="auto" w:sz="4" w:space="0"/>
                </w:tcBorders>
                <w:vAlign w:val="center"/>
              </w:tcPr>
              <w:p>
                <w:pPr>
                  <w:jc w:val="right"/>
                  <w:rPr>
                    <w:sz w:val="24"/>
                  </w:rPr>
                </w:pPr>
                <w:r>
                  <w:t>735,235,753.95</w:t>
                </w:r>
              </w:p>
            </w:tc>
            <w:tc>
              <w:tcPr>
                <w:tcW w:w="1280" w:type="pct"/>
                <w:tcBorders>
                  <w:top w:val="single" w:color="auto" w:sz="4" w:space="0"/>
                  <w:left w:val="single" w:color="auto" w:sz="4" w:space="0"/>
                  <w:bottom w:val="single" w:color="auto" w:sz="4" w:space="0"/>
                  <w:right w:val="single" w:color="auto" w:sz="4" w:space="0"/>
                </w:tcBorders>
                <w:vAlign w:val="center"/>
              </w:tcPr>
              <w:p>
                <w:pPr>
                  <w:jc w:val="right"/>
                  <w:rPr>
                    <w:sz w:val="24"/>
                  </w:rPr>
                </w:pPr>
                <w:r>
                  <w:t>10,863,966.22</w:t>
                </w:r>
              </w:p>
            </w:tc>
          </w:tr>
        </w:tbl>
        <w:p/>
        <w:p>
          <w:pPr>
            <w:spacing w:before="60" w:after="60"/>
            <w:rPr>
              <w:szCs w:val="21"/>
            </w:rPr>
          </w:pPr>
          <w:r>
            <w:rPr>
              <w:rFonts w:hint="eastAsia"/>
              <w:szCs w:val="21"/>
            </w:rPr>
            <w:t>其他说明：</w:t>
          </w:r>
        </w:p>
        <w:sdt>
          <w:sdtPr>
            <w:rPr>
              <w:rFonts w:hint="eastAsia"/>
              <w:szCs w:val="21"/>
            </w:rPr>
            <w:alias w:val="营业外支出说明"/>
            <w:tag w:val="_GBC_88ac743f9ece44c8ba4b737327409578"/>
            <w:id w:val="-114213583"/>
            <w:lock w:val="sdtLocked"/>
            <w:placeholder>
              <w:docPart w:val="GBC22222222222222222222222222222"/>
            </w:placeholder>
          </w:sdtPr>
          <w:sdtEndPr>
            <w:rPr>
              <w:rFonts w:hint="eastAsia" w:asciiTheme="minorHAnsi" w:hAnsiTheme="minorHAnsi" w:eastAsiaTheme="minorEastAsia"/>
              <w:szCs w:val="21"/>
            </w:rPr>
          </w:sdtEndPr>
          <w:sdtContent>
            <w:p>
              <w:pPr>
                <w:rPr>
                  <w:szCs w:val="21"/>
                </w:rPr>
              </w:pPr>
              <w:r>
                <w:rPr>
                  <w:rFonts w:hint="eastAsia"/>
                  <w:szCs w:val="21"/>
                </w:rPr>
                <w:t>无</w:t>
              </w:r>
            </w:p>
          </w:sdtContent>
        </w:sdt>
      </w:sdtContent>
    </w:sdt>
    <w:p/>
    <w:sdt>
      <w:sdtPr>
        <w:rPr>
          <w:rFonts w:hint="eastAsia" w:ascii="宋体" w:hAnsi="宋体" w:cs="宋体"/>
          <w:b w:val="0"/>
          <w:bCs w:val="0"/>
          <w:kern w:val="0"/>
          <w:szCs w:val="21"/>
        </w:rPr>
        <w:alias w:val="模块:所得税费用"/>
        <w:tag w:val="_SEC_dedc71a0d12742a59ac6ee5cfbfa509f"/>
        <w:id w:val="15673744"/>
        <w:lock w:val="sdtLocked"/>
        <w:placeholder>
          <w:docPart w:val="GBC22222222222222222222222222222"/>
        </w:placeholder>
      </w:sdtPr>
      <w:sdtEndPr>
        <w:rPr>
          <w:rFonts w:hint="default" w:asciiTheme="minorHAnsi" w:hAnsiTheme="minorHAnsi" w:cstheme="minorBidi"/>
          <w:b w:val="0"/>
          <w:bCs w:val="0"/>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所得税费用</w:t>
          </w:r>
        </w:p>
        <w:p>
          <w:pPr>
            <w:pStyle w:val="214"/>
            <w:numPr>
              <w:ilvl w:val="0"/>
              <w:numId w:val="108"/>
            </w:numPr>
            <w:ind w:left="426" w:hanging="426"/>
          </w:pPr>
          <w:r>
            <w:rPr>
              <w:rFonts w:hint="eastAsia"/>
            </w:rPr>
            <w:t>所得税费用表</w:t>
          </w:r>
        </w:p>
        <w:sdt>
          <w:sdtPr>
            <w:alias w:val="是否适用：所得税费用表[双击切换]"/>
            <w:tag w:val="_GBC_3ea18046339d457a8712506679035498"/>
            <w:id w:val="-146164202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75666520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9727463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029"/>
            <w:gridCol w:w="2763"/>
            <w:gridCol w:w="2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279" w:hRule="atLeast"/>
            </w:trPr>
            <w:sdt>
              <w:sdtPr>
                <w:tag w:val="_PLD_e0d72a7f55e04c898352587240ce636b"/>
                <w:id w:val="25216791"/>
                <w:lock w:val="sdtLocked"/>
              </w:sdtPr>
              <w:sdtContent>
                <w:tc>
                  <w:tcPr>
                    <w:tcW w:w="1774" w:type="pct"/>
                    <w:vAlign w:val="center"/>
                  </w:tcPr>
                  <w:p>
                    <w:pPr>
                      <w:ind w:right="6"/>
                      <w:jc w:val="center"/>
                      <w:rPr>
                        <w:szCs w:val="21"/>
                      </w:rPr>
                    </w:pPr>
                    <w:r>
                      <w:rPr>
                        <w:rFonts w:hint="eastAsia"/>
                        <w:szCs w:val="21"/>
                      </w:rPr>
                      <w:t>项目</w:t>
                    </w:r>
                  </w:p>
                </w:tc>
              </w:sdtContent>
            </w:sdt>
            <w:sdt>
              <w:sdtPr>
                <w:tag w:val="_PLD_e2b12491de324856a6b2f7034aa875da"/>
                <w:id w:val="533239426"/>
                <w:lock w:val="sdtLocked"/>
              </w:sdtPr>
              <w:sdtContent>
                <w:tc>
                  <w:tcPr>
                    <w:tcW w:w="1618" w:type="pct"/>
                    <w:vAlign w:val="center"/>
                  </w:tcPr>
                  <w:p>
                    <w:pPr>
                      <w:ind w:right="6"/>
                      <w:jc w:val="center"/>
                      <w:rPr>
                        <w:szCs w:val="21"/>
                      </w:rPr>
                    </w:pPr>
                    <w:r>
                      <w:rPr>
                        <w:rFonts w:hint="eastAsia"/>
                        <w:szCs w:val="21"/>
                      </w:rPr>
                      <w:t>本期发生额</w:t>
                    </w:r>
                  </w:p>
                </w:tc>
              </w:sdtContent>
            </w:sdt>
            <w:sdt>
              <w:sdtPr>
                <w:tag w:val="_PLD_4b2515977b8d462088eb538637703bf1"/>
                <w:id w:val="1304422676"/>
                <w:lock w:val="sdtLocked"/>
              </w:sdtPr>
              <w:sdtContent>
                <w:tc>
                  <w:tcPr>
                    <w:tcW w:w="1608" w:type="pct"/>
                    <w:vAlign w:val="center"/>
                  </w:tcPr>
                  <w:p>
                    <w:pPr>
                      <w:ind w:right="6"/>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b618de0537148aeb9864c6338e1cc40"/>
                <w:id w:val="-17548313"/>
                <w:lock w:val="sdtLocked"/>
              </w:sdtPr>
              <w:sdtContent>
                <w:tc>
                  <w:tcPr>
                    <w:tcW w:w="1774" w:type="pct"/>
                  </w:tcPr>
                  <w:p>
                    <w:pPr>
                      <w:ind w:right="6"/>
                      <w:jc w:val="center"/>
                      <w:rPr>
                        <w:b/>
                        <w:bCs/>
                        <w:szCs w:val="21"/>
                      </w:rPr>
                    </w:pPr>
                    <w:r>
                      <w:rPr>
                        <w:rFonts w:hint="eastAsia"/>
                        <w:szCs w:val="21"/>
                      </w:rPr>
                      <w:t>当期所得税费用</w:t>
                    </w:r>
                  </w:p>
                </w:tc>
              </w:sdtContent>
            </w:sdt>
            <w:tc>
              <w:tcPr>
                <w:tcW w:w="1618" w:type="pct"/>
                <w:vAlign w:val="center"/>
              </w:tcPr>
              <w:p>
                <w:pPr>
                  <w:jc w:val="right"/>
                  <w:rPr>
                    <w:sz w:val="24"/>
                  </w:rPr>
                </w:pPr>
                <w:r>
                  <w:t>5,903,532.01</w:t>
                </w:r>
              </w:p>
            </w:tc>
            <w:tc>
              <w:tcPr>
                <w:tcW w:w="1608" w:type="pct"/>
                <w:vAlign w:val="center"/>
              </w:tcPr>
              <w:p>
                <w:pPr>
                  <w:jc w:val="right"/>
                  <w:rPr>
                    <w:sz w:val="24"/>
                  </w:rPr>
                </w:pPr>
                <w:r>
                  <w:t>5,136,042.72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41728eb82b7b4c598f50b1463edd74e5"/>
                <w:id w:val="1884908597"/>
                <w:lock w:val="sdtLocked"/>
              </w:sdtPr>
              <w:sdtContent>
                <w:tc>
                  <w:tcPr>
                    <w:tcW w:w="1774" w:type="pct"/>
                  </w:tcPr>
                  <w:p>
                    <w:pPr>
                      <w:ind w:right="6"/>
                      <w:jc w:val="center"/>
                      <w:rPr>
                        <w:szCs w:val="21"/>
                      </w:rPr>
                    </w:pPr>
                    <w:r>
                      <w:rPr>
                        <w:rFonts w:hint="eastAsia"/>
                        <w:szCs w:val="21"/>
                      </w:rPr>
                      <w:t>递延所得税费用</w:t>
                    </w:r>
                  </w:p>
                </w:tc>
              </w:sdtContent>
            </w:sdt>
            <w:tc>
              <w:tcPr>
                <w:tcW w:w="1618" w:type="pct"/>
                <w:vAlign w:val="center"/>
              </w:tcPr>
              <w:p>
                <w:pPr>
                  <w:jc w:val="right"/>
                  <w:rPr>
                    <w:sz w:val="24"/>
                  </w:rPr>
                </w:pPr>
                <w:r>
                  <w:t>20,311,755.65</w:t>
                </w:r>
              </w:p>
            </w:tc>
            <w:tc>
              <w:tcPr>
                <w:tcW w:w="1608" w:type="pct"/>
                <w:vAlign w:val="center"/>
              </w:tcPr>
              <w:p>
                <w:pPr>
                  <w:jc w:val="right"/>
                  <w:rPr>
                    <w:sz w:val="24"/>
                  </w:rPr>
                </w:pPr>
                <w:r>
                  <w:t>14,592,165.03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68ddca7a6004bd4964d19fff997989b"/>
                <w:id w:val="2070157793"/>
                <w:lock w:val="sdtLocked"/>
              </w:sdtPr>
              <w:sdtContent>
                <w:tc>
                  <w:tcPr>
                    <w:tcW w:w="1774" w:type="pct"/>
                  </w:tcPr>
                  <w:p>
                    <w:pPr>
                      <w:ind w:right="6"/>
                      <w:jc w:val="center"/>
                      <w:rPr>
                        <w:szCs w:val="21"/>
                      </w:rPr>
                    </w:pPr>
                    <w:r>
                      <w:rPr>
                        <w:rFonts w:hint="eastAsia"/>
                        <w:szCs w:val="21"/>
                      </w:rPr>
                      <w:t>合计</w:t>
                    </w:r>
                  </w:p>
                </w:tc>
              </w:sdtContent>
            </w:sdt>
            <w:tc>
              <w:tcPr>
                <w:tcW w:w="1618" w:type="pct"/>
                <w:vAlign w:val="center"/>
              </w:tcPr>
              <w:p>
                <w:pPr>
                  <w:jc w:val="right"/>
                  <w:rPr>
                    <w:sz w:val="24"/>
                  </w:rPr>
                </w:pPr>
                <w:r>
                  <w:t>26,215,287.66</w:t>
                </w:r>
              </w:p>
            </w:tc>
            <w:tc>
              <w:tcPr>
                <w:tcW w:w="1608" w:type="pct"/>
                <w:vAlign w:val="center"/>
              </w:tcPr>
              <w:p>
                <w:pPr>
                  <w:jc w:val="right"/>
                  <w:rPr>
                    <w:sz w:val="24"/>
                  </w:rPr>
                </w:pPr>
                <w:r>
                  <w:t>19,728,207.75</w:t>
                </w:r>
              </w:p>
            </w:tc>
          </w:tr>
        </w:tbl>
        <w:p>
          <w:pPr>
            <w:rPr>
              <w:szCs w:val="21"/>
            </w:rPr>
          </w:pPr>
        </w:p>
        <w:p>
          <w:pPr>
            <w:pStyle w:val="214"/>
            <w:numPr>
              <w:ilvl w:val="0"/>
              <w:numId w:val="108"/>
            </w:numPr>
            <w:ind w:left="426" w:hanging="426"/>
          </w:pPr>
          <w:r>
            <w:rPr>
              <w:rFonts w:hint="eastAsia"/>
            </w:rPr>
            <w:t>会计利润与所得税费用调整过程</w:t>
          </w:r>
        </w:p>
        <w:sdt>
          <w:sdtPr>
            <w:alias w:val="是否适用：会计利润与所得税费用调整过程[双击切换]"/>
            <w:tag w:val="_GBC_add00d323e2049ad8bc932f632966661"/>
            <w:id w:val="13576578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会计利润与所得税费用调整过程"/>
              <w:tag w:val="_GBC_10825cb9bb5e445c9210ee34dc80406a"/>
              <w:id w:val="40619990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10380805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5217"/>
            <w:gridCol w:w="33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1123621c9879400694da9a8842888e14"/>
                <w:id w:val="-1528942197"/>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项目</w:t>
                    </w:r>
                  </w:p>
                </w:tc>
              </w:sdtContent>
            </w:sdt>
            <w:sdt>
              <w:sdtPr>
                <w:tag w:val="_PLD_4a270148a32846b69754961e55c75a04"/>
                <w:id w:val="-272866456"/>
                <w:lock w:val="sdtLocked"/>
              </w:sdtPr>
              <w:sdtContent>
                <w:tc>
                  <w:tcPr>
                    <w:tcW w:w="1944" w:type="pct"/>
                    <w:tcBorders>
                      <w:top w:val="single" w:color="auto" w:sz="4" w:space="0"/>
                      <w:left w:val="single" w:color="auto" w:sz="4" w:space="0"/>
                      <w:bottom w:val="single" w:color="auto" w:sz="4" w:space="0"/>
                      <w:right w:val="single" w:color="auto" w:sz="4" w:space="0"/>
                    </w:tcBorders>
                    <w:shd w:val="clear" w:color="auto" w:fill="auto"/>
                  </w:tcPr>
                  <w:p>
                    <w:pPr>
                      <w:jc w:val="center"/>
                    </w:pPr>
                    <w:r>
                      <w:rPr>
                        <w:rFonts w:hint="eastAsia"/>
                      </w:rPr>
                      <w:t>本期发生额</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fe27eedc229b486899ed547c51d37917"/>
                <w:id w:val="-394278454"/>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rPr>
                        <w:b/>
                        <w:bCs/>
                        <w:szCs w:val="21"/>
                      </w:rPr>
                    </w:pPr>
                    <w:r>
                      <w:rPr>
                        <w:rFonts w:hint="eastAsia"/>
                        <w:szCs w:val="21"/>
                      </w:rPr>
                      <w:t>利润总额</w:t>
                    </w:r>
                  </w:p>
                </w:tc>
              </w:sdtContent>
            </w:sdt>
            <w:tc>
              <w:tcPr>
                <w:tcW w:w="1944" w:type="pct"/>
                <w:tcBorders>
                  <w:top w:val="single" w:color="auto" w:sz="4" w:space="0"/>
                  <w:left w:val="single" w:color="auto" w:sz="4" w:space="0"/>
                  <w:bottom w:val="single" w:color="auto" w:sz="6" w:space="0"/>
                  <w:right w:val="single" w:color="auto" w:sz="6" w:space="0"/>
                </w:tcBorders>
                <w:shd w:val="clear" w:color="auto" w:fill="auto"/>
              </w:tcPr>
              <w:p>
                <w:pPr>
                  <w:jc w:val="right"/>
                </w:pPr>
                <w:r>
                  <w:t>104,344,559.21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f7ffc0c7ca9b497d8dc0dce5bf0eda9a"/>
                <w:id w:val="-1124080743"/>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按法定</w:t>
                    </w:r>
                    <w:r>
                      <w:t>/</w:t>
                    </w:r>
                    <w:r>
                      <w:rPr>
                        <w:rFonts w:hint="eastAsia"/>
                      </w:rPr>
                      <w:t>适用税率计算的所得税费用</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15,651,683.89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rPr>
              <w:trHeight w:val="139" w:hRule="atLeast"/>
            </w:trPr>
            <w:sdt>
              <w:sdtPr>
                <w:tag w:val="_PLD_9df18bdcd694449695ac6d0f65c229b7"/>
                <w:id w:val="-1118063658"/>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子公司适用不同税率的影响</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2,141,091.93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3265a7f97078414e8992682ae705b8ae"/>
                <w:id w:val="-1970273854"/>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调整以前期间所得税的影响</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-120,822.02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d221a1750972424fa59e109036c4105d"/>
                <w:id w:val="-874150376"/>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非应税收入的影响</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-37,976,063.00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b267521bfe9246aa95e35e3cebc4a1f8"/>
                <w:id w:val="-1353180650"/>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不可抵扣的成本、费用和损失的影响</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706,528.96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e3ea20a1997a4604af76b7db091e8702"/>
                <w:id w:val="-60180643"/>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使用前期未确认递延所得税资产的可抵扣亏损的影响</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-9,688,981.38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401811b11b54235be79955ebe812995"/>
                <w:id w:val="-944536781"/>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pPr>
                      <w:ind w:right="6"/>
                    </w:pPr>
                    <w:r>
                      <w:rPr>
                        <w:rFonts w:hint="eastAsia"/>
                      </w:rPr>
                      <w:t>本期未确认递延所得税资产的可抵扣暂时性差异或可抵扣亏损的影响</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59,180,698.27</w:t>
                </w:r>
              </w:p>
            </w:tc>
          </w:tr>
          <w:sdt>
            <w:sdtPr>
              <w:alias w:val="会计利润与所得税费用调整过程明细"/>
              <w:tag w:val="_TUP_e9f3609279ef4d50b65ce0510eb9fee4"/>
              <w:id w:val="-1990548358"/>
              <w:lock w:val="sdtLocked"/>
            </w:sdt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056" w:type="pct"/>
                    <w:tcBorders>
                      <w:top w:val="single" w:color="auto" w:sz="4" w:space="0"/>
                      <w:left w:val="single" w:color="auto" w:sz="6" w:space="0"/>
                      <w:bottom w:val="single" w:color="auto" w:sz="6" w:space="0"/>
                      <w:right w:val="single" w:color="auto" w:sz="6" w:space="0"/>
                    </w:tcBorders>
                    <w:shd w:val="clear" w:color="auto" w:fill="auto"/>
                    <w:vAlign w:val="center"/>
                  </w:tcPr>
                  <w:p>
                    <w:r>
                      <w:t>对前期已确认递延所得税资产的调整</w:t>
                    </w:r>
                  </w:p>
                </w:tc>
                <w:tc>
                  <w:tcPr>
                    <w:tcW w:w="1944" w:type="pct"/>
                    <w:tcBorders>
                      <w:top w:val="single" w:color="auto" w:sz="6" w:space="0"/>
                      <w:left w:val="single" w:color="auto" w:sz="6" w:space="0"/>
                      <w:bottom w:val="single" w:color="auto" w:sz="6" w:space="0"/>
                      <w:right w:val="single" w:color="auto" w:sz="6" w:space="0"/>
                    </w:tcBorders>
                    <w:shd w:val="clear" w:color="auto" w:fill="auto"/>
                  </w:tcPr>
                  <w:p>
                    <w:pPr>
                      <w:jc w:val="right"/>
                    </w:pPr>
                    <w:r>
                      <w:t>6,016,687.12</w:t>
                    </w:r>
                  </w:p>
                </w:tc>
              </w:tr>
            </w:sdtContent>
          </w:sdt>
          <w:sdt>
            <w:sdtPr>
              <w:alias w:val="会计利润与所得税费用调整过程明细"/>
              <w:tag w:val="_TUP_e9f3609279ef4d50b65ce0510eb9fee4"/>
              <w:id w:val="789167946"/>
              <w:lock w:val="sdtLocked"/>
            </w:sdt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3056" w:type="pct"/>
                    <w:tcBorders>
                      <w:top w:val="single" w:color="auto" w:sz="4" w:space="0"/>
                      <w:left w:val="single" w:color="auto" w:sz="6" w:space="0"/>
                      <w:bottom w:val="single" w:color="auto" w:sz="6" w:space="0"/>
                      <w:right w:val="single" w:color="auto" w:sz="6" w:space="0"/>
                    </w:tcBorders>
                    <w:shd w:val="clear" w:color="auto" w:fill="auto"/>
                    <w:vAlign w:val="center"/>
                  </w:tcPr>
                  <w:p>
                    <w:r>
                      <w:t>加计扣除项目的影响</w:t>
                    </w:r>
                  </w:p>
                </w:tc>
                <w:tc>
                  <w:tcPr>
                    <w:tcW w:w="1944" w:type="pct"/>
                    <w:tcBorders>
                      <w:top w:val="single" w:color="auto" w:sz="6" w:space="0"/>
                      <w:left w:val="single" w:color="auto" w:sz="6" w:space="0"/>
                      <w:bottom w:val="single" w:color="auto" w:sz="6" w:space="0"/>
                      <w:right w:val="single" w:color="auto" w:sz="6" w:space="0"/>
                    </w:tcBorders>
                    <w:shd w:val="clear" w:color="auto" w:fill="auto"/>
                  </w:tcPr>
                  <w:p>
                    <w:pPr>
                      <w:jc w:val="right"/>
                    </w:pPr>
                    <w:r>
                      <w:t>-9,695,536.11</w:t>
                    </w:r>
                  </w:p>
                </w:tc>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0d947a5f645f44d7ade144f76e03c99e"/>
                <w:id w:val="-693150882"/>
                <w:lock w:val="sdtLocked"/>
              </w:sdtPr>
              <w:sdtContent>
                <w:tc>
                  <w:tcPr>
                    <w:tcW w:w="3056"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所得税费用</w:t>
                    </w:r>
                  </w:p>
                </w:tc>
              </w:sdtContent>
            </w:sdt>
            <w:tc>
              <w:tcPr>
                <w:tcW w:w="1944" w:type="pct"/>
                <w:tcBorders>
                  <w:top w:val="single" w:color="auto" w:sz="6" w:space="0"/>
                  <w:left w:val="single" w:color="auto" w:sz="4" w:space="0"/>
                  <w:bottom w:val="single" w:color="auto" w:sz="6" w:space="0"/>
                  <w:right w:val="single" w:color="auto" w:sz="6" w:space="0"/>
                </w:tcBorders>
                <w:shd w:val="clear" w:color="auto" w:fill="auto"/>
              </w:tcPr>
              <w:p>
                <w:pPr>
                  <w:jc w:val="right"/>
                </w:pPr>
                <w:r>
                  <w:t>26,215,287.66</w:t>
                </w:r>
              </w:p>
            </w:tc>
          </w:tr>
        </w:tbl>
        <w:p/>
        <w:p>
          <w:pPr>
            <w:spacing w:before="60" w:after="60"/>
            <w:rPr>
              <w:szCs w:val="21"/>
            </w:rPr>
          </w:pPr>
          <w:r>
            <w:rPr>
              <w:rFonts w:hint="eastAsia"/>
              <w:szCs w:val="21"/>
            </w:rPr>
            <w:t>其他说明：</w:t>
          </w:r>
        </w:p>
        <w:sdt>
          <w:sdtPr>
            <w:rPr>
              <w:szCs w:val="21"/>
            </w:rPr>
            <w:alias w:val="是否适用：所得税费用的说明[双击切换]"/>
            <w:tag w:val="_GBC_6d867e6606c643469619e039bd83c158"/>
            <w:id w:val="-1969658017"/>
            <w:lock w:val="sdtLocked"/>
            <w:placeholder>
              <w:docPart w:val="GBC22222222222222222222222222222"/>
            </w:placeholder>
          </w:sdtPr>
          <w:sdtEndPr>
            <w:rPr>
              <w:szCs w:val="21"/>
            </w:rPr>
          </w:sdtEndPr>
          <w:sdtContent>
            <w:p>
              <w:pPr>
                <w:spacing w:before="60" w:after="60"/>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b/>
        </w:rPr>
      </w:pPr>
    </w:p>
    <w:sdt>
      <w:sdtPr>
        <w:rPr>
          <w:rFonts w:hint="eastAsia" w:ascii="宋体" w:hAnsi="宋体" w:cs="宋体"/>
          <w:b w:val="0"/>
          <w:bCs w:val="0"/>
          <w:kern w:val="0"/>
          <w:szCs w:val="21"/>
        </w:rPr>
        <w:alias w:val="模块:其他综合收益"/>
        <w:tag w:val="_SEC_abcda0c67180436c970991051af2777d"/>
        <w:id w:val="628758929"/>
        <w:lock w:val="sdtLocked"/>
        <w:placeholder>
          <w:docPart w:val="GBC22222222222222222222222222222"/>
        </w:placeholder>
      </w:sdtPr>
      <w:sdtEndPr>
        <w:rPr>
          <w:rFonts w:hint="eastAsia" w:cs="宋体" w:asciiTheme="minorHAnsi" w:hAnsiTheme="minorHAnsi" w:eastAsiaTheme="minorEastAsia"/>
          <w:b w:val="0"/>
          <w:bCs w:val="0"/>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其他综合收益</w:t>
          </w:r>
        </w:p>
        <w:sdt>
          <w:sdtPr>
            <w:alias w:val="是否适用：其他综合收益说明[双击切换]"/>
            <w:tag w:val="_GBC_055e86e99cd742699e3e89a438a26b74"/>
            <w:id w:val="-89011585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
            <w:sdtPr>
              <w:rPr>
                <w:rFonts w:hint="eastAsia"/>
                <w:szCs w:val="21"/>
              </w:rPr>
              <w:alias w:val="其他综合收益详见附注"/>
              <w:tag w:val="_GBC_88f79522b3404a9cba25ea8b611e6680"/>
              <w:id w:val="-643734501"/>
              <w:lock w:val="sdtLocked"/>
            </w:sdtPr>
            <w:sdtEndPr>
              <w:rPr>
                <w:rFonts w:hint="eastAsia"/>
                <w:szCs w:val="21"/>
              </w:rPr>
            </w:sdtEndPr>
            <w:sdtContent>
              <w:r>
                <w:rPr>
                  <w:rFonts w:hint="eastAsia"/>
                  <w:szCs w:val="21"/>
                </w:rPr>
                <w:t>详见</w:t>
              </w:r>
              <w:r>
                <w:t xml:space="preserve"> “第十节财务报告</w:t>
              </w:r>
              <w:r>
                <w:rPr>
                  <w:rFonts w:hint="eastAsia"/>
                </w:rPr>
                <w:t>、</w:t>
              </w:r>
              <w:r>
                <w:t>七、57”</w:t>
              </w:r>
            </w:sdtContent>
          </w:sdt>
        </w:p>
        <w:p/>
      </w:sdtContent>
    </w:sdt>
    <w:p/>
    <w:p>
      <w:pPr>
        <w:pStyle w:val="213"/>
        <w:numPr>
          <w:ilvl w:val="0"/>
          <w:numId w:val="77"/>
        </w:numPr>
        <w:tabs>
          <w:tab w:val="left" w:pos="504"/>
        </w:tabs>
        <w:rPr>
          <w:rFonts w:ascii="宋体" w:hAnsi="宋体"/>
          <w:szCs w:val="21"/>
        </w:rPr>
      </w:pPr>
      <w:r>
        <w:rPr>
          <w:rFonts w:hint="eastAsia" w:ascii="宋体" w:hAnsi="宋体"/>
          <w:szCs w:val="21"/>
        </w:rPr>
        <w:t>现金流量表项目</w:t>
      </w:r>
    </w:p>
    <w:sdt>
      <w:sdtPr>
        <w:rPr>
          <w:rFonts w:hint="eastAsia" w:ascii="Calibri" w:hAnsi="Calibri" w:eastAsia="宋体" w:cs="宋体"/>
          <w:b w:val="0"/>
          <w:bCs w:val="0"/>
          <w:kern w:val="0"/>
          <w:sz w:val="24"/>
          <w:szCs w:val="24"/>
        </w:rPr>
        <w:alias w:val="模块:收到的其他与经营活动有关的现金"/>
        <w:tag w:val="_SEC_db9c62b020ec4e9ea32fddcc998663ec"/>
        <w:id w:val="-1669868773"/>
        <w:lock w:val="sdtLocked"/>
        <w:placeholder>
          <w:docPart w:val="GBC22222222222222222222222222222"/>
        </w:placeholder>
      </w:sdtPr>
      <w:sdtEndPr>
        <w:rPr>
          <w:rFonts w:hint="default" w:eastAsia="宋体" w:asciiTheme="minorHAnsi" w:hAnsiTheme="minorHAnsi" w:cstheme="minorBidi"/>
          <w:b w:val="0"/>
          <w:bCs w:val="0"/>
          <w:kern w:val="2"/>
          <w:sz w:val="21"/>
          <w:szCs w:val="21"/>
        </w:rPr>
      </w:sdtEndPr>
      <w:sdtContent>
        <w:p>
          <w:pPr>
            <w:pStyle w:val="214"/>
            <w:numPr>
              <w:ilvl w:val="0"/>
              <w:numId w:val="109"/>
            </w:numPr>
            <w:ind w:left="426" w:hanging="426"/>
          </w:pPr>
          <w:r>
            <w:rPr>
              <w:rFonts w:hint="eastAsia"/>
            </w:rPr>
            <w:t>收到的其他与经营活动有关的现金</w:t>
          </w:r>
        </w:p>
        <w:sdt>
          <w:sdtPr>
            <w:alias w:val="是否适用：收到的其他与经营活动有关的现金[双击切换]"/>
            <w:tag w:val="_GBC_27345010807c4445aa9d99ce1518a33b"/>
            <w:id w:val="49330530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177955010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7437275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4"/>
            <w:gridCol w:w="2667"/>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f7a5d7090c5c4e2b95d9e6f0ea383580"/>
                <w:id w:val="1490759733"/>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6a2d5fc680f64ea980912395fdf43d18"/>
                <w:id w:val="-1537116021"/>
                <w:lock w:val="sdtLocked"/>
              </w:sdtPr>
              <w:sdtContent>
                <w:tc>
                  <w:tcPr>
                    <w:tcW w:w="1562"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4c33d44ff7254e8994d6dacbfee10de3"/>
                <w:id w:val="-708878701"/>
                <w:lock w:val="sdtLocked"/>
              </w:sdtPr>
              <w:sdtContent>
                <w:tc>
                  <w:tcPr>
                    <w:tcW w:w="1556" w:type="pct"/>
                  </w:tcPr>
                  <w:p>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经营活动有关的现金明细"/>
              <w:tag w:val="_TUP_ca9171e54df6430e9436143874401ecc"/>
              <w:id w:val="-198877399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trHeight w:val="70" w:hRule="atLeast"/>
                </w:trPr>
                <w:tc>
                  <w:tcPr>
                    <w:tcW w:w="1882" w:type="pct"/>
                  </w:tcPr>
                  <w:p>
                    <w:pPr>
                      <w:autoSpaceDE w:val="0"/>
                      <w:autoSpaceDN w:val="0"/>
                      <w:adjustRightInd w:val="0"/>
                      <w:snapToGrid w:val="0"/>
                      <w:spacing w:line="240" w:lineRule="atLeast"/>
                      <w:jc w:val="center"/>
                    </w:pPr>
                    <w:r>
                      <w:t>收到利息收入</w:t>
                    </w:r>
                  </w:p>
                </w:tc>
                <w:tc>
                  <w:tcPr>
                    <w:tcW w:w="1562" w:type="pct"/>
                    <w:vAlign w:val="center"/>
                  </w:tcPr>
                  <w:p>
                    <w:pPr>
                      <w:jc w:val="right"/>
                      <w:rPr>
                        <w:sz w:val="24"/>
                      </w:rPr>
                    </w:pPr>
                    <w:r>
                      <w:t>55,404,446.57</w:t>
                    </w:r>
                  </w:p>
                </w:tc>
                <w:tc>
                  <w:tcPr>
                    <w:tcW w:w="1556" w:type="pct"/>
                  </w:tcPr>
                  <w:p>
                    <w:pPr>
                      <w:jc w:val="right"/>
                      <w:rPr>
                        <w:szCs w:val="21"/>
                      </w:rPr>
                    </w:pPr>
                    <w:r>
                      <w:t>9,184,609.56</w:t>
                    </w:r>
                  </w:p>
                </w:tc>
              </w:tr>
            </w:sdtContent>
          </w:sdt>
          <w:sdt>
            <w:sdtPr>
              <w:rPr>
                <w:rFonts w:hint="eastAsia"/>
                <w:szCs w:val="21"/>
              </w:rPr>
              <w:alias w:val="收到的其他与经营活动有关的现金明细"/>
              <w:tag w:val="_TUP_ca9171e54df6430e9436143874401ecc"/>
              <w:id w:val="-112415104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t>收到其他收益</w:t>
                    </w:r>
                  </w:p>
                </w:tc>
                <w:tc>
                  <w:tcPr>
                    <w:tcW w:w="1562" w:type="pct"/>
                    <w:vAlign w:val="center"/>
                  </w:tcPr>
                  <w:p>
                    <w:pPr>
                      <w:jc w:val="right"/>
                      <w:rPr>
                        <w:sz w:val="24"/>
                      </w:rPr>
                    </w:pPr>
                    <w:r>
                      <w:t>6,738,874.89</w:t>
                    </w:r>
                  </w:p>
                </w:tc>
                <w:tc>
                  <w:tcPr>
                    <w:tcW w:w="1556" w:type="pct"/>
                  </w:tcPr>
                  <w:p>
                    <w:pPr>
                      <w:jc w:val="right"/>
                      <w:rPr>
                        <w:szCs w:val="21"/>
                      </w:rPr>
                    </w:pPr>
                    <w:r>
                      <w:t>15,737,605.04</w:t>
                    </w:r>
                  </w:p>
                </w:tc>
              </w:tr>
            </w:sdtContent>
          </w:sdt>
          <w:sdt>
            <w:sdtPr>
              <w:rPr>
                <w:rFonts w:hint="eastAsia"/>
                <w:szCs w:val="21"/>
              </w:rPr>
              <w:alias w:val="收到的其他与经营活动有关的现金明细"/>
              <w:tag w:val="_TUP_ca9171e54df6430e9436143874401ecc"/>
              <w:id w:val="149869465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t>收到其他单位往来款</w:t>
                    </w:r>
                  </w:p>
                </w:tc>
                <w:tc>
                  <w:tcPr>
                    <w:tcW w:w="1562" w:type="pct"/>
                    <w:vAlign w:val="center"/>
                  </w:tcPr>
                  <w:p>
                    <w:pPr>
                      <w:jc w:val="right"/>
                      <w:rPr>
                        <w:sz w:val="24"/>
                      </w:rPr>
                    </w:pPr>
                    <w:r>
                      <w:t>50,648,443.68</w:t>
                    </w:r>
                  </w:p>
                </w:tc>
                <w:tc>
                  <w:tcPr>
                    <w:tcW w:w="1556" w:type="pct"/>
                  </w:tcPr>
                  <w:p>
                    <w:pPr>
                      <w:jc w:val="right"/>
                      <w:rPr>
                        <w:szCs w:val="21"/>
                      </w:rPr>
                    </w:pPr>
                    <w:r>
                      <w:t>88,967,592.33</w:t>
                    </w:r>
                  </w:p>
                </w:tc>
              </w:tr>
            </w:sdtContent>
          </w:sdt>
          <w:sdt>
            <w:sdtPr>
              <w:rPr>
                <w:rFonts w:hint="eastAsia"/>
                <w:szCs w:val="21"/>
              </w:rPr>
              <w:alias w:val="收到的其他与经营活动有关的现金明细"/>
              <w:tag w:val="_TUP_ca9171e54df6430e9436143874401ecc"/>
              <w:id w:val="-193327370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t>收到租金收入</w:t>
                    </w:r>
                  </w:p>
                </w:tc>
                <w:tc>
                  <w:tcPr>
                    <w:tcW w:w="1562" w:type="pct"/>
                    <w:vAlign w:val="center"/>
                  </w:tcPr>
                  <w:p>
                    <w:pPr>
                      <w:jc w:val="right"/>
                      <w:rPr>
                        <w:sz w:val="24"/>
                      </w:rPr>
                    </w:pPr>
                    <w:r>
                      <w:t>95,756,056.41</w:t>
                    </w:r>
                  </w:p>
                </w:tc>
                <w:tc>
                  <w:tcPr>
                    <w:tcW w:w="1556" w:type="pct"/>
                  </w:tcPr>
                  <w:p>
                    <w:pPr>
                      <w:jc w:val="right"/>
                      <w:rPr>
                        <w:szCs w:val="21"/>
                      </w:rPr>
                    </w:pPr>
                    <w:r>
                      <w:t>67,343,968.70</w:t>
                    </w:r>
                  </w:p>
                </w:tc>
              </w:tr>
            </w:sdtContent>
          </w:sdt>
          <w:sdt>
            <w:sdtPr>
              <w:rPr>
                <w:rFonts w:hint="eastAsia"/>
                <w:szCs w:val="21"/>
              </w:rPr>
              <w:alias w:val="收到的其他与经营活动有关的现金明细"/>
              <w:tag w:val="_TUP_ca9171e54df6430e9436143874401ecc"/>
              <w:id w:val="-44253468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t>其他</w:t>
                    </w:r>
                  </w:p>
                </w:tc>
                <w:tc>
                  <w:tcPr>
                    <w:tcW w:w="1562" w:type="pct"/>
                    <w:vAlign w:val="center"/>
                  </w:tcPr>
                  <w:p>
                    <w:pPr>
                      <w:jc w:val="right"/>
                      <w:rPr>
                        <w:sz w:val="24"/>
                      </w:rPr>
                    </w:pPr>
                    <w:r>
                      <w:t>401,238.86</w:t>
                    </w:r>
                  </w:p>
                </w:tc>
                <w:tc>
                  <w:tcPr>
                    <w:tcW w:w="1556" w:type="pct"/>
                  </w:tcPr>
                  <w:p>
                    <w:pPr>
                      <w:jc w:val="right"/>
                      <w:rPr>
                        <w:szCs w:val="21"/>
                      </w:rPr>
                    </w:pPr>
                    <w:r>
                      <w:t>272,541.10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5c008cf970d4546b79acd33ba59b803"/>
                <w:id w:val="690889737"/>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562" w:type="pct"/>
                <w:vAlign w:val="center"/>
              </w:tcPr>
              <w:p>
                <w:pPr>
                  <w:jc w:val="right"/>
                  <w:rPr>
                    <w:sz w:val="24"/>
                  </w:rPr>
                </w:pPr>
                <w:r>
                  <w:t>208,949,060.41</w:t>
                </w:r>
              </w:p>
            </w:tc>
            <w:tc>
              <w:tcPr>
                <w:tcW w:w="1556" w:type="pct"/>
                <w:vAlign w:val="center"/>
              </w:tcPr>
              <w:p>
                <w:pPr>
                  <w:jc w:val="right"/>
                  <w:rPr>
                    <w:sz w:val="24"/>
                  </w:rPr>
                </w:pPr>
                <w:r>
                  <w:t>181,506,316.73</w:t>
                </w:r>
              </w:p>
            </w:tc>
          </w:tr>
        </w:tbl>
        <w:p/>
        <w:p>
          <w:pPr>
            <w:snapToGrid w:val="0"/>
            <w:spacing w:before="60" w:after="60" w:line="240" w:lineRule="atLeast"/>
            <w:rPr>
              <w:szCs w:val="21"/>
            </w:rPr>
          </w:pPr>
          <w:r>
            <w:rPr>
              <w:rFonts w:hint="eastAsia"/>
              <w:szCs w:val="21"/>
            </w:rPr>
            <w:t>收到的其他与经营活动有关的现金说明：</w:t>
          </w:r>
        </w:p>
        <w:sdt>
          <w:sdtPr>
            <w:rPr>
              <w:szCs w:val="21"/>
            </w:rPr>
            <w:alias w:val="收到的其他与经营活动有关的现金说明"/>
            <w:tag w:val="_GBC_2e3adcc96d704a9b8dd36934b863d3d4"/>
            <w:id w:val="-1055934375"/>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sdt>
      <w:sdtPr>
        <w:rPr>
          <w:rFonts w:hint="eastAsia" w:ascii="宋体" w:hAnsi="宋体" w:eastAsia="宋体" w:cs="宋体"/>
          <w:b w:val="0"/>
          <w:bCs w:val="0"/>
          <w:kern w:val="0"/>
          <w:sz w:val="24"/>
          <w:szCs w:val="24"/>
        </w:rPr>
        <w:alias w:val="模块:支付的其他与经营活动有关的现金"/>
        <w:tag w:val="_SEC_69836e8867b347e7b3fe206eca280b9d"/>
        <w:id w:val="1263732506"/>
        <w:lock w:val="sdtLocked"/>
        <w:placeholder>
          <w:docPart w:val="GBC22222222222222222222222222222"/>
        </w:placeholder>
      </w:sdtPr>
      <w:sdtEndPr>
        <w:rPr>
          <w:rFonts w:hint="eastAsia" w:eastAsia="宋体" w:asciiTheme="minorHAnsi" w:hAnsiTheme="minorHAnsi" w:cstheme="minorBidi"/>
          <w:b w:val="0"/>
          <w:bCs w:val="0"/>
          <w:kern w:val="2"/>
          <w:sz w:val="21"/>
          <w:szCs w:val="21"/>
        </w:rPr>
      </w:sdtEndPr>
      <w:sdtContent>
        <w:p>
          <w:pPr>
            <w:pStyle w:val="214"/>
            <w:numPr>
              <w:ilvl w:val="0"/>
              <w:numId w:val="109"/>
            </w:numPr>
            <w:ind w:left="426" w:hanging="426"/>
          </w:pPr>
          <w:r>
            <w:rPr>
              <w:rFonts w:hint="eastAsia"/>
            </w:rPr>
            <w:t>支付的其他与经营活动有关的现金</w:t>
          </w:r>
        </w:p>
        <w:sdt>
          <w:sdtPr>
            <w:alias w:val="是否适用：支付的其他与经营活动有关的现金[双击切换]"/>
            <w:tag w:val="_GBC_f4dd9812849049808cd722f0acb16a7a"/>
            <w:id w:val="4488226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528145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13674144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714"/>
            <w:gridCol w:w="2148"/>
            <w:gridCol w:w="2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313336294a534de9a634e32311d5592e"/>
                <w:id w:val="1675220310"/>
                <w:lock w:val="sdtLocked"/>
              </w:sdtPr>
              <w:sdtContent>
                <w:tc>
                  <w:tcPr>
                    <w:tcW w:w="2175" w:type="pct"/>
                  </w:tcPr>
                  <w:p>
                    <w:pPr>
                      <w:autoSpaceDE w:val="0"/>
                      <w:autoSpaceDN w:val="0"/>
                      <w:adjustRightInd w:val="0"/>
                      <w:snapToGrid w:val="0"/>
                      <w:jc w:val="center"/>
                      <w:rPr>
                        <w:szCs w:val="21"/>
                      </w:rPr>
                    </w:pPr>
                    <w:r>
                      <w:rPr>
                        <w:rFonts w:hint="eastAsia"/>
                        <w:szCs w:val="21"/>
                      </w:rPr>
                      <w:t>项目</w:t>
                    </w:r>
                  </w:p>
                </w:tc>
              </w:sdtContent>
            </w:sdt>
            <w:sdt>
              <w:sdtPr>
                <w:tag w:val="_PLD_254446e36934468da941d479360a4c79"/>
                <w:id w:val="-1175341700"/>
                <w:lock w:val="sdtLocked"/>
              </w:sdtPr>
              <w:sdtContent>
                <w:tc>
                  <w:tcPr>
                    <w:tcW w:w="1258" w:type="pct"/>
                  </w:tcPr>
                  <w:p>
                    <w:pPr>
                      <w:autoSpaceDE w:val="0"/>
                      <w:autoSpaceDN w:val="0"/>
                      <w:adjustRightInd w:val="0"/>
                      <w:snapToGrid w:val="0"/>
                      <w:jc w:val="center"/>
                      <w:rPr>
                        <w:szCs w:val="21"/>
                      </w:rPr>
                    </w:pPr>
                    <w:r>
                      <w:rPr>
                        <w:rFonts w:hint="eastAsia"/>
                      </w:rPr>
                      <w:t>本期发生额</w:t>
                    </w:r>
                  </w:p>
                </w:tc>
              </w:sdtContent>
            </w:sdt>
            <w:sdt>
              <w:sdtPr>
                <w:tag w:val="_PLD_7dc479c1c10240cc94f89ea3fc1d6136"/>
                <w:id w:val="-1281494468"/>
                <w:lock w:val="sdtLocked"/>
              </w:sdtPr>
              <w:sdtContent>
                <w:tc>
                  <w:tcPr>
                    <w:tcW w:w="1567" w:type="pct"/>
                  </w:tcPr>
                  <w:p>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经营活动有关的现金明细"/>
              <w:tag w:val="_TUP_6bc26f086cee402ca4d348d61c665ec6"/>
              <w:id w:val="157701017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175" w:type="pct"/>
                  </w:tcPr>
                  <w:p>
                    <w:pPr>
                      <w:autoSpaceDE w:val="0"/>
                      <w:autoSpaceDN w:val="0"/>
                      <w:adjustRightInd w:val="0"/>
                      <w:snapToGrid w:val="0"/>
                      <w:jc w:val="center"/>
                      <w:rPr>
                        <w:szCs w:val="21"/>
                      </w:rPr>
                    </w:pPr>
                    <w:r>
                      <w:t>支付销售费用、管理费用、银行手续费</w:t>
                    </w:r>
                  </w:p>
                </w:tc>
                <w:tc>
                  <w:tcPr>
                    <w:tcW w:w="1258" w:type="pct"/>
                  </w:tcPr>
                  <w:p>
                    <w:pPr>
                      <w:jc w:val="right"/>
                      <w:rPr>
                        <w:szCs w:val="21"/>
                      </w:rPr>
                    </w:pPr>
                    <w:r>
                      <w:t>193,762,224.36</w:t>
                    </w:r>
                  </w:p>
                </w:tc>
                <w:tc>
                  <w:tcPr>
                    <w:tcW w:w="1567" w:type="pct"/>
                  </w:tcPr>
                  <w:p>
                    <w:pPr>
                      <w:jc w:val="right"/>
                      <w:rPr>
                        <w:szCs w:val="21"/>
                      </w:rPr>
                    </w:pPr>
                    <w:r>
                      <w:t>466,518,312.28</w:t>
                    </w:r>
                  </w:p>
                </w:tc>
              </w:tr>
            </w:sdtContent>
          </w:sdt>
          <w:sdt>
            <w:sdtPr>
              <w:rPr>
                <w:rFonts w:hint="eastAsia"/>
                <w:szCs w:val="21"/>
              </w:rPr>
              <w:alias w:val="支付的其他与经营活动有关的现金明细"/>
              <w:tag w:val="_TUP_6bc26f086cee402ca4d348d61c665ec6"/>
              <w:id w:val="37343174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175" w:type="pct"/>
                  </w:tcPr>
                  <w:p>
                    <w:pPr>
                      <w:autoSpaceDE w:val="0"/>
                      <w:autoSpaceDN w:val="0"/>
                      <w:adjustRightInd w:val="0"/>
                      <w:snapToGrid w:val="0"/>
                      <w:jc w:val="center"/>
                      <w:rPr>
                        <w:szCs w:val="21"/>
                      </w:rPr>
                    </w:pPr>
                    <w:r>
                      <w:t>支付其他单位往来款</w:t>
                    </w:r>
                  </w:p>
                </w:tc>
                <w:tc>
                  <w:tcPr>
                    <w:tcW w:w="1258" w:type="pct"/>
                  </w:tcPr>
                  <w:p>
                    <w:pPr>
                      <w:jc w:val="right"/>
                      <w:rPr>
                        <w:szCs w:val="21"/>
                      </w:rPr>
                    </w:pPr>
                    <w:r>
                      <w:t>67,605,621.04</w:t>
                    </w:r>
                  </w:p>
                </w:tc>
                <w:tc>
                  <w:tcPr>
                    <w:tcW w:w="1567" w:type="pct"/>
                  </w:tcPr>
                  <w:p>
                    <w:pPr>
                      <w:jc w:val="right"/>
                      <w:rPr>
                        <w:szCs w:val="21"/>
                      </w:rPr>
                    </w:pPr>
                    <w:r>
                      <w:t>36,137,334.36</w:t>
                    </w:r>
                  </w:p>
                </w:tc>
              </w:tr>
            </w:sdtContent>
          </w:sdt>
          <w:sdt>
            <w:sdtPr>
              <w:rPr>
                <w:rFonts w:hint="eastAsia"/>
                <w:szCs w:val="21"/>
              </w:rPr>
              <w:alias w:val="支付的其他与经营活动有关的现金明细"/>
              <w:tag w:val="_TUP_6bc26f086cee402ca4d348d61c665ec6"/>
              <w:id w:val="-180962225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175" w:type="pct"/>
                  </w:tcPr>
                  <w:p>
                    <w:pPr>
                      <w:autoSpaceDE w:val="0"/>
                      <w:autoSpaceDN w:val="0"/>
                      <w:adjustRightInd w:val="0"/>
                      <w:snapToGrid w:val="0"/>
                      <w:jc w:val="center"/>
                      <w:rPr>
                        <w:szCs w:val="21"/>
                      </w:rPr>
                    </w:pPr>
                    <w:r>
                      <w:t>支付的受限资金</w:t>
                    </w:r>
                  </w:p>
                </w:tc>
                <w:tc>
                  <w:tcPr>
                    <w:tcW w:w="1258" w:type="pct"/>
                  </w:tcPr>
                  <w:p>
                    <w:pPr>
                      <w:jc w:val="right"/>
                      <w:rPr>
                        <w:szCs w:val="21"/>
                      </w:rPr>
                    </w:pPr>
                    <w:r>
                      <w:t>33,956,861.04</w:t>
                    </w:r>
                  </w:p>
                </w:tc>
                <w:tc>
                  <w:tcPr>
                    <w:tcW w:w="1567" w:type="pct"/>
                  </w:tcPr>
                  <w:p>
                    <w:pPr>
                      <w:jc w:val="right"/>
                      <w:rPr>
                        <w:szCs w:val="21"/>
                      </w:rPr>
                    </w:pPr>
                  </w:p>
                </w:tc>
              </w:tr>
            </w:sdtContent>
          </w:sdt>
          <w:sdt>
            <w:sdtPr>
              <w:rPr>
                <w:rFonts w:hint="eastAsia"/>
                <w:szCs w:val="21"/>
              </w:rPr>
              <w:alias w:val="支付的其他与经营活动有关的现金明细"/>
              <w:tag w:val="_TUP_6bc26f086cee402ca4d348d61c665ec6"/>
              <w:id w:val="-103156787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175" w:type="pct"/>
                  </w:tcPr>
                  <w:p>
                    <w:pPr>
                      <w:autoSpaceDE w:val="0"/>
                      <w:autoSpaceDN w:val="0"/>
                      <w:adjustRightInd w:val="0"/>
                      <w:snapToGrid w:val="0"/>
                      <w:jc w:val="center"/>
                      <w:rPr>
                        <w:szCs w:val="21"/>
                      </w:rPr>
                    </w:pPr>
                    <w:r>
                      <w:t>应收管理人账户资金</w:t>
                    </w:r>
                  </w:p>
                </w:tc>
                <w:tc>
                  <w:tcPr>
                    <w:tcW w:w="1258" w:type="pct"/>
                  </w:tcPr>
                  <w:p>
                    <w:pPr>
                      <w:jc w:val="right"/>
                      <w:rPr>
                        <w:szCs w:val="21"/>
                      </w:rPr>
                    </w:pPr>
                  </w:p>
                </w:tc>
                <w:tc>
                  <w:tcPr>
                    <w:tcW w:w="1567" w:type="pct"/>
                  </w:tcPr>
                  <w:p>
                    <w:pPr>
                      <w:jc w:val="right"/>
                      <w:rPr>
                        <w:szCs w:val="21"/>
                      </w:rPr>
                    </w:pPr>
                    <w:r>
                      <w:t>752,546,990.29</w:t>
                    </w:r>
                  </w:p>
                </w:tc>
              </w:tr>
            </w:sdtContent>
          </w:sdt>
          <w:sdt>
            <w:sdtPr>
              <w:rPr>
                <w:rFonts w:hint="eastAsia"/>
                <w:szCs w:val="21"/>
              </w:rPr>
              <w:alias w:val="支付的其他与经营活动有关的现金明细"/>
              <w:tag w:val="_TUP_6bc26f086cee402ca4d348d61c665ec6"/>
              <w:id w:val="21332533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175" w:type="pct"/>
                  </w:tcPr>
                  <w:p>
                    <w:pPr>
                      <w:autoSpaceDE w:val="0"/>
                      <w:autoSpaceDN w:val="0"/>
                      <w:adjustRightInd w:val="0"/>
                      <w:snapToGrid w:val="0"/>
                      <w:jc w:val="center"/>
                      <w:rPr>
                        <w:szCs w:val="21"/>
                      </w:rPr>
                    </w:pPr>
                    <w:r>
                      <w:t>其他</w:t>
                    </w:r>
                  </w:p>
                </w:tc>
                <w:tc>
                  <w:tcPr>
                    <w:tcW w:w="1258" w:type="pct"/>
                  </w:tcPr>
                  <w:p>
                    <w:pPr>
                      <w:jc w:val="right"/>
                      <w:rPr>
                        <w:szCs w:val="21"/>
                      </w:rPr>
                    </w:pPr>
                    <w:r>
                      <w:t>2,044,060.92</w:t>
                    </w:r>
                  </w:p>
                </w:tc>
                <w:tc>
                  <w:tcPr>
                    <w:tcW w:w="1567" w:type="pct"/>
                  </w:tcPr>
                  <w:p>
                    <w:pPr>
                      <w:jc w:val="right"/>
                      <w:rPr>
                        <w:szCs w:val="21"/>
                      </w:rPr>
                    </w:pPr>
                    <w:r>
                      <w:t>3,809,121.86</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b2a645bcc9174623a4e7eefea3a149f5"/>
                <w:id w:val="-1133017806"/>
                <w:lock w:val="sdtLocked"/>
              </w:sdtPr>
              <w:sdtContent>
                <w:tc>
                  <w:tcPr>
                    <w:tcW w:w="2175" w:type="pct"/>
                  </w:tcPr>
                  <w:p>
                    <w:pPr>
                      <w:autoSpaceDE w:val="0"/>
                      <w:autoSpaceDN w:val="0"/>
                      <w:adjustRightInd w:val="0"/>
                      <w:snapToGrid w:val="0"/>
                      <w:jc w:val="center"/>
                      <w:rPr>
                        <w:szCs w:val="21"/>
                      </w:rPr>
                    </w:pPr>
                    <w:r>
                      <w:rPr>
                        <w:rFonts w:hint="eastAsia"/>
                        <w:szCs w:val="21"/>
                      </w:rPr>
                      <w:t>合计</w:t>
                    </w:r>
                  </w:p>
                </w:tc>
              </w:sdtContent>
            </w:sdt>
            <w:tc>
              <w:tcPr>
                <w:tcW w:w="1258" w:type="pct"/>
                <w:vAlign w:val="center"/>
              </w:tcPr>
              <w:p>
                <w:pPr>
                  <w:jc w:val="right"/>
                  <w:rPr>
                    <w:sz w:val="24"/>
                  </w:rPr>
                </w:pPr>
                <w:r>
                  <w:t>297,368,767.36</w:t>
                </w:r>
              </w:p>
            </w:tc>
            <w:tc>
              <w:tcPr>
                <w:tcW w:w="1567" w:type="pct"/>
                <w:vAlign w:val="center"/>
              </w:tcPr>
              <w:p>
                <w:pPr>
                  <w:jc w:val="right"/>
                  <w:rPr>
                    <w:sz w:val="24"/>
                  </w:rPr>
                </w:pPr>
                <w:r>
                  <w:t>1,259,011,758.79</w:t>
                </w:r>
              </w:p>
            </w:tc>
          </w:tr>
        </w:tbl>
        <w:p/>
        <w:p>
          <w:pPr>
            <w:spacing w:before="60" w:after="60"/>
            <w:rPr>
              <w:szCs w:val="21"/>
            </w:rPr>
          </w:pPr>
          <w:r>
            <w:rPr>
              <w:rFonts w:hint="eastAsia"/>
              <w:szCs w:val="21"/>
            </w:rPr>
            <w:t>支付的其他与经营活动有关的现金说明：</w:t>
          </w:r>
        </w:p>
        <w:sdt>
          <w:sdtPr>
            <w:rPr>
              <w:rFonts w:hint="eastAsia"/>
              <w:szCs w:val="21"/>
            </w:rPr>
            <w:alias w:val="支付的其他与经营活动有关的现金说明"/>
            <w:tag w:val="_GBC_0465de66d71e4a34a0d6c076baa704db"/>
            <w:id w:val="831416888"/>
            <w:lock w:val="sdtLocked"/>
            <w:placeholder>
              <w:docPart w:val="GBC22222222222222222222222222222"/>
            </w:placeholder>
          </w:sdtPr>
          <w:sdtEndPr>
            <w:rPr>
              <w:rFonts w:hint="eastAsia"/>
              <w:szCs w:val="21"/>
            </w:rPr>
          </w:sdtEndPr>
          <w:sdtContent>
            <w:p>
              <w:pPr>
                <w:ind w:right="5"/>
                <w:rPr>
                  <w:szCs w:val="21"/>
                </w:rPr>
              </w:pPr>
              <w:r>
                <w:rPr>
                  <w:rFonts w:hint="eastAsia"/>
                  <w:szCs w:val="21"/>
                </w:rPr>
                <w:t>无</w:t>
              </w:r>
            </w:p>
          </w:sdtContent>
        </w:sdt>
      </w:sdtContent>
    </w:sdt>
    <w:p>
      <w:pPr>
        <w:spacing w:line="360" w:lineRule="exact"/>
        <w:ind w:right="5"/>
        <w:rPr>
          <w:szCs w:val="21"/>
        </w:rPr>
      </w:pPr>
    </w:p>
    <w:sdt>
      <w:sdtPr>
        <w:rPr>
          <w:rFonts w:hint="eastAsia" w:ascii="宋体" w:hAnsi="宋体" w:eastAsia="宋体" w:cs="宋体"/>
          <w:b w:val="0"/>
          <w:bCs w:val="0"/>
          <w:kern w:val="0"/>
          <w:sz w:val="24"/>
          <w:szCs w:val="24"/>
        </w:rPr>
        <w:alias w:val="模块:收到的其他与投资活动有关的现金"/>
        <w:tag w:val="_SEC_bffd728d3f034a24a21a18f895399812"/>
        <w:id w:val="-876546142"/>
        <w:lock w:val="sdtLocked"/>
        <w:placeholder>
          <w:docPart w:val="GBC22222222222222222222222222222"/>
        </w:placeholder>
      </w:sdtPr>
      <w:sdtEndPr>
        <w:rPr>
          <w:rFonts w:hint="default" w:eastAsia="宋体" w:asciiTheme="minorHAnsi" w:hAnsiTheme="minorHAnsi" w:cstheme="minorBidi"/>
          <w:b w:val="0"/>
          <w:bCs w:val="0"/>
          <w:kern w:val="2"/>
          <w:sz w:val="21"/>
          <w:szCs w:val="21"/>
        </w:rPr>
      </w:sdtEndPr>
      <w:sdtContent>
        <w:p>
          <w:pPr>
            <w:pStyle w:val="214"/>
            <w:numPr>
              <w:ilvl w:val="0"/>
              <w:numId w:val="109"/>
            </w:numPr>
            <w:ind w:left="426" w:hanging="426"/>
          </w:pPr>
          <w:r>
            <w:rPr>
              <w:rFonts w:hint="eastAsia"/>
            </w:rPr>
            <w:t>收到的其他与投资活动有关的现金</w:t>
          </w:r>
        </w:p>
        <w:sdt>
          <w:sdtPr>
            <w:alias w:val="是否适用：收到的其他与投资活动有关的现金[双击切换]"/>
            <w:tag w:val="_GBC_a9d11a87566b448d9e6aac9a017a8388"/>
            <w:id w:val="-131863869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7579737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8440597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3"/>
            <w:gridCol w:w="2748"/>
            <w:gridCol w:w="2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8fe69c5749494bb49faf620c5198417e"/>
                <w:id w:val="842212134"/>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bf91a26c50244250a28701d650837068"/>
                <w:id w:val="-1353417281"/>
                <w:lock w:val="sdtLocked"/>
              </w:sdtPr>
              <w:sdtContent>
                <w:tc>
                  <w:tcPr>
                    <w:tcW w:w="1609" w:type="pct"/>
                  </w:tcPr>
                  <w:p>
                    <w:pPr>
                      <w:autoSpaceDE w:val="0"/>
                      <w:autoSpaceDN w:val="0"/>
                      <w:adjustRightInd w:val="0"/>
                      <w:snapToGrid w:val="0"/>
                      <w:spacing w:line="240" w:lineRule="atLeast"/>
                      <w:jc w:val="center"/>
                      <w:rPr>
                        <w:szCs w:val="21"/>
                      </w:rPr>
                    </w:pPr>
                    <w:r>
                      <w:rPr>
                        <w:rFonts w:hint="eastAsia"/>
                      </w:rPr>
                      <w:t>本期发生额</w:t>
                    </w:r>
                  </w:p>
                </w:tc>
              </w:sdtContent>
            </w:sdt>
            <w:sdt>
              <w:sdtPr>
                <w:tag w:val="_PLD_6ba4cebdd5f34f0ebe4577174e11dd6c"/>
                <w:id w:val="1393237481"/>
                <w:lock w:val="sdtLocked"/>
              </w:sdtPr>
              <w:sdtContent>
                <w:tc>
                  <w:tcPr>
                    <w:tcW w:w="1509" w:type="pct"/>
                  </w:tcPr>
                  <w:p>
                    <w:pPr>
                      <w:autoSpaceDE w:val="0"/>
                      <w:autoSpaceDN w:val="0"/>
                      <w:adjustRightInd w:val="0"/>
                      <w:snapToGrid w:val="0"/>
                      <w:spacing w:line="240" w:lineRule="atLeast"/>
                      <w:jc w:val="center"/>
                      <w:rPr>
                        <w:szCs w:val="21"/>
                      </w:rPr>
                    </w:pPr>
                    <w:r>
                      <w:rPr>
                        <w:rFonts w:hint="eastAsia"/>
                      </w:rPr>
                      <w:t>上期发生额</w:t>
                    </w:r>
                  </w:p>
                </w:tc>
              </w:sdtContent>
            </w:sdt>
          </w:tr>
          <w:sdt>
            <w:sdtPr>
              <w:rPr>
                <w:rFonts w:hint="eastAsia"/>
                <w:szCs w:val="21"/>
              </w:rPr>
              <w:alias w:val="收到的其他与投资活动有关的现金明细"/>
              <w:tag w:val="_TUP_2a9537f55bbc4ae4adcaec7f75a44ddf"/>
              <w:id w:val="-75081001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spacing w:line="240" w:lineRule="atLeast"/>
                      <w:jc w:val="center"/>
                      <w:rPr>
                        <w:szCs w:val="21"/>
                      </w:rPr>
                    </w:pPr>
                    <w:r>
                      <w:rPr>
                        <w:szCs w:val="21"/>
                      </w:rPr>
                      <w:t>收购子公司现金净增加额</w:t>
                    </w:r>
                  </w:p>
                </w:tc>
                <w:tc>
                  <w:tcPr>
                    <w:tcW w:w="1609" w:type="pct"/>
                    <w:vAlign w:val="bottom"/>
                  </w:tcPr>
                  <w:p>
                    <w:pPr>
                      <w:jc w:val="right"/>
                      <w:rPr>
                        <w:szCs w:val="21"/>
                      </w:rPr>
                    </w:pPr>
                  </w:p>
                </w:tc>
                <w:tc>
                  <w:tcPr>
                    <w:tcW w:w="1509" w:type="pct"/>
                  </w:tcPr>
                  <w:p>
                    <w:pPr>
                      <w:jc w:val="right"/>
                      <w:rPr>
                        <w:szCs w:val="21"/>
                      </w:rPr>
                    </w:pPr>
                    <w:r>
                      <w:t>77,234,610.75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28679f982044352b3f67fcf372b12e8"/>
                <w:id w:val="-276641032"/>
                <w:lock w:val="sdtLocked"/>
              </w:sdtPr>
              <w:sdtContent>
                <w:tc>
                  <w:tcPr>
                    <w:tcW w:w="188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609" w:type="pct"/>
                <w:vAlign w:val="bottom"/>
              </w:tcPr>
              <w:p>
                <w:pPr>
                  <w:jc w:val="right"/>
                  <w:rPr>
                    <w:szCs w:val="21"/>
                  </w:rPr>
                </w:pPr>
              </w:p>
            </w:tc>
            <w:tc>
              <w:tcPr>
                <w:tcW w:w="1509" w:type="pct"/>
              </w:tcPr>
              <w:p>
                <w:pPr>
                  <w:jc w:val="right"/>
                  <w:rPr>
                    <w:szCs w:val="21"/>
                  </w:rPr>
                </w:pPr>
                <w:r>
                  <w:rPr>
                    <w:szCs w:val="21"/>
                  </w:rPr>
                  <w:t>77,234,610.75</w:t>
                </w:r>
              </w:p>
            </w:tc>
          </w:tr>
        </w:tbl>
        <w:p/>
        <w:p>
          <w:pPr>
            <w:snapToGrid w:val="0"/>
            <w:spacing w:before="60" w:after="60"/>
            <w:rPr>
              <w:szCs w:val="21"/>
            </w:rPr>
          </w:pPr>
          <w:r>
            <w:rPr>
              <w:rFonts w:hint="eastAsia"/>
              <w:szCs w:val="21"/>
            </w:rPr>
            <w:t>收到的其他与投资活动有关的现金说明：</w:t>
          </w:r>
        </w:p>
        <w:sdt>
          <w:sdtPr>
            <w:rPr>
              <w:szCs w:val="21"/>
            </w:rPr>
            <w:alias w:val="收到的其他与投资活动有关的现金说明"/>
            <w:tag w:val="_GBC_4f6584697d884cfd99a931a45c33cdac"/>
            <w:id w:val="-215510125"/>
            <w:lock w:val="sdtLocked"/>
            <w:placeholder>
              <w:docPart w:val="GBC22222222222222222222222222222"/>
            </w:placeholder>
          </w:sdtPr>
          <w:sdtEndPr>
            <w:rPr>
              <w:szCs w:val="21"/>
            </w:rPr>
          </w:sdtEndPr>
          <w:sdtContent>
            <w:p>
              <w:pPr>
                <w:snapToGrid w:val="0"/>
                <w:spacing w:line="240" w:lineRule="atLeast"/>
                <w:rPr>
                  <w:szCs w:val="21"/>
                </w:rPr>
              </w:pPr>
              <w:r>
                <w:rPr>
                  <w:rFonts w:hint="eastAsia"/>
                  <w:szCs w:val="21"/>
                </w:rPr>
                <w:t>无</w:t>
              </w:r>
            </w:p>
          </w:sdtContent>
        </w:sdt>
      </w:sdtContent>
    </w:sdt>
    <w:p>
      <w:pPr>
        <w:rPr>
          <w:szCs w:val="21"/>
        </w:rPr>
      </w:pPr>
    </w:p>
    <w:sdt>
      <w:sdtPr>
        <w:rPr>
          <w:rFonts w:hint="eastAsia" w:ascii="宋体" w:hAnsi="宋体" w:eastAsia="宋体" w:cs="宋体"/>
          <w:b w:val="0"/>
          <w:bCs w:val="0"/>
          <w:kern w:val="0"/>
          <w:sz w:val="24"/>
          <w:szCs w:val="24"/>
        </w:rPr>
        <w:alias w:val="模块:支付的其他与投资活动有关的现金"/>
        <w:tag w:val="_SEC_aafc72f0aabb4b5faeb8c5be6629eee5"/>
        <w:id w:val="-549004068"/>
        <w:lock w:val="sdtLocked"/>
        <w:placeholder>
          <w:docPart w:val="GBC22222222222222222222222222222"/>
        </w:placeholder>
      </w:sdtPr>
      <w:sdtEndPr>
        <w:rPr>
          <w:rFonts w:hint="eastAsia" w:eastAsia="宋体" w:asciiTheme="minorHAnsi" w:hAnsiTheme="minorHAnsi" w:cstheme="minorBidi"/>
          <w:b w:val="0"/>
          <w:bCs w:val="0"/>
          <w:kern w:val="2"/>
          <w:sz w:val="21"/>
          <w:szCs w:val="21"/>
        </w:rPr>
      </w:sdtEndPr>
      <w:sdtContent>
        <w:p>
          <w:pPr>
            <w:pStyle w:val="214"/>
            <w:numPr>
              <w:ilvl w:val="0"/>
              <w:numId w:val="109"/>
            </w:numPr>
            <w:ind w:left="426" w:hanging="426"/>
          </w:pPr>
          <w:r>
            <w:rPr>
              <w:rFonts w:hint="eastAsia"/>
            </w:rPr>
            <w:t>支付的其他与投资活动有关的现金</w:t>
          </w:r>
        </w:p>
        <w:sdt>
          <w:sdtPr>
            <w:alias w:val="是否适用：支付的其他与投资活动有关的现金[双击切换]"/>
            <w:tag w:val="_GBC_c733aab18a804ecea142a329ce5180ba"/>
            <w:id w:val="185013002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17891879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52012833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214"/>
            <w:gridCol w:w="2749"/>
            <w:gridCol w:w="2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87dffb6cb394ed0abe3449c37ec4700"/>
                <w:id w:val="-2129229873"/>
                <w:lock w:val="sdtLocked"/>
              </w:sdtPr>
              <w:sdtContent>
                <w:tc>
                  <w:tcPr>
                    <w:tcW w:w="1882" w:type="pct"/>
                  </w:tcPr>
                  <w:p>
                    <w:pPr>
                      <w:autoSpaceDE w:val="0"/>
                      <w:autoSpaceDN w:val="0"/>
                      <w:adjustRightInd w:val="0"/>
                      <w:snapToGrid w:val="0"/>
                      <w:jc w:val="center"/>
                      <w:rPr>
                        <w:szCs w:val="21"/>
                      </w:rPr>
                    </w:pPr>
                    <w:r>
                      <w:rPr>
                        <w:rFonts w:hint="eastAsia"/>
                        <w:szCs w:val="21"/>
                      </w:rPr>
                      <w:t>项目</w:t>
                    </w:r>
                  </w:p>
                </w:tc>
              </w:sdtContent>
            </w:sdt>
            <w:sdt>
              <w:sdtPr>
                <w:tag w:val="_PLD_df7899e6c0274bae9f145af85a8eb277"/>
                <w:id w:val="1965311280"/>
                <w:lock w:val="sdtLocked"/>
              </w:sdtPr>
              <w:sdtContent>
                <w:tc>
                  <w:tcPr>
                    <w:tcW w:w="1610" w:type="pct"/>
                  </w:tcPr>
                  <w:p>
                    <w:pPr>
                      <w:autoSpaceDE w:val="0"/>
                      <w:autoSpaceDN w:val="0"/>
                      <w:adjustRightInd w:val="0"/>
                      <w:snapToGrid w:val="0"/>
                      <w:jc w:val="center"/>
                      <w:rPr>
                        <w:szCs w:val="21"/>
                      </w:rPr>
                    </w:pPr>
                    <w:r>
                      <w:rPr>
                        <w:rFonts w:hint="eastAsia"/>
                      </w:rPr>
                      <w:t>本期发生额</w:t>
                    </w:r>
                  </w:p>
                </w:tc>
              </w:sdtContent>
            </w:sdt>
            <w:sdt>
              <w:sdtPr>
                <w:tag w:val="_PLD_f161b1c392e440818862ceb1761bb906"/>
                <w:id w:val="299731823"/>
                <w:lock w:val="sdtLocked"/>
              </w:sdtPr>
              <w:sdtContent>
                <w:tc>
                  <w:tcPr>
                    <w:tcW w:w="1508" w:type="pct"/>
                  </w:tcPr>
                  <w:p>
                    <w:pPr>
                      <w:autoSpaceDE w:val="0"/>
                      <w:autoSpaceDN w:val="0"/>
                      <w:adjustRightInd w:val="0"/>
                      <w:snapToGrid w:val="0"/>
                      <w:jc w:val="center"/>
                      <w:rPr>
                        <w:szCs w:val="21"/>
                      </w:rPr>
                    </w:pPr>
                    <w:r>
                      <w:rPr>
                        <w:rFonts w:hint="eastAsia"/>
                      </w:rPr>
                      <w:t>上期发生额</w:t>
                    </w:r>
                  </w:p>
                </w:tc>
              </w:sdtContent>
            </w:sdt>
          </w:tr>
          <w:sdt>
            <w:sdtPr>
              <w:rPr>
                <w:rFonts w:hint="eastAsia"/>
                <w:szCs w:val="21"/>
              </w:rPr>
              <w:alias w:val="支付的其他与投资活动有关的现金明细"/>
              <w:tag w:val="_TUP_b6c724ac4860419dabcf1acda6dd60f4"/>
              <w:id w:val="209581203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1882" w:type="pct"/>
                  </w:tcPr>
                  <w:p>
                    <w:pPr>
                      <w:autoSpaceDE w:val="0"/>
                      <w:autoSpaceDN w:val="0"/>
                      <w:adjustRightInd w:val="0"/>
                      <w:snapToGrid w:val="0"/>
                      <w:jc w:val="center"/>
                      <w:rPr>
                        <w:szCs w:val="21"/>
                      </w:rPr>
                    </w:pPr>
                    <w:r>
                      <w:t>处置子公司现金净减少</w:t>
                    </w:r>
                  </w:p>
                </w:tc>
                <w:tc>
                  <w:tcPr>
                    <w:tcW w:w="1610" w:type="pct"/>
                    <w:vAlign w:val="bottom"/>
                  </w:tcPr>
                  <w:p>
                    <w:pPr>
                      <w:jc w:val="right"/>
                      <w:rPr>
                        <w:szCs w:val="21"/>
                      </w:rPr>
                    </w:pPr>
                  </w:p>
                </w:tc>
                <w:tc>
                  <w:tcPr>
                    <w:tcW w:w="1508" w:type="pct"/>
                  </w:tcPr>
                  <w:p>
                    <w:pPr>
                      <w:jc w:val="right"/>
                      <w:rPr>
                        <w:szCs w:val="21"/>
                      </w:rPr>
                    </w:pPr>
                    <w:r>
                      <w:t>31,898.97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1206bbe0dbda46119184b2f0907045c6"/>
                <w:id w:val="-1020550545"/>
                <w:lock w:val="sdtLocked"/>
              </w:sdtPr>
              <w:sdtContent>
                <w:tc>
                  <w:tcPr>
                    <w:tcW w:w="1882" w:type="pct"/>
                  </w:tcPr>
                  <w:p>
                    <w:pPr>
                      <w:autoSpaceDE w:val="0"/>
                      <w:autoSpaceDN w:val="0"/>
                      <w:adjustRightInd w:val="0"/>
                      <w:snapToGrid w:val="0"/>
                      <w:jc w:val="center"/>
                      <w:rPr>
                        <w:szCs w:val="21"/>
                      </w:rPr>
                    </w:pPr>
                    <w:r>
                      <w:rPr>
                        <w:rFonts w:hint="eastAsia"/>
                        <w:szCs w:val="21"/>
                      </w:rPr>
                      <w:t>合计</w:t>
                    </w:r>
                  </w:p>
                </w:tc>
              </w:sdtContent>
            </w:sdt>
            <w:tc>
              <w:tcPr>
                <w:tcW w:w="1610" w:type="pct"/>
                <w:vAlign w:val="bottom"/>
              </w:tcPr>
              <w:p>
                <w:pPr>
                  <w:jc w:val="right"/>
                  <w:rPr>
                    <w:szCs w:val="21"/>
                  </w:rPr>
                </w:pPr>
              </w:p>
            </w:tc>
            <w:tc>
              <w:tcPr>
                <w:tcW w:w="1508" w:type="pct"/>
              </w:tcPr>
              <w:p>
                <w:pPr>
                  <w:jc w:val="right"/>
                  <w:rPr>
                    <w:szCs w:val="21"/>
                  </w:rPr>
                </w:pPr>
                <w:r>
                  <w:rPr>
                    <w:szCs w:val="21"/>
                  </w:rPr>
                  <w:t>31,898.97</w:t>
                </w:r>
              </w:p>
            </w:tc>
          </w:tr>
        </w:tbl>
        <w:p/>
        <w:p>
          <w:pPr>
            <w:spacing w:before="60" w:after="60"/>
            <w:rPr>
              <w:szCs w:val="21"/>
            </w:rPr>
          </w:pPr>
          <w:r>
            <w:rPr>
              <w:rFonts w:hint="eastAsia"/>
              <w:szCs w:val="21"/>
            </w:rPr>
            <w:t>支付的其他与投资活动有关的现金说明：</w:t>
          </w:r>
        </w:p>
        <w:sdt>
          <w:sdtPr>
            <w:rPr>
              <w:rFonts w:hint="eastAsia"/>
              <w:szCs w:val="21"/>
            </w:rPr>
            <w:alias w:val="支付的其他与投资活动有关的现金说明"/>
            <w:tag w:val="_GBC_e94cfcc1a78341c4a50c9acc8c5c726c"/>
            <w:id w:val="-380171937"/>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sdtContent>
    </w:sdt>
    <w:p>
      <w:pPr>
        <w:rPr>
          <w:szCs w:val="21"/>
        </w:rPr>
      </w:pPr>
    </w:p>
    <w:sdt>
      <w:sdtPr>
        <w:rPr>
          <w:rFonts w:hint="eastAsia" w:ascii="宋体" w:hAnsi="宋体" w:eastAsia="宋体" w:cs="宋体"/>
          <w:b w:val="0"/>
          <w:bCs w:val="0"/>
          <w:kern w:val="0"/>
          <w:sz w:val="24"/>
          <w:szCs w:val="24"/>
        </w:rPr>
        <w:alias w:val="模块:收到的其他与筹资活动有关的现金"/>
        <w:tag w:val="_SEC_cee5e63128ad411498f4c0e9e303807b"/>
        <w:id w:val="918210689"/>
        <w:lock w:val="sdtLocked"/>
        <w:placeholder>
          <w:docPart w:val="GBC22222222222222222222222222222"/>
        </w:placeholder>
      </w:sdtPr>
      <w:sdtEndPr>
        <w:rPr>
          <w:rFonts w:hint="eastAsia" w:eastAsia="宋体" w:asciiTheme="minorHAnsi" w:hAnsiTheme="minorHAnsi" w:cstheme="minorBidi"/>
          <w:b w:val="0"/>
          <w:bCs w:val="0"/>
          <w:kern w:val="2"/>
          <w:sz w:val="21"/>
          <w:szCs w:val="22"/>
        </w:rPr>
      </w:sdtEndPr>
      <w:sdtContent>
        <w:p>
          <w:pPr>
            <w:pStyle w:val="214"/>
            <w:numPr>
              <w:ilvl w:val="0"/>
              <w:numId w:val="109"/>
            </w:numPr>
            <w:ind w:left="426" w:hanging="426"/>
          </w:pPr>
          <w:r>
            <w:rPr>
              <w:rFonts w:hint="eastAsia"/>
            </w:rPr>
            <w:t>收到的</w:t>
          </w:r>
          <w:r>
            <w:rPr>
              <w:rFonts w:hint="eastAsia" w:ascii="宋体" w:hAnsi="宋体"/>
            </w:rPr>
            <w:t>其他</w:t>
          </w:r>
          <w:r>
            <w:rPr>
              <w:rFonts w:hint="eastAsia"/>
            </w:rPr>
            <w:t>与筹资活动有关的现金</w:t>
          </w:r>
        </w:p>
        <w:sdt>
          <w:sdtPr>
            <w:alias w:val="是否适用：收到的其他与筹资活动有关的现金[双击切换]"/>
            <w:tag w:val="_GBC_031910cf781944cf80900ffa99f7a9d7"/>
            <w:id w:val="138313760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747206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213485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980"/>
            <w:gridCol w:w="2273"/>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a77349a2c05f473b9ac20b64fc24179e"/>
                <w:id w:val="-1188443648"/>
                <w:lock w:val="sdtLocked"/>
              </w:sdtPr>
              <w:sdtContent>
                <w:tc>
                  <w:tcPr>
                    <w:tcW w:w="2331" w:type="pct"/>
                  </w:tcPr>
                  <w:p>
                    <w:pPr>
                      <w:autoSpaceDE w:val="0"/>
                      <w:autoSpaceDN w:val="0"/>
                      <w:adjustRightInd w:val="0"/>
                      <w:snapToGrid w:val="0"/>
                      <w:jc w:val="center"/>
                      <w:rPr>
                        <w:szCs w:val="21"/>
                      </w:rPr>
                    </w:pPr>
                    <w:r>
                      <w:rPr>
                        <w:rFonts w:hint="eastAsia"/>
                        <w:szCs w:val="21"/>
                      </w:rPr>
                      <w:t>项目</w:t>
                    </w:r>
                  </w:p>
                </w:tc>
              </w:sdtContent>
            </w:sdt>
            <w:sdt>
              <w:sdtPr>
                <w:tag w:val="_PLD_4f0ec6d40c994acb9eb5b3560f97c407"/>
                <w:id w:val="-628169065"/>
                <w:lock w:val="sdtLocked"/>
              </w:sdtPr>
              <w:sdtContent>
                <w:tc>
                  <w:tcPr>
                    <w:tcW w:w="1331" w:type="pct"/>
                  </w:tcPr>
                  <w:p>
                    <w:pPr>
                      <w:autoSpaceDE w:val="0"/>
                      <w:autoSpaceDN w:val="0"/>
                      <w:adjustRightInd w:val="0"/>
                      <w:snapToGrid w:val="0"/>
                      <w:jc w:val="center"/>
                      <w:rPr>
                        <w:szCs w:val="21"/>
                      </w:rPr>
                    </w:pPr>
                    <w:r>
                      <w:rPr>
                        <w:rFonts w:hint="eastAsia"/>
                      </w:rPr>
                      <w:t>本期发生额</w:t>
                    </w:r>
                  </w:p>
                </w:tc>
              </w:sdtContent>
            </w:sdt>
            <w:sdt>
              <w:sdtPr>
                <w:tag w:val="_PLD_aa071ffac82040379300e6f5150e4ff7"/>
                <w:id w:val="-1395662177"/>
                <w:lock w:val="sdtLocked"/>
              </w:sdtPr>
              <w:sdtContent>
                <w:tc>
                  <w:tcPr>
                    <w:tcW w:w="1338" w:type="pct"/>
                  </w:tcPr>
                  <w:p>
                    <w:pPr>
                      <w:autoSpaceDE w:val="0"/>
                      <w:autoSpaceDN w:val="0"/>
                      <w:adjustRightInd w:val="0"/>
                      <w:snapToGrid w:val="0"/>
                      <w:jc w:val="center"/>
                      <w:rPr>
                        <w:szCs w:val="21"/>
                      </w:rPr>
                    </w:pPr>
                    <w:r>
                      <w:rPr>
                        <w:rFonts w:hint="eastAsia"/>
                      </w:rPr>
                      <w:t>上期发生额</w:t>
                    </w:r>
                  </w:p>
                </w:tc>
              </w:sdtContent>
            </w:sdt>
          </w:tr>
          <w:sdt>
            <w:sdtPr>
              <w:rPr>
                <w:rFonts w:hint="eastAsia" w:asciiTheme="minorHAnsi" w:hAnsiTheme="minorHAnsi" w:eastAsiaTheme="minorEastAsia" w:cstheme="minorBidi"/>
                <w:kern w:val="2"/>
                <w:szCs w:val="21"/>
              </w:rPr>
              <w:alias w:val="收到的其他与筹资活动有关的现金明细"/>
              <w:tag w:val="_TUP_afb02f29341a473a8c5477beb6ba2747"/>
              <w:id w:val="1167139731"/>
              <w:lock w:val="sdtLocked"/>
            </w:sdtPr>
            <w:sdtEndPr>
              <w:rPr>
                <w:rFonts w:hint="default" w:asciiTheme="minorHAnsi" w:hAnsiTheme="minorHAnsi" w:eastAsiaTheme="minorEastAsia" w:cstheme="minorBidi"/>
                <w:kern w:val="2"/>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331" w:type="pct"/>
                  </w:tcPr>
                  <w:p>
                    <w:pPr>
                      <w:autoSpaceDE w:val="0"/>
                      <w:autoSpaceDN w:val="0"/>
                      <w:adjustRightInd w:val="0"/>
                      <w:snapToGrid w:val="0"/>
                      <w:jc w:val="center"/>
                      <w:rPr>
                        <w:szCs w:val="21"/>
                      </w:rPr>
                    </w:pPr>
                    <w:r>
                      <w:t>收到管理人账户资金</w:t>
                    </w:r>
                  </w:p>
                </w:tc>
                <w:tc>
                  <w:tcPr>
                    <w:tcW w:w="1331" w:type="pct"/>
                    <w:vAlign w:val="bottom"/>
                  </w:tcPr>
                  <w:p>
                    <w:pPr>
                      <w:jc w:val="right"/>
                    </w:pPr>
                    <w:r>
                      <w:t>752,546,990.29</w:t>
                    </w:r>
                  </w:p>
                </w:tc>
                <w:tc>
                  <w:tcPr>
                    <w:tcW w:w="1338" w:type="pct"/>
                  </w:tcPr>
                  <w:p>
                    <w:pPr>
                      <w:jc w:val="right"/>
                    </w:pPr>
                  </w:p>
                </w:tc>
              </w:tr>
            </w:sdtContent>
          </w:sdt>
          <w:sdt>
            <w:sdtPr>
              <w:rPr>
                <w:rFonts w:hint="eastAsia" w:asciiTheme="minorHAnsi" w:hAnsiTheme="minorHAnsi" w:eastAsiaTheme="minorEastAsia" w:cstheme="minorBidi"/>
                <w:kern w:val="2"/>
                <w:szCs w:val="21"/>
              </w:rPr>
              <w:alias w:val="收到的其他与筹资活动有关的现金明细"/>
              <w:tag w:val="_TUP_afb02f29341a473a8c5477beb6ba2747"/>
              <w:id w:val="213091532"/>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331" w:type="pct"/>
                  </w:tcPr>
                  <w:p>
                    <w:pPr>
                      <w:autoSpaceDE w:val="0"/>
                      <w:autoSpaceDN w:val="0"/>
                      <w:adjustRightInd w:val="0"/>
                      <w:snapToGrid w:val="0"/>
                      <w:jc w:val="center"/>
                      <w:rPr>
                        <w:szCs w:val="21"/>
                      </w:rPr>
                    </w:pPr>
                    <w:r>
                      <w:t>票据、借款、保函等保证金净减少额</w:t>
                    </w:r>
                  </w:p>
                </w:tc>
                <w:tc>
                  <w:tcPr>
                    <w:tcW w:w="1331" w:type="pct"/>
                    <w:vAlign w:val="bottom"/>
                  </w:tcPr>
                  <w:p>
                    <w:pPr>
                      <w:jc w:val="right"/>
                      <w:rPr>
                        <w:szCs w:val="21"/>
                      </w:rPr>
                    </w:pPr>
                    <w:r>
                      <w:t>347,458.37</w:t>
                    </w:r>
                  </w:p>
                </w:tc>
                <w:tc>
                  <w:tcPr>
                    <w:tcW w:w="1338" w:type="pct"/>
                  </w:tcPr>
                  <w:p>
                    <w:pPr>
                      <w:jc w:val="right"/>
                      <w:rPr>
                        <w:szCs w:val="21"/>
                      </w:rPr>
                    </w:pPr>
                    <w:r>
                      <w:t>398,231,314.54</w:t>
                    </w:r>
                  </w:p>
                </w:tc>
              </w:tr>
            </w:sdtContent>
          </w:sdt>
          <w:sdt>
            <w:sdtPr>
              <w:rPr>
                <w:rFonts w:hint="eastAsia" w:asciiTheme="minorHAnsi" w:hAnsiTheme="minorHAnsi" w:eastAsiaTheme="minorEastAsia" w:cstheme="minorBidi"/>
                <w:kern w:val="2"/>
                <w:szCs w:val="21"/>
              </w:rPr>
              <w:alias w:val="收到的其他与筹资活动有关的现金明细"/>
              <w:tag w:val="_TUP_afb02f29341a473a8c5477beb6ba2747"/>
              <w:id w:val="-341940507"/>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331" w:type="pct"/>
                  </w:tcPr>
                  <w:p>
                    <w:pPr>
                      <w:autoSpaceDE w:val="0"/>
                      <w:autoSpaceDN w:val="0"/>
                      <w:adjustRightInd w:val="0"/>
                      <w:snapToGrid w:val="0"/>
                      <w:jc w:val="center"/>
                      <w:rPr>
                        <w:szCs w:val="21"/>
                      </w:rPr>
                    </w:pPr>
                    <w:r>
                      <w:t>收到非金融机构筹资款</w:t>
                    </w:r>
                  </w:p>
                </w:tc>
                <w:tc>
                  <w:tcPr>
                    <w:tcW w:w="1331" w:type="pct"/>
                    <w:vAlign w:val="bottom"/>
                  </w:tcPr>
                  <w:p>
                    <w:pPr>
                      <w:jc w:val="right"/>
                      <w:rPr>
                        <w:szCs w:val="21"/>
                      </w:rPr>
                    </w:pPr>
                    <w:r>
                      <w:t>110,147,198.72</w:t>
                    </w:r>
                  </w:p>
                </w:tc>
                <w:tc>
                  <w:tcPr>
                    <w:tcW w:w="1338" w:type="pct"/>
                  </w:tcPr>
                  <w:p>
                    <w:pPr>
                      <w:jc w:val="right"/>
                      <w:rPr>
                        <w:szCs w:val="21"/>
                      </w:rPr>
                    </w:pPr>
                    <w:r>
                      <w:t>53,460,700.00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7907c6798e0d4fb4a413e0875400dc4a"/>
                <w:id w:val="-1366058625"/>
                <w:lock w:val="sdtLocked"/>
              </w:sdtPr>
              <w:sdtContent>
                <w:tc>
                  <w:tcPr>
                    <w:tcW w:w="2331" w:type="pct"/>
                  </w:tcPr>
                  <w:p>
                    <w:pPr>
                      <w:autoSpaceDE w:val="0"/>
                      <w:autoSpaceDN w:val="0"/>
                      <w:adjustRightInd w:val="0"/>
                      <w:snapToGrid w:val="0"/>
                      <w:jc w:val="center"/>
                      <w:rPr>
                        <w:szCs w:val="21"/>
                      </w:rPr>
                    </w:pPr>
                    <w:r>
                      <w:rPr>
                        <w:rFonts w:hint="eastAsia"/>
                        <w:szCs w:val="21"/>
                      </w:rPr>
                      <w:t>合计</w:t>
                    </w:r>
                  </w:p>
                </w:tc>
              </w:sdtContent>
            </w:sdt>
            <w:tc>
              <w:tcPr>
                <w:tcW w:w="1331" w:type="pct"/>
                <w:vAlign w:val="center"/>
              </w:tcPr>
              <w:p>
                <w:pPr>
                  <w:jc w:val="right"/>
                  <w:rPr>
                    <w:sz w:val="24"/>
                  </w:rPr>
                </w:pPr>
                <w:r>
                  <w:t>863,041,647.38</w:t>
                </w:r>
              </w:p>
            </w:tc>
            <w:tc>
              <w:tcPr>
                <w:tcW w:w="1338" w:type="pct"/>
                <w:vAlign w:val="center"/>
              </w:tcPr>
              <w:p>
                <w:pPr>
                  <w:jc w:val="right"/>
                  <w:rPr>
                    <w:sz w:val="24"/>
                  </w:rPr>
                </w:pPr>
                <w:r>
                  <w:t>451,692,014.54</w:t>
                </w:r>
              </w:p>
            </w:tc>
          </w:tr>
        </w:tbl>
        <w:p/>
        <w:p>
          <w:pPr>
            <w:spacing w:before="60" w:after="60"/>
            <w:rPr>
              <w:szCs w:val="21"/>
            </w:rPr>
          </w:pPr>
          <w:r>
            <w:rPr>
              <w:rFonts w:hint="eastAsia"/>
              <w:szCs w:val="21"/>
            </w:rPr>
            <w:t>收到的其他与筹资活动有关的现金说明：</w:t>
          </w:r>
        </w:p>
        <w:sdt>
          <w:sdtPr>
            <w:rPr>
              <w:rFonts w:hint="eastAsia"/>
              <w:szCs w:val="21"/>
            </w:rPr>
            <w:alias w:val="收到的其他与筹资活动有关的现金说明"/>
            <w:tag w:val="_GBC_d2ec2a0599ab42678694df6c15643c4d"/>
            <w:id w:val="1464620735"/>
            <w:lock w:val="sdtLocked"/>
            <w:placeholder>
              <w:docPart w:val="GBC22222222222222222222222222222"/>
            </w:placeholder>
          </w:sdtPr>
          <w:sdtEndPr>
            <w:rPr>
              <w:rFonts w:hint="eastAsia"/>
              <w:szCs w:val="22"/>
            </w:rPr>
          </w:sdtEndPr>
          <w:sdtContent>
            <w:p>
              <w:r>
                <w:rPr>
                  <w:rFonts w:hint="eastAsia"/>
                  <w:szCs w:val="21"/>
                </w:rPr>
                <w:t>无</w:t>
              </w:r>
            </w:p>
          </w:sdtContent>
        </w:sdt>
      </w:sdtContent>
    </w:sdt>
    <w:p/>
    <w:sdt>
      <w:sdtPr>
        <w:rPr>
          <w:rFonts w:hint="eastAsia" w:ascii="宋体" w:hAnsi="宋体" w:eastAsia="宋体" w:cs="宋体"/>
          <w:b w:val="0"/>
          <w:bCs w:val="0"/>
          <w:kern w:val="0"/>
          <w:sz w:val="24"/>
          <w:szCs w:val="22"/>
        </w:rPr>
        <w:alias w:val="模块:支付的其他与筹资活动有关的现金"/>
        <w:tag w:val="_SEC_7f5832ab98b14401b69843c0f895b85e"/>
        <w:id w:val="1167747406"/>
        <w:lock w:val="sdtLocked"/>
        <w:placeholder>
          <w:docPart w:val="GBC22222222222222222222222222222"/>
        </w:placeholder>
      </w:sdtPr>
      <w:sdtEndPr>
        <w:rPr>
          <w:rFonts w:hint="eastAsia" w:eastAsia="宋体" w:asciiTheme="minorHAnsi" w:hAnsiTheme="minorHAnsi" w:cstheme="minorBidi"/>
          <w:b w:val="0"/>
          <w:bCs w:val="0"/>
          <w:kern w:val="2"/>
          <w:sz w:val="21"/>
          <w:szCs w:val="22"/>
        </w:rPr>
      </w:sdtEndPr>
      <w:sdtContent>
        <w:p>
          <w:pPr>
            <w:pStyle w:val="214"/>
            <w:numPr>
              <w:ilvl w:val="0"/>
              <w:numId w:val="109"/>
            </w:numPr>
            <w:ind w:left="426" w:hanging="426"/>
          </w:pPr>
          <w:r>
            <w:rPr>
              <w:rFonts w:hint="eastAsia"/>
            </w:rPr>
            <w:t>支付的其他与筹资活动有关的现金</w:t>
          </w:r>
        </w:p>
        <w:sdt>
          <w:sdtPr>
            <w:alias w:val="是否适用：支付的其他与筹资活动有关的现金[双击切换]"/>
            <w:tag w:val="_GBC_fcc0d0c43a2d4fa88ca685f3e36f2f40"/>
            <w:id w:val="139223184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122760093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7338452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3847"/>
            <w:gridCol w:w="2406"/>
            <w:gridCol w:w="2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e2db8e0335cc47fe9b6461eeb2befa7e"/>
                <w:id w:val="31783953"/>
                <w:lock w:val="sdtLocked"/>
              </w:sdtPr>
              <w:sdtContent>
                <w:tc>
                  <w:tcPr>
                    <w:tcW w:w="2253" w:type="pct"/>
                  </w:tcPr>
                  <w:p>
                    <w:pPr>
                      <w:autoSpaceDE w:val="0"/>
                      <w:autoSpaceDN w:val="0"/>
                      <w:adjustRightInd w:val="0"/>
                      <w:snapToGrid w:val="0"/>
                      <w:jc w:val="center"/>
                    </w:pPr>
                    <w:r>
                      <w:rPr>
                        <w:rFonts w:hint="eastAsia"/>
                      </w:rPr>
                      <w:t>项目</w:t>
                    </w:r>
                  </w:p>
                </w:tc>
              </w:sdtContent>
            </w:sdt>
            <w:sdt>
              <w:sdtPr>
                <w:tag w:val="_PLD_bb4a54a8a5be4a6691e4d59483217c64"/>
                <w:id w:val="31783954"/>
                <w:lock w:val="sdtLocked"/>
              </w:sdtPr>
              <w:sdtContent>
                <w:tc>
                  <w:tcPr>
                    <w:tcW w:w="1409" w:type="pct"/>
                  </w:tcPr>
                  <w:p>
                    <w:pPr>
                      <w:autoSpaceDE w:val="0"/>
                      <w:autoSpaceDN w:val="0"/>
                      <w:adjustRightInd w:val="0"/>
                      <w:snapToGrid w:val="0"/>
                      <w:jc w:val="center"/>
                    </w:pPr>
                    <w:r>
                      <w:rPr>
                        <w:rFonts w:hint="eastAsia"/>
                      </w:rPr>
                      <w:t>本期发生额</w:t>
                    </w:r>
                  </w:p>
                </w:tc>
              </w:sdtContent>
            </w:sdt>
            <w:sdt>
              <w:sdtPr>
                <w:tag w:val="_PLD_a4930447bc4d450faf79f923eef8597b"/>
                <w:id w:val="31783955"/>
                <w:lock w:val="sdtLocked"/>
              </w:sdtPr>
              <w:sdtContent>
                <w:tc>
                  <w:tcPr>
                    <w:tcW w:w="1338" w:type="pct"/>
                  </w:tcPr>
                  <w:p>
                    <w:pPr>
                      <w:autoSpaceDE w:val="0"/>
                      <w:autoSpaceDN w:val="0"/>
                      <w:adjustRightInd w:val="0"/>
                      <w:snapToGrid w:val="0"/>
                      <w:jc w:val="center"/>
                    </w:pPr>
                    <w:r>
                      <w:rPr>
                        <w:rFonts w:hint="eastAsia"/>
                      </w:rPr>
                      <w:t>上期发生额</w:t>
                    </w:r>
                  </w:p>
                </w:tc>
              </w:sdtContent>
            </w:sdt>
          </w:tr>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56"/>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支付融资性应付票据到期款项</w:t>
                    </w:r>
                  </w:p>
                </w:tc>
                <w:tc>
                  <w:tcPr>
                    <w:tcW w:w="1409" w:type="pct"/>
                    <w:vAlign w:val="bottom"/>
                  </w:tcPr>
                  <w:p>
                    <w:pPr>
                      <w:jc w:val="right"/>
                    </w:pPr>
                  </w:p>
                </w:tc>
                <w:tc>
                  <w:tcPr>
                    <w:tcW w:w="1338" w:type="pct"/>
                  </w:tcPr>
                  <w:p>
                    <w:pPr>
                      <w:jc w:val="right"/>
                    </w:pPr>
                    <w:r>
                      <w:t>118,000,000.00</w:t>
                    </w:r>
                  </w:p>
                </w:tc>
              </w:tr>
            </w:sdtContent>
          </w:sdt>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57"/>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偿还保理（融资租赁）等融资款</w:t>
                    </w:r>
                  </w:p>
                </w:tc>
                <w:tc>
                  <w:tcPr>
                    <w:tcW w:w="1409" w:type="pct"/>
                    <w:vAlign w:val="bottom"/>
                  </w:tcPr>
                  <w:p>
                    <w:pPr>
                      <w:jc w:val="right"/>
                    </w:pPr>
                  </w:p>
                </w:tc>
                <w:tc>
                  <w:tcPr>
                    <w:tcW w:w="1338" w:type="pct"/>
                  </w:tcPr>
                  <w:p>
                    <w:pPr>
                      <w:jc w:val="right"/>
                    </w:pPr>
                    <w:r>
                      <w:t>11,608,963.53</w:t>
                    </w:r>
                  </w:p>
                </w:tc>
              </w:tr>
            </w:sdtContent>
          </w:sdt>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58"/>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票据、借款、保函等保证金净增加额</w:t>
                    </w:r>
                  </w:p>
                </w:tc>
                <w:tc>
                  <w:tcPr>
                    <w:tcW w:w="1409" w:type="pct"/>
                    <w:vAlign w:val="bottom"/>
                  </w:tcPr>
                  <w:p>
                    <w:pPr>
                      <w:jc w:val="right"/>
                    </w:pPr>
                  </w:p>
                </w:tc>
                <w:tc>
                  <w:tcPr>
                    <w:tcW w:w="1338" w:type="pct"/>
                  </w:tcPr>
                  <w:p>
                    <w:pPr>
                      <w:jc w:val="right"/>
                    </w:pPr>
                  </w:p>
                </w:tc>
              </w:tr>
            </w:sdtContent>
          </w:sdt>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59"/>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支付非金融机构借款</w:t>
                    </w:r>
                  </w:p>
                </w:tc>
                <w:tc>
                  <w:tcPr>
                    <w:tcW w:w="1409" w:type="pct"/>
                    <w:vAlign w:val="bottom"/>
                  </w:tcPr>
                  <w:p>
                    <w:pPr>
                      <w:jc w:val="right"/>
                    </w:pPr>
                    <w:r>
                      <w:t>96,065,061.66</w:t>
                    </w:r>
                  </w:p>
                </w:tc>
                <w:tc>
                  <w:tcPr>
                    <w:tcW w:w="1338" w:type="pct"/>
                  </w:tcPr>
                  <w:p>
                    <w:pPr>
                      <w:jc w:val="right"/>
                    </w:pPr>
                    <w:r>
                      <w:t>1,170,832,241.31</w:t>
                    </w:r>
                  </w:p>
                </w:tc>
              </w:tr>
            </w:sdtContent>
          </w:sdt>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60"/>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支付股权激励回购款</w:t>
                    </w:r>
                  </w:p>
                </w:tc>
                <w:tc>
                  <w:tcPr>
                    <w:tcW w:w="1409" w:type="pct"/>
                    <w:vAlign w:val="bottom"/>
                  </w:tcPr>
                  <w:p>
                    <w:pPr>
                      <w:jc w:val="right"/>
                    </w:pPr>
                    <w:r>
                      <w:t>84,563,509.00</w:t>
                    </w:r>
                  </w:p>
                </w:tc>
                <w:tc>
                  <w:tcPr>
                    <w:tcW w:w="1338" w:type="pct"/>
                  </w:tcPr>
                  <w:p>
                    <w:pPr>
                      <w:jc w:val="right"/>
                    </w:pPr>
                    <w:r>
                      <w:t>12,008,590.00</w:t>
                    </w:r>
                  </w:p>
                </w:tc>
              </w:tr>
            </w:sdtContent>
          </w:sdt>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61"/>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支付租赁负债款</w:t>
                    </w:r>
                  </w:p>
                </w:tc>
                <w:tc>
                  <w:tcPr>
                    <w:tcW w:w="1409" w:type="pct"/>
                    <w:vAlign w:val="bottom"/>
                  </w:tcPr>
                  <w:p>
                    <w:pPr>
                      <w:jc w:val="right"/>
                    </w:pPr>
                    <w:r>
                      <w:t>869,657.16</w:t>
                    </w:r>
                  </w:p>
                </w:tc>
                <w:tc>
                  <w:tcPr>
                    <w:tcW w:w="1338" w:type="pct"/>
                  </w:tcPr>
                  <w:p>
                    <w:pPr>
                      <w:jc w:val="right"/>
                    </w:pPr>
                  </w:p>
                </w:tc>
              </w:tr>
            </w:sdtContent>
          </w:sdt>
          <w:sdt>
            <w:sdtPr>
              <w:rPr>
                <w:rFonts w:hint="eastAsia" w:asciiTheme="minorHAnsi" w:hAnsiTheme="minorHAnsi" w:eastAsiaTheme="minorEastAsia" w:cstheme="minorBidi"/>
                <w:kern w:val="2"/>
                <w:szCs w:val="22"/>
              </w:rPr>
              <w:alias w:val="支付的其他与筹资活动有关的现金明细"/>
              <w:tag w:val="_TUP_e54614051bfb48d8ab0e47a024ba7e91"/>
              <w:id w:val="31783962"/>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2253" w:type="pct"/>
                  </w:tcPr>
                  <w:p>
                    <w:pPr>
                      <w:autoSpaceDE w:val="0"/>
                      <w:autoSpaceDN w:val="0"/>
                      <w:adjustRightInd w:val="0"/>
                      <w:snapToGrid w:val="0"/>
                      <w:jc w:val="center"/>
                    </w:pPr>
                    <w:r>
                      <w:t>支付购买少数股权款</w:t>
                    </w:r>
                  </w:p>
                </w:tc>
                <w:tc>
                  <w:tcPr>
                    <w:tcW w:w="1409" w:type="pct"/>
                    <w:vAlign w:val="bottom"/>
                  </w:tcPr>
                  <w:p>
                    <w:pPr>
                      <w:jc w:val="right"/>
                    </w:pPr>
                    <w:r>
                      <w:t>24,279,507.17</w:t>
                    </w:r>
                  </w:p>
                </w:tc>
                <w:tc>
                  <w:tcPr>
                    <w:tcW w:w="1338" w:type="pct"/>
                  </w:tcPr>
                  <w:p>
                    <w:pPr>
                      <w:jc w:val="right"/>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03a6c5e92bb42f68cfc8065cc0deba9"/>
                <w:id w:val="31783963"/>
                <w:lock w:val="sdtLocked"/>
              </w:sdtPr>
              <w:sdtContent>
                <w:tc>
                  <w:tcPr>
                    <w:tcW w:w="2253" w:type="pct"/>
                  </w:tcPr>
                  <w:p>
                    <w:pPr>
                      <w:autoSpaceDE w:val="0"/>
                      <w:autoSpaceDN w:val="0"/>
                      <w:adjustRightInd w:val="0"/>
                      <w:snapToGrid w:val="0"/>
                      <w:jc w:val="center"/>
                    </w:pPr>
                    <w:r>
                      <w:rPr>
                        <w:rFonts w:hint="eastAsia"/>
                      </w:rPr>
                      <w:t>合计</w:t>
                    </w:r>
                  </w:p>
                </w:tc>
              </w:sdtContent>
            </w:sdt>
            <w:tc>
              <w:tcPr>
                <w:tcW w:w="1409" w:type="pct"/>
                <w:vAlign w:val="center"/>
              </w:tcPr>
              <w:p>
                <w:pPr>
                  <w:jc w:val="right"/>
                  <w:rPr>
                    <w:rFonts w:asciiTheme="minorEastAsia" w:hAnsiTheme="minorEastAsia" w:eastAsiaTheme="minorEastAsia"/>
                  </w:rPr>
                </w:pPr>
                <w:r>
                  <w:rPr>
                    <w:rFonts w:asciiTheme="minorEastAsia" w:hAnsiTheme="minorEastAsia" w:eastAsiaTheme="minorEastAsia"/>
                  </w:rPr>
                  <w:t>205,777,734.99</w:t>
                </w:r>
              </w:p>
            </w:tc>
            <w:tc>
              <w:tcPr>
                <w:tcW w:w="1338" w:type="pct"/>
                <w:vAlign w:val="center"/>
              </w:tcPr>
              <w:p>
                <w:pPr>
                  <w:jc w:val="right"/>
                  <w:rPr>
                    <w:sz w:val="24"/>
                  </w:rPr>
                </w:pPr>
                <w:r>
                  <w:t>1,312,449,794.84</w:t>
                </w:r>
              </w:p>
            </w:tc>
          </w:tr>
        </w:tbl>
        <w:p/>
        <w:p>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2091763401"/>
            <w:lock w:val="sdtLocked"/>
            <w:placeholder>
              <w:docPart w:val="GBC22222222222222222222222222222"/>
            </w:placeholder>
          </w:sdtPr>
          <w:sdtEndPr>
            <w:rPr>
              <w:rFonts w:hint="eastAsia"/>
            </w:rPr>
          </w:sdtEndPr>
          <w:sdtContent>
            <w:p>
              <w:pPr>
                <w:ind w:right="5"/>
                <w:rPr>
                  <w:rFonts w:asciiTheme="minorHAnsi" w:hAnsiTheme="minorHAnsi" w:cstheme="minorBidi"/>
                  <w:kern w:val="2"/>
                  <w:szCs w:val="22"/>
                </w:rPr>
              </w:pPr>
              <w:r>
                <w:rPr>
                  <w:rFonts w:hint="eastAsia"/>
                </w:rPr>
                <w:t>无</w:t>
              </w:r>
            </w:p>
          </w:sdtContent>
        </w:sdt>
      </w:sdtContent>
    </w:sdt>
    <w:p>
      <w:pPr>
        <w:ind w:right="5"/>
      </w:pPr>
    </w:p>
    <w:p>
      <w:pPr>
        <w:pStyle w:val="213"/>
        <w:numPr>
          <w:ilvl w:val="0"/>
          <w:numId w:val="77"/>
        </w:numPr>
        <w:tabs>
          <w:tab w:val="left" w:pos="504"/>
        </w:tabs>
      </w:pPr>
      <w:r>
        <w:rPr>
          <w:rFonts w:hint="eastAsia"/>
        </w:rPr>
        <w:t>现金流量表</w:t>
      </w:r>
      <w:r>
        <w:rPr>
          <w:rFonts w:hint="eastAsia" w:ascii="宋体" w:hAnsi="宋体"/>
          <w:szCs w:val="21"/>
        </w:rPr>
        <w:t>补充</w:t>
      </w:r>
      <w:r>
        <w:rPr>
          <w:rFonts w:hint="eastAsia"/>
        </w:rPr>
        <w:t>资料</w:t>
      </w:r>
    </w:p>
    <w:sdt>
      <w:sdtPr>
        <w:rPr>
          <w:rFonts w:hint="eastAsia" w:ascii="宋体" w:hAnsi="宋体" w:eastAsia="宋体" w:cs="宋体"/>
          <w:b w:val="0"/>
          <w:bCs w:val="0"/>
          <w:kern w:val="0"/>
          <w:szCs w:val="24"/>
        </w:rPr>
        <w:alias w:val="模块:现金流量表补充资料"/>
        <w:tag w:val="_SEC_f8be5b6afa1a4e6a83d098555e296b4b"/>
        <w:id w:val="1732494552"/>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0"/>
              <w:numId w:val="110"/>
            </w:numPr>
            <w:ind w:left="426" w:hanging="426"/>
          </w:pPr>
          <w:r>
            <w:rPr>
              <w:rFonts w:hint="eastAsia"/>
            </w:rPr>
            <w:t>现金流量表补充资料</w:t>
          </w:r>
        </w:p>
        <w:sdt>
          <w:sdtPr>
            <w:rPr>
              <w:rFonts w:hint="eastAsia"/>
            </w:rPr>
            <w:alias w:val="是否适用：现金流量表补充资料[双击切换]"/>
            <w:tag w:val="_GBC_f77ea662869c431fa9c3cd98fccb529c"/>
            <w:id w:val="894933977"/>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现金流量表补充资料"/>
              <w:tag w:val="_GBC_816fc4f2c97b4b12911114202247ee82"/>
              <w:id w:val="65118242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7896288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4244"/>
            <w:gridCol w:w="2137"/>
            <w:gridCol w:w="214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9bfd38318b44efe9fa609ad19a8685a"/>
                <w:id w:val="31785167"/>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Cs/>
                      </w:rPr>
                    </w:pPr>
                    <w:r>
                      <w:rPr>
                        <w:rFonts w:hint="eastAsia"/>
                        <w:bCs/>
                      </w:rPr>
                      <w:t>补充资料</w:t>
                    </w:r>
                  </w:p>
                </w:tc>
              </w:sdtContent>
            </w:sdt>
            <w:sdt>
              <w:sdtPr>
                <w:tag w:val="_PLD_8ef3863737f6403496cc160c411b0b03"/>
                <w:id w:val="31785168"/>
                <w:lock w:val="sdtLocked"/>
              </w:sdtPr>
              <w:sdtContent>
                <w:tc>
                  <w:tcPr>
                    <w:tcW w:w="12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本期金额</w:t>
                    </w:r>
                  </w:p>
                </w:tc>
              </w:sdtContent>
            </w:sdt>
            <w:sdt>
              <w:sdtPr>
                <w:tag w:val="_PLD_73eb01f791e44a84b1edbc96aa42b3f3"/>
                <w:id w:val="31785169"/>
                <w:lock w:val="sdtLocked"/>
              </w:sdtPr>
              <w:sdtContent>
                <w:tc>
                  <w:tcPr>
                    <w:tcW w:w="12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上期金额</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6db035658bd4a67bcf46ade47da315d"/>
                <w:id w:val="31785170"/>
                <w:lock w:val="sdtLocked"/>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tcPr>
                  <w:p>
                    <w:pPr>
                      <w:rPr>
                        <w:b/>
                      </w:rPr>
                    </w:pPr>
                    <w:r>
                      <w:rPr>
                        <w:b/>
                        <w:bCs/>
                      </w:rPr>
                      <w:t>1</w:t>
                    </w:r>
                    <w:r>
                      <w:rPr>
                        <w:rFonts w:hint="eastAsia"/>
                        <w:b/>
                        <w:bCs/>
                      </w:rPr>
                      <w:t>．将净利润调节为经营活动现金流量：</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ff97a35e60d443387d6ac807156bbae"/>
                <w:id w:val="31785171"/>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净利润</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78,129,271.55</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54,683,244.20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eee5dca05b64715937e91cafbf88c76"/>
                <w:id w:val="31785172"/>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加：资产减值准备</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22,788,264.43</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3,607,568,533.80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1f3bb2e3905b41c5b7b27fff29cc1f0e"/>
                  <w:id w:val="31785173"/>
                  <w:lock w:val="sdtLocked"/>
                </w:sdtPr>
                <w:sdtEndPr>
                  <w:rPr>
                    <w:rFonts w:hint="eastAsia"/>
                  </w:rPr>
                </w:sdtEndPr>
                <w:sdtContent>
                  <w:p>
                    <w:r>
                      <w:rPr>
                        <w:rFonts w:hint="eastAsia"/>
                      </w:rPr>
                      <w:t>信用减值损失</w:t>
                    </w:r>
                  </w:p>
                </w:sdtContent>
              </w:sdt>
            </w:tc>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-22,967,772.97</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781,943,265.51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126af0092bb4ea5acb454c40fce47aa"/>
                <w:id w:val="31785174"/>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固定资产折旧、油气资产折耗、生产性生物资产折旧</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145,782,872.85</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268,001,413.66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88"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33167c9b73a649129c2f926881c92c88"/>
                  <w:id w:val="31785175"/>
                  <w:lock w:val="sdtLocked"/>
                </w:sdtPr>
                <w:sdtEndPr>
                  <w:rPr>
                    <w:rFonts w:hint="eastAsia"/>
                  </w:rPr>
                </w:sdtEndPr>
                <w:sdtContent>
                  <w:p>
                    <w:r>
                      <w:rPr>
                        <w:rFonts w:hint="eastAsia"/>
                      </w:rPr>
                      <w:t>使用权资产摊销</w:t>
                    </w:r>
                  </w:p>
                </w:sdtContent>
              </w:sdt>
            </w:tc>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pPr>
                <w:r>
                  <w:t>1,353,949.5</w:t>
                </w:r>
                <w:r>
                  <w:rPr>
                    <w:rFonts w:hint="eastAsia"/>
                  </w:rPr>
                  <w:t>1</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8b4967a4f6564e83943a72b2b6a14e25"/>
                <w:id w:val="31785176"/>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无形资产摊销</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20,552,019.03</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65,998,416.66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91bcbce91db4007a43dc457f0a7dc19"/>
                <w:id w:val="31785177"/>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长期待摊费用摊销</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3,133,097.35</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4,504,402.00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f9f8f7a6994120a06ba50281514777"/>
                <w:id w:val="31785178"/>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处置固定资产、无形资产和其他长期资产的损失（收益以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11,039,601.02</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1,135,815,957.70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81fee79d3354e6fb69ce33fffd7af6e"/>
                <w:id w:val="31785179"/>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固定资产报废损失（收益以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2,210,863.09</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26,355,430.70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464f7483fa24612944bff87f55d77fe"/>
                <w:id w:val="31785180"/>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公允价值变动损失（收益以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-50,677,613.50</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2,524,257.60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1aa93fc6a4d452d904d1035db57b333"/>
                <w:id w:val="31785181"/>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财务费用（收益以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171,676,358.09</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1,882,116,640.10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7da876d38cd4a8fb89860f293c6a668"/>
                <w:id w:val="31785182"/>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投资损失（收益以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-296,391,647.10</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-9,226,058,334.28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fbadbf00208453daec47ef453ccc6f9"/>
                <w:id w:val="31785183"/>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递延所得税资产减少（增加以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-7,536,999.24</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37,401,283.08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995beb110fe461d9f14304be5740b51"/>
                <w:id w:val="31785184"/>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递延所得税负债增加（减少以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30,218,983.40</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-5,593,507.80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13be58aa55a4aee90fa200a6004a83d"/>
                <w:id w:val="31785185"/>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存货的减少（增加以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615,359,070.55</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546,542,880.23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a0f2d4bd51554e919c1b56b36c76b7e4"/>
                <w:id w:val="31785186"/>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经营性应收项目的减少（增加以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-157,851,263.02</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723,820,937.90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e775c78d32f644708ef470b027b0a24e"/>
                <w:id w:val="31785187"/>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经营性应付项目的增加（减少以</w:t>
                    </w:r>
                    <w:r>
                      <w:t>“</w:t>
                    </w:r>
                    <w:r>
                      <w:rPr>
                        <w:rFonts w:hint="eastAsia"/>
                      </w:rPr>
                      <w:t>－</w:t>
                    </w:r>
                    <w:r>
                      <w:t>”</w:t>
                    </w:r>
                    <w:r>
                      <w:rPr>
                        <w:rFonts w:hint="eastAsia"/>
                      </w:rPr>
                      <w:t>号填列）</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-191,318,488.19</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328,983,252.39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5eb8ffd3edfd46a084a79828c7e82dd1"/>
                <w:id w:val="31785188"/>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其他</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pP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051c13b91464acb82ec10ce9e8e9c6e"/>
                <w:id w:val="31785189"/>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经营活动产生的现金流量净额</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375,500,566.85</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234,608,073.45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b9bf22c7a64477db916821f6ee032d7"/>
                <w:id w:val="31785190"/>
                <w:lock w:val="sdtLocked"/>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r>
                      <w:rPr>
                        <w:b/>
                        <w:bCs/>
                      </w:rPr>
                      <w:t>2</w:t>
                    </w:r>
                    <w:r>
                      <w:rPr>
                        <w:rFonts w:hint="eastAsia"/>
                        <w:b/>
                        <w:bCs/>
                      </w:rPr>
                      <w:t>．不涉及现金收支的重大投资和筹资活动：</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655636739ee84751ab668093a128e30d"/>
                <w:id w:val="31785191"/>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债务转为资本</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3,623,641,975.30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256cf5f86c34d5bb6f6784047858fa0"/>
                <w:id w:val="31785192"/>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一年内到期的可转换公司债券</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pP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d59267cd8d7d452fac4c9bc41205c801"/>
                <w:id w:val="31785193"/>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融资租入固定资产</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pP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pPr>
              </w:p>
            </w:tc>
          </w:tr>
          <w:sdt>
            <w:sdtPr>
              <w:rPr>
                <w:rFonts w:asciiTheme="minorHAnsi" w:hAnsiTheme="minorHAnsi" w:eastAsiaTheme="minorEastAsia" w:cstheme="minorBidi"/>
                <w:kern w:val="2"/>
                <w:szCs w:val="22"/>
              </w:rPr>
              <w:alias w:val="新增使用权资产"/>
              <w:tag w:val="_TUP_2bc8f8f1d4cf4759822ca086cf2514f6"/>
              <w:id w:val="31785197"/>
              <w:lock w:val="sdtLocked"/>
            </w:sdtPr>
            <w:sdtEndPr>
              <w:rPr>
                <w:rFonts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rPr>
                      <w:rFonts w:asciiTheme="minorHAnsi" w:hAnsiTheme="minorHAnsi" w:eastAsiaTheme="minorEastAsia" w:cstheme="minorBidi"/>
                      <w:kern w:val="2"/>
                      <w:szCs w:val="22"/>
                    </w:rPr>
                    <w:alias w:val="新增使用权资产"/>
                    <w:tag w:val="_GBC_0850060206924a21a8ba95dcaba868df"/>
                    <w:id w:val="31785194"/>
                    <w:lock w:val="sdtLocked"/>
                  </w:sdtPr>
                  <w:sdtEndPr>
                    <w:rPr>
                      <w:rFonts w:ascii="宋体" w:hAnsi="宋体" w:eastAsia="宋体" w:cs="宋体"/>
                      <w:kern w:val="0"/>
                      <w:szCs w:val="24"/>
                    </w:rPr>
                  </w:sdtEnd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t>新增使用权资产</w:t>
                        </w:r>
                      </w:p>
                    </w:tc>
                  </w:sdtContent>
                </w:sdt>
                <w:sdt>
                  <w:sdtPr>
                    <w:tag w:val="_GBC_7bbc6f8461c64afa93fc0806f4e12e6e"/>
                    <w:id w:val="31785195"/>
                    <w:lock w:val="sdtLocked"/>
                  </w:sdtPr>
                  <w:sdtConten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pPr>
                        <w:r>
                          <w:rPr>
                            <w:rFonts w:asciiTheme="minorEastAsia" w:hAnsiTheme="minorEastAsia" w:eastAsiaTheme="minorEastAsia"/>
                          </w:rPr>
                          <w:t>232,113.14</w:t>
                        </w:r>
                      </w:p>
                    </w:tc>
                  </w:sdtContent>
                </w:sdt>
                <w:sdt>
                  <w:sdtPr>
                    <w:tag w:val="_GBC_bf007726e840436eb29150a5d2aa7f9e"/>
                    <w:id w:val="31785196"/>
                    <w:lock w:val="sdtLocked"/>
                    <w:showingPlcHdr/>
                  </w:sdtPr>
                  <w:sdtContent>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pPr>
                      </w:p>
                    </w:tc>
                  </w:sdtContent>
                </w:sdt>
              </w:tr>
            </w:sdtContent>
          </w:sd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b32f2ba3b4a94101978cc22144b58749"/>
                <w:id w:val="31785198"/>
                <w:lock w:val="sdtLocked"/>
              </w:sdtPr>
              <w:sdtContent>
                <w:tc>
                  <w:tcPr>
                    <w:tcW w:w="5000" w:type="pct"/>
                    <w:gridSpan w:val="3"/>
                    <w:tcBorders>
                      <w:top w:val="single" w:color="auto" w:sz="4" w:space="0"/>
                      <w:left w:val="single" w:color="auto" w:sz="4" w:space="0"/>
                      <w:bottom w:val="single" w:color="auto" w:sz="4" w:space="0"/>
                      <w:right w:val="outset" w:color="auto" w:sz="4" w:space="0"/>
                    </w:tcBorders>
                    <w:shd w:val="clear" w:color="auto" w:fill="auto"/>
                    <w:vAlign w:val="center"/>
                  </w:tcPr>
                  <w:p>
                    <w:r>
                      <w:rPr>
                        <w:b/>
                        <w:bCs/>
                      </w:rPr>
                      <w:t>3</w:t>
                    </w:r>
                    <w:r>
                      <w:rPr>
                        <w:rFonts w:hint="eastAsia"/>
                        <w:b/>
                        <w:bCs/>
                      </w:rPr>
                      <w:t>．现金及现金等价物净变动情况：</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ce5f5dd10ce14f14b2630fa4d067c065"/>
                <w:id w:val="31785199"/>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现金的期末余额</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2,066,137,243.72</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2,323,802,011.82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4086e070f5d54fb29cce570f72724cbb"/>
                <w:id w:val="31785200"/>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减：现金的期初余额</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2,323,802,011.82</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292,214,332.29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1c91c4a914b649cfab66292de8099b2d"/>
                <w:id w:val="31785201"/>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加：现金等价物的期末余额</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pP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3477f6eacd034d7382014e3c1eb89ed3"/>
                <w:id w:val="31785202"/>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减：现金等价物的期初余额</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bCs/>
                  </w:rPr>
                </w:pP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bCs/>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sdt>
              <w:sdtPr>
                <w:tag w:val="_PLD_2ea0766a6a7d4c8bbcf5d81bbec324ef"/>
                <w:id w:val="31785203"/>
                <w:lock w:val="sdtLocked"/>
              </w:sdtPr>
              <w:sdtContent>
                <w:tc>
                  <w:tcPr>
                    <w:tcW w:w="2488"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现金及现金等价物净增加额</w:t>
                    </w:r>
                  </w:p>
                </w:tc>
              </w:sdtContent>
            </w:sdt>
            <w:tc>
              <w:tcPr>
                <w:tcW w:w="1253" w:type="pct"/>
                <w:tcBorders>
                  <w:top w:val="outset" w:color="auto" w:sz="4" w:space="0"/>
                  <w:left w:val="single" w:color="auto" w:sz="4" w:space="0"/>
                  <w:bottom w:val="outset" w:color="auto" w:sz="4" w:space="0"/>
                  <w:right w:val="outset" w:color="auto" w:sz="4" w:space="0"/>
                </w:tcBorders>
                <w:shd w:val="clear" w:color="auto" w:fill="auto"/>
                <w:vAlign w:val="center"/>
              </w:tcPr>
              <w:p>
                <w:pPr>
                  <w:jc w:val="right"/>
                  <w:rPr>
                    <w:sz w:val="24"/>
                  </w:rPr>
                </w:pPr>
                <w:r>
                  <w:t>-257,664,768.10</w:t>
                </w:r>
              </w:p>
            </w:tc>
            <w:tc>
              <w:tcPr>
                <w:tcW w:w="1259" w:type="pct"/>
                <w:tcBorders>
                  <w:top w:val="outset" w:color="auto" w:sz="4" w:space="0"/>
                  <w:left w:val="outset" w:color="auto" w:sz="4" w:space="0"/>
                  <w:bottom w:val="outset" w:color="auto" w:sz="4" w:space="0"/>
                  <w:right w:val="outset" w:color="auto" w:sz="4" w:space="0"/>
                </w:tcBorders>
                <w:shd w:val="clear" w:color="auto" w:fill="auto"/>
                <w:vAlign w:val="center"/>
              </w:tcPr>
              <w:p>
                <w:pPr>
                  <w:jc w:val="right"/>
                  <w:rPr>
                    <w:sz w:val="24"/>
                  </w:rPr>
                </w:pPr>
                <w:r>
                  <w:t>2,031,587,679.53</w:t>
                </w:r>
              </w:p>
            </w:tc>
          </w:tr>
        </w:tbl>
        <w:p/>
      </w:sdtContent>
    </w:sdt>
    <w:sdt>
      <w:sdtPr>
        <w:rPr>
          <w:rFonts w:hint="eastAsia" w:ascii="宋体" w:hAnsi="宋体" w:eastAsia="宋体" w:cs="宋体"/>
          <w:b w:val="0"/>
          <w:bCs w:val="0"/>
          <w:kern w:val="0"/>
          <w:szCs w:val="24"/>
        </w:rPr>
        <w:alias w:val="模块:取得子公司支付的现金净额"/>
        <w:tag w:val="_SEC_971240b1511b4283b56dedb17a919272"/>
        <w:id w:val="231287512"/>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214"/>
            <w:numPr>
              <w:ilvl w:val="0"/>
              <w:numId w:val="110"/>
            </w:numPr>
            <w:ind w:left="426" w:hanging="426"/>
          </w:pPr>
          <w:r>
            <w:rPr>
              <w:rFonts w:hint="eastAsia"/>
            </w:rPr>
            <w:t>本期</w:t>
          </w:r>
          <w:r>
            <w:rPr>
              <w:rFonts w:hint="eastAsia" w:ascii="宋体" w:hAnsi="宋体" w:cs="宋体"/>
              <w:kern w:val="0"/>
            </w:rPr>
            <w:t>支付的</w:t>
          </w:r>
          <w:r>
            <w:rPr>
              <w:rFonts w:hint="eastAsia"/>
            </w:rPr>
            <w:t>取得子公司的现金净额</w:t>
          </w:r>
        </w:p>
        <w:p>
          <w:sdt>
            <w:sdtPr>
              <w:alias w:val="是否适用：本期支付的取得子公司的现金净额[双击切换]"/>
              <w:tag w:val="_GBC_e15d87c710624e119515f4697cba951d"/>
              <w:id w:val="-275717281"/>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sdtContent>
    </w:sdt>
    <w:sdt>
      <w:sdtPr>
        <w:rPr>
          <w:rFonts w:hint="eastAsia" w:ascii="宋体" w:hAnsi="宋体" w:eastAsia="宋体" w:cs="宋体"/>
          <w:b w:val="0"/>
          <w:bCs w:val="0"/>
          <w:kern w:val="0"/>
          <w:szCs w:val="24"/>
        </w:rPr>
        <w:alias w:val="模块:处置子公司收到的现金净额"/>
        <w:tag w:val="_SEC_c13aa60d3ee2485187cd10bae50b72d3"/>
        <w:id w:val="868408443"/>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214"/>
            <w:numPr>
              <w:ilvl w:val="0"/>
              <w:numId w:val="110"/>
            </w:numPr>
            <w:ind w:left="426" w:hanging="426"/>
          </w:pPr>
          <w:r>
            <w:rPr>
              <w:rFonts w:hint="eastAsia" w:ascii="宋体" w:hAnsi="宋体" w:cs="宋体"/>
              <w:kern w:val="0"/>
              <w:szCs w:val="24"/>
            </w:rPr>
            <w:t>本期收到的</w:t>
          </w:r>
          <w:r>
            <w:rPr>
              <w:rFonts w:hint="eastAsia"/>
            </w:rPr>
            <w:t>处置子公司的现金净额</w:t>
          </w:r>
        </w:p>
        <w:p>
          <w:sdt>
            <w:sdtPr>
              <w:alias w:val="是否适用：本期收到的处置子公司的现金净额[双击切换]"/>
              <w:tag w:val="_GBC_34f955c7fd1f404b9df6ccd09e080d38"/>
              <w:id w:val="-555164154"/>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本期收到的处置子公司的现金净额"/>
              <w:tag w:val="_GBC_5f26998b58aa46cabc7759aabebc8555"/>
              <w:id w:val="-1162265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17220869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64"/>
            <w:gridCol w:w="2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shd w:val="clear" w:color="auto" w:fill="auto"/>
                <w:vAlign w:val="center"/>
              </w:tcPr>
              <w:p>
                <w:pPr>
                  <w:jc w:val="center"/>
                  <w:rPr>
                    <w:rFonts w:cs="Arial"/>
                    <w:szCs w:val="21"/>
                    <w:lang w:val="en-GB"/>
                  </w:rPr>
                </w:pPr>
              </w:p>
            </w:tc>
            <w:sdt>
              <w:sdtPr>
                <w:tag w:val="_PLD_651c90dc7f9f46fe9e08c830cf988f2b"/>
                <w:id w:val="1177847055"/>
                <w:lock w:val="sdtLocked"/>
              </w:sdtPr>
              <w:sdtContent>
                <w:tc>
                  <w:tcPr>
                    <w:tcW w:w="1738" w:type="pct"/>
                    <w:shd w:val="clear" w:color="auto" w:fill="auto"/>
                    <w:vAlign w:val="center"/>
                  </w:tcPr>
                  <w:p>
                    <w:pPr>
                      <w:jc w:val="center"/>
                      <w:rPr>
                        <w:rFonts w:cs="Arial"/>
                        <w:szCs w:val="21"/>
                      </w:rPr>
                    </w:pPr>
                    <w:r>
                      <w:rPr>
                        <w:rFonts w:hint="eastAsia" w:cs="Arial"/>
                        <w:szCs w:val="21"/>
                      </w:rPr>
                      <w:t>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76789b7a08fc49c7a1796df4226866c9"/>
                <w:id w:val="-156533348"/>
                <w:lock w:val="sdtLocked"/>
              </w:sdtPr>
              <w:sdtContent>
                <w:tc>
                  <w:tcPr>
                    <w:tcW w:w="3262" w:type="pct"/>
                    <w:shd w:val="clear" w:color="auto" w:fill="auto"/>
                  </w:tcPr>
                  <w:p>
                    <w:pPr>
                      <w:rPr>
                        <w:rFonts w:cs="Arial"/>
                        <w:szCs w:val="21"/>
                      </w:rPr>
                    </w:pPr>
                    <w:r>
                      <w:rPr>
                        <w:rFonts w:hint="eastAsia" w:cs="Arial"/>
                        <w:szCs w:val="21"/>
                        <w:lang w:val="en-GB"/>
                      </w:rPr>
                      <w:t>本期处置子公司于本期收到的现金或现金等价物</w:t>
                    </w:r>
                  </w:p>
                </w:tc>
              </w:sdtContent>
            </w:sdt>
            <w:tc>
              <w:tcPr>
                <w:tcW w:w="1738" w:type="pct"/>
                <w:shd w:val="clear" w:color="auto" w:fill="auto"/>
              </w:tcPr>
              <w:p>
                <w:pPr>
                  <w:jc w:val="right"/>
                  <w:rPr>
                    <w:rFonts w:cs="Arial"/>
                    <w:szCs w:val="21"/>
                  </w:rPr>
                </w:pPr>
                <w:r>
                  <w:t>13,942,689.15</w:t>
                </w:r>
              </w:p>
            </w:tc>
          </w:tr>
          <w:sdt>
            <w:sdtPr>
              <w:rPr>
                <w:rFonts w:hint="eastAsia" w:cs="Arial"/>
                <w:szCs w:val="21"/>
                <w:lang w:val="en-GB"/>
              </w:rPr>
              <w:alias w:val="本期处置子公司于本期收到的现金或现金等价物明细"/>
              <w:tag w:val="_TUP_6fe33d37b88b479f931db67f90da54cb"/>
              <w:id w:val="873743238"/>
              <w:lock w:val="sdtLocked"/>
            </w:sdtPr>
            <w:sdtEndPr>
              <w:rPr>
                <w:rFonts w:hint="default" w:cs="Arial"/>
                <w:szCs w:val="21"/>
                <w:lang w:val="en-U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shd w:val="clear" w:color="auto" w:fill="auto"/>
                  </w:tcPr>
                  <w:p>
                    <w:pPr>
                      <w:ind w:firstLine="420" w:firstLineChars="200"/>
                      <w:rPr>
                        <w:rFonts w:cs="Arial"/>
                        <w:szCs w:val="21"/>
                        <w:lang w:val="en-GB"/>
                      </w:rPr>
                    </w:pPr>
                    <w:r>
                      <w:t>其中：成都速骓进出口有限公司</w:t>
                    </w:r>
                  </w:p>
                </w:tc>
                <w:tc>
                  <w:tcPr>
                    <w:tcW w:w="1738" w:type="pct"/>
                    <w:shd w:val="clear" w:color="auto" w:fill="auto"/>
                  </w:tcPr>
                  <w:p>
                    <w:pPr>
                      <w:jc w:val="right"/>
                      <w:rPr>
                        <w:rFonts w:cs="Arial"/>
                        <w:szCs w:val="21"/>
                      </w:rPr>
                    </w:pPr>
                    <w:r>
                      <w:t>19,388.15</w:t>
                    </w:r>
                  </w:p>
                </w:tc>
              </w:tr>
            </w:sdtContent>
          </w:sdt>
          <w:sdt>
            <w:sdtPr>
              <w:rPr>
                <w:rFonts w:hint="eastAsia" w:cs="Arial"/>
                <w:szCs w:val="21"/>
                <w:lang w:val="en-GB"/>
              </w:rPr>
              <w:alias w:val="本期处置子公司于本期收到的现金或现金等价物明细"/>
              <w:tag w:val="_TUP_6fe33d37b88b479f931db67f90da54cb"/>
              <w:id w:val="-1097005628"/>
              <w:lock w:val="sdtLocked"/>
            </w:sdtPr>
            <w:sdtEndPr>
              <w:rPr>
                <w:rFonts w:hint="default" w:cs="Arial"/>
                <w:szCs w:val="21"/>
                <w:lang w:val="en-U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shd w:val="clear" w:color="auto" w:fill="auto"/>
                  </w:tcPr>
                  <w:p>
                    <w:pPr>
                      <w:ind w:firstLine="420" w:firstLineChars="200"/>
                      <w:rPr>
                        <w:rFonts w:cs="Arial"/>
                        <w:szCs w:val="21"/>
                        <w:lang w:val="en-GB"/>
                      </w:rPr>
                    </w:pPr>
                    <w:r>
                      <w:t>上海新概念出租汽车有限公司</w:t>
                    </w:r>
                  </w:p>
                </w:tc>
                <w:tc>
                  <w:tcPr>
                    <w:tcW w:w="1738" w:type="pct"/>
                    <w:shd w:val="clear" w:color="auto" w:fill="auto"/>
                  </w:tcPr>
                  <w:p>
                    <w:pPr>
                      <w:jc w:val="right"/>
                      <w:rPr>
                        <w:rFonts w:cs="Arial"/>
                        <w:szCs w:val="21"/>
                      </w:rPr>
                    </w:pPr>
                    <w:r>
                      <w:t>13,923,300.00</w:t>
                    </w:r>
                  </w:p>
                </w:tc>
              </w:tr>
            </w:sdtContent>
          </w:sdt>
          <w:sdt>
            <w:sdtPr>
              <w:rPr>
                <w:rFonts w:hint="eastAsia" w:cs="Arial"/>
                <w:szCs w:val="21"/>
                <w:lang w:val="en-GB"/>
              </w:rPr>
              <w:alias w:val="本期处置子公司于本期收到的现金或现金等价物明细"/>
              <w:tag w:val="_TUP_6fe33d37b88b479f931db67f90da54cb"/>
              <w:id w:val="2138913901"/>
              <w:lock w:val="sdtLocked"/>
            </w:sdtPr>
            <w:sdtEndPr>
              <w:rPr>
                <w:rFonts w:hint="default" w:cs="Arial"/>
                <w:szCs w:val="21"/>
                <w:lang w:val="en-U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shd w:val="clear" w:color="auto" w:fill="auto"/>
                  </w:tcPr>
                  <w:p>
                    <w:pPr>
                      <w:ind w:firstLine="420" w:firstLineChars="200"/>
                      <w:rPr>
                        <w:rFonts w:cs="Arial"/>
                        <w:szCs w:val="21"/>
                        <w:lang w:val="en-GB"/>
                      </w:rPr>
                    </w:pPr>
                    <w:r>
                      <w:t>上海无线绿洲通信技术有限公司</w:t>
                    </w:r>
                  </w:p>
                </w:tc>
                <w:tc>
                  <w:tcPr>
                    <w:tcW w:w="1738" w:type="pct"/>
                    <w:shd w:val="clear" w:color="auto" w:fill="auto"/>
                  </w:tcPr>
                  <w:p>
                    <w:pPr>
                      <w:jc w:val="right"/>
                      <w:rPr>
                        <w:rFonts w:cs="Arial"/>
                        <w:szCs w:val="21"/>
                      </w:rPr>
                    </w:pPr>
                    <w:r>
                      <w:t>1.00</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6193f128a3c84eaf86063b83410b0a55"/>
                <w:id w:val="1753317426"/>
                <w:lock w:val="sdtLocked"/>
              </w:sdtPr>
              <w:sdtContent>
                <w:tc>
                  <w:tcPr>
                    <w:tcW w:w="3262" w:type="pct"/>
                    <w:shd w:val="clear" w:color="auto" w:fill="auto"/>
                  </w:tcPr>
                  <w:p>
                    <w:pPr>
                      <w:rPr>
                        <w:rFonts w:cs="Arial"/>
                        <w:szCs w:val="21"/>
                      </w:rPr>
                    </w:pPr>
                    <w:r>
                      <w:rPr>
                        <w:rFonts w:hint="eastAsia" w:cs="Arial"/>
                        <w:szCs w:val="21"/>
                        <w:lang w:val="en-GB"/>
                      </w:rPr>
                      <w:t>减：丧失控制权日子公司持有的现金及现金等价物</w:t>
                    </w:r>
                  </w:p>
                </w:tc>
              </w:sdtContent>
            </w:sdt>
            <w:tc>
              <w:tcPr>
                <w:tcW w:w="1738" w:type="pct"/>
                <w:shd w:val="clear" w:color="auto" w:fill="auto"/>
              </w:tcPr>
              <w:p>
                <w:pPr>
                  <w:jc w:val="right"/>
                  <w:rPr>
                    <w:rFonts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d4f625d7f7944d02acdc1e356470c60f"/>
                <w:id w:val="-2139953863"/>
                <w:lock w:val="sdtLocked"/>
              </w:sdtPr>
              <w:sdtContent>
                <w:tc>
                  <w:tcPr>
                    <w:tcW w:w="3262" w:type="pct"/>
                    <w:shd w:val="clear" w:color="auto" w:fill="auto"/>
                  </w:tcPr>
                  <w:p>
                    <w:pPr>
                      <w:rPr>
                        <w:rFonts w:cs="Arial"/>
                        <w:szCs w:val="21"/>
                        <w:lang w:val="en-GB"/>
                      </w:rPr>
                    </w:pPr>
                    <w:r>
                      <w:rPr>
                        <w:rFonts w:hint="eastAsia" w:cs="Arial"/>
                        <w:szCs w:val="21"/>
                        <w:lang w:val="en-GB"/>
                      </w:rPr>
                      <w:t>加：以前期间处置子公司于本期收到的现金或现金等价物</w:t>
                    </w:r>
                  </w:p>
                </w:tc>
              </w:sdtContent>
            </w:sdt>
            <w:tc>
              <w:tcPr>
                <w:tcW w:w="1738" w:type="pct"/>
                <w:shd w:val="clear" w:color="auto" w:fill="auto"/>
              </w:tcPr>
              <w:p>
                <w:pPr>
                  <w:jc w:val="right"/>
                  <w:rPr>
                    <w:rFonts w:cs="Arial"/>
                    <w:szCs w:val="21"/>
                  </w:rPr>
                </w:pPr>
                <w:r>
                  <w:rPr>
                    <w:rFonts w:cs="Arial"/>
                    <w:szCs w:val="21"/>
                  </w:rPr>
                  <w:t>67,180,223.22</w:t>
                </w:r>
              </w:p>
            </w:tc>
          </w:tr>
          <w:sdt>
            <w:sdtPr>
              <w:rPr>
                <w:rFonts w:hint="eastAsia" w:cs="Arial"/>
                <w:szCs w:val="21"/>
                <w:lang w:val="en-GB"/>
              </w:rPr>
              <w:alias w:val="以前期间处置子公司于本期收到的现金或现金等价物明细"/>
              <w:tag w:val="_TUP_b82cb9621c174fa9b017587544a4c8e6"/>
              <w:id w:val="426234927"/>
              <w:lock w:val="sdtLocked"/>
            </w:sdtPr>
            <w:sdtEndPr>
              <w:rPr>
                <w:rFonts w:hint="default" w:cs="Arial"/>
                <w:szCs w:val="21"/>
                <w:lang w:val="en-US"/>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62" w:type="pct"/>
                    <w:shd w:val="clear" w:color="auto" w:fill="auto"/>
                  </w:tcPr>
                  <w:p>
                    <w:pPr>
                      <w:ind w:firstLine="420" w:firstLineChars="200"/>
                      <w:rPr>
                        <w:rFonts w:cs="Arial"/>
                        <w:szCs w:val="21"/>
                        <w:lang w:val="en-GB"/>
                      </w:rPr>
                    </w:pPr>
                    <w:r>
                      <w:rPr>
                        <w:rFonts w:hint="eastAsia" w:cs="Arial"/>
                        <w:szCs w:val="21"/>
                        <w:lang w:val="en-GB"/>
                      </w:rPr>
                      <w:t>其中：</w:t>
                    </w:r>
                    <w:r>
                      <w:rPr>
                        <w:rFonts w:cs="Arial"/>
                        <w:szCs w:val="21"/>
                        <w:lang w:val="en-GB"/>
                      </w:rPr>
                      <w:t xml:space="preserve"> 重庆力帆汽车有限公司</w:t>
                    </w:r>
                  </w:p>
                </w:tc>
                <w:tc>
                  <w:tcPr>
                    <w:tcW w:w="1738" w:type="pct"/>
                    <w:shd w:val="clear" w:color="auto" w:fill="auto"/>
                  </w:tcPr>
                  <w:p>
                    <w:pPr>
                      <w:jc w:val="right"/>
                      <w:rPr>
                        <w:rFonts w:cs="Arial"/>
                        <w:szCs w:val="21"/>
                      </w:rPr>
                    </w:pPr>
                    <w:r>
                      <w:rPr>
                        <w:rFonts w:cs="Arial"/>
                        <w:szCs w:val="21"/>
                      </w:rPr>
                      <w:t>67,180,223.22</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f4d44aeda3c342e18dd5dfe91b6f5bf8"/>
                <w:id w:val="1073088728"/>
                <w:lock w:val="sdtLocked"/>
              </w:sdtPr>
              <w:sdtContent>
                <w:tc>
                  <w:tcPr>
                    <w:tcW w:w="3262" w:type="pct"/>
                    <w:shd w:val="clear" w:color="auto" w:fill="auto"/>
                  </w:tcPr>
                  <w:p>
                    <w:pPr>
                      <w:rPr>
                        <w:rFonts w:cs="Arial"/>
                        <w:szCs w:val="21"/>
                      </w:rPr>
                    </w:pPr>
                    <w:r>
                      <w:rPr>
                        <w:rFonts w:hint="eastAsia" w:cs="Arial"/>
                        <w:szCs w:val="21"/>
                        <w:lang w:val="en-GB"/>
                      </w:rPr>
                      <w:t>处置子公司收到的现金净额</w:t>
                    </w:r>
                  </w:p>
                </w:tc>
              </w:sdtContent>
            </w:sdt>
            <w:tc>
              <w:tcPr>
                <w:tcW w:w="1738" w:type="pct"/>
                <w:shd w:val="clear" w:color="auto" w:fill="auto"/>
              </w:tcPr>
              <w:p>
                <w:pPr>
                  <w:jc w:val="right"/>
                  <w:rPr>
                    <w:rFonts w:cs="Arial"/>
                    <w:szCs w:val="21"/>
                  </w:rPr>
                </w:pPr>
                <w:r>
                  <w:rPr>
                    <w:rFonts w:cs="Arial"/>
                    <w:szCs w:val="21"/>
                  </w:rPr>
                  <w:t>81,122,912.37</w:t>
                </w:r>
              </w:p>
            </w:tc>
          </w:tr>
        </w:tbl>
        <w:p/>
        <w:p>
          <w:r>
            <w:rPr>
              <w:rFonts w:hint="eastAsia"/>
            </w:rPr>
            <w:t>其他说明</w:t>
          </w:r>
          <w:r>
            <w:t>:</w:t>
          </w:r>
        </w:p>
        <w:sdt>
          <w:sdtPr>
            <w:alias w:val="处置子公司收到的现金净额的其他说明"/>
            <w:tag w:val="_GBC_79d0ae0ff143419097b60fe3b94ac455"/>
            <w:id w:val="-2101559903"/>
            <w:lock w:val="sdtLocked"/>
            <w:placeholder>
              <w:docPart w:val="GBC22222222222222222222222222222"/>
            </w:placeholder>
          </w:sdtPr>
          <w:sdtContent>
            <w:p>
              <w:r>
                <w:rPr>
                  <w:rFonts w:hint="eastAsia"/>
                </w:rPr>
                <w:t>无</w:t>
              </w:r>
            </w:p>
          </w:sdtContent>
        </w:sdt>
      </w:sdtContent>
    </w:sdt>
    <w:p/>
    <w:sdt>
      <w:sdtPr>
        <w:rPr>
          <w:rFonts w:hint="eastAsia" w:ascii="宋体" w:hAnsi="宋体" w:eastAsia="宋体" w:cs="宋体"/>
          <w:b w:val="0"/>
          <w:bCs w:val="0"/>
          <w:kern w:val="0"/>
          <w:szCs w:val="24"/>
        </w:rPr>
        <w:alias w:val="模块:现金和现金等价物的构成"/>
        <w:tag w:val="_SEC_4dd83b47da414fd18ef87a83dbc8a22a"/>
        <w:id w:val="-107202832"/>
        <w:lock w:val="sdtLocked"/>
        <w:placeholder>
          <w:docPart w:val="GBC22222222222222222222222222222"/>
        </w:placeholder>
      </w:sdtPr>
      <w:sdtEndPr>
        <w:rPr>
          <w:rFonts w:hint="default" w:ascii="宋体" w:hAnsi="宋体" w:eastAsia="宋体" w:cs="宋体"/>
          <w:b w:val="0"/>
          <w:bCs w:val="0"/>
          <w:kern w:val="0"/>
          <w:szCs w:val="22"/>
        </w:rPr>
      </w:sdtEndPr>
      <w:sdtContent>
        <w:p>
          <w:pPr>
            <w:pStyle w:val="214"/>
            <w:numPr>
              <w:ilvl w:val="0"/>
              <w:numId w:val="110"/>
            </w:numPr>
            <w:ind w:left="426" w:hanging="426"/>
          </w:pPr>
          <w:r>
            <w:rPr>
              <w:rFonts w:hint="eastAsia" w:ascii="宋体" w:hAnsi="宋体"/>
            </w:rPr>
            <w:t>现金</w:t>
          </w:r>
          <w:r>
            <w:rPr>
              <w:rFonts w:hint="eastAsia"/>
            </w:rPr>
            <w:t>和现金等价物的构成</w:t>
          </w:r>
        </w:p>
        <w:sdt>
          <w:sdtPr>
            <w:alias w:val="是否适用：现金和现金等价物的构成[双击切换]"/>
            <w:tag w:val="_GBC_491189eaa80041618842ef50d90276c8"/>
            <w:id w:val="-7540471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b/>
              <w:szCs w:val="21"/>
            </w:rPr>
          </w:pPr>
          <w:r>
            <w:rPr>
              <w:rFonts w:hint="eastAsia"/>
            </w:rPr>
            <w:t>单位：</w:t>
          </w:r>
          <w:sdt>
            <w:sdtPr>
              <w:rPr>
                <w:rFonts w:hint="eastAsia"/>
              </w:rPr>
              <w:alias w:val="单位：财务附注：现金和现金等价物的构成"/>
              <w:tag w:val="_GBC_ae4a256eecad4f3f9ecc6e2e71ab2c7d"/>
              <w:id w:val="-7318533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515868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5"/>
            <w:gridCol w:w="2375"/>
            <w:gridCol w:w="2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236b4353ebb4174a1d752e2dd8d5962"/>
                <w:id w:val="516121896"/>
                <w:lock w:val="sdtLocked"/>
              </w:sdtPr>
              <w:sdtContent>
                <w:tc>
                  <w:tcPr>
                    <w:tcW w:w="2096" w:type="pct"/>
                    <w:tcBorders>
                      <w:bottom w:val="single" w:color="auto" w:sz="4" w:space="0"/>
                    </w:tcBorders>
                    <w:shd w:val="clear" w:color="auto" w:fill="auto"/>
                    <w:vAlign w:val="center"/>
                  </w:tcPr>
                  <w:p>
                    <w:pPr>
                      <w:ind w:left="-107" w:leftChars="-51"/>
                      <w:jc w:val="center"/>
                      <w:rPr>
                        <w:szCs w:val="21"/>
                      </w:rPr>
                    </w:pPr>
                    <w:r>
                      <w:rPr>
                        <w:rFonts w:hint="eastAsia"/>
                        <w:szCs w:val="21"/>
                      </w:rPr>
                      <w:t>项目</w:t>
                    </w:r>
                  </w:p>
                </w:tc>
              </w:sdtContent>
            </w:sdt>
            <w:sdt>
              <w:sdtPr>
                <w:tag w:val="_PLD_74f42234ca4e43f7b8ddb72b330e411d"/>
                <w:id w:val="171072018"/>
                <w:lock w:val="sdtLocked"/>
              </w:sdtPr>
              <w:sdtContent>
                <w:tc>
                  <w:tcPr>
                    <w:tcW w:w="1392" w:type="pct"/>
                    <w:shd w:val="clear" w:color="auto" w:fill="auto"/>
                    <w:vAlign w:val="center"/>
                  </w:tcPr>
                  <w:p>
                    <w:pPr>
                      <w:jc w:val="center"/>
                      <w:rPr>
                        <w:szCs w:val="21"/>
                      </w:rPr>
                    </w:pPr>
                    <w:r>
                      <w:rPr>
                        <w:rFonts w:hint="eastAsia"/>
                        <w:szCs w:val="21"/>
                      </w:rPr>
                      <w:t>期末余额</w:t>
                    </w:r>
                  </w:p>
                </w:tc>
              </w:sdtContent>
            </w:sdt>
            <w:sdt>
              <w:sdtPr>
                <w:tag w:val="_PLD_acedd6f1968c4c8e9a0e547b5501996e"/>
                <w:id w:val="-1305842809"/>
                <w:lock w:val="sdtLocked"/>
              </w:sdtPr>
              <w:sdtContent>
                <w:tc>
                  <w:tcPr>
                    <w:tcW w:w="1511" w:type="pct"/>
                    <w:shd w:val="clear" w:color="auto" w:fill="auto"/>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30974bcf6934ec0baf9b0fa14607d4b"/>
                <w:id w:val="1840113161"/>
                <w:lock w:val="sdtLocked"/>
              </w:sdtPr>
              <w:sdtContent>
                <w:tc>
                  <w:tcPr>
                    <w:tcW w:w="2096" w:type="pct"/>
                    <w:shd w:val="clear" w:color="auto" w:fill="auto"/>
                    <w:vAlign w:val="center"/>
                  </w:tcPr>
                  <w:p>
                    <w:pPr>
                      <w:rPr>
                        <w:szCs w:val="21"/>
                      </w:rPr>
                    </w:pPr>
                    <w:r>
                      <w:rPr>
                        <w:rFonts w:hint="eastAsia"/>
                        <w:szCs w:val="21"/>
                      </w:rPr>
                      <w:t>一、现金</w:t>
                    </w:r>
                  </w:p>
                </w:tc>
              </w:sdtContent>
            </w:sdt>
            <w:tc>
              <w:tcPr>
                <w:tcW w:w="1392" w:type="pct"/>
                <w:shd w:val="clear" w:color="auto" w:fill="auto"/>
                <w:vAlign w:val="center"/>
              </w:tcPr>
              <w:p>
                <w:pPr>
                  <w:jc w:val="right"/>
                  <w:rPr>
                    <w:szCs w:val="21"/>
                  </w:rPr>
                </w:pPr>
                <w:r>
                  <w:rPr>
                    <w:szCs w:val="21"/>
                  </w:rPr>
                  <w:t>2,066,137,243.7</w:t>
                </w:r>
                <w:r>
                  <w:rPr>
                    <w:rFonts w:hint="eastAsia"/>
                    <w:szCs w:val="21"/>
                  </w:rPr>
                  <w:t>2</w:t>
                </w:r>
              </w:p>
            </w:tc>
            <w:tc>
              <w:tcPr>
                <w:tcW w:w="1511" w:type="pct"/>
                <w:shd w:val="clear" w:color="auto" w:fill="auto"/>
                <w:vAlign w:val="center"/>
              </w:tcPr>
              <w:p>
                <w:pPr>
                  <w:jc w:val="right"/>
                  <w:rPr>
                    <w:szCs w:val="21"/>
                  </w:rPr>
                </w:pPr>
                <w:r>
                  <w:rPr>
                    <w:szCs w:val="21"/>
                  </w:rPr>
                  <w:t>2,323,802,011.82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2448924633ff47a2a056b74831275190"/>
                <w:id w:val="1495147386"/>
                <w:lock w:val="sdtLocked"/>
              </w:sdtPr>
              <w:sdtContent>
                <w:tc>
                  <w:tcPr>
                    <w:tcW w:w="2096" w:type="pct"/>
                    <w:shd w:val="clear" w:color="auto" w:fill="auto"/>
                    <w:vAlign w:val="center"/>
                  </w:tcPr>
                  <w:p>
                    <w:pPr>
                      <w:rPr>
                        <w:szCs w:val="21"/>
                      </w:rPr>
                    </w:pPr>
                    <w:r>
                      <w:rPr>
                        <w:rFonts w:hint="eastAsia"/>
                        <w:szCs w:val="21"/>
                      </w:rPr>
                      <w:t>其中：库存现金</w:t>
                    </w:r>
                  </w:p>
                </w:tc>
              </w:sdtContent>
            </w:sdt>
            <w:tc>
              <w:tcPr>
                <w:tcW w:w="1392" w:type="pct"/>
                <w:shd w:val="clear" w:color="auto" w:fill="auto"/>
                <w:vAlign w:val="center"/>
              </w:tcPr>
              <w:p>
                <w:pPr>
                  <w:jc w:val="right"/>
                  <w:rPr>
                    <w:szCs w:val="21"/>
                  </w:rPr>
                </w:pPr>
                <w:r>
                  <w:rPr>
                    <w:szCs w:val="21"/>
                  </w:rPr>
                  <w:t>1,725,981.02</w:t>
                </w:r>
              </w:p>
            </w:tc>
            <w:tc>
              <w:tcPr>
                <w:tcW w:w="1511" w:type="pct"/>
                <w:shd w:val="clear" w:color="auto" w:fill="auto"/>
                <w:vAlign w:val="center"/>
              </w:tcPr>
              <w:p>
                <w:pPr>
                  <w:jc w:val="right"/>
                  <w:rPr>
                    <w:szCs w:val="21"/>
                  </w:rPr>
                </w:pPr>
                <w:r>
                  <w:rPr>
                    <w:szCs w:val="21"/>
                  </w:rPr>
                  <w:t>2,896,961.51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c1d37ef90854383849abb5794e386ca"/>
                <w:id w:val="1045797597"/>
                <w:lock w:val="sdtLocked"/>
              </w:sdtPr>
              <w:sdtContent>
                <w:tc>
                  <w:tcPr>
                    <w:tcW w:w="2096" w:type="pct"/>
                    <w:shd w:val="clear" w:color="auto" w:fill="auto"/>
                    <w:vAlign w:val="center"/>
                  </w:tcPr>
                  <w:p>
                    <w:pPr>
                      <w:rPr>
                        <w:szCs w:val="21"/>
                      </w:rPr>
                    </w:pPr>
                    <w:r>
                      <w:rPr>
                        <w:rFonts w:hint="eastAsia"/>
                        <w:szCs w:val="21"/>
                      </w:rPr>
                      <w:t>　　可随时用于支付的银行存款</w:t>
                    </w:r>
                  </w:p>
                </w:tc>
              </w:sdtContent>
            </w:sdt>
            <w:tc>
              <w:tcPr>
                <w:tcW w:w="1392" w:type="pct"/>
                <w:shd w:val="clear" w:color="auto" w:fill="auto"/>
                <w:vAlign w:val="center"/>
              </w:tcPr>
              <w:p>
                <w:pPr>
                  <w:jc w:val="right"/>
                  <w:rPr>
                    <w:szCs w:val="21"/>
                  </w:rPr>
                </w:pPr>
                <w:r>
                  <w:rPr>
                    <w:szCs w:val="21"/>
                  </w:rPr>
                  <w:t>2,064,411,262.70</w:t>
                </w:r>
              </w:p>
            </w:tc>
            <w:tc>
              <w:tcPr>
                <w:tcW w:w="1511" w:type="pct"/>
                <w:shd w:val="clear" w:color="auto" w:fill="auto"/>
                <w:vAlign w:val="center"/>
              </w:tcPr>
              <w:p>
                <w:pPr>
                  <w:jc w:val="right"/>
                  <w:rPr>
                    <w:szCs w:val="21"/>
                  </w:rPr>
                </w:pPr>
                <w:r>
                  <w:rPr>
                    <w:szCs w:val="21"/>
                  </w:rPr>
                  <w:t>2,320,905,050.31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edb06094538948b280e2e88028c5768c"/>
                <w:id w:val="1796099223"/>
                <w:lock w:val="sdtLocked"/>
              </w:sdtPr>
              <w:sdtContent>
                <w:tc>
                  <w:tcPr>
                    <w:tcW w:w="2096" w:type="pct"/>
                    <w:shd w:val="clear" w:color="auto" w:fill="auto"/>
                    <w:vAlign w:val="center"/>
                  </w:tcPr>
                  <w:p>
                    <w:pPr>
                      <w:rPr>
                        <w:szCs w:val="21"/>
                      </w:rPr>
                    </w:pPr>
                    <w:r>
                      <w:rPr>
                        <w:rFonts w:hint="eastAsia"/>
                        <w:szCs w:val="21"/>
                      </w:rPr>
                      <w:t>　　可随时用于支付的其他货币资金</w:t>
                    </w:r>
                  </w:p>
                </w:tc>
              </w:sdtContent>
            </w:sdt>
            <w:tc>
              <w:tcPr>
                <w:tcW w:w="1392" w:type="pct"/>
                <w:shd w:val="clear" w:color="auto" w:fill="auto"/>
              </w:tcPr>
              <w:p>
                <w:pPr>
                  <w:jc w:val="right"/>
                  <w:rPr>
                    <w:szCs w:val="21"/>
                  </w:rPr>
                </w:pPr>
              </w:p>
            </w:tc>
            <w:tc>
              <w:tcPr>
                <w:tcW w:w="1511"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77b2ead3898a4e50a1fbacd39f88a461"/>
                <w:id w:val="-1922330750"/>
                <w:lock w:val="sdtLocked"/>
              </w:sdtPr>
              <w:sdtContent>
                <w:tc>
                  <w:tcPr>
                    <w:tcW w:w="2096" w:type="pct"/>
                    <w:shd w:val="clear" w:color="auto" w:fill="auto"/>
                    <w:vAlign w:val="center"/>
                  </w:tcPr>
                  <w:p>
                    <w:pPr>
                      <w:rPr>
                        <w:szCs w:val="21"/>
                      </w:rPr>
                    </w:pPr>
                    <w:r>
                      <w:rPr>
                        <w:rFonts w:hint="eastAsia"/>
                        <w:szCs w:val="21"/>
                      </w:rPr>
                      <w:t>　　可用于支付的存放中央银行款项</w:t>
                    </w:r>
                  </w:p>
                </w:tc>
              </w:sdtContent>
            </w:sdt>
            <w:tc>
              <w:tcPr>
                <w:tcW w:w="1392" w:type="pct"/>
                <w:shd w:val="clear" w:color="auto" w:fill="auto"/>
              </w:tcPr>
              <w:p>
                <w:pPr>
                  <w:jc w:val="right"/>
                  <w:rPr>
                    <w:szCs w:val="21"/>
                  </w:rPr>
                </w:pPr>
              </w:p>
            </w:tc>
            <w:tc>
              <w:tcPr>
                <w:tcW w:w="1511"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04f13530c5ee43daa46681c189519f4e"/>
                <w:id w:val="-556867518"/>
                <w:lock w:val="sdtLocked"/>
              </w:sdtPr>
              <w:sdtContent>
                <w:tc>
                  <w:tcPr>
                    <w:tcW w:w="2096" w:type="pct"/>
                    <w:shd w:val="clear" w:color="auto" w:fill="auto"/>
                    <w:vAlign w:val="center"/>
                  </w:tcPr>
                  <w:p>
                    <w:pPr>
                      <w:rPr>
                        <w:szCs w:val="21"/>
                      </w:rPr>
                    </w:pPr>
                    <w:r>
                      <w:rPr>
                        <w:rFonts w:hint="eastAsia"/>
                        <w:szCs w:val="21"/>
                      </w:rPr>
                      <w:t>　　存放同业款项</w:t>
                    </w:r>
                  </w:p>
                </w:tc>
              </w:sdtContent>
            </w:sdt>
            <w:tc>
              <w:tcPr>
                <w:tcW w:w="1392" w:type="pct"/>
                <w:shd w:val="clear" w:color="auto" w:fill="auto"/>
              </w:tcPr>
              <w:p>
                <w:pPr>
                  <w:jc w:val="right"/>
                  <w:rPr>
                    <w:szCs w:val="21"/>
                  </w:rPr>
                </w:pPr>
              </w:p>
            </w:tc>
            <w:tc>
              <w:tcPr>
                <w:tcW w:w="1511"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b930b521ee7d44c485fa175f84415f98"/>
                <w:id w:val="-1508895833"/>
                <w:lock w:val="sdtLocked"/>
              </w:sdtPr>
              <w:sdtContent>
                <w:tc>
                  <w:tcPr>
                    <w:tcW w:w="2096" w:type="pct"/>
                    <w:shd w:val="clear" w:color="auto" w:fill="auto"/>
                    <w:vAlign w:val="center"/>
                  </w:tcPr>
                  <w:p>
                    <w:pPr>
                      <w:rPr>
                        <w:szCs w:val="21"/>
                      </w:rPr>
                    </w:pPr>
                    <w:r>
                      <w:rPr>
                        <w:rFonts w:hint="eastAsia"/>
                        <w:szCs w:val="21"/>
                      </w:rPr>
                      <w:t>　　拆放同业款项</w:t>
                    </w:r>
                  </w:p>
                </w:tc>
              </w:sdtContent>
            </w:sdt>
            <w:tc>
              <w:tcPr>
                <w:tcW w:w="1392" w:type="pct"/>
                <w:shd w:val="clear" w:color="auto" w:fill="auto"/>
              </w:tcPr>
              <w:p>
                <w:pPr>
                  <w:jc w:val="right"/>
                  <w:rPr>
                    <w:szCs w:val="21"/>
                  </w:rPr>
                </w:pPr>
              </w:p>
            </w:tc>
            <w:tc>
              <w:tcPr>
                <w:tcW w:w="1511"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f00d7a66342f4877aaddfcaf2bb31e3d"/>
                <w:id w:val="-357125177"/>
                <w:lock w:val="sdtLocked"/>
              </w:sdtPr>
              <w:sdtContent>
                <w:tc>
                  <w:tcPr>
                    <w:tcW w:w="2096" w:type="pct"/>
                    <w:shd w:val="clear" w:color="auto" w:fill="auto"/>
                    <w:vAlign w:val="center"/>
                  </w:tcPr>
                  <w:p>
                    <w:pPr>
                      <w:rPr>
                        <w:szCs w:val="21"/>
                      </w:rPr>
                    </w:pPr>
                    <w:r>
                      <w:rPr>
                        <w:rFonts w:hint="eastAsia"/>
                        <w:szCs w:val="21"/>
                      </w:rPr>
                      <w:t>二、现金等价物</w:t>
                    </w:r>
                  </w:p>
                </w:tc>
              </w:sdtContent>
            </w:sdt>
            <w:tc>
              <w:tcPr>
                <w:tcW w:w="1392" w:type="pct"/>
                <w:shd w:val="clear" w:color="auto" w:fill="auto"/>
              </w:tcPr>
              <w:p>
                <w:pPr>
                  <w:jc w:val="right"/>
                  <w:rPr>
                    <w:szCs w:val="21"/>
                  </w:rPr>
                </w:pPr>
              </w:p>
            </w:tc>
            <w:tc>
              <w:tcPr>
                <w:tcW w:w="1511"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6299fa18d31408093e302515df85929"/>
                <w:id w:val="976410300"/>
                <w:lock w:val="sdtLocked"/>
              </w:sdtPr>
              <w:sdtContent>
                <w:tc>
                  <w:tcPr>
                    <w:tcW w:w="2096" w:type="pct"/>
                    <w:tcBorders>
                      <w:bottom w:val="single" w:color="auto" w:sz="4" w:space="0"/>
                    </w:tcBorders>
                    <w:shd w:val="clear" w:color="auto" w:fill="auto"/>
                    <w:vAlign w:val="center"/>
                  </w:tcPr>
                  <w:p>
                    <w:pPr>
                      <w:rPr>
                        <w:szCs w:val="21"/>
                      </w:rPr>
                    </w:pPr>
                    <w:r>
                      <w:rPr>
                        <w:rFonts w:hint="eastAsia"/>
                        <w:szCs w:val="21"/>
                      </w:rPr>
                      <w:t>其中：三个月内到期的债券投资</w:t>
                    </w:r>
                  </w:p>
                </w:tc>
              </w:sdtContent>
            </w:sdt>
            <w:tc>
              <w:tcPr>
                <w:tcW w:w="1392" w:type="pct"/>
                <w:tcBorders>
                  <w:bottom w:val="single" w:color="auto" w:sz="4" w:space="0"/>
                </w:tcBorders>
                <w:shd w:val="clear" w:color="auto" w:fill="auto"/>
              </w:tcPr>
              <w:p>
                <w:pPr>
                  <w:jc w:val="right"/>
                  <w:rPr>
                    <w:szCs w:val="21"/>
                  </w:rPr>
                </w:pPr>
              </w:p>
            </w:tc>
            <w:tc>
              <w:tcPr>
                <w:tcW w:w="1511" w:type="pct"/>
                <w:tcBorders>
                  <w:bottom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c0edd92776694605b840649582e6ae33"/>
                <w:id w:val="1448818747"/>
                <w:lock w:val="sdtLocked"/>
              </w:sdtPr>
              <w:sdtContent>
                <w:tc>
                  <w:tcPr>
                    <w:tcW w:w="2096" w:type="pct"/>
                    <w:shd w:val="clear" w:color="auto" w:fill="auto"/>
                    <w:vAlign w:val="center"/>
                  </w:tcPr>
                  <w:p>
                    <w:pPr>
                      <w:rPr>
                        <w:szCs w:val="21"/>
                      </w:rPr>
                    </w:pPr>
                    <w:r>
                      <w:rPr>
                        <w:rFonts w:hint="eastAsia"/>
                        <w:szCs w:val="21"/>
                      </w:rPr>
                      <w:t>三、期末现金及现金等价物余额</w:t>
                    </w:r>
                  </w:p>
                </w:tc>
              </w:sdtContent>
            </w:sdt>
            <w:tc>
              <w:tcPr>
                <w:tcW w:w="1392" w:type="pct"/>
                <w:shd w:val="clear" w:color="auto" w:fill="auto"/>
                <w:vAlign w:val="center"/>
              </w:tcPr>
              <w:p>
                <w:pPr>
                  <w:jc w:val="right"/>
                  <w:rPr>
                    <w:sz w:val="24"/>
                  </w:rPr>
                </w:pPr>
                <w:r>
                  <w:t>2,066,137,243.72</w:t>
                </w:r>
              </w:p>
            </w:tc>
            <w:tc>
              <w:tcPr>
                <w:tcW w:w="1511" w:type="pct"/>
                <w:shd w:val="clear" w:color="auto" w:fill="auto"/>
                <w:vAlign w:val="center"/>
              </w:tcPr>
              <w:p>
                <w:pPr>
                  <w:jc w:val="right"/>
                  <w:rPr>
                    <w:sz w:val="24"/>
                  </w:rPr>
                </w:pPr>
                <w:r>
                  <w:t>2,323,802,011.82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sdt>
              <w:sdtPr>
                <w:tag w:val="_PLD_106c165f11654e62a63b02963df9683a"/>
                <w:id w:val="1869019322"/>
                <w:lock w:val="sdtLocked"/>
              </w:sdtPr>
              <w:sdtContent>
                <w:tc>
                  <w:tcPr>
                    <w:tcW w:w="2096" w:type="pct"/>
                    <w:shd w:val="clear" w:color="auto" w:fill="auto"/>
                    <w:vAlign w:val="center"/>
                  </w:tcPr>
                  <w:p>
                    <w:pPr>
                      <w:rPr>
                        <w:szCs w:val="21"/>
                      </w:rPr>
                    </w:pPr>
                    <w:r>
                      <w:rPr>
                        <w:rFonts w:hint="eastAsia"/>
                        <w:szCs w:val="21"/>
                      </w:rPr>
                      <w:t>其中：母公司或集团内子公司使用受限制的现金和现金等价物</w:t>
                    </w:r>
                  </w:p>
                </w:tc>
              </w:sdtContent>
            </w:sdt>
            <w:tc>
              <w:tcPr>
                <w:tcW w:w="1392" w:type="pct"/>
                <w:shd w:val="clear" w:color="auto" w:fill="auto"/>
              </w:tcPr>
              <w:p>
                <w:pPr>
                  <w:jc w:val="right"/>
                  <w:rPr>
                    <w:szCs w:val="21"/>
                  </w:rPr>
                </w:pPr>
              </w:p>
            </w:tc>
            <w:tc>
              <w:tcPr>
                <w:tcW w:w="1511" w:type="pct"/>
                <w:shd w:val="clear" w:color="auto" w:fill="auto"/>
              </w:tcPr>
              <w:p>
                <w:pPr>
                  <w:jc w:val="right"/>
                  <w:rPr>
                    <w:szCs w:val="21"/>
                  </w:rPr>
                </w:pPr>
              </w:p>
            </w:tc>
          </w:tr>
        </w:tbl>
        <w:p>
          <w:pPr>
            <w:spacing w:before="60" w:after="60"/>
            <w:rPr>
              <w:szCs w:val="21"/>
            </w:rPr>
          </w:pPr>
        </w:p>
        <w:p>
          <w:pPr>
            <w:spacing w:before="60" w:after="60"/>
            <w:rPr>
              <w:szCs w:val="21"/>
            </w:rPr>
          </w:pPr>
          <w:r>
            <w:rPr>
              <w:rFonts w:hint="eastAsia"/>
              <w:szCs w:val="21"/>
            </w:rPr>
            <w:t>其他说明：</w:t>
          </w:r>
        </w:p>
        <w:sdt>
          <w:sdtPr>
            <w:rPr>
              <w:szCs w:val="21"/>
            </w:rPr>
            <w:alias w:val="是否适用：现金流量表补充资料的说明[双击切换]"/>
            <w:tag w:val="_GBC_0ba0540309b143448acc872b3e211b1d"/>
            <w:id w:val="1475566547"/>
            <w:lock w:val="sdtLocked"/>
            <w:placeholder>
              <w:docPart w:val="GBC22222222222222222222222222222"/>
            </w:placeholder>
          </w:sdtPr>
          <w:sdtEndPr>
            <w:rPr>
              <w:szCs w:val="21"/>
            </w:rPr>
          </w:sdtEndPr>
          <w:sdtContent>
            <w:p>
              <w:pPr>
                <w:spacing w:before="60" w:after="60"/>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sdt>
      <w:sdtPr>
        <w:rPr>
          <w:rFonts w:hint="eastAsia" w:ascii="宋体" w:hAnsi="宋体" w:cs="宋体"/>
          <w:b w:val="0"/>
          <w:bCs w:val="0"/>
          <w:kern w:val="0"/>
          <w:szCs w:val="21"/>
        </w:rPr>
        <w:alias w:val="模块:所有者权益变动表项目注释"/>
        <w:tag w:val="_SEC_cbb5e6d5041b434cbee55fb14e7590da"/>
        <w:id w:val="-1975594458"/>
        <w:lock w:val="sdtLocked"/>
        <w:placeholder>
          <w:docPart w:val="GBC22222222222222222222222222222"/>
        </w:placeholder>
      </w:sdtPr>
      <w:sdtEndPr>
        <w:rPr>
          <w:rFonts w:hint="default" w:ascii="宋体" w:hAnsi="宋体" w:cstheme="minorBidi"/>
          <w:b w:val="0"/>
          <w:bCs w:val="0"/>
          <w:color w:val="FF00FF"/>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所有者权益变动表项目注释</w:t>
          </w:r>
        </w:p>
        <w:p>
          <w:pPr>
            <w:spacing w:line="360" w:lineRule="auto"/>
          </w:pPr>
          <w:r>
            <w:rPr>
              <w:rFonts w:hint="eastAsia"/>
            </w:rPr>
            <w:t>说明对上年期末余额进行调整的“其他”项目名称及调整金额等事项：</w:t>
          </w:r>
        </w:p>
        <w:sdt>
          <w:sdtPr>
            <w:alias w:val="是否适用：所有者权益变动表项目注释[双击切换]"/>
            <w:tag w:val="_GBC_fca039532a374a3e9daa81c75d491b1f"/>
            <w:id w:val="-504742882"/>
            <w:lock w:val="sdtLocked"/>
            <w:placeholder>
              <w:docPart w:val="GBC22222222222222222222222222222"/>
            </w:placeholder>
          </w:sdtPr>
          <w:sdtContent>
            <w:p>
              <w:pPr>
                <w:spacing w:line="360" w:lineRule="auto"/>
                <w:rPr>
                  <w:color w:val="FF00FF"/>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所有权或使用权受到限制的资产"/>
        <w:tag w:val="_SEC_a24445b9d34342ec921f5b1164f97e32"/>
        <w:id w:val="-1437126351"/>
        <w:lock w:val="sdtLocked"/>
        <w:placeholder>
          <w:docPart w:val="GBC22222222222222222222222222222"/>
        </w:placeholder>
      </w:sdtPr>
      <w:sdtEndPr>
        <w:rPr>
          <w:rFonts w:hint="eastAsia" w:ascii="宋体" w:hAnsi="宋体" w:cs="宋体"/>
          <w:b w:val="0"/>
          <w:bCs w:val="0"/>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所有权或使用权受到限制的资产</w:t>
          </w:r>
        </w:p>
        <w:sdt>
          <w:sdtPr>
            <w:alias w:val="是否适用：所有权或使用权受到限制的资产[双击切换]"/>
            <w:tag w:val="_GBC_26afe690476a4ece916b86b9b0b7a553"/>
            <w:id w:val="172710139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22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所有权或使用权受到限制的资产"/>
              <w:tag w:val="_GBC_f85c8a9066d7492f92dd69fd15879505"/>
              <w:id w:val="-21163489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r>
            <w:rPr>
              <w:rFonts w:hint="eastAsia" w:ascii="宋体" w:hAnsi="宋体"/>
              <w:szCs w:val="21"/>
            </w:rPr>
            <w:t xml:space="preserve">  币种：</w:t>
          </w:r>
          <w:sdt>
            <w:sdtPr>
              <w:rPr>
                <w:rFonts w:hint="eastAsia" w:ascii="宋体" w:hAnsi="宋体"/>
                <w:szCs w:val="21"/>
              </w:rPr>
              <w:alias w:val="币种：财务附注：所有权或使用权受到限制的资产"/>
              <w:tag w:val="_GBC_800db9e7b18c47a3878baf2b0e8cca41"/>
              <w:id w:val="772542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1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13" w:type="dxa"/>
              <w:bottom w:w="0" w:type="dxa"/>
              <w:right w:w="113" w:type="dxa"/>
            </w:tblCellMar>
          </w:tblPr>
          <w:tblGrid>
            <w:gridCol w:w="2110"/>
            <w:gridCol w:w="2806"/>
            <w:gridCol w:w="36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sdt>
              <w:sdtPr>
                <w:tag w:val="_PLD_8e15d7f2fa2e40b09c519ace5a37eb45"/>
                <w:id w:val="1607379894"/>
                <w:lock w:val="sdtLocked"/>
              </w:sdtPr>
              <w:sdtContent>
                <w:tc>
                  <w:tcPr>
                    <w:tcW w:w="1236"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项目</w:t>
                    </w:r>
                  </w:p>
                </w:tc>
              </w:sdtContent>
            </w:sdt>
            <w:sdt>
              <w:sdtPr>
                <w:tag w:val="_PLD_39406572745d477dace6b9315235612b"/>
                <w:id w:val="-976068897"/>
                <w:lock w:val="sdtLocked"/>
              </w:sdtPr>
              <w:sdtContent>
                <w:tc>
                  <w:tcPr>
                    <w:tcW w:w="1643"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期末账面价值</w:t>
                    </w:r>
                  </w:p>
                </w:tc>
              </w:sdtContent>
            </w:sdt>
            <w:sdt>
              <w:sdtPr>
                <w:tag w:val="_PLD_b1c34a0e07914de782ce840363400809"/>
                <w:id w:val="-404534734"/>
                <w:lock w:val="sdtLocked"/>
              </w:sdtPr>
              <w:sdtContent>
                <w:tc>
                  <w:tcPr>
                    <w:tcW w:w="2121"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受限原因</w:t>
                    </w:r>
                  </w:p>
                </w:tc>
              </w:sdtContent>
            </w:sdt>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货币资金</w:t>
                </w:r>
              </w:p>
            </w:tc>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669,864,191.05</w:t>
                </w:r>
              </w:p>
            </w:tc>
            <w:tc>
              <w:tcPr>
                <w:tcW w:w="2121"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24"/>
                  </w:rPr>
                </w:pPr>
                <w:r>
                  <w:t>受冻结资金、定期存款及保证金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长期股权投资</w:t>
                </w:r>
              </w:p>
            </w:tc>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1,831,641,693.97</w:t>
                </w:r>
              </w:p>
            </w:tc>
            <w:tc>
              <w:tcPr>
                <w:tcW w:w="212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为银行借款、融资租赁等提供质押担保及被冻结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固定资产</w:t>
                </w:r>
              </w:p>
            </w:tc>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496,413,417.89</w:t>
                </w:r>
              </w:p>
            </w:tc>
            <w:tc>
              <w:tcPr>
                <w:tcW w:w="2121"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24"/>
                  </w:rPr>
                </w:pPr>
                <w:r>
                  <w:t>为银行借款、保理借款提供抵押担保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无形资产</w:t>
                </w:r>
              </w:p>
            </w:tc>
            <w:tc>
              <w:tcPr>
                <w:tcW w:w="164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474,015,879.00</w:t>
                </w:r>
              </w:p>
            </w:tc>
            <w:tc>
              <w:tcPr>
                <w:tcW w:w="2121"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24"/>
                  </w:rPr>
                </w:pPr>
                <w:r>
                  <w:t>为银行借款、保理借款提供抵押担保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6" w:space="0"/>
                  <w:left w:val="single" w:color="auto" w:sz="6" w:space="0"/>
                  <w:bottom w:val="single" w:color="auto" w:sz="4" w:space="0"/>
                  <w:right w:val="single" w:color="auto" w:sz="6" w:space="0"/>
                </w:tcBorders>
                <w:shd w:val="clear" w:color="auto" w:fill="auto"/>
              </w:tcPr>
              <w:p>
                <w:pPr>
                  <w:jc w:val="center"/>
                  <w:rPr>
                    <w:szCs w:val="21"/>
                  </w:rPr>
                </w:pPr>
                <w:r>
                  <w:rPr>
                    <w:rFonts w:hint="eastAsia"/>
                    <w:szCs w:val="21"/>
                  </w:rPr>
                  <w:t>投资性房地产</w:t>
                </w:r>
              </w:p>
            </w:tc>
            <w:tc>
              <w:tcPr>
                <w:tcW w:w="1643"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rPr>
                    <w:sz w:val="24"/>
                  </w:rPr>
                </w:pPr>
                <w:r>
                  <w:t>3,059,875,700.00</w:t>
                </w:r>
              </w:p>
            </w:tc>
            <w:tc>
              <w:tcPr>
                <w:tcW w:w="2121" w:type="pct"/>
                <w:tcBorders>
                  <w:top w:val="single" w:color="auto" w:sz="6" w:space="0"/>
                  <w:left w:val="single" w:color="auto" w:sz="6" w:space="0"/>
                  <w:bottom w:val="single" w:color="auto" w:sz="6" w:space="0"/>
                  <w:right w:val="single" w:color="auto" w:sz="6" w:space="0"/>
                </w:tcBorders>
                <w:shd w:val="clear" w:color="auto" w:fill="auto"/>
                <w:vAlign w:val="center"/>
              </w:tcPr>
              <w:p>
                <w:pPr>
                  <w:rPr>
                    <w:sz w:val="24"/>
                  </w:rPr>
                </w:pPr>
                <w:r>
                  <w:t>为银行借款、保理借款提供抵押担保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6" w:space="0"/>
                  <w:left w:val="single" w:color="auto" w:sz="6" w:space="0"/>
                  <w:bottom w:val="single" w:color="auto" w:sz="4" w:space="0"/>
                  <w:right w:val="single" w:color="auto" w:sz="6" w:space="0"/>
                </w:tcBorders>
                <w:shd w:val="clear" w:color="auto" w:fill="auto"/>
              </w:tcPr>
              <w:p>
                <w:pPr>
                  <w:jc w:val="center"/>
                  <w:rPr>
                    <w:szCs w:val="21"/>
                  </w:rPr>
                </w:pPr>
                <w:r>
                  <w:rPr>
                    <w:rFonts w:hint="eastAsia"/>
                    <w:szCs w:val="21"/>
                  </w:rPr>
                  <w:t>使用权资产</w:t>
                </w:r>
              </w:p>
            </w:tc>
            <w:tc>
              <w:tcPr>
                <w:tcW w:w="1643" w:type="pct"/>
                <w:tcBorders>
                  <w:top w:val="single" w:color="auto" w:sz="6" w:space="0"/>
                  <w:left w:val="single" w:color="auto" w:sz="6" w:space="0"/>
                  <w:bottom w:val="single" w:color="auto" w:sz="6" w:space="0"/>
                  <w:right w:val="single" w:color="auto" w:sz="6" w:space="0"/>
                </w:tcBorders>
                <w:shd w:val="clear" w:color="auto" w:fill="auto"/>
                <w:vAlign w:val="center"/>
              </w:tcPr>
              <w:p>
                <w:pPr>
                  <w:jc w:val="right"/>
                </w:pPr>
                <w:r>
                  <w:t>4,431,112.39</w:t>
                </w:r>
              </w:p>
            </w:tc>
            <w:tc>
              <w:tcPr>
                <w:tcW w:w="2121" w:type="pct"/>
                <w:tcBorders>
                  <w:top w:val="single" w:color="auto" w:sz="6" w:space="0"/>
                  <w:left w:val="single" w:color="auto" w:sz="6" w:space="0"/>
                  <w:bottom w:val="single" w:color="auto" w:sz="6" w:space="0"/>
                  <w:right w:val="single" w:color="auto" w:sz="6" w:space="0"/>
                </w:tcBorders>
                <w:shd w:val="clear" w:color="auto" w:fill="auto"/>
                <w:vAlign w:val="center"/>
              </w:tcPr>
              <w:p>
                <w:pPr>
                  <w:tabs>
                    <w:tab w:val="left" w:pos="196"/>
                    <w:tab w:val="left" w:pos="426"/>
                  </w:tabs>
                  <w:rPr>
                    <w:rFonts w:ascii="Arial Narrow" w:hAnsi="Arial Narrow"/>
                    <w:szCs w:val="21"/>
                  </w:rPr>
                </w:pPr>
                <w:r>
                  <w:rPr>
                    <w:rFonts w:hint="eastAsia" w:ascii="Arial Narrow" w:hAnsi="Arial Narrow"/>
                    <w:szCs w:val="21"/>
                  </w:rPr>
                  <w:t>租赁办公场所、门面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13" w:type="dxa"/>
                <w:bottom w:w="0" w:type="dxa"/>
                <w:right w:w="113" w:type="dxa"/>
              </w:tblCellMar>
            </w:tblPrEx>
            <w:tc>
              <w:tcPr>
                <w:tcW w:w="12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tc>
              <w:tcPr>
                <w:tcW w:w="1643" w:type="pct"/>
                <w:tcBorders>
                  <w:top w:val="single" w:color="auto" w:sz="6" w:space="0"/>
                  <w:left w:val="single" w:color="auto" w:sz="4" w:space="0"/>
                  <w:bottom w:val="single" w:color="auto" w:sz="6" w:space="0"/>
                  <w:right w:val="single" w:color="auto" w:sz="4" w:space="0"/>
                </w:tcBorders>
                <w:shd w:val="clear" w:color="auto" w:fill="auto"/>
                <w:vAlign w:val="center"/>
              </w:tcPr>
              <w:p>
                <w:pPr>
                  <w:jc w:val="right"/>
                  <w:rPr>
                    <w:szCs w:val="21"/>
                  </w:rPr>
                </w:pPr>
                <w:r>
                  <w:rPr>
                    <w:szCs w:val="21"/>
                  </w:rPr>
                  <w:t>6,536,241,994.30</w:t>
                </w:r>
              </w:p>
            </w:tc>
            <w:tc>
              <w:tcPr>
                <w:tcW w:w="2121" w:type="pct"/>
                <w:tcBorders>
                  <w:top w:val="single" w:color="auto" w:sz="6" w:space="0"/>
                  <w:left w:val="single" w:color="auto" w:sz="4" w:space="0"/>
                  <w:bottom w:val="single" w:color="auto" w:sz="6" w:space="0"/>
                  <w:right w:val="single" w:color="auto" w:sz="4" w:space="0"/>
                </w:tcBorders>
                <w:shd w:val="clear" w:color="auto" w:fill="auto"/>
              </w:tcPr>
              <w:p>
                <w:pPr>
                  <w:jc w:val="center"/>
                  <w:rPr>
                    <w:szCs w:val="21"/>
                  </w:rPr>
                </w:pPr>
                <w:r>
                  <w:rPr>
                    <w:rFonts w:hint="eastAsia"/>
                    <w:szCs w:val="21"/>
                  </w:rPr>
                  <w:t>/</w:t>
                </w:r>
              </w:p>
            </w:tc>
          </w:tr>
        </w:tbl>
        <w:p/>
        <w:p>
          <w:pPr>
            <w:spacing w:before="60" w:after="60"/>
            <w:rPr>
              <w:szCs w:val="21"/>
            </w:rPr>
          </w:pPr>
          <w:r>
            <w:rPr>
              <w:rFonts w:hint="eastAsia"/>
              <w:szCs w:val="21"/>
            </w:rPr>
            <w:t>其他说明：</w:t>
          </w:r>
        </w:p>
        <w:sdt>
          <w:sdtPr>
            <w:rPr>
              <w:szCs w:val="21"/>
            </w:rPr>
            <w:alias w:val="所有权或使用权受到限制的资产的其他说明"/>
            <w:tag w:val="_GBC_b54187074f3949e2a5c974bdd17b16ec"/>
            <w:id w:val="-1306011783"/>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p>
      <w:pPr>
        <w:rPr>
          <w:szCs w:val="21"/>
        </w:rPr>
      </w:pPr>
    </w:p>
    <w:sdt>
      <w:sdtPr>
        <w:rPr>
          <w:rFonts w:hint="eastAsia" w:ascii="宋体" w:hAnsi="宋体" w:cs="宋体"/>
          <w:b w:val="0"/>
          <w:bCs w:val="0"/>
          <w:kern w:val="0"/>
          <w:szCs w:val="21"/>
        </w:rPr>
        <w:alias w:val="模块:外币货币性项目"/>
        <w:tag w:val="_SEC_d0d3f1cb74c546a2a03e13993b313207"/>
        <w:id w:val="-1141177182"/>
        <w:lock w:val="sdtLocked"/>
        <w:placeholder>
          <w:docPart w:val="GBC22222222222222222222222222222"/>
        </w:placeholder>
      </w:sdtPr>
      <w:sdtEndPr>
        <w:rPr>
          <w:rFonts w:hint="default" w:ascii="宋体" w:hAnsi="宋体" w:cs="宋体"/>
          <w:b w:val="0"/>
          <w:bCs w:val="0"/>
          <w:kern w:val="0"/>
          <w:szCs w:val="21"/>
        </w:rPr>
      </w:sdtEndPr>
      <w:sdtContent>
        <w:p>
          <w:pPr>
            <w:pStyle w:val="213"/>
            <w:numPr>
              <w:ilvl w:val="0"/>
              <w:numId w:val="77"/>
            </w:numPr>
            <w:tabs>
              <w:tab w:val="left" w:pos="504"/>
            </w:tabs>
            <w:rPr>
              <w:rFonts w:ascii="宋体" w:hAnsi="宋体"/>
              <w:szCs w:val="21"/>
            </w:rPr>
          </w:pPr>
          <w:r>
            <w:rPr>
              <w:rFonts w:hint="eastAsia" w:ascii="宋体" w:hAnsi="宋体"/>
              <w:szCs w:val="21"/>
            </w:rPr>
            <w:t>外币货币性项目</w:t>
          </w:r>
        </w:p>
        <w:p>
          <w:pPr>
            <w:pStyle w:val="214"/>
            <w:numPr>
              <w:ilvl w:val="0"/>
              <w:numId w:val="111"/>
            </w:numPr>
            <w:ind w:left="426" w:hanging="426"/>
            <w:rPr>
              <w:rFonts w:ascii="宋体" w:hAnsi="宋体"/>
              <w:b w:val="0"/>
              <w:szCs w:val="21"/>
            </w:rPr>
          </w:pPr>
          <w:r>
            <w:rPr>
              <w:rStyle w:val="152"/>
              <w:rFonts w:hint="eastAsia" w:ascii="宋体" w:hAnsi="宋体"/>
              <w:b/>
              <w:bCs w:val="0"/>
              <w:szCs w:val="21"/>
            </w:rPr>
            <w:t>外币货币性项目</w:t>
          </w:r>
        </w:p>
        <w:sdt>
          <w:sdtPr>
            <w:alias w:val="是否适用：外币货币性项目[双击切换]"/>
            <w:tag w:val="_GBC_6b0f646811a94c228ba6be3453047191"/>
            <w:id w:val="204262844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pStyle w:val="224"/>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外币货币性项目"/>
              <w:tag w:val="_GBC_43871b6586c8428c8da522abb267c528"/>
              <w:id w:val="62720399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元</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1"/>
            <w:gridCol w:w="2011"/>
            <w:gridCol w:w="2020"/>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5c3516dfa974dea983fcf6d3a5e4272"/>
                <w:id w:val="567385045"/>
                <w:lock w:val="sdtLocked"/>
              </w:sdtPr>
              <w:sdtContent>
                <w:tc>
                  <w:tcPr>
                    <w:tcW w:w="165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c677b8fd217342e7b28e98a1c8e497e9"/>
                <w:id w:val="-2005424984"/>
                <w:lock w:val="sdtLocked"/>
              </w:sdtPr>
              <w:sdtContent>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期末外币余额</w:t>
                    </w:r>
                  </w:p>
                </w:tc>
              </w:sdtContent>
            </w:sdt>
            <w:sdt>
              <w:sdtPr>
                <w:tag w:val="_PLD_e0e88022a2754ae991eb4bb1a9caae4f"/>
                <w:id w:val="588283226"/>
                <w:lock w:val="sdtLocked"/>
              </w:sdtPr>
              <w:sdtContent>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折算汇率</w:t>
                    </w:r>
                  </w:p>
                </w:tc>
              </w:sdtContent>
            </w:sdt>
            <w:sdt>
              <w:sdtPr>
                <w:tag w:val="_PLD_a1542d7b69a444ef9e91ceaf4a96f49d"/>
                <w:id w:val="1124739428"/>
                <w:lock w:val="sdtLocked"/>
              </w:sdtPr>
              <w:sdtContent>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期末折算人民币</w:t>
                    </w:r>
                  </w:p>
                  <w:p>
                    <w:pPr>
                      <w:jc w:val="center"/>
                      <w:rPr>
                        <w:szCs w:val="21"/>
                      </w:rPr>
                    </w:pPr>
                    <w:r>
                      <w:rPr>
                        <w:rFonts w:hint="eastAsia"/>
                        <w:szCs w:val="21"/>
                      </w:rPr>
                      <w:t>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szCs w:val="21"/>
                  </w:rPr>
                  <w:t>货币资金</w:t>
                </w:r>
              </w:p>
            </w:tc>
            <w:tc>
              <w:tcPr>
                <w:tcW w:w="1182"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其中：</w:t>
                </w:r>
                <w:sdt>
                  <w:sdtPr>
                    <w:rPr>
                      <w:szCs w:val="21"/>
                    </w:rPr>
                    <w:alias w:val="以外币核算的币种明细-币种名称"/>
                    <w:tag w:val="_GBC_b9ad493c07994625bf872e807197c998"/>
                    <w:id w:val="61032279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12,632,391.32</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6.3757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80,540,337.46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70817414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欧元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473,616.30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7.2197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3,419,367.60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33972934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港币</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5,304,959.16</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0.8176</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4,337,334.61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93467621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卢布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795,687,143.35</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68,005,180.35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46696967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1,133,964.07</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546,797.48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95922892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越南盾</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15,041,409,484.00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0.00028</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4,211,594.65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70756294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泰铢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11,458,146.53</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0.191175</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2,190,515.13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14032844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埃塞俄比亚比尔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73,911,745.92</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0.130116</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9,617,100.73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8893463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墨西哥比索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1,688,543.90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0.311624</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526,190.06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02504991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巴西雷亚尔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1,013.30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1.1443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1,159.52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74596147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新加坡币</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51,014.84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4.7179</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240,682.94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89236325"/>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日元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0.0567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2549588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英镑</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3,124.00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8.6064</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26,886.39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9527850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乌拉圭比索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46,427.26</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0.1428</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6,631.89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应收票据</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69868203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其中：土耳其里拉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r>
                  <w:t>32,605.34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r>
                  <w:t>15,722.29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tabs>
                    <w:tab w:val="left" w:pos="1395"/>
                  </w:tabs>
                  <w:rPr>
                    <w:szCs w:val="21"/>
                  </w:rPr>
                </w:pPr>
                <w:r>
                  <w:rPr>
                    <w:szCs w:val="21"/>
                  </w:rPr>
                  <w:t>应收账款</w:t>
                </w:r>
                <w:r>
                  <w:rPr>
                    <w:szCs w:val="21"/>
                  </w:rPr>
                  <w:tab/>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其中：</w:t>
                </w:r>
                <w:sdt>
                  <w:sdtPr>
                    <w:rPr>
                      <w:szCs w:val="21"/>
                    </w:rPr>
                    <w:alias w:val="以外币核算的币种明细-币种名称"/>
                    <w:tag w:val="_GBC_b9ad493c07994625bf872e807197c998"/>
                    <w:id w:val="162280242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134,784,499.94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6.3757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859,345,536.21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486566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欧元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635,333.51</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7.2197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4,586,917.37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ind w:firstLine="630" w:firstLineChars="300"/>
                </w:pPr>
                <w:r>
                  <w:t>卢布</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988,639,302.89</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84,496,196.96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2134931960"/>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265,075.61</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127,819.46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01349101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越南盾</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8,085,346,354.00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0.00028</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2,263,896.98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36002043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泰铢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10,404,573.00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0.191175</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1,989,097.84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29186464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埃塞俄比亚比尔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138,463.93</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0.130116</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18,016.37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911374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巴西雷亚尔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3,867,275.97</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1.1443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4,425,323.89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 xml:space="preserve">    其他应收款</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ind w:firstLine="315" w:firstLineChars="150"/>
                  <w:rPr>
                    <w:szCs w:val="21"/>
                  </w:rPr>
                </w:pPr>
                <w:r>
                  <w:rPr>
                    <w:rFonts w:hint="eastAsia"/>
                    <w:szCs w:val="21"/>
                  </w:rPr>
                  <w:t>其中：</w:t>
                </w:r>
                <w:sdt>
                  <w:sdtPr>
                    <w:rPr>
                      <w:szCs w:val="21"/>
                    </w:rPr>
                    <w:alias w:val="以外币核算的币种明细-币种名称"/>
                    <w:tag w:val="_GBC_b9ad493c07994625bf872e807197c998"/>
                    <w:id w:val="-19329619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美元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1,312,797.94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6.3757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8,370,001.85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214510515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卢布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48,410,114.18</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4,137,475.14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08383694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116,114.33</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55,990.33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11559039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泰铢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300,500.00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0.191175</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57,448.20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79219926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埃塞俄比亚比尔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3,408,428.67</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0.130116</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443,491.10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13476669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巴西雷亚尔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16,193.49</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1.1443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18,530.21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ind w:firstLine="630" w:firstLineChars="300"/>
                </w:pPr>
                <w:r>
                  <w:rPr>
                    <w:rFonts w:hint="eastAsia"/>
                  </w:rPr>
                  <w:t>应收利息</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43804791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rFonts w:hint="eastAsia"/>
                        <w:szCs w:val="21"/>
                      </w:rPr>
                      <w:t>其中：卢布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2,386,891.56</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204,001.41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xml:space="preserve">      应付账款</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8306760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rFonts w:hint="eastAsia"/>
                        <w:szCs w:val="21"/>
                      </w:rPr>
                      <w:t>其中：美元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29,063.81</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6.3757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185,302.13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807292684"/>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rFonts w:hint="eastAsia"/>
                        <w:szCs w:val="21"/>
                      </w:rPr>
                      <w:t>　卢布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1,212,689.31</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103,645.43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52139126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rFonts w:hint="eastAsia"/>
                        <w:szCs w:val="21"/>
                      </w:rPr>
                      <w:t>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30.00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70362691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rFonts w:hint="eastAsia"/>
                        <w:szCs w:val="21"/>
                      </w:rPr>
                      <w:t>越南盾</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3,066,860,607.14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0.00028</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858,720.97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95181875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泰铢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468,047.31</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0.191175</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89,479.11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89415699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巴西雷亚尔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137,579.67</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1.1443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157,432.42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pPr>
                <w:r>
                  <w:rPr>
                    <w:rFonts w:hint="eastAsia"/>
                  </w:rPr>
                  <w:t>合同负债</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66147263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其中：美元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3,715,826.05</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6.3757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23,690,992.18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28118103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欧元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69,114.04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7.2197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498,982.60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73273954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卢布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25,696,004.57</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2,196,164.62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643035889"/>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9,500.82</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4,581.30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31730258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越南盾</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2,808,302,962.00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0.00028</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786,324.83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582715368"/>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泰铢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461,535.51</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0.191175</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88,234.21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2132747232"/>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埃塞俄比亚比尔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1,142,314.62</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0.130116</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148,633.41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1745409103"/>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巴西雷亚尔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438,766.69</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1.1443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502,080.72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ind w:firstLine="420" w:firstLineChars="200"/>
                </w:pPr>
                <w:r>
                  <w:rPr>
                    <w:rFonts w:hint="eastAsia"/>
                  </w:rPr>
                  <w:t>其他应付款</w:t>
                </w:r>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90533201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其中：美元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1,045,792.30</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6.3757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6,667,657.97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0833329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卢布</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10,135,486.64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0.085467</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866,251.29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05589107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土耳其里拉</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23,252.64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0.4822</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11,212.42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038348837"/>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越南盾</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2,126,438,714.29</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0.00028</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595,402.84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　　　</w:t>
                </w:r>
                <w:sdt>
                  <w:sdtPr>
                    <w:rPr>
                      <w:szCs w:val="21"/>
                    </w:rPr>
                    <w:alias w:val="以外币核算的币种明细-币种名称"/>
                    <w:tag w:val="_GBC_b9ad493c07994625bf872e807197c998"/>
                    <w:id w:val="-93135643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szCs w:val="21"/>
                    </w:rPr>
                  </w:sdtEndPr>
                  <w:sdtContent>
                    <w:r>
                      <w:rPr>
                        <w:szCs w:val="21"/>
                      </w:rPr>
                      <w:t>泰铢</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2,984,981.05</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0.191175</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570,654.78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1391415206"/>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埃塞俄比亚比尔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4,016,993.07</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0.130116</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522,675.07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1" w:type="pct"/>
                <w:tcBorders>
                  <w:top w:val="single" w:color="auto" w:sz="4" w:space="0"/>
                  <w:left w:val="single" w:color="auto" w:sz="4" w:space="0"/>
                  <w:bottom w:val="single" w:color="auto" w:sz="4" w:space="0"/>
                  <w:right w:val="single" w:color="auto" w:sz="4" w:space="0"/>
                </w:tcBorders>
                <w:shd w:val="clear" w:color="auto" w:fill="auto"/>
              </w:tcPr>
              <w:p>
                <w:r>
                  <w:rPr>
                    <w:rFonts w:hint="eastAsia"/>
                  </w:rPr>
                  <w:t>　　　</w:t>
                </w:r>
                <w:sdt>
                  <w:sdtPr>
                    <w:rPr>
                      <w:rFonts w:hint="eastAsia"/>
                    </w:rPr>
                    <w:alias w:val="以外币核算的币种明细-币种名称"/>
                    <w:tag w:val="_GBC_b9ad493c07994625bf872e807197c998"/>
                    <w:id w:val="-535050441"/>
                    <w:lock w:val="sdtLocked"/>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EndPr>
                    <w:rPr>
                      <w:rFonts w:hint="eastAsia"/>
                    </w:rPr>
                  </w:sdtEndPr>
                  <w:sdtContent>
                    <w:r>
                      <w:rPr>
                        <w:rFonts w:hint="eastAsia"/>
                      </w:rPr>
                      <w:t>巴西雷亚尔</w:t>
                    </w:r>
                  </w:sdtContent>
                </w:sdt>
              </w:p>
            </w:tc>
            <w:tc>
              <w:tcPr>
                <w:tcW w:w="118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397,068.24</w:t>
                </w:r>
              </w:p>
            </w:tc>
            <w:tc>
              <w:tcPr>
                <w:tcW w:w="118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1.1443</w:t>
                </w:r>
              </w:p>
            </w:tc>
            <w:tc>
              <w:tcPr>
                <w:tcW w:w="98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454,365.19</w:t>
                </w:r>
              </w:p>
            </w:tc>
          </w:tr>
        </w:tbl>
        <w:p/>
        <w:p>
          <w:pPr>
            <w:spacing w:before="60" w:after="60"/>
            <w:rPr>
              <w:szCs w:val="21"/>
            </w:rPr>
          </w:pPr>
          <w:r>
            <w:rPr>
              <w:rFonts w:hint="eastAsia"/>
              <w:szCs w:val="21"/>
            </w:rPr>
            <w:t>其他说明：</w:t>
          </w:r>
        </w:p>
        <w:sdt>
          <w:sdtPr>
            <w:rPr>
              <w:szCs w:val="21"/>
            </w:rPr>
            <w:alias w:val="外币货币性项目的其他说明"/>
            <w:tag w:val="_GBC_293dd519b8b44c699246ad508c51bbfd"/>
            <w:id w:val="-91100460"/>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p>
          <w:pPr>
            <w:pStyle w:val="214"/>
            <w:numPr>
              <w:ilvl w:val="0"/>
              <w:numId w:val="111"/>
            </w:numPr>
            <w:ind w:left="426" w:hanging="426"/>
            <w:rPr>
              <w:szCs w:val="21"/>
            </w:rPr>
          </w:pPr>
          <w:r>
            <w:rPr>
              <w:rStyle w:val="152"/>
              <w:rFonts w:hint="eastAsia" w:ascii="宋体" w:hAnsi="宋体"/>
              <w:b/>
              <w:bCs w:val="0"/>
              <w:szCs w:val="21"/>
            </w:rPr>
            <w:t>境外</w:t>
          </w:r>
          <w:r>
            <w:rPr>
              <w:rFonts w:hint="eastAsia"/>
              <w:szCs w:val="21"/>
            </w:rPr>
            <w:t>经营实体说明，包括对于重要的境外经营实体，应披露其境外主要经营地、记账本位币及选择依据，记账本位币发生变化的还应披露原因</w:t>
          </w:r>
        </w:p>
        <w:p>
          <w:pPr>
            <w:rPr>
              <w:szCs w:val="21"/>
            </w:rPr>
          </w:pPr>
          <w:sdt>
            <w:sdtPr>
              <w:rPr>
                <w:szCs w:val="21"/>
              </w:rPr>
              <w:alias w:val="是否适用：境外经营实体主要报表项目的折算汇率[双击切换]"/>
              <w:tag w:val="_GBC_c433d39e245c4fb79cd5170717bb5b9c"/>
              <w:id w:val="574084327"/>
              <w:lock w:val="sdtLocked"/>
              <w:placeholder>
                <w:docPart w:val="GBC22222222222222222222222222222"/>
              </w:placeholder>
            </w:sdtPr>
            <w:sdtEndPr>
              <w:rPr>
                <w:szCs w:val="21"/>
              </w:rPr>
            </w:sdtEndPr>
            <w:sdtContent>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sdtContent>
          </w:sdt>
        </w:p>
        <w:sdt>
          <w:sdtPr>
            <w:rPr>
              <w:szCs w:val="21"/>
            </w:rPr>
            <w:alias w:val="境外经营实体主要报表项目的折算汇率"/>
            <w:tag w:val="_GBC_24ad08f8e8ec4d4db3f0bf80f7306c7e"/>
            <w:id w:val="64151291"/>
            <w:lock w:val="sdtLocked"/>
            <w:placeholder>
              <w:docPart w:val="GBC22222222222222222222222222222"/>
            </w:placeholder>
          </w:sdtPr>
          <w:sdtEndPr>
            <w:rPr>
              <w:szCs w:val="21"/>
            </w:rPr>
          </w:sdtEndPr>
          <w:sdtContent>
            <w:p>
              <w:pPr>
                <w:rPr>
                  <w:szCs w:val="21"/>
                </w:rPr>
              </w:pPr>
            </w:p>
            <w:tbl>
              <w:tblPr>
                <w:tblStyle w:val="110"/>
                <w:tblW w:w="85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6"/>
                <w:gridCol w:w="2100"/>
                <w:gridCol w:w="895"/>
                <w:gridCol w:w="25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996" w:type="dxa"/>
                    <w:vAlign w:val="center"/>
                  </w:tcPr>
                  <w:p>
                    <w:pPr>
                      <w:widowControl w:val="0"/>
                      <w:tabs>
                        <w:tab w:val="left" w:pos="196"/>
                        <w:tab w:val="left" w:pos="426"/>
                      </w:tabs>
                      <w:spacing w:line="240" w:lineRule="exact"/>
                      <w:jc w:val="center"/>
                      <w:rPr>
                        <w:rFonts w:ascii="Arial Narrow" w:hAnsi="Arial Narrow"/>
                        <w:szCs w:val="21"/>
                      </w:rPr>
                    </w:pPr>
                    <w:r>
                      <w:rPr>
                        <w:rFonts w:ascii="Arial Narrow" w:hAnsi="Arial Narrow"/>
                        <w:szCs w:val="21"/>
                      </w:rPr>
                      <w:t>境外经营实体</w:t>
                    </w:r>
                  </w:p>
                </w:tc>
                <w:tc>
                  <w:tcPr>
                    <w:tcW w:w="2100" w:type="dxa"/>
                    <w:vAlign w:val="center"/>
                  </w:tcPr>
                  <w:p>
                    <w:pPr>
                      <w:widowControl w:val="0"/>
                      <w:tabs>
                        <w:tab w:val="left" w:pos="196"/>
                        <w:tab w:val="left" w:pos="426"/>
                      </w:tabs>
                      <w:spacing w:line="240" w:lineRule="exact"/>
                      <w:jc w:val="center"/>
                      <w:rPr>
                        <w:rFonts w:ascii="Arial Narrow" w:hAnsi="Arial Narrow"/>
                        <w:szCs w:val="21"/>
                      </w:rPr>
                    </w:pPr>
                    <w:r>
                      <w:rPr>
                        <w:rFonts w:ascii="Arial Narrow" w:hAnsi="Arial Narrow"/>
                        <w:szCs w:val="21"/>
                      </w:rPr>
                      <w:t>主要经营地</w:t>
                    </w:r>
                  </w:p>
                </w:tc>
                <w:tc>
                  <w:tcPr>
                    <w:tcW w:w="895" w:type="dxa"/>
                    <w:vAlign w:val="center"/>
                  </w:tcPr>
                  <w:p>
                    <w:pPr>
                      <w:widowControl w:val="0"/>
                      <w:tabs>
                        <w:tab w:val="left" w:pos="196"/>
                        <w:tab w:val="left" w:pos="426"/>
                      </w:tabs>
                      <w:spacing w:line="240" w:lineRule="exact"/>
                      <w:jc w:val="center"/>
                      <w:rPr>
                        <w:rFonts w:ascii="Arial Narrow" w:hAnsi="Arial Narrow"/>
                        <w:szCs w:val="21"/>
                      </w:rPr>
                    </w:pPr>
                    <w:r>
                      <w:rPr>
                        <w:rFonts w:ascii="Arial Narrow" w:hAnsi="Arial Narrow"/>
                        <w:szCs w:val="21"/>
                      </w:rPr>
                      <w:t>记账本位币</w:t>
                    </w:r>
                  </w:p>
                </w:tc>
                <w:tc>
                  <w:tcPr>
                    <w:tcW w:w="2572" w:type="dxa"/>
                    <w:vAlign w:val="center"/>
                  </w:tcPr>
                  <w:p>
                    <w:pPr>
                      <w:widowControl w:val="0"/>
                      <w:tabs>
                        <w:tab w:val="left" w:pos="196"/>
                        <w:tab w:val="left" w:pos="426"/>
                      </w:tabs>
                      <w:spacing w:line="240" w:lineRule="exact"/>
                      <w:jc w:val="center"/>
                      <w:rPr>
                        <w:rFonts w:ascii="Arial Narrow" w:hAnsi="Arial Narrow"/>
                        <w:szCs w:val="21"/>
                      </w:rPr>
                    </w:pPr>
                    <w:r>
                      <w:rPr>
                        <w:rFonts w:ascii="Arial Narrow" w:hAnsi="Arial Narrow"/>
                        <w:szCs w:val="21"/>
                      </w:rPr>
                      <w:t>选择依据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96" w:type="dxa"/>
                    <w:vAlign w:val="center"/>
                  </w:tcPr>
                  <w:p>
                    <w:pPr>
                      <w:widowControl w:val="0"/>
                      <w:tabs>
                        <w:tab w:val="left" w:pos="196"/>
                        <w:tab w:val="left" w:pos="426"/>
                      </w:tabs>
                      <w:jc w:val="both"/>
                      <w:rPr>
                        <w:rFonts w:ascii="Arial Narrow" w:hAnsi="Arial Narrow"/>
                        <w:szCs w:val="21"/>
                      </w:rPr>
                    </w:pPr>
                    <w:r>
                      <w:rPr>
                        <w:rFonts w:ascii="Arial Narrow" w:hAnsi="Arial Narrow"/>
                        <w:szCs w:val="21"/>
                      </w:rPr>
                      <w:t>力帆汽车俄罗斯有限责任公司</w:t>
                    </w:r>
                  </w:p>
                </w:tc>
                <w:tc>
                  <w:tcPr>
                    <w:tcW w:w="2100" w:type="dxa"/>
                    <w:vAlign w:val="center"/>
                  </w:tcPr>
                  <w:p>
                    <w:pPr>
                      <w:widowControl w:val="0"/>
                      <w:tabs>
                        <w:tab w:val="left" w:pos="196"/>
                        <w:tab w:val="left" w:pos="426"/>
                      </w:tabs>
                      <w:spacing w:before="100" w:beforeAutospacing="1" w:after="100" w:afterAutospacing="1"/>
                      <w:jc w:val="both"/>
                      <w:textAlignment w:val="center"/>
                      <w:rPr>
                        <w:rFonts w:ascii="Arial Narrow" w:hAnsi="Arial Narrow"/>
                        <w:szCs w:val="21"/>
                      </w:rPr>
                    </w:pPr>
                    <w:r>
                      <w:rPr>
                        <w:rFonts w:ascii="Arial Narrow" w:hAnsi="Arial Narrow"/>
                        <w:szCs w:val="21"/>
                      </w:rPr>
                      <w:t>俄罗斯莫斯科市</w:t>
                    </w:r>
                  </w:p>
                </w:tc>
                <w:tc>
                  <w:tcPr>
                    <w:tcW w:w="895" w:type="dxa"/>
                    <w:vAlign w:val="center"/>
                  </w:tcPr>
                  <w:p>
                    <w:pPr>
                      <w:widowControl w:val="0"/>
                      <w:tabs>
                        <w:tab w:val="left" w:pos="196"/>
                        <w:tab w:val="left" w:pos="426"/>
                      </w:tabs>
                      <w:spacing w:before="100" w:beforeAutospacing="1" w:after="100" w:afterAutospacing="1"/>
                      <w:jc w:val="both"/>
                      <w:textAlignment w:val="center"/>
                      <w:rPr>
                        <w:rFonts w:ascii="Arial Narrow" w:hAnsi="Arial Narrow"/>
                        <w:szCs w:val="21"/>
                      </w:rPr>
                    </w:pPr>
                    <w:r>
                      <w:rPr>
                        <w:rFonts w:ascii="Arial Narrow" w:hAnsi="Arial Narrow"/>
                        <w:szCs w:val="21"/>
                      </w:rPr>
                      <w:t>卢布</w:t>
                    </w:r>
                  </w:p>
                </w:tc>
                <w:tc>
                  <w:tcPr>
                    <w:tcW w:w="2572" w:type="dxa"/>
                    <w:vAlign w:val="center"/>
                  </w:tcPr>
                  <w:p>
                    <w:pPr>
                      <w:widowControl w:val="0"/>
                      <w:tabs>
                        <w:tab w:val="left" w:pos="196"/>
                        <w:tab w:val="left" w:pos="426"/>
                      </w:tabs>
                      <w:spacing w:before="100" w:beforeAutospacing="1" w:after="100" w:afterAutospacing="1"/>
                      <w:jc w:val="both"/>
                      <w:textAlignment w:val="center"/>
                      <w:rPr>
                        <w:rFonts w:ascii="Arial Narrow" w:hAnsi="Arial Narrow"/>
                        <w:szCs w:val="21"/>
                      </w:rPr>
                    </w:pPr>
                    <w:r>
                      <w:rPr>
                        <w:rFonts w:ascii="Arial Narrow" w:hAnsi="Arial Narrow"/>
                        <w:szCs w:val="21"/>
                      </w:rPr>
                      <w:t>经营地主要经济环境货币</w:t>
                    </w:r>
                  </w:p>
                </w:tc>
              </w:tr>
            </w:tbl>
            <w:p>
              <w:pPr>
                <w:rPr>
                  <w:szCs w:val="21"/>
                </w:rPr>
              </w:pPr>
            </w:p>
          </w:sdtContent>
        </w:sdt>
      </w:sdtContent>
    </w:sdt>
    <w:sdt>
      <w:sdtPr>
        <w:rPr>
          <w:rFonts w:hint="eastAsia" w:ascii="宋体" w:hAnsi="宋体" w:cs="宋体"/>
          <w:b w:val="0"/>
          <w:bCs w:val="0"/>
          <w:kern w:val="0"/>
          <w:szCs w:val="24"/>
        </w:rPr>
        <w:alias w:val="模块:按照套期类别披露套期及相关套期工具、被套期风险的相关的定性定"/>
        <w:tag w:val="_SEC_72e212d6db4945c88ff1963281a9b51a"/>
        <w:id w:val="727736987"/>
        <w:lock w:val="sdtLocked"/>
        <w:placeholder>
          <w:docPart w:val="GBC22222222222222222222222222222"/>
        </w:placeholder>
      </w:sdtPr>
      <w:sdtEndPr>
        <w:rPr>
          <w:rFonts w:hint="default" w:ascii="宋体" w:hAnsi="宋体" w:cs="宋体"/>
          <w:b w:val="0"/>
          <w:bCs w:val="0"/>
          <w:kern w:val="0"/>
          <w:szCs w:val="24"/>
        </w:rPr>
      </w:sdtEndPr>
      <w:sdtContent>
        <w:p>
          <w:pPr>
            <w:pStyle w:val="213"/>
            <w:numPr>
              <w:ilvl w:val="0"/>
              <w:numId w:val="77"/>
            </w:numPr>
            <w:tabs>
              <w:tab w:val="left" w:pos="504"/>
            </w:tabs>
            <w:rPr>
              <w:rFonts w:ascii="宋体" w:hAnsi="宋体" w:cs="宋体"/>
              <w:bCs w:val="0"/>
              <w:kern w:val="0"/>
              <w:szCs w:val="24"/>
            </w:rPr>
          </w:pPr>
          <w:r>
            <w:rPr>
              <w:rFonts w:hint="eastAsia" w:ascii="宋体" w:hAnsi="宋体" w:cs="宋体"/>
              <w:bCs w:val="0"/>
              <w:kern w:val="0"/>
              <w:szCs w:val="24"/>
            </w:rPr>
            <w:t>套期</w:t>
          </w:r>
        </w:p>
        <w:sdt>
          <w:sdtPr>
            <w:alias w:val="是否适用：套期[双击切换]"/>
            <w:tag w:val="_GBC_aa9bb623100a43a8a9b0ae0e8ec54c45"/>
            <w:id w:val="8673783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cs="宋体"/>
          <w:b w:val="0"/>
          <w:bCs w:val="0"/>
          <w:kern w:val="0"/>
          <w:szCs w:val="24"/>
        </w:rPr>
        <w:alias w:val="模块:政府补助"/>
        <w:tag w:val="_SEC_669a56494e84421f926c6125ba0e65ac"/>
        <w:id w:val="1752232570"/>
        <w:lock w:val="sdtLocked"/>
        <w:placeholder>
          <w:docPart w:val="GBC22222222222222222222222222222"/>
        </w:placeholder>
      </w:sdtPr>
      <w:sdtEndPr>
        <w:rPr>
          <w:rFonts w:hint="eastAsia" w:ascii="宋体" w:hAnsi="宋体" w:cs="宋体"/>
          <w:b w:val="0"/>
          <w:bCs w:val="0"/>
          <w:kern w:val="0"/>
          <w:szCs w:val="24"/>
        </w:rPr>
      </w:sdtEndPr>
      <w:sdtContent>
        <w:p>
          <w:pPr>
            <w:pStyle w:val="4"/>
            <w:numPr>
              <w:ilvl w:val="0"/>
              <w:numId w:val="77"/>
            </w:numPr>
            <w:tabs>
              <w:tab w:val="left" w:pos="504"/>
            </w:tabs>
          </w:pPr>
          <w:r>
            <w:rPr>
              <w:rFonts w:hint="eastAsia"/>
            </w:rPr>
            <w:t>政府</w:t>
          </w:r>
          <w:r>
            <w:rPr>
              <w:rFonts w:hint="eastAsia" w:ascii="宋体" w:hAnsi="宋体" w:cs="宋体"/>
              <w:bCs w:val="0"/>
              <w:kern w:val="0"/>
              <w:szCs w:val="24"/>
            </w:rPr>
            <w:t>补助</w:t>
          </w:r>
        </w:p>
        <w:p>
          <w:pPr>
            <w:pStyle w:val="5"/>
            <w:numPr>
              <w:ilvl w:val="0"/>
              <w:numId w:val="112"/>
            </w:numPr>
            <w:ind w:left="426" w:hanging="426"/>
          </w:pPr>
          <w:r>
            <w:rPr>
              <w:rFonts w:hint="eastAsia"/>
            </w:rPr>
            <w:t>政府补助基本情况</w:t>
          </w:r>
        </w:p>
        <w:sdt>
          <w:sdtPr>
            <w:rPr>
              <w:rFonts w:hint="eastAsia"/>
            </w:rPr>
            <w:alias w:val="是否适用：政府补助基本情况[双击切换]"/>
            <w:tag w:val="_GBC_0af23294955343baa3cf9e74bb5fbc5f"/>
            <w:id w:val="2059195481"/>
            <w:lock w:val="sdtLocked"/>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政府补助基本情况"/>
              <w:tag w:val="_GBC_e31b6dbc6f104b2ba8abf9998c29695d"/>
              <w:id w:val="-12601156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政府补助基本情况"/>
              <w:tag w:val="_GBC_4208cf1026524a7faa3e31899b78fcc1"/>
              <w:id w:val="72672732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8"/>
            <w:gridCol w:w="1476"/>
            <w:gridCol w:w="1196"/>
            <w:gridCol w:w="1476"/>
            <w:gridCol w:w="1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8115dbe9c9b4fd7abdfac509feb0a93"/>
                <w:id w:val="-641664030"/>
                <w:lock w:val="sdtLocked"/>
              </w:sdtPr>
              <w:sdtContent>
                <w:tc>
                  <w:tcPr>
                    <w:tcW w:w="1549" w:type="pct"/>
                    <w:vAlign w:val="center"/>
                  </w:tcPr>
                  <w:p>
                    <w:pPr>
                      <w:widowControl w:val="0"/>
                      <w:jc w:val="center"/>
                    </w:pPr>
                    <w:r>
                      <w:rPr>
                        <w:rFonts w:hint="eastAsia"/>
                      </w:rPr>
                      <w:t>种类</w:t>
                    </w:r>
                  </w:p>
                </w:tc>
              </w:sdtContent>
            </w:sdt>
            <w:sdt>
              <w:sdtPr>
                <w:tag w:val="_PLD_003bb4a7406e4ebcbcd1bda75515fa03"/>
                <w:id w:val="2128117787"/>
                <w:lock w:val="sdtLocked"/>
              </w:sdtPr>
              <w:sdtContent>
                <w:tc>
                  <w:tcPr>
                    <w:tcW w:w="861" w:type="pct"/>
                    <w:vAlign w:val="center"/>
                  </w:tcPr>
                  <w:p>
                    <w:pPr>
                      <w:widowControl w:val="0"/>
                      <w:jc w:val="center"/>
                    </w:pPr>
                    <w:r>
                      <w:rPr>
                        <w:rFonts w:hint="eastAsia"/>
                      </w:rPr>
                      <w:t>金额</w:t>
                    </w:r>
                  </w:p>
                </w:tc>
              </w:sdtContent>
            </w:sdt>
            <w:sdt>
              <w:sdtPr>
                <w:tag w:val="_PLD_d93dc6881e554c3f98366bc61145c084"/>
                <w:id w:val="-371767651"/>
                <w:lock w:val="sdtLocked"/>
              </w:sdtPr>
              <w:sdtContent>
                <w:tc>
                  <w:tcPr>
                    <w:tcW w:w="704" w:type="pct"/>
                    <w:vAlign w:val="center"/>
                  </w:tcPr>
                  <w:p>
                    <w:pPr>
                      <w:widowControl w:val="0"/>
                      <w:jc w:val="center"/>
                    </w:pPr>
                    <w:r>
                      <w:rPr>
                        <w:rFonts w:hint="eastAsia"/>
                      </w:rPr>
                      <w:t>列报项目</w:t>
                    </w:r>
                  </w:p>
                </w:tc>
              </w:sdtContent>
            </w:sdt>
            <w:sdt>
              <w:sdtPr>
                <w:tag w:val="_PLD_7c352bbb98334663a844a1fb2c591efb"/>
                <w:id w:val="1392229715"/>
                <w:lock w:val="sdtLocked"/>
              </w:sdtPr>
              <w:sdtContent>
                <w:tc>
                  <w:tcPr>
                    <w:tcW w:w="861" w:type="pct"/>
                    <w:vAlign w:val="center"/>
                  </w:tcPr>
                  <w:p>
                    <w:pPr>
                      <w:widowControl w:val="0"/>
                      <w:jc w:val="center"/>
                    </w:pPr>
                    <w:r>
                      <w:rPr>
                        <w:rFonts w:hint="eastAsia"/>
                      </w:rPr>
                      <w:t>计入当期损益的金额</w:t>
                    </w:r>
                  </w:p>
                </w:tc>
              </w:sdtContent>
            </w:sdt>
            <w:tc>
              <w:tcPr>
                <w:tcW w:w="1024" w:type="pct"/>
                <w:vAlign w:val="center"/>
              </w:tcPr>
              <w:p>
                <w:pPr>
                  <w:widowControl w:val="0"/>
                  <w:jc w:val="center"/>
                </w:pPr>
                <w:r>
                  <w:rPr>
                    <w:rFonts w:hint="eastAsia"/>
                  </w:rPr>
                  <w:t>备注</w:t>
                </w:r>
              </w:p>
            </w:tc>
          </w:tr>
          <w:sdt>
            <w:sdtPr>
              <w:rPr>
                <w:rFonts w:hint="eastAsia" w:asciiTheme="minorHAnsi" w:hAnsiTheme="minorHAnsi" w:eastAsiaTheme="minorEastAsia" w:cstheme="minorBidi"/>
                <w:kern w:val="2"/>
                <w:szCs w:val="22"/>
              </w:rPr>
              <w:alias w:val="政府补助基本情况明细"/>
              <w:tag w:val="_TUP_eb738049c01c47fb8763dfc6db35b318"/>
              <w:id w:val="2004392331"/>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Pr>
                  <w:p>
                    <w:pPr>
                      <w:widowControl w:val="0"/>
                      <w:jc w:val="center"/>
                    </w:pPr>
                    <w:r>
                      <w:rPr>
                        <w:rFonts w:ascii="Arial Narrow" w:hAnsi="Arial Narrow"/>
                      </w:rPr>
                      <w:t>计入递延收益的政府补助</w:t>
                    </w:r>
                  </w:p>
                </w:tc>
                <w:tc>
                  <w:tcPr>
                    <w:tcW w:w="861" w:type="pct"/>
                    <w:vAlign w:val="center"/>
                  </w:tcPr>
                  <w:p>
                    <w:pPr>
                      <w:widowControl w:val="0"/>
                      <w:jc w:val="right"/>
                    </w:pPr>
                  </w:p>
                </w:tc>
                <w:tc>
                  <w:tcPr>
                    <w:tcW w:w="704" w:type="pct"/>
                    <w:vAlign w:val="center"/>
                  </w:tcPr>
                  <w:p>
                    <w:pPr>
                      <w:widowControl w:val="0"/>
                      <w:jc w:val="right"/>
                    </w:pPr>
                    <w:r>
                      <w:rPr>
                        <w:rFonts w:hint="eastAsia"/>
                      </w:rPr>
                      <w:t>递延收益</w:t>
                    </w:r>
                  </w:p>
                </w:tc>
                <w:tc>
                  <w:tcPr>
                    <w:tcW w:w="861" w:type="pct"/>
                    <w:vAlign w:val="center"/>
                  </w:tcPr>
                  <w:p>
                    <w:pPr>
                      <w:widowControl w:val="0"/>
                      <w:jc w:val="right"/>
                      <w:rPr>
                        <w:rFonts w:asciiTheme="minorEastAsia" w:hAnsiTheme="minorEastAsia" w:eastAsiaTheme="minorEastAsia"/>
                      </w:rPr>
                    </w:pPr>
                    <w:r>
                      <w:rPr>
                        <w:rFonts w:asciiTheme="minorEastAsia" w:hAnsiTheme="minorEastAsia" w:eastAsiaTheme="minorEastAsia"/>
                      </w:rPr>
                      <w:t>1,309,324.1</w:t>
                    </w:r>
                    <w:r>
                      <w:rPr>
                        <w:rFonts w:hint="eastAsia" w:asciiTheme="minorEastAsia" w:hAnsiTheme="minorEastAsia" w:eastAsiaTheme="minorEastAsia"/>
                      </w:rPr>
                      <w:t>6</w:t>
                    </w:r>
                  </w:p>
                </w:tc>
                <w:sdt>
                  <w:sdtPr>
                    <w:alias w:val="备注"/>
                    <w:tag w:val="_GBC_288daf768e9e46959f2a0fe79b54c334"/>
                    <w:id w:val="1797949398"/>
                    <w:lock w:val="sdtLocked"/>
                  </w:sdtPr>
                  <w:sdtContent>
                    <w:tc>
                      <w:tcPr>
                        <w:tcW w:w="1024" w:type="pct"/>
                        <w:vAlign w:val="center"/>
                      </w:tcPr>
                      <w:p>
                        <w:pPr>
                          <w:widowControl w:val="0"/>
                          <w:jc w:val="left"/>
                        </w:pPr>
                        <w:r>
                          <w:rPr>
                            <w:rFonts w:hint="eastAsia"/>
                          </w:rPr>
                          <w:t>详见七、51</w:t>
                        </w:r>
                      </w:p>
                    </w:tc>
                  </w:sdtContent>
                </w:sdt>
              </w:tr>
            </w:sdtContent>
          </w:sdt>
          <w:sdt>
            <w:sdtPr>
              <w:rPr>
                <w:rFonts w:hint="eastAsia" w:asciiTheme="minorHAnsi" w:hAnsiTheme="minorHAnsi" w:eastAsiaTheme="minorEastAsia" w:cstheme="minorBidi"/>
                <w:kern w:val="2"/>
                <w:szCs w:val="22"/>
              </w:rPr>
              <w:alias w:val="政府补助基本情况明细"/>
              <w:tag w:val="_TUP_eb738049c01c47fb8763dfc6db35b318"/>
              <w:id w:val="1909806961"/>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Pr>
                  <w:p>
                    <w:pPr>
                      <w:widowControl w:val="0"/>
                      <w:jc w:val="center"/>
                    </w:pPr>
                    <w:r>
                      <w:rPr>
                        <w:rFonts w:hint="eastAsia"/>
                      </w:rPr>
                      <w:t>计入其他收益的政府补助</w:t>
                    </w:r>
                  </w:p>
                </w:tc>
                <w:tc>
                  <w:tcPr>
                    <w:tcW w:w="861" w:type="pct"/>
                    <w:vAlign w:val="center"/>
                  </w:tcPr>
                  <w:p>
                    <w:pPr>
                      <w:widowControl w:val="0"/>
                      <w:jc w:val="right"/>
                      <w:rPr>
                        <w:rFonts w:asciiTheme="minorEastAsia" w:hAnsiTheme="minorEastAsia" w:eastAsiaTheme="minorEastAsia"/>
                      </w:rPr>
                    </w:pPr>
                    <w:r>
                      <w:rPr>
                        <w:rFonts w:asciiTheme="minorEastAsia" w:hAnsiTheme="minorEastAsia" w:eastAsiaTheme="minorEastAsia"/>
                      </w:rPr>
                      <w:t>7,591,224.20</w:t>
                    </w:r>
                  </w:p>
                </w:tc>
                <w:tc>
                  <w:tcPr>
                    <w:tcW w:w="704" w:type="pct"/>
                    <w:vAlign w:val="center"/>
                  </w:tcPr>
                  <w:p>
                    <w:pPr>
                      <w:widowControl w:val="0"/>
                      <w:jc w:val="right"/>
                    </w:pPr>
                    <w:r>
                      <w:rPr>
                        <w:rFonts w:hint="eastAsia"/>
                      </w:rPr>
                      <w:t>其他收益</w:t>
                    </w:r>
                  </w:p>
                </w:tc>
                <w:tc>
                  <w:tcPr>
                    <w:tcW w:w="861" w:type="pct"/>
                    <w:vAlign w:val="center"/>
                  </w:tcPr>
                  <w:p>
                    <w:pPr>
                      <w:widowControl w:val="0"/>
                      <w:jc w:val="right"/>
                      <w:rPr>
                        <w:rFonts w:asciiTheme="minorEastAsia" w:hAnsiTheme="minorEastAsia" w:eastAsiaTheme="minorEastAsia"/>
                      </w:rPr>
                    </w:pPr>
                    <w:r>
                      <w:rPr>
                        <w:rFonts w:asciiTheme="minorEastAsia" w:hAnsiTheme="minorEastAsia" w:eastAsiaTheme="minorEastAsia"/>
                      </w:rPr>
                      <w:t>7,591,224.20</w:t>
                    </w:r>
                  </w:p>
                </w:tc>
                <w:sdt>
                  <w:sdtPr>
                    <w:alias w:val="备注"/>
                    <w:tag w:val="_GBC_288daf768e9e46959f2a0fe79b54c334"/>
                    <w:id w:val="-1711253236"/>
                    <w:lock w:val="sdtLocked"/>
                  </w:sdtPr>
                  <w:sdtContent>
                    <w:tc>
                      <w:tcPr>
                        <w:tcW w:w="1024" w:type="pct"/>
                        <w:vAlign w:val="center"/>
                      </w:tcPr>
                      <w:p>
                        <w:pPr>
                          <w:widowControl w:val="0"/>
                          <w:jc w:val="left"/>
                          <w:rPr>
                            <w:rFonts w:asciiTheme="minorEastAsia" w:hAnsiTheme="minorEastAsia" w:eastAsiaTheme="minorEastAsia"/>
                          </w:rPr>
                        </w:pPr>
                        <w:r>
                          <w:rPr>
                            <w:rFonts w:hint="eastAsia"/>
                          </w:rPr>
                          <w:t>详见七、67</w:t>
                        </w:r>
                      </w:p>
                    </w:tc>
                  </w:sdtContent>
                </w:sdt>
              </w:tr>
            </w:sdtContent>
          </w:sdt>
          <w:sdt>
            <w:sdtPr>
              <w:rPr>
                <w:rFonts w:hint="eastAsia" w:asciiTheme="minorHAnsi" w:hAnsiTheme="minorHAnsi" w:eastAsiaTheme="minorEastAsia" w:cstheme="minorBidi"/>
                <w:kern w:val="2"/>
                <w:szCs w:val="22"/>
              </w:rPr>
              <w:alias w:val="政府补助基本情况明细"/>
              <w:tag w:val="_TUP_eb738049c01c47fb8763dfc6db35b318"/>
              <w:id w:val="2026281616"/>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Pr>
                  <w:p>
                    <w:pPr>
                      <w:widowControl w:val="0"/>
                      <w:jc w:val="center"/>
                    </w:pPr>
                    <w:r>
                      <w:t>减：退回的政府补助</w:t>
                    </w:r>
                  </w:p>
                </w:tc>
                <w:tc>
                  <w:tcPr>
                    <w:tcW w:w="861" w:type="pct"/>
                    <w:vAlign w:val="center"/>
                  </w:tcPr>
                  <w:p>
                    <w:pPr>
                      <w:widowControl w:val="0"/>
                      <w:jc w:val="right"/>
                    </w:pPr>
                    <w:r>
                      <w:t>100,000.00</w:t>
                    </w:r>
                  </w:p>
                </w:tc>
                <w:tc>
                  <w:tcPr>
                    <w:tcW w:w="704" w:type="pct"/>
                    <w:vAlign w:val="center"/>
                  </w:tcPr>
                  <w:p>
                    <w:pPr>
                      <w:widowControl w:val="0"/>
                      <w:jc w:val="right"/>
                    </w:pPr>
                    <w:r>
                      <w:rPr>
                        <w:rFonts w:hint="eastAsia"/>
                      </w:rPr>
                      <w:t>其他收益</w:t>
                    </w:r>
                  </w:p>
                </w:tc>
                <w:tc>
                  <w:tcPr>
                    <w:tcW w:w="861" w:type="pct"/>
                    <w:vAlign w:val="center"/>
                  </w:tcPr>
                  <w:p>
                    <w:pPr>
                      <w:widowControl w:val="0"/>
                      <w:jc w:val="right"/>
                    </w:pPr>
                    <w:r>
                      <w:t>100,000</w:t>
                    </w:r>
                    <w:r>
                      <w:rPr>
                        <w:rFonts w:hint="eastAsia"/>
                      </w:rPr>
                      <w:t>.00</w:t>
                    </w:r>
                  </w:p>
                </w:tc>
                <w:sdt>
                  <w:sdtPr>
                    <w:alias w:val="备注"/>
                    <w:tag w:val="_GBC_288daf768e9e46959f2a0fe79b54c334"/>
                    <w:id w:val="-1170560643"/>
                    <w:lock w:val="sdtLocked"/>
                  </w:sdtPr>
                  <w:sdtContent>
                    <w:tc>
                      <w:tcPr>
                        <w:tcW w:w="1024" w:type="pct"/>
                        <w:vAlign w:val="center"/>
                      </w:tcPr>
                      <w:p>
                        <w:pPr>
                          <w:widowControl w:val="0"/>
                          <w:jc w:val="left"/>
                        </w:pPr>
                        <w:r>
                          <w:rPr>
                            <w:rFonts w:hint="eastAsia"/>
                          </w:rPr>
                          <w:t>详见本注释（2）</w:t>
                        </w:r>
                      </w:p>
                    </w:tc>
                  </w:sdtContent>
                </w:sdt>
              </w:tr>
            </w:sdtContent>
          </w:sdt>
          <w:sdt>
            <w:sdtPr>
              <w:rPr>
                <w:rFonts w:hint="eastAsia" w:asciiTheme="minorHAnsi" w:hAnsiTheme="minorHAnsi" w:eastAsiaTheme="minorEastAsia" w:cstheme="minorBidi"/>
                <w:kern w:val="2"/>
                <w:szCs w:val="22"/>
              </w:rPr>
              <w:alias w:val="政府补助基本情况明细"/>
              <w:tag w:val="_TUP_eb738049c01c47fb8763dfc6db35b318"/>
              <w:id w:val="-214038943"/>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9" w:type="pct"/>
                  </w:tcPr>
                  <w:p>
                    <w:pPr>
                      <w:widowControl w:val="0"/>
                      <w:jc w:val="center"/>
                    </w:pPr>
                    <w:r>
                      <w:rPr>
                        <w:rFonts w:hint="eastAsia" w:asciiTheme="minorHAnsi" w:hAnsiTheme="minorHAnsi" w:eastAsiaTheme="minorEastAsia" w:cstheme="minorBidi"/>
                        <w:kern w:val="2"/>
                        <w:szCs w:val="22"/>
                      </w:rPr>
                      <w:t>合计</w:t>
                    </w:r>
                  </w:p>
                </w:tc>
                <w:tc>
                  <w:tcPr>
                    <w:tcW w:w="861" w:type="pct"/>
                    <w:vAlign w:val="center"/>
                  </w:tcPr>
                  <w:p>
                    <w:pPr>
                      <w:widowControl w:val="0"/>
                      <w:jc w:val="right"/>
                      <w:rPr>
                        <w:rFonts w:asciiTheme="minorEastAsia" w:hAnsiTheme="minorEastAsia" w:eastAsiaTheme="minorEastAsia"/>
                      </w:rPr>
                    </w:pPr>
                    <w:r>
                      <w:rPr>
                        <w:rFonts w:asciiTheme="minorEastAsia" w:hAnsiTheme="minorEastAsia" w:eastAsiaTheme="minorEastAsia"/>
                      </w:rPr>
                      <w:t>7,491,224.20</w:t>
                    </w:r>
                  </w:p>
                </w:tc>
                <w:tc>
                  <w:tcPr>
                    <w:tcW w:w="704" w:type="pct"/>
                    <w:vAlign w:val="center"/>
                  </w:tcPr>
                  <w:p>
                    <w:pPr>
                      <w:widowControl w:val="0"/>
                      <w:jc w:val="right"/>
                    </w:pPr>
                  </w:p>
                </w:tc>
                <w:tc>
                  <w:tcPr>
                    <w:tcW w:w="861" w:type="pct"/>
                    <w:vAlign w:val="center"/>
                  </w:tcPr>
                  <w:p>
                    <w:pPr>
                      <w:widowControl w:val="0"/>
                      <w:jc w:val="right"/>
                      <w:rPr>
                        <w:rFonts w:asciiTheme="minorEastAsia" w:hAnsiTheme="minorEastAsia" w:eastAsiaTheme="minorEastAsia"/>
                      </w:rPr>
                    </w:pPr>
                    <w:r>
                      <w:rPr>
                        <w:rFonts w:asciiTheme="minorEastAsia" w:hAnsiTheme="minorEastAsia" w:eastAsiaTheme="minorEastAsia"/>
                      </w:rPr>
                      <w:t>8,800,548.36</w:t>
                    </w:r>
                  </w:p>
                </w:tc>
                <w:sdt>
                  <w:sdtPr>
                    <w:alias w:val="备注"/>
                    <w:tag w:val="_GBC_288daf768e9e46959f2a0fe79b54c334"/>
                    <w:id w:val="38560943"/>
                    <w:lock w:val="sdtLocked"/>
                    <w:showingPlcHdr/>
                  </w:sdtPr>
                  <w:sdtContent>
                    <w:tc>
                      <w:tcPr>
                        <w:tcW w:w="1024" w:type="pct"/>
                        <w:vAlign w:val="center"/>
                      </w:tcPr>
                      <w:p>
                        <w:pPr>
                          <w:widowControl w:val="0"/>
                          <w:jc w:val="right"/>
                          <w:rPr>
                            <w:rFonts w:asciiTheme="minorEastAsia" w:hAnsiTheme="minorEastAsia" w:eastAsiaTheme="minorEastAsia"/>
                          </w:rPr>
                        </w:pPr>
                        <w:r>
                          <w:rPr>
                            <w:rFonts w:asciiTheme="minorEastAsia" w:hAnsiTheme="minorEastAsia" w:eastAsiaTheme="minorEastAsia"/>
                          </w:rPr>
                          <w:t>　</w:t>
                        </w:r>
                      </w:p>
                    </w:tc>
                  </w:sdtContent>
                </w:sdt>
              </w:tr>
            </w:sdtContent>
          </w:sdt>
        </w:tbl>
        <w:p/>
        <w:p>
          <w:pPr>
            <w:pStyle w:val="5"/>
            <w:numPr>
              <w:ilvl w:val="0"/>
              <w:numId w:val="112"/>
            </w:numPr>
            <w:ind w:left="426" w:hanging="426"/>
          </w:pPr>
          <w:r>
            <w:rPr>
              <w:rFonts w:hint="eastAsia"/>
            </w:rPr>
            <w:t>政府补助退回情况</w:t>
          </w:r>
        </w:p>
        <w:sdt>
          <w:sdtPr>
            <w:alias w:val="是否适用：政府补助退回情况[双击切换]"/>
            <w:tag w:val="_GBC_7c3f98d411764656a5dc808f8f86a06f"/>
            <w:id w:val="-1586364119"/>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政府补助退回情况"/>
              <w:tag w:val="_GBC_0c3bb1d9c3fb4cac9574482843258503"/>
              <w:id w:val="84044350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政府补助退回情况"/>
              <w:tag w:val="_GBC_9de65ca6755f4ba88ca5e2d44aa949d0"/>
              <w:id w:val="109229063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1"/>
            <w:gridCol w:w="2884"/>
            <w:gridCol w:w="2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6179a9261cc4243a7fcc5a17eb0c330"/>
                <w:id w:val="-983315385"/>
                <w:lock w:val="sdtLocked"/>
              </w:sdtPr>
              <w:sdtContent>
                <w:tc>
                  <w:tcPr>
                    <w:tcW w:w="3016" w:type="dxa"/>
                    <w:vAlign w:val="center"/>
                  </w:tcPr>
                  <w:p>
                    <w:pPr>
                      <w:widowControl w:val="0"/>
                      <w:jc w:val="center"/>
                    </w:pPr>
                    <w:r>
                      <w:rPr>
                        <w:rFonts w:hint="eastAsia"/>
                      </w:rPr>
                      <w:t>项目</w:t>
                    </w:r>
                  </w:p>
                </w:tc>
              </w:sdtContent>
            </w:sdt>
            <w:sdt>
              <w:sdtPr>
                <w:tag w:val="_PLD_e1e332a5791c471d919a62ff156fb13f"/>
                <w:id w:val="889393358"/>
                <w:lock w:val="sdtLocked"/>
              </w:sdtPr>
              <w:sdtContent>
                <w:tc>
                  <w:tcPr>
                    <w:tcW w:w="3016" w:type="dxa"/>
                    <w:vAlign w:val="center"/>
                  </w:tcPr>
                  <w:p>
                    <w:pPr>
                      <w:widowControl w:val="0"/>
                      <w:jc w:val="center"/>
                    </w:pPr>
                    <w:r>
                      <w:rPr>
                        <w:rFonts w:hint="eastAsia"/>
                      </w:rPr>
                      <w:t>金额</w:t>
                    </w:r>
                  </w:p>
                </w:tc>
              </w:sdtContent>
            </w:sdt>
            <w:sdt>
              <w:sdtPr>
                <w:tag w:val="_PLD_97f249c7456744eb85204611005ec125"/>
                <w:id w:val="-385724106"/>
                <w:lock w:val="sdtLocked"/>
              </w:sdtPr>
              <w:sdtContent>
                <w:tc>
                  <w:tcPr>
                    <w:tcW w:w="3017" w:type="dxa"/>
                    <w:vAlign w:val="center"/>
                  </w:tcPr>
                  <w:p>
                    <w:pPr>
                      <w:widowControl w:val="0"/>
                      <w:jc w:val="center"/>
                    </w:pPr>
                    <w:r>
                      <w:rPr>
                        <w:rFonts w:hint="eastAsia"/>
                      </w:rPr>
                      <w:t>原因</w:t>
                    </w:r>
                  </w:p>
                </w:tc>
              </w:sdtContent>
            </w:sdt>
          </w:tr>
          <w:sdt>
            <w:sdtPr>
              <w:rPr>
                <w:rFonts w:hint="eastAsia"/>
              </w:rPr>
              <w:alias w:val="政府补助退回情况明细"/>
              <w:tag w:val="_TUP_a8b8d02cc3f54e0b8d7f243882295612"/>
              <w:id w:val="-1441129543"/>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center"/>
                    </w:pPr>
                    <w:r>
                      <w:rPr>
                        <w:rFonts w:hint="eastAsia"/>
                      </w:rPr>
                      <w:t>工业企业培育成长补贴</w:t>
                    </w:r>
                  </w:p>
                </w:tc>
                <w:tc>
                  <w:tcPr>
                    <w:tcW w:w="3016" w:type="dxa"/>
                  </w:tcPr>
                  <w:p>
                    <w:pPr>
                      <w:widowControl w:val="0"/>
                      <w:jc w:val="right"/>
                      <w:rPr>
                        <w:rFonts w:asciiTheme="minorEastAsia" w:hAnsiTheme="minorEastAsia" w:eastAsiaTheme="minorEastAsia"/>
                      </w:rPr>
                    </w:pPr>
                    <w:r>
                      <w:rPr>
                        <w:rFonts w:asciiTheme="minorEastAsia" w:hAnsiTheme="minorEastAsia" w:eastAsiaTheme="minorEastAsia"/>
                      </w:rPr>
                      <w:t>100,000.00</w:t>
                    </w:r>
                  </w:p>
                </w:tc>
                <w:tc>
                  <w:tcPr>
                    <w:tcW w:w="3017" w:type="dxa"/>
                  </w:tcPr>
                  <w:p>
                    <w:pPr>
                      <w:widowControl w:val="0"/>
                      <w:jc w:val="both"/>
                    </w:pPr>
                    <w:r>
                      <w:rPr>
                        <w:rFonts w:hint="eastAsia"/>
                      </w:rPr>
                      <w:t>不符合中小企业规模规定</w:t>
                    </w:r>
                  </w:p>
                </w:tc>
              </w:tr>
            </w:sdtContent>
          </w:sdt>
          <w:sdt>
            <w:sdtPr>
              <w:rPr>
                <w:rFonts w:hint="eastAsia"/>
              </w:rPr>
              <w:alias w:val="政府补助退回情况明细"/>
              <w:tag w:val="_TUP_a8b8d02cc3f54e0b8d7f243882295612"/>
              <w:id w:val="31785266"/>
              <w:lock w:val="sdtLocked"/>
            </w:sdtPr>
            <w:sdtEndPr>
              <w:rPr>
                <w:rFonts w:hint="eastAs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6" w:type="dxa"/>
                  </w:tcPr>
                  <w:p>
                    <w:pPr>
                      <w:widowControl w:val="0"/>
                      <w:jc w:val="center"/>
                    </w:pPr>
                    <w:r>
                      <w:rPr>
                        <w:rFonts w:hint="eastAsia"/>
                      </w:rPr>
                      <w:t>合计</w:t>
                    </w:r>
                  </w:p>
                </w:tc>
                <w:tc>
                  <w:tcPr>
                    <w:tcW w:w="3016" w:type="dxa"/>
                  </w:tcPr>
                  <w:p>
                    <w:pPr>
                      <w:widowControl w:val="0"/>
                      <w:jc w:val="right"/>
                      <w:rPr>
                        <w:rFonts w:asciiTheme="minorEastAsia" w:hAnsiTheme="minorEastAsia" w:eastAsiaTheme="minorEastAsia"/>
                      </w:rPr>
                    </w:pPr>
                    <w:r>
                      <w:rPr>
                        <w:rFonts w:asciiTheme="minorEastAsia" w:hAnsiTheme="minorEastAsia" w:eastAsiaTheme="minorEastAsia"/>
                      </w:rPr>
                      <w:t>100,000.00</w:t>
                    </w:r>
                  </w:p>
                </w:tc>
                <w:tc>
                  <w:tcPr>
                    <w:tcW w:w="3017" w:type="dxa"/>
                  </w:tcPr>
                  <w:p>
                    <w:pPr>
                      <w:widowControl w:val="0"/>
                      <w:jc w:val="left"/>
                    </w:pPr>
                  </w:p>
                </w:tc>
              </w:tr>
            </w:sdtContent>
          </w:sdt>
        </w:tbl>
        <w:p/>
        <w:p>
          <w:r>
            <w:rPr>
              <w:rFonts w:hint="eastAsia"/>
            </w:rPr>
            <w:t>其他说明：</w:t>
          </w:r>
        </w:p>
        <w:sdt>
          <w:sdtPr>
            <w:alias w:val="政府补助说明"/>
            <w:tag w:val="_GBC_818bb8274f454a488623157939fb055c"/>
            <w:id w:val="1811668229"/>
            <w:lock w:val="sdtLocked"/>
          </w:sdtPr>
          <w:sdtContent>
            <w:p>
              <w:r>
                <w:rPr>
                  <w:rFonts w:hint="eastAsia"/>
                </w:rPr>
                <w:t>无</w:t>
              </w:r>
            </w:p>
          </w:sdtContent>
        </w:sdt>
        <w:p/>
      </w:sdtContent>
    </w:sdt>
    <w:sdt>
      <w:sdtPr>
        <w:rPr>
          <w:rFonts w:ascii="宋体" w:hAnsi="宋体" w:cs="宋体"/>
          <w:b w:val="0"/>
          <w:bCs w:val="0"/>
          <w:kern w:val="0"/>
          <w:szCs w:val="24"/>
        </w:rPr>
        <w:alias w:val="模块:合并财务报表项目注释其他需要说明的事项"/>
        <w:tag w:val="_SEC_c84db925a3024ae68b5f3a3d1775752e"/>
        <w:id w:val="876271504"/>
        <w:lock w:val="sdtLocked"/>
        <w:placeholder>
          <w:docPart w:val="GBC22222222222222222222222222222"/>
        </w:placeholder>
      </w:sdtPr>
      <w:sdtEndPr>
        <w:rPr>
          <w:rFonts w:ascii="宋体" w:hAnsi="宋体" w:cs="宋体"/>
          <w:b w:val="0"/>
          <w:bCs w:val="0"/>
          <w:kern w:val="0"/>
          <w:szCs w:val="24"/>
        </w:rPr>
      </w:sdtEndPr>
      <w:sdtContent>
        <w:p>
          <w:pPr>
            <w:pStyle w:val="213"/>
            <w:numPr>
              <w:ilvl w:val="0"/>
              <w:numId w:val="77"/>
            </w:numPr>
            <w:tabs>
              <w:tab w:val="left" w:pos="504"/>
            </w:tabs>
          </w:pPr>
          <w:r>
            <w:rPr>
              <w:rFonts w:hint="eastAsia"/>
            </w:rPr>
            <w:t>其他</w:t>
          </w:r>
        </w:p>
        <w:sdt>
          <w:sdtPr>
            <w:alias w:val="是否适用：合并财务报表项目注释其他需要说明的事项[双击切换]"/>
            <w:tag w:val="_GBC_67815da71293483fad0e823098235edb"/>
            <w:id w:val="-144838852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113"/>
        <w:numPr>
          <w:ilvl w:val="0"/>
          <w:numId w:val="49"/>
        </w:numPr>
      </w:pPr>
      <w:r>
        <w:rPr>
          <w:rFonts w:hint="eastAsia"/>
        </w:rPr>
        <w:t>合并范围的变更</w:t>
      </w:r>
    </w:p>
    <w:p>
      <w:pPr>
        <w:pStyle w:val="114"/>
        <w:numPr>
          <w:ilvl w:val="0"/>
          <w:numId w:val="113"/>
        </w:numPr>
        <w:rPr>
          <w:rFonts w:ascii="宋体" w:hAnsi="宋体" w:cs="Arial"/>
          <w:szCs w:val="21"/>
        </w:rPr>
      </w:pPr>
      <w:r>
        <w:rPr>
          <w:rFonts w:hint="eastAsia" w:ascii="宋体" w:hAnsi="宋体" w:cs="Arial"/>
          <w:szCs w:val="21"/>
        </w:rPr>
        <w:t>非同一控制下企业合并</w:t>
      </w:r>
    </w:p>
    <w:sdt>
      <w:sdtPr>
        <w:alias w:val="是否适用：非同一控制下企业合并[双击切换]"/>
        <w:tag w:val="_GBC_f305adddf4654659bd28ceedc072aa05"/>
        <w:id w:val="295964364"/>
        <w:lock w:val="sdtLocked"/>
        <w:placeholder>
          <w:docPart w:val="GBC22222222222222222222222222222"/>
        </w:placeholder>
      </w:sdtPr>
      <w:sdtContent>
        <w:p>
          <w:pPr>
            <w:rPr>
              <w:rFonts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szCs w:val="21"/>
        </w:rPr>
      </w:pPr>
    </w:p>
    <w:p>
      <w:pPr>
        <w:pStyle w:val="114"/>
        <w:numPr>
          <w:ilvl w:val="0"/>
          <w:numId w:val="113"/>
        </w:numPr>
        <w:rPr>
          <w:rFonts w:ascii="宋体" w:hAnsi="宋体" w:cs="Arial"/>
          <w:szCs w:val="21"/>
        </w:rPr>
      </w:pPr>
      <w:r>
        <w:rPr>
          <w:rFonts w:hint="eastAsia" w:ascii="宋体" w:hAnsi="宋体" w:cs="Arial"/>
          <w:szCs w:val="21"/>
        </w:rPr>
        <w:t>同一控制下企业合并</w:t>
      </w:r>
    </w:p>
    <w:sdt>
      <w:sdtPr>
        <w:alias w:val="是否适用：同一控制下企业合并[双击切换]"/>
        <w:tag w:val="_GBC_698d1a451f094ec0bf9c3a278d26a0d3"/>
        <w:id w:val="26619335"/>
        <w:lock w:val="sdtLocked"/>
        <w:placeholder>
          <w:docPart w:val="GBC22222222222222222222222222222"/>
        </w:placeholder>
      </w:sdtPr>
      <w:sdtContent>
        <w:p>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p>
      <w:pPr>
        <w:rPr>
          <w:rFonts w:cs="Arial"/>
          <w:szCs w:val="21"/>
        </w:rPr>
      </w:pPr>
    </w:p>
    <w:sdt>
      <w:sdtPr>
        <w:rPr>
          <w:rFonts w:hint="eastAsia" w:ascii="宋体" w:hAnsi="宋体" w:cs="Arial"/>
          <w:b w:val="0"/>
          <w:bCs w:val="0"/>
          <w:kern w:val="0"/>
          <w:szCs w:val="21"/>
        </w:rPr>
        <w:alias w:val="模块:反向购买"/>
        <w:tag w:val="_SEC_612fd89e631e4e869313fae62c4eb055"/>
        <w:id w:val="10338059"/>
        <w:lock w:val="sdtLocked"/>
        <w:placeholder>
          <w:docPart w:val="GBC22222222222222222222222222222"/>
        </w:placeholder>
      </w:sdtPr>
      <w:sdtEndPr>
        <w:rPr>
          <w:rFonts w:hint="eastAsia" w:ascii="宋体" w:hAnsi="宋体" w:cs="Arial"/>
          <w:b w:val="0"/>
          <w:bCs w:val="0"/>
          <w:kern w:val="0"/>
          <w:szCs w:val="21"/>
          <w:lang w:val="en-GB"/>
        </w:rPr>
      </w:sdtEndPr>
      <w:sdtContent>
        <w:p>
          <w:pPr>
            <w:pStyle w:val="114"/>
            <w:numPr>
              <w:ilvl w:val="0"/>
              <w:numId w:val="113"/>
            </w:numPr>
            <w:rPr>
              <w:rFonts w:ascii="宋体" w:hAnsi="宋体" w:cs="Arial"/>
              <w:szCs w:val="21"/>
            </w:rPr>
          </w:pPr>
          <w:r>
            <w:rPr>
              <w:rFonts w:hint="eastAsia" w:ascii="宋体" w:hAnsi="宋体" w:cs="Arial"/>
              <w:szCs w:val="21"/>
            </w:rPr>
            <w:t>反向购买</w:t>
          </w:r>
        </w:p>
        <w:sdt>
          <w:sdtPr>
            <w:alias w:val="是否适用：反向购买[双击切换]"/>
            <w:tag w:val="_GBC_717fa638fefe45c09c1f2627ba167ee4"/>
            <w:id w:val="-2072649833"/>
            <w:lock w:val="sdtLocked"/>
            <w:placeholder>
              <w:docPart w:val="GBC22222222222222222222222222222"/>
            </w:placeholder>
          </w:sdtPr>
          <w:sdtContent>
            <w:p>
              <w:pPr>
                <w:rPr>
                  <w:rFonts w:cs="Arial"/>
                  <w:szCs w:val="21"/>
                  <w:lang w:val="en-GB"/>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lang w:val="en-GB"/>
            </w:rPr>
          </w:pPr>
        </w:p>
        <w:p/>
        <w:p>
          <w:pPr>
            <w:rPr>
              <w:rFonts w:cs="Arial"/>
              <w:szCs w:val="21"/>
              <w:lang w:val="en-GB"/>
            </w:rPr>
            <w:sectPr>
              <w:pgSz w:w="11906" w:h="16838"/>
              <w:pgMar w:top="1724" w:right="1797" w:bottom="1440" w:left="1797" w:header="856" w:footer="992" w:gutter="0"/>
              <w:cols w:space="425" w:num="1"/>
              <w:docGrid w:linePitch="312" w:charSpace="0"/>
            </w:sectPr>
          </w:pPr>
        </w:p>
      </w:sdtContent>
    </w:sdt>
    <w:sdt>
      <w:sdtPr>
        <w:rPr>
          <w:rFonts w:hint="eastAsia" w:ascii="宋体" w:hAnsi="宋体" w:cs="Arial"/>
          <w:b w:val="0"/>
          <w:bCs w:val="0"/>
          <w:kern w:val="0"/>
          <w:szCs w:val="21"/>
        </w:rPr>
        <w:alias w:val="模块:处置子公司"/>
        <w:tag w:val="_SEC_2a4ee8d8c08040448e991803ec2047d5"/>
        <w:id w:val="1148631775"/>
        <w:lock w:val="sdtLocked"/>
        <w:placeholder>
          <w:docPart w:val="GBC22222222222222222222222222222"/>
        </w:placeholder>
      </w:sdtPr>
      <w:sdtEndPr>
        <w:rPr>
          <w:rFonts w:hint="eastAsia" w:ascii="宋体" w:hAnsi="宋体" w:cs="宋体"/>
          <w:b w:val="0"/>
          <w:bCs w:val="0"/>
          <w:color w:val="000000"/>
          <w:kern w:val="0"/>
          <w:szCs w:val="21"/>
        </w:rPr>
      </w:sdtEndPr>
      <w:sdtContent>
        <w:p>
          <w:pPr>
            <w:pStyle w:val="114"/>
            <w:numPr>
              <w:ilvl w:val="0"/>
              <w:numId w:val="113"/>
            </w:numPr>
            <w:rPr>
              <w:rFonts w:ascii="宋体" w:hAnsi="宋体" w:cs="Arial"/>
              <w:szCs w:val="21"/>
            </w:rPr>
          </w:pPr>
          <w:r>
            <w:rPr>
              <w:rFonts w:hint="eastAsia" w:ascii="宋体" w:hAnsi="宋体" w:cs="Arial"/>
              <w:szCs w:val="21"/>
            </w:rPr>
            <w:t>处置子公司</w:t>
          </w:r>
        </w:p>
        <w:p>
          <w:r>
            <w:rPr>
              <w:rFonts w:hint="eastAsia"/>
            </w:rPr>
            <w:t>是否存在单次处置</w:t>
          </w:r>
          <w:r>
            <w:t>对子公司投资即丧失控制权的情形</w:t>
          </w:r>
        </w:p>
        <w:sdt>
          <w:sdtPr>
            <w:rPr>
              <w:rFonts w:hint="eastAsia" w:cs="Arial"/>
              <w:szCs w:val="21"/>
            </w:rPr>
            <w:alias w:val="是否存在单次交易处置对子公司投资即丧失控制权的情形[双击切换]"/>
            <w:tag w:val="_GBC_34b271ee01844be4a0580269d95adcf3"/>
            <w:id w:val="1985435008"/>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jc w:val="right"/>
            <w:rPr>
              <w:rFonts w:cs="Arial"/>
              <w:szCs w:val="21"/>
            </w:rPr>
          </w:pPr>
          <w:r>
            <w:rPr>
              <w:rFonts w:hint="eastAsia" w:cs="Arial"/>
              <w:szCs w:val="21"/>
            </w:rPr>
            <w:t>单位:</w:t>
          </w:r>
          <w:sdt>
            <w:sdtPr>
              <w:rPr>
                <w:rFonts w:hint="eastAsia" w:cs="Arial"/>
                <w:szCs w:val="21"/>
              </w:rPr>
              <w:alias w:val="单位：财务附注：单次交易处置对子公司投资即丧失控制权的情形"/>
              <w:tag w:val="_GBC_59f3403a2fec49cab6e9b6a3dbd4d3c0"/>
              <w:id w:val="184488764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Arial"/>
                <w:szCs w:val="21"/>
              </w:rPr>
            </w:sdtEndPr>
            <w:sdtContent>
              <w:r>
                <w:rPr>
                  <w:rFonts w:hint="eastAsia" w:cs="Arial"/>
                  <w:szCs w:val="21"/>
                </w:rPr>
                <w:t>元</w:t>
              </w:r>
            </w:sdtContent>
          </w:sdt>
          <w:r>
            <w:rPr>
              <w:rFonts w:hint="eastAsia" w:cs="Arial"/>
              <w:szCs w:val="21"/>
            </w:rPr>
            <w:t xml:space="preserve">  币种:</w:t>
          </w:r>
          <w:sdt>
            <w:sdtPr>
              <w:rPr>
                <w:rFonts w:hint="eastAsia" w:cs="Arial"/>
                <w:szCs w:val="21"/>
              </w:rPr>
              <w:alias w:val="币种：财务附注：单次交易处置对子公司投资即丧失控制权的情形"/>
              <w:tag w:val="_GBC_9319b295f1554853b30975ecb6795085"/>
              <w:id w:val="9113621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Arial"/>
                <w:szCs w:val="21"/>
              </w:rPr>
            </w:sdtEndPr>
            <w:sdtContent>
              <w:r>
                <w:rPr>
                  <w:rFonts w:hint="eastAsia" w:cs="Arial"/>
                  <w:szCs w:val="21"/>
                </w:rPr>
                <w:t>人民币</w:t>
              </w:r>
            </w:sdtContent>
          </w:sdt>
        </w:p>
        <w:tbl>
          <w:tblPr>
            <w:tblStyle w:val="110"/>
            <w:tblW w:w="6344" w:type="pct"/>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3"/>
            <w:gridCol w:w="1426"/>
            <w:gridCol w:w="794"/>
            <w:gridCol w:w="426"/>
            <w:gridCol w:w="937"/>
            <w:gridCol w:w="727"/>
            <w:gridCol w:w="1320"/>
            <w:gridCol w:w="742"/>
            <w:gridCol w:w="647"/>
            <w:gridCol w:w="645"/>
            <w:gridCol w:w="788"/>
            <w:gridCol w:w="846"/>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9a3bc01658f34e198f22fffae93f22f5"/>
                <w:id w:val="2079937245"/>
                <w:lock w:val="sdtLocked"/>
              </w:sdtPr>
              <w:sdtContent>
                <w:tc>
                  <w:tcPr>
                    <w:tcW w:w="311" w:type="pct"/>
                    <w:shd w:val="clear" w:color="auto" w:fill="auto"/>
                    <w:vAlign w:val="center"/>
                  </w:tcPr>
                  <w:p>
                    <w:pPr>
                      <w:pStyle w:val="124"/>
                      <w:jc w:val="center"/>
                      <w:rPr>
                        <w:rFonts w:ascii="宋体" w:hAnsi="宋体"/>
                      </w:rPr>
                    </w:pPr>
                    <w:r>
                      <w:rPr>
                        <w:rFonts w:hint="eastAsia" w:ascii="宋体" w:hAnsi="宋体"/>
                      </w:rPr>
                      <w:t>子公司名称</w:t>
                    </w:r>
                  </w:p>
                </w:tc>
              </w:sdtContent>
            </w:sdt>
            <w:sdt>
              <w:sdtPr>
                <w:tag w:val="_PLD_572f8edb72e14612994de74f5cf5d006"/>
                <w:id w:val="981040889"/>
                <w:lock w:val="sdtLocked"/>
              </w:sdtPr>
              <w:sdtContent>
                <w:tc>
                  <w:tcPr>
                    <w:tcW w:w="659" w:type="pct"/>
                    <w:shd w:val="clear" w:color="auto" w:fill="auto"/>
                    <w:vAlign w:val="center"/>
                  </w:tcPr>
                  <w:p>
                    <w:pPr>
                      <w:pStyle w:val="124"/>
                      <w:jc w:val="center"/>
                      <w:rPr>
                        <w:rFonts w:ascii="宋体" w:hAnsi="宋体"/>
                      </w:rPr>
                    </w:pPr>
                    <w:r>
                      <w:rPr>
                        <w:rFonts w:hint="eastAsia" w:ascii="宋体" w:hAnsi="宋体"/>
                      </w:rPr>
                      <w:t>股权处置价款</w:t>
                    </w:r>
                  </w:p>
                </w:tc>
              </w:sdtContent>
            </w:sdt>
            <w:sdt>
              <w:sdtPr>
                <w:tag w:val="_PLD_eb31f78c58b74a8b9034c22037b96959"/>
                <w:id w:val="1688870211"/>
                <w:lock w:val="sdtLocked"/>
              </w:sdtPr>
              <w:sdtContent>
                <w:tc>
                  <w:tcPr>
                    <w:tcW w:w="367" w:type="pct"/>
                    <w:shd w:val="clear" w:color="auto" w:fill="auto"/>
                    <w:vAlign w:val="center"/>
                  </w:tcPr>
                  <w:p>
                    <w:pPr>
                      <w:pStyle w:val="124"/>
                      <w:jc w:val="center"/>
                      <w:rPr>
                        <w:rFonts w:ascii="宋体" w:hAnsi="宋体"/>
                      </w:rPr>
                    </w:pPr>
                    <w:r>
                      <w:rPr>
                        <w:rFonts w:hint="eastAsia" w:ascii="宋体" w:hAnsi="宋体"/>
                      </w:rPr>
                      <w:t>股权处置比例（%）</w:t>
                    </w:r>
                  </w:p>
                </w:tc>
              </w:sdtContent>
            </w:sdt>
            <w:sdt>
              <w:sdtPr>
                <w:tag w:val="_PLD_0ec76b8f1d8f4befbadc454cd714e009"/>
                <w:id w:val="-454788191"/>
                <w:lock w:val="sdtLocked"/>
              </w:sdtPr>
              <w:sdtContent>
                <w:tc>
                  <w:tcPr>
                    <w:tcW w:w="197" w:type="pct"/>
                    <w:shd w:val="clear" w:color="auto" w:fill="auto"/>
                    <w:vAlign w:val="center"/>
                  </w:tcPr>
                  <w:p>
                    <w:pPr>
                      <w:pStyle w:val="124"/>
                      <w:jc w:val="center"/>
                      <w:rPr>
                        <w:rFonts w:ascii="宋体" w:hAnsi="宋体"/>
                      </w:rPr>
                    </w:pPr>
                    <w:r>
                      <w:rPr>
                        <w:rFonts w:hint="eastAsia" w:ascii="宋体" w:hAnsi="宋体"/>
                      </w:rPr>
                      <w:t>股权处置方式</w:t>
                    </w:r>
                  </w:p>
                </w:tc>
              </w:sdtContent>
            </w:sdt>
            <w:sdt>
              <w:sdtPr>
                <w:tag w:val="_PLD_c7bf5ceeb08f41f1879de5e278d8d170"/>
                <w:id w:val="560908625"/>
                <w:lock w:val="sdtLocked"/>
              </w:sdtPr>
              <w:sdtContent>
                <w:tc>
                  <w:tcPr>
                    <w:tcW w:w="433" w:type="pct"/>
                    <w:shd w:val="clear" w:color="auto" w:fill="auto"/>
                    <w:vAlign w:val="center"/>
                  </w:tcPr>
                  <w:p>
                    <w:pPr>
                      <w:pStyle w:val="124"/>
                      <w:jc w:val="center"/>
                      <w:rPr>
                        <w:rFonts w:ascii="宋体" w:hAnsi="宋体"/>
                      </w:rPr>
                    </w:pPr>
                    <w:r>
                      <w:rPr>
                        <w:rFonts w:hint="eastAsia" w:ascii="宋体" w:hAnsi="宋体"/>
                      </w:rPr>
                      <w:t>丧失控制权的时点</w:t>
                    </w:r>
                  </w:p>
                </w:tc>
              </w:sdtContent>
            </w:sdt>
            <w:sdt>
              <w:sdtPr>
                <w:tag w:val="_PLD_1b08597212b0442f95bdeb425ee04bed"/>
                <w:id w:val="-1823648615"/>
                <w:lock w:val="sdtLocked"/>
              </w:sdtPr>
              <w:sdtContent>
                <w:tc>
                  <w:tcPr>
                    <w:tcW w:w="336" w:type="pct"/>
                    <w:shd w:val="clear" w:color="auto" w:fill="auto"/>
                    <w:vAlign w:val="center"/>
                  </w:tcPr>
                  <w:p>
                    <w:pPr>
                      <w:pStyle w:val="124"/>
                      <w:jc w:val="center"/>
                      <w:rPr>
                        <w:rFonts w:ascii="宋体" w:hAnsi="宋体"/>
                      </w:rPr>
                    </w:pPr>
                    <w:r>
                      <w:rPr>
                        <w:rFonts w:hint="eastAsia" w:ascii="宋体" w:hAnsi="宋体"/>
                      </w:rPr>
                      <w:t>丧失控制权时点的确定依据</w:t>
                    </w:r>
                  </w:p>
                </w:tc>
              </w:sdtContent>
            </w:sdt>
            <w:sdt>
              <w:sdtPr>
                <w:tag w:val="_PLD_c7a1493c131946e598e7cb5f73d420be"/>
                <w:id w:val="-850491626"/>
                <w:lock w:val="sdtLocked"/>
              </w:sdtPr>
              <w:sdtContent>
                <w:tc>
                  <w:tcPr>
                    <w:tcW w:w="610" w:type="pct"/>
                    <w:shd w:val="clear" w:color="auto" w:fill="auto"/>
                    <w:vAlign w:val="center"/>
                  </w:tcPr>
                  <w:p>
                    <w:pPr>
                      <w:pStyle w:val="124"/>
                      <w:jc w:val="center"/>
                      <w:rPr>
                        <w:rFonts w:asciiTheme="minorEastAsia" w:hAnsiTheme="minorEastAsia" w:eastAsiaTheme="minorEastAsia"/>
                      </w:rPr>
                    </w:pPr>
                    <w:r>
                      <w:rPr>
                        <w:rFonts w:hint="eastAsia" w:asciiTheme="minorEastAsia" w:hAnsiTheme="minorEastAsia" w:eastAsiaTheme="minorEastAsia"/>
                      </w:rPr>
                      <w:t>处置价款与处置投资对应的合并财务报表层面享有该子公司净资产份额的差额</w:t>
                    </w:r>
                  </w:p>
                </w:tc>
              </w:sdtContent>
            </w:sdt>
            <w:sdt>
              <w:sdtPr>
                <w:tag w:val="_PLD_9261c8535fc740458338be69f1d90b4a"/>
                <w:id w:val="-1360885839"/>
                <w:lock w:val="sdtLocked"/>
              </w:sdtPr>
              <w:sdtContent>
                <w:tc>
                  <w:tcPr>
                    <w:tcW w:w="343" w:type="pct"/>
                    <w:shd w:val="clear" w:color="auto" w:fill="auto"/>
                    <w:vAlign w:val="center"/>
                  </w:tcPr>
                  <w:p>
                    <w:pPr>
                      <w:pStyle w:val="124"/>
                      <w:jc w:val="center"/>
                      <w:rPr>
                        <w:rFonts w:asciiTheme="minorEastAsia" w:hAnsiTheme="minorEastAsia" w:eastAsiaTheme="minorEastAsia"/>
                      </w:rPr>
                    </w:pPr>
                    <w:r>
                      <w:rPr>
                        <w:rFonts w:hint="eastAsia" w:asciiTheme="minorEastAsia" w:hAnsiTheme="minorEastAsia" w:eastAsiaTheme="minorEastAsia"/>
                      </w:rPr>
                      <w:t>丧失控制权之日剩余股权的比例</w:t>
                    </w:r>
                    <w:r>
                      <w:rPr>
                        <w:rFonts w:hint="eastAsia" w:cs="Arial" w:asciiTheme="minorEastAsia" w:hAnsiTheme="minorEastAsia" w:eastAsiaTheme="minorEastAsia"/>
                        <w:color w:val="000000"/>
                        <w:lang w:val="en-GB"/>
                      </w:rPr>
                      <w:t>（%）</w:t>
                    </w:r>
                  </w:p>
                </w:tc>
              </w:sdtContent>
            </w:sdt>
            <w:sdt>
              <w:sdtPr>
                <w:tag w:val="_PLD_d151aeba00c148c2a3808be449488f2f"/>
                <w:id w:val="-563565242"/>
                <w:lock w:val="sdtLocked"/>
              </w:sdtPr>
              <w:sdtContent>
                <w:tc>
                  <w:tcPr>
                    <w:tcW w:w="299" w:type="pct"/>
                    <w:shd w:val="clear" w:color="auto" w:fill="auto"/>
                    <w:vAlign w:val="center"/>
                  </w:tcPr>
                  <w:p>
                    <w:pPr>
                      <w:pStyle w:val="124"/>
                      <w:jc w:val="center"/>
                      <w:rPr>
                        <w:rFonts w:ascii="宋体" w:hAnsi="宋体"/>
                      </w:rPr>
                    </w:pPr>
                    <w:r>
                      <w:rPr>
                        <w:rFonts w:hint="eastAsia" w:ascii="宋体" w:hAnsi="宋体"/>
                      </w:rPr>
                      <w:t>丧失控制权之日剩余股权的账面价值</w:t>
                    </w:r>
                  </w:p>
                </w:tc>
              </w:sdtContent>
            </w:sdt>
            <w:sdt>
              <w:sdtPr>
                <w:tag w:val="_PLD_ed973cbd055a4f3584c87fecde864f81"/>
                <w:id w:val="-864294486"/>
                <w:lock w:val="sdtLocked"/>
              </w:sdtPr>
              <w:sdtContent>
                <w:tc>
                  <w:tcPr>
                    <w:tcW w:w="298" w:type="pct"/>
                    <w:shd w:val="clear" w:color="auto" w:fill="auto"/>
                    <w:vAlign w:val="center"/>
                  </w:tcPr>
                  <w:p>
                    <w:pPr>
                      <w:pStyle w:val="124"/>
                      <w:jc w:val="center"/>
                      <w:rPr>
                        <w:rFonts w:ascii="宋体" w:hAnsi="宋体"/>
                      </w:rPr>
                    </w:pPr>
                    <w:r>
                      <w:rPr>
                        <w:rFonts w:hint="eastAsia" w:ascii="宋体" w:hAnsi="宋体"/>
                      </w:rPr>
                      <w:t>丧失控制权之日剩余股权的公允价值</w:t>
                    </w:r>
                  </w:p>
                </w:tc>
              </w:sdtContent>
            </w:sdt>
            <w:sdt>
              <w:sdtPr>
                <w:tag w:val="_PLD_c3a59fb5483c403d8d35f967fe2c2db2"/>
                <w:id w:val="2142684630"/>
                <w:lock w:val="sdtLocked"/>
              </w:sdtPr>
              <w:sdtContent>
                <w:tc>
                  <w:tcPr>
                    <w:tcW w:w="364" w:type="pct"/>
                    <w:shd w:val="clear" w:color="auto" w:fill="auto"/>
                    <w:vAlign w:val="center"/>
                  </w:tcPr>
                  <w:p>
                    <w:pPr>
                      <w:pStyle w:val="124"/>
                      <w:jc w:val="center"/>
                      <w:rPr>
                        <w:rFonts w:ascii="宋体" w:hAnsi="宋体"/>
                      </w:rPr>
                    </w:pPr>
                    <w:r>
                      <w:rPr>
                        <w:rFonts w:hint="eastAsia" w:ascii="宋体" w:hAnsi="宋体"/>
                      </w:rPr>
                      <w:t>按照公允价值重新计量剩余股权产生的利得或损失</w:t>
                    </w:r>
                  </w:p>
                </w:tc>
              </w:sdtContent>
            </w:sdt>
            <w:sdt>
              <w:sdtPr>
                <w:tag w:val="_PLD_b29bbee5fdee4653ba99ccfed075c972"/>
                <w:id w:val="-129095317"/>
                <w:lock w:val="sdtLocked"/>
              </w:sdtPr>
              <w:sdtContent>
                <w:tc>
                  <w:tcPr>
                    <w:tcW w:w="391" w:type="pct"/>
                    <w:shd w:val="clear" w:color="auto" w:fill="auto"/>
                    <w:vAlign w:val="center"/>
                  </w:tcPr>
                  <w:p>
                    <w:pPr>
                      <w:pStyle w:val="124"/>
                      <w:jc w:val="center"/>
                      <w:rPr>
                        <w:rFonts w:ascii="宋体" w:hAnsi="宋体"/>
                      </w:rPr>
                    </w:pPr>
                    <w:r>
                      <w:rPr>
                        <w:rFonts w:hint="eastAsia" w:ascii="宋体" w:hAnsi="宋体"/>
                      </w:rPr>
                      <w:t>丧失控制权之日剩余股权公允价值的确定方法及主要假设</w:t>
                    </w:r>
                  </w:p>
                </w:tc>
              </w:sdtContent>
            </w:sdt>
            <w:sdt>
              <w:sdtPr>
                <w:tag w:val="_PLD_18989f6196834147b642768f33410b72"/>
                <w:id w:val="1167127037"/>
                <w:lock w:val="sdtLocked"/>
              </w:sdtPr>
              <w:sdtContent>
                <w:tc>
                  <w:tcPr>
                    <w:tcW w:w="393" w:type="pct"/>
                    <w:shd w:val="clear" w:color="auto" w:fill="auto"/>
                    <w:vAlign w:val="center"/>
                  </w:tcPr>
                  <w:p>
                    <w:pPr>
                      <w:pStyle w:val="124"/>
                      <w:jc w:val="center"/>
                      <w:rPr>
                        <w:rFonts w:ascii="宋体" w:hAnsi="宋体"/>
                      </w:rPr>
                    </w:pPr>
                    <w:r>
                      <w:rPr>
                        <w:rFonts w:hint="eastAsia" w:ascii="宋体" w:hAnsi="宋体"/>
                      </w:rPr>
                      <w:t>与原子公司股权投资相关的其他综合收益转入投资损益的金额</w:t>
                    </w:r>
                  </w:p>
                </w:tc>
              </w:sdtContent>
            </w:sdt>
          </w:tr>
          <w:sdt>
            <w:sdtPr>
              <w:rPr>
                <w:rFonts w:ascii="宋体" w:hAnsi="宋体"/>
              </w:rPr>
              <w:alias w:val="单次交易处置对子公司投资即丧失控制权的情形明细"/>
              <w:tag w:val="_TUP_4965fdda016349cf8e338a0edbf5bc5f"/>
              <w:id w:val="-506599440"/>
              <w:lock w:val="sdtLocked"/>
            </w:sdtPr>
            <w:sdtEndPr>
              <w:rPr>
                <w:rFonts w:ascii="宋体" w:hAnsi="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tcPr>
                  <w:p>
                    <w:pPr>
                      <w:pStyle w:val="124"/>
                      <w:rPr>
                        <w:rFonts w:ascii="宋体" w:hAnsi="宋体"/>
                      </w:rPr>
                    </w:pPr>
                    <w:r>
                      <w:t>成都速骓进出口有限公司</w:t>
                    </w:r>
                  </w:p>
                </w:tc>
                <w:tc>
                  <w:tcPr>
                    <w:tcW w:w="659" w:type="pct"/>
                    <w:vAlign w:val="center"/>
                  </w:tcPr>
                  <w:p>
                    <w:pPr>
                      <w:pStyle w:val="124"/>
                      <w:jc w:val="right"/>
                      <w:rPr>
                        <w:rFonts w:ascii="宋体" w:hAnsi="宋体"/>
                      </w:rPr>
                    </w:pPr>
                    <w:r>
                      <w:t>19,388.15</w:t>
                    </w:r>
                  </w:p>
                </w:tc>
                <w:tc>
                  <w:tcPr>
                    <w:tcW w:w="367" w:type="pct"/>
                    <w:vAlign w:val="center"/>
                  </w:tcPr>
                  <w:p>
                    <w:pPr>
                      <w:pStyle w:val="124"/>
                      <w:jc w:val="right"/>
                      <w:rPr>
                        <w:rFonts w:ascii="宋体" w:hAnsi="宋体"/>
                      </w:rPr>
                    </w:pPr>
                    <w:r>
                      <w:t>100.00</w:t>
                    </w:r>
                  </w:p>
                </w:tc>
                <w:tc>
                  <w:tcPr>
                    <w:tcW w:w="197" w:type="pct"/>
                    <w:vAlign w:val="center"/>
                  </w:tcPr>
                  <w:p>
                    <w:pPr>
                      <w:pStyle w:val="124"/>
                      <w:jc w:val="right"/>
                      <w:rPr>
                        <w:rFonts w:ascii="宋体" w:hAnsi="宋体"/>
                      </w:rPr>
                    </w:pPr>
                    <w:r>
                      <w:t>转让</w:t>
                    </w:r>
                  </w:p>
                </w:tc>
                <w:tc>
                  <w:tcPr>
                    <w:tcW w:w="433" w:type="pct"/>
                    <w:vAlign w:val="center"/>
                  </w:tcPr>
                  <w:p>
                    <w:pPr>
                      <w:pStyle w:val="124"/>
                      <w:jc w:val="right"/>
                      <w:rPr>
                        <w:rFonts w:ascii="宋体" w:hAnsi="宋体"/>
                      </w:rPr>
                    </w:pPr>
                    <w:r>
                      <w:t>2021年3月</w:t>
                    </w:r>
                  </w:p>
                </w:tc>
                <w:tc>
                  <w:tcPr>
                    <w:tcW w:w="336" w:type="pct"/>
                    <w:vAlign w:val="center"/>
                  </w:tcPr>
                  <w:p>
                    <w:pPr>
                      <w:pStyle w:val="124"/>
                      <w:jc w:val="right"/>
                      <w:rPr>
                        <w:rFonts w:ascii="宋体" w:hAnsi="宋体"/>
                      </w:rPr>
                    </w:pPr>
                    <w:r>
                      <w:t>股权过户</w:t>
                    </w:r>
                  </w:p>
                </w:tc>
                <w:tc>
                  <w:tcPr>
                    <w:tcW w:w="610" w:type="pct"/>
                    <w:vAlign w:val="center"/>
                  </w:tcPr>
                  <w:p>
                    <w:pPr>
                      <w:pStyle w:val="124"/>
                      <w:jc w:val="right"/>
                      <w:rPr>
                        <w:rFonts w:ascii="宋体" w:hAnsi="宋体"/>
                      </w:rPr>
                    </w:pPr>
                    <w:r>
                      <w:t>30,807.80</w:t>
                    </w:r>
                  </w:p>
                </w:tc>
                <w:tc>
                  <w:tcPr>
                    <w:tcW w:w="343" w:type="pct"/>
                  </w:tcPr>
                  <w:p>
                    <w:pPr>
                      <w:pStyle w:val="124"/>
                      <w:jc w:val="right"/>
                      <w:rPr>
                        <w:rFonts w:ascii="宋体" w:hAnsi="宋体"/>
                      </w:rPr>
                    </w:pPr>
                  </w:p>
                </w:tc>
                <w:tc>
                  <w:tcPr>
                    <w:tcW w:w="299" w:type="pct"/>
                  </w:tcPr>
                  <w:p>
                    <w:pPr>
                      <w:pStyle w:val="124"/>
                      <w:jc w:val="right"/>
                      <w:rPr>
                        <w:rFonts w:ascii="宋体" w:hAnsi="宋体"/>
                      </w:rPr>
                    </w:pPr>
                  </w:p>
                </w:tc>
                <w:tc>
                  <w:tcPr>
                    <w:tcW w:w="298" w:type="pct"/>
                  </w:tcPr>
                  <w:p>
                    <w:pPr>
                      <w:pStyle w:val="124"/>
                      <w:jc w:val="right"/>
                      <w:rPr>
                        <w:rFonts w:ascii="宋体" w:hAnsi="宋体"/>
                      </w:rPr>
                    </w:pPr>
                  </w:p>
                </w:tc>
                <w:tc>
                  <w:tcPr>
                    <w:tcW w:w="364" w:type="pct"/>
                  </w:tcPr>
                  <w:p>
                    <w:pPr>
                      <w:pStyle w:val="124"/>
                      <w:jc w:val="right"/>
                      <w:rPr>
                        <w:rFonts w:ascii="宋体" w:hAnsi="宋体"/>
                      </w:rPr>
                    </w:pPr>
                  </w:p>
                </w:tc>
                <w:tc>
                  <w:tcPr>
                    <w:tcW w:w="391" w:type="pct"/>
                  </w:tcPr>
                  <w:p>
                    <w:pPr>
                      <w:pStyle w:val="124"/>
                      <w:rPr>
                        <w:rFonts w:ascii="宋体" w:hAnsi="宋体"/>
                      </w:rPr>
                    </w:pPr>
                  </w:p>
                </w:tc>
                <w:tc>
                  <w:tcPr>
                    <w:tcW w:w="393" w:type="pct"/>
                  </w:tcPr>
                  <w:p>
                    <w:pPr>
                      <w:pStyle w:val="124"/>
                      <w:jc w:val="right"/>
                      <w:rPr>
                        <w:rFonts w:ascii="宋体" w:hAnsi="宋体"/>
                      </w:rPr>
                    </w:pPr>
                  </w:p>
                </w:tc>
              </w:tr>
            </w:sdtContent>
          </w:sdt>
          <w:sdt>
            <w:sdtPr>
              <w:rPr>
                <w:rFonts w:ascii="宋体" w:hAnsi="宋体"/>
              </w:rPr>
              <w:alias w:val="单次交易处置对子公司投资即丧失控制权的情形明细"/>
              <w:tag w:val="_TUP_4965fdda016349cf8e338a0edbf5bc5f"/>
              <w:id w:val="993059836"/>
              <w:lock w:val="sdtLocked"/>
            </w:sdtPr>
            <w:sdtEndPr>
              <w:rPr>
                <w:rFonts w:ascii="宋体" w:hAnsi="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 w:type="pct"/>
                  </w:tcPr>
                  <w:p>
                    <w:pPr>
                      <w:pStyle w:val="124"/>
                      <w:rPr>
                        <w:rFonts w:ascii="宋体" w:hAnsi="宋体"/>
                      </w:rPr>
                    </w:pPr>
                    <w:r>
                      <w:t>上海新概念出租汽车有限公司</w:t>
                    </w:r>
                  </w:p>
                </w:tc>
                <w:tc>
                  <w:tcPr>
                    <w:tcW w:w="659" w:type="pct"/>
                    <w:vAlign w:val="center"/>
                  </w:tcPr>
                  <w:p>
                    <w:pPr>
                      <w:pStyle w:val="124"/>
                      <w:jc w:val="right"/>
                      <w:rPr>
                        <w:rFonts w:ascii="宋体" w:hAnsi="宋体"/>
                      </w:rPr>
                    </w:pPr>
                    <w:r>
                      <w:t>13,923,300.00</w:t>
                    </w:r>
                  </w:p>
                </w:tc>
                <w:tc>
                  <w:tcPr>
                    <w:tcW w:w="367" w:type="pct"/>
                    <w:vAlign w:val="center"/>
                  </w:tcPr>
                  <w:p>
                    <w:pPr>
                      <w:pStyle w:val="124"/>
                      <w:jc w:val="right"/>
                      <w:rPr>
                        <w:rFonts w:ascii="宋体" w:hAnsi="宋体"/>
                      </w:rPr>
                    </w:pPr>
                    <w:r>
                      <w:t>100.00</w:t>
                    </w:r>
                  </w:p>
                </w:tc>
                <w:tc>
                  <w:tcPr>
                    <w:tcW w:w="197" w:type="pct"/>
                    <w:vAlign w:val="center"/>
                  </w:tcPr>
                  <w:p>
                    <w:pPr>
                      <w:pStyle w:val="124"/>
                      <w:jc w:val="right"/>
                      <w:rPr>
                        <w:rFonts w:ascii="宋体" w:hAnsi="宋体"/>
                      </w:rPr>
                    </w:pPr>
                    <w:r>
                      <w:t>转让</w:t>
                    </w:r>
                  </w:p>
                </w:tc>
                <w:tc>
                  <w:tcPr>
                    <w:tcW w:w="433" w:type="pct"/>
                    <w:vAlign w:val="center"/>
                  </w:tcPr>
                  <w:p>
                    <w:pPr>
                      <w:pStyle w:val="124"/>
                      <w:jc w:val="right"/>
                      <w:rPr>
                        <w:rFonts w:ascii="宋体" w:hAnsi="宋体"/>
                      </w:rPr>
                    </w:pPr>
                    <w:r>
                      <w:t>2021年10月</w:t>
                    </w:r>
                  </w:p>
                </w:tc>
                <w:tc>
                  <w:tcPr>
                    <w:tcW w:w="336" w:type="pct"/>
                    <w:vAlign w:val="center"/>
                  </w:tcPr>
                  <w:p>
                    <w:pPr>
                      <w:pStyle w:val="124"/>
                      <w:jc w:val="right"/>
                      <w:rPr>
                        <w:rFonts w:ascii="宋体" w:hAnsi="宋体"/>
                      </w:rPr>
                    </w:pPr>
                    <w:r>
                      <w:t>股权过户</w:t>
                    </w:r>
                  </w:p>
                </w:tc>
                <w:tc>
                  <w:tcPr>
                    <w:tcW w:w="610" w:type="pct"/>
                    <w:vAlign w:val="center"/>
                  </w:tcPr>
                  <w:p>
                    <w:pPr>
                      <w:pStyle w:val="124"/>
                      <w:jc w:val="right"/>
                      <w:rPr>
                        <w:rFonts w:ascii="宋体" w:hAnsi="宋体"/>
                      </w:rPr>
                    </w:pPr>
                    <w:r>
                      <w:t>4,096,786.45</w:t>
                    </w:r>
                  </w:p>
                </w:tc>
                <w:tc>
                  <w:tcPr>
                    <w:tcW w:w="343" w:type="pct"/>
                  </w:tcPr>
                  <w:p>
                    <w:pPr>
                      <w:pStyle w:val="124"/>
                      <w:jc w:val="right"/>
                      <w:rPr>
                        <w:rFonts w:ascii="宋体" w:hAnsi="宋体"/>
                      </w:rPr>
                    </w:pPr>
                  </w:p>
                </w:tc>
                <w:tc>
                  <w:tcPr>
                    <w:tcW w:w="299" w:type="pct"/>
                  </w:tcPr>
                  <w:p>
                    <w:pPr>
                      <w:pStyle w:val="124"/>
                      <w:jc w:val="right"/>
                      <w:rPr>
                        <w:rFonts w:ascii="宋体" w:hAnsi="宋体"/>
                      </w:rPr>
                    </w:pPr>
                  </w:p>
                </w:tc>
                <w:tc>
                  <w:tcPr>
                    <w:tcW w:w="298" w:type="pct"/>
                  </w:tcPr>
                  <w:p>
                    <w:pPr>
                      <w:pStyle w:val="124"/>
                      <w:jc w:val="right"/>
                      <w:rPr>
                        <w:rFonts w:ascii="宋体" w:hAnsi="宋体"/>
                      </w:rPr>
                    </w:pPr>
                  </w:p>
                </w:tc>
                <w:tc>
                  <w:tcPr>
                    <w:tcW w:w="364" w:type="pct"/>
                  </w:tcPr>
                  <w:p>
                    <w:pPr>
                      <w:pStyle w:val="124"/>
                      <w:jc w:val="right"/>
                      <w:rPr>
                        <w:rFonts w:ascii="宋体" w:hAnsi="宋体"/>
                      </w:rPr>
                    </w:pPr>
                  </w:p>
                </w:tc>
                <w:tc>
                  <w:tcPr>
                    <w:tcW w:w="391" w:type="pct"/>
                  </w:tcPr>
                  <w:p>
                    <w:pPr>
                      <w:pStyle w:val="124"/>
                      <w:rPr>
                        <w:rFonts w:ascii="宋体" w:hAnsi="宋体"/>
                      </w:rPr>
                    </w:pPr>
                  </w:p>
                </w:tc>
                <w:tc>
                  <w:tcPr>
                    <w:tcW w:w="393" w:type="pct"/>
                  </w:tcPr>
                  <w:p>
                    <w:pPr>
                      <w:pStyle w:val="124"/>
                      <w:jc w:val="right"/>
                      <w:rPr>
                        <w:rFonts w:ascii="宋体" w:hAnsi="宋体"/>
                      </w:rPr>
                    </w:pPr>
                  </w:p>
                </w:tc>
              </w:tr>
            </w:sdtContent>
          </w:sdt>
          <w:sdt>
            <w:sdtPr>
              <w:rPr>
                <w:rFonts w:ascii="宋体" w:hAnsi="宋体"/>
              </w:rPr>
              <w:alias w:val="单次交易处置对子公司投资即丧失控制权的情形明细"/>
              <w:tag w:val="_TUP_4965fdda016349cf8e338a0edbf5bc5f"/>
              <w:id w:val="-1710492680"/>
              <w:lock w:val="sdtLocked"/>
            </w:sdtPr>
            <w:sdtEndPr>
              <w:rPr>
                <w:rFonts w:ascii="宋体" w:hAnsi="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311" w:type="pct"/>
                  </w:tcPr>
                  <w:p>
                    <w:pPr>
                      <w:pStyle w:val="124"/>
                      <w:rPr>
                        <w:rFonts w:ascii="宋体" w:hAnsi="宋体"/>
                      </w:rPr>
                    </w:pPr>
                    <w:r>
                      <w:t>上海无线绿洲通信技术有限公司</w:t>
                    </w:r>
                  </w:p>
                </w:tc>
                <w:tc>
                  <w:tcPr>
                    <w:tcW w:w="659" w:type="pct"/>
                    <w:vAlign w:val="center"/>
                  </w:tcPr>
                  <w:p>
                    <w:pPr>
                      <w:pStyle w:val="124"/>
                      <w:jc w:val="right"/>
                      <w:rPr>
                        <w:rFonts w:ascii="宋体" w:hAnsi="宋体"/>
                      </w:rPr>
                    </w:pPr>
                    <w:r>
                      <w:t>1.00</w:t>
                    </w:r>
                  </w:p>
                </w:tc>
                <w:tc>
                  <w:tcPr>
                    <w:tcW w:w="367" w:type="pct"/>
                    <w:vAlign w:val="center"/>
                  </w:tcPr>
                  <w:p>
                    <w:pPr>
                      <w:pStyle w:val="124"/>
                      <w:jc w:val="right"/>
                      <w:rPr>
                        <w:rFonts w:ascii="宋体" w:hAnsi="宋体"/>
                      </w:rPr>
                    </w:pPr>
                    <w:r>
                      <w:t>100.00</w:t>
                    </w:r>
                  </w:p>
                </w:tc>
                <w:tc>
                  <w:tcPr>
                    <w:tcW w:w="197" w:type="pct"/>
                    <w:vAlign w:val="center"/>
                  </w:tcPr>
                  <w:p>
                    <w:pPr>
                      <w:pStyle w:val="124"/>
                      <w:jc w:val="right"/>
                      <w:rPr>
                        <w:rFonts w:ascii="宋体" w:hAnsi="宋体"/>
                      </w:rPr>
                    </w:pPr>
                    <w:r>
                      <w:t>转让</w:t>
                    </w:r>
                  </w:p>
                </w:tc>
                <w:tc>
                  <w:tcPr>
                    <w:tcW w:w="433" w:type="pct"/>
                    <w:vAlign w:val="center"/>
                  </w:tcPr>
                  <w:p>
                    <w:pPr>
                      <w:pStyle w:val="124"/>
                      <w:jc w:val="right"/>
                      <w:rPr>
                        <w:rFonts w:ascii="宋体" w:hAnsi="宋体"/>
                      </w:rPr>
                    </w:pPr>
                    <w:r>
                      <w:t>2021年11月</w:t>
                    </w:r>
                  </w:p>
                </w:tc>
                <w:tc>
                  <w:tcPr>
                    <w:tcW w:w="336" w:type="pct"/>
                    <w:vAlign w:val="center"/>
                  </w:tcPr>
                  <w:p>
                    <w:pPr>
                      <w:pStyle w:val="124"/>
                      <w:jc w:val="right"/>
                      <w:rPr>
                        <w:rFonts w:ascii="宋体" w:hAnsi="宋体"/>
                      </w:rPr>
                    </w:pPr>
                    <w:r>
                      <w:t>股权过户</w:t>
                    </w:r>
                  </w:p>
                </w:tc>
                <w:tc>
                  <w:tcPr>
                    <w:tcW w:w="610" w:type="pct"/>
                    <w:vAlign w:val="center"/>
                  </w:tcPr>
                  <w:p>
                    <w:pPr>
                      <w:pStyle w:val="124"/>
                      <w:jc w:val="right"/>
                      <w:rPr>
                        <w:rFonts w:ascii="宋体" w:hAnsi="宋体"/>
                      </w:rPr>
                    </w:pPr>
                    <w:r>
                      <w:t>2,028,229.70</w:t>
                    </w:r>
                  </w:p>
                </w:tc>
                <w:tc>
                  <w:tcPr>
                    <w:tcW w:w="343" w:type="pct"/>
                  </w:tcPr>
                  <w:p>
                    <w:pPr>
                      <w:pStyle w:val="124"/>
                      <w:jc w:val="right"/>
                      <w:rPr>
                        <w:rFonts w:ascii="宋体" w:hAnsi="宋体"/>
                      </w:rPr>
                    </w:pPr>
                  </w:p>
                </w:tc>
                <w:tc>
                  <w:tcPr>
                    <w:tcW w:w="299" w:type="pct"/>
                  </w:tcPr>
                  <w:p>
                    <w:pPr>
                      <w:pStyle w:val="124"/>
                      <w:jc w:val="right"/>
                      <w:rPr>
                        <w:rFonts w:ascii="宋体" w:hAnsi="宋体"/>
                      </w:rPr>
                    </w:pPr>
                  </w:p>
                </w:tc>
                <w:tc>
                  <w:tcPr>
                    <w:tcW w:w="298" w:type="pct"/>
                  </w:tcPr>
                  <w:p>
                    <w:pPr>
                      <w:pStyle w:val="124"/>
                      <w:jc w:val="right"/>
                      <w:rPr>
                        <w:rFonts w:ascii="宋体" w:hAnsi="宋体"/>
                      </w:rPr>
                    </w:pPr>
                  </w:p>
                </w:tc>
                <w:tc>
                  <w:tcPr>
                    <w:tcW w:w="364" w:type="pct"/>
                  </w:tcPr>
                  <w:p>
                    <w:pPr>
                      <w:pStyle w:val="124"/>
                      <w:jc w:val="right"/>
                      <w:rPr>
                        <w:rFonts w:ascii="宋体" w:hAnsi="宋体"/>
                      </w:rPr>
                    </w:pPr>
                  </w:p>
                </w:tc>
                <w:tc>
                  <w:tcPr>
                    <w:tcW w:w="391" w:type="pct"/>
                  </w:tcPr>
                  <w:p>
                    <w:pPr>
                      <w:pStyle w:val="124"/>
                      <w:rPr>
                        <w:rFonts w:ascii="宋体" w:hAnsi="宋体"/>
                      </w:rPr>
                    </w:pPr>
                  </w:p>
                </w:tc>
                <w:tc>
                  <w:tcPr>
                    <w:tcW w:w="393" w:type="pct"/>
                  </w:tcPr>
                  <w:p>
                    <w:pPr>
                      <w:pStyle w:val="124"/>
                      <w:jc w:val="right"/>
                      <w:rPr>
                        <w:rFonts w:ascii="宋体" w:hAnsi="宋体"/>
                      </w:rPr>
                    </w:pPr>
                  </w:p>
                </w:tc>
              </w:tr>
            </w:sdtContent>
          </w:sdt>
        </w:tbl>
        <w:p/>
        <w:p>
          <w:pPr>
            <w:rPr>
              <w:rFonts w:cs="Arial"/>
              <w:color w:val="000000"/>
              <w:szCs w:val="21"/>
            </w:rPr>
          </w:pPr>
          <w:r>
            <w:rPr>
              <w:rFonts w:hint="eastAsia" w:cs="Arial"/>
              <w:color w:val="000000"/>
              <w:szCs w:val="21"/>
            </w:rPr>
            <w:t>其他说明：</w:t>
          </w:r>
        </w:p>
        <w:sdt>
          <w:sdtPr>
            <w:rPr>
              <w:rFonts w:cs="Arial"/>
              <w:color w:val="000000"/>
              <w:szCs w:val="21"/>
            </w:rPr>
            <w:alias w:val="是否适用：单次交易处置对子公司投资即丧失控制权的情形的说明[双击切换]"/>
            <w:tag w:val="_GBC_e9745370c40b4780b36f3f18da05201e"/>
            <w:id w:val="-267546774"/>
            <w:lock w:val="sdtLocked"/>
            <w:placeholder>
              <w:docPart w:val="GBC22222222222222222222222222222"/>
            </w:placeholder>
          </w:sdtPr>
          <w:sdtEndPr>
            <w:rPr>
              <w:rFonts w:cs="Arial"/>
              <w:color w:val="000000"/>
              <w:szCs w:val="21"/>
            </w:rPr>
          </w:sdtEndPr>
          <w:sdtContent>
            <w:p>
              <w:pPr>
                <w:rPr>
                  <w:color w:val="000000"/>
                  <w:szCs w:val="21"/>
                </w:rPr>
              </w:pPr>
              <w:r>
                <w:rPr>
                  <w:rFonts w:cs="Arial"/>
                  <w:color w:val="000000"/>
                  <w:szCs w:val="21"/>
                </w:rPr>
                <w:fldChar w:fldCharType="begin"/>
              </w:r>
              <w:r>
                <w:rPr>
                  <w:rFonts w:cs="Arial"/>
                  <w:color w:val="000000"/>
                  <w:szCs w:val="21"/>
                </w:rPr>
                <w:instrText xml:space="preserve">MACROBUTTON  SnrToggleCheckbox □适用 </w:instrText>
              </w:r>
              <w:r>
                <w:rPr>
                  <w:rFonts w:cs="Arial"/>
                  <w:color w:val="000000"/>
                  <w:szCs w:val="21"/>
                </w:rPr>
                <w:fldChar w:fldCharType="end"/>
              </w:r>
              <w:r>
                <w:rPr>
                  <w:rFonts w:cs="Arial"/>
                  <w:color w:val="000000"/>
                  <w:szCs w:val="21"/>
                </w:rPr>
                <w:fldChar w:fldCharType="begin"/>
              </w:r>
              <w:r>
                <w:rPr>
                  <w:rFonts w:cs="Arial"/>
                  <w:color w:val="000000"/>
                  <w:szCs w:val="21"/>
                </w:rPr>
                <w:instrText xml:space="preserve"> MACROBUTTON  SnrToggleCheckbox √不适用 </w:instrText>
              </w:r>
              <w:r>
                <w:rPr>
                  <w:rFonts w:cs="Arial"/>
                  <w:color w:val="000000"/>
                  <w:szCs w:val="21"/>
                </w:rPr>
                <w:fldChar w:fldCharType="end"/>
              </w:r>
            </w:p>
          </w:sdtContent>
        </w:sdt>
      </w:sdtContent>
    </w:sdt>
    <w:p>
      <w:pPr>
        <w:rPr>
          <w:rFonts w:cs="Arial"/>
          <w:color w:val="000000"/>
          <w:szCs w:val="21"/>
        </w:rPr>
      </w:pPr>
    </w:p>
    <w:p>
      <w:pPr>
        <w:rPr>
          <w:rFonts w:cs="Arial" w:asciiTheme="minorHAnsi" w:hAnsiTheme="minorHAnsi" w:eastAsiaTheme="minorEastAsia"/>
          <w:color w:val="000000"/>
        </w:rPr>
      </w:pPr>
    </w:p>
    <w:sdt>
      <w:sdtPr>
        <w:rPr>
          <w:rFonts w:hint="eastAsia" w:cs="Arial" w:asciiTheme="minorHAnsi" w:hAnsiTheme="minorHAnsi" w:eastAsiaTheme="minorEastAsia"/>
          <w:b w:val="0"/>
          <w:bCs w:val="0"/>
          <w:color w:val="000000"/>
          <w:kern w:val="0"/>
          <w:szCs w:val="24"/>
        </w:rPr>
        <w:alias w:val="模块:其他原因的合并范围变动"/>
        <w:tag w:val="_SEC_06f741a2d2b342998a5d1499d841b2b1"/>
        <w:id w:val="2121490222"/>
        <w:lock w:val="sdtLocked"/>
        <w:placeholder>
          <w:docPart w:val="GBC22222222222222222222222222222"/>
        </w:placeholder>
      </w:sdtPr>
      <w:sdtEndPr>
        <w:rPr>
          <w:rFonts w:hint="eastAsia" w:cs="Arial" w:asciiTheme="minorHAnsi" w:hAnsiTheme="minorHAnsi" w:eastAsiaTheme="minorEastAsia"/>
          <w:b w:val="0"/>
          <w:bCs w:val="0"/>
          <w:color w:val="000000"/>
          <w:kern w:val="0"/>
          <w:szCs w:val="24"/>
        </w:rPr>
      </w:sdtEndPr>
      <w:sdtContent>
        <w:p>
          <w:pPr>
            <w:pStyle w:val="114"/>
            <w:numPr>
              <w:ilvl w:val="0"/>
              <w:numId w:val="113"/>
            </w:numPr>
            <w:rPr>
              <w:rFonts w:cs="Arial" w:asciiTheme="minorHAnsi" w:hAnsiTheme="minorHAnsi" w:eastAsiaTheme="minorEastAsia"/>
              <w:color w:val="000000"/>
            </w:rPr>
          </w:pPr>
          <w:r>
            <w:rPr>
              <w:rFonts w:hint="eastAsia" w:cs="Arial" w:asciiTheme="minorHAnsi" w:hAnsiTheme="minorHAnsi" w:eastAsiaTheme="minorEastAsia"/>
              <w:color w:val="000000"/>
            </w:rPr>
            <w:t>其他原因的合并范围变动</w:t>
          </w:r>
        </w:p>
        <w:p>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86439828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cs="Arial"/>
              <w:color w:val="000000"/>
              <w:kern w:val="0"/>
              <w:szCs w:val="24"/>
            </w:rPr>
            <w:alias w:val="其他原因的合并范围变动"/>
            <w:tag w:val="_GBC_3146fc6fdcf14cec8af7bcae81e1ef18"/>
            <w:id w:val="-1282958520"/>
            <w:lock w:val="sdtLocked"/>
            <w:placeholder>
              <w:docPart w:val="GBC22222222222222222222222222222"/>
            </w:placeholder>
          </w:sdtPr>
          <w:sdtEndPr>
            <w:rPr>
              <w:rFonts w:cs="Arial" w:asciiTheme="minorHAnsi" w:hAnsiTheme="minorHAnsi" w:eastAsiaTheme="minorEastAsia"/>
              <w:color w:val="000000"/>
              <w:kern w:val="0"/>
              <w:szCs w:val="24"/>
            </w:rPr>
          </w:sdtEndPr>
          <w:sdtContent>
            <w:p>
              <w:pPr>
                <w:pStyle w:val="197"/>
                <w:widowControl w:val="0"/>
                <w:numPr>
                  <w:ilvl w:val="0"/>
                  <w:numId w:val="114"/>
                </w:numPr>
                <w:spacing w:line="360" w:lineRule="auto"/>
                <w:ind w:leftChars="0"/>
                <w:jc w:val="both"/>
                <w:outlineLvl w:val="3"/>
                <w:rPr>
                  <w:b/>
                  <w:bCs/>
                </w:rPr>
              </w:pPr>
              <w:r>
                <w:rPr>
                  <w:rFonts w:hint="eastAsia"/>
                  <w:b/>
                  <w:bCs/>
                </w:rPr>
                <w:t>本年度投资新设子公司</w:t>
              </w:r>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1"/>
                <w:gridCol w:w="769"/>
                <w:gridCol w:w="1570"/>
                <w:gridCol w:w="1298"/>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8" w:type="dxa"/>
                    <w:vAlign w:val="center"/>
                  </w:tcPr>
                  <w:p>
                    <w:pPr>
                      <w:spacing w:line="240" w:lineRule="exact"/>
                      <w:jc w:val="center"/>
                      <w:rPr>
                        <w:rFonts w:ascii="Arial Narrow" w:hAnsi="Arial Narrow"/>
                        <w:kern w:val="2"/>
                        <w:szCs w:val="21"/>
                      </w:rPr>
                    </w:pPr>
                    <w:r>
                      <w:t>公司名称</w:t>
                    </w:r>
                  </w:p>
                </w:tc>
                <w:tc>
                  <w:tcPr>
                    <w:tcW w:w="1173" w:type="dxa"/>
                    <w:vAlign w:val="center"/>
                  </w:tcPr>
                  <w:p>
                    <w:pPr>
                      <w:spacing w:line="240" w:lineRule="exact"/>
                      <w:jc w:val="center"/>
                      <w:rPr>
                        <w:rFonts w:ascii="Arial Narrow" w:hAnsi="Arial Narrow"/>
                        <w:kern w:val="2"/>
                        <w:szCs w:val="21"/>
                      </w:rPr>
                    </w:pPr>
                    <w:r>
                      <w:rPr>
                        <w:rFonts w:hint="eastAsia"/>
                      </w:rPr>
                      <w:t>增加</w:t>
                    </w:r>
                    <w:r>
                      <w:t>方式</w:t>
                    </w:r>
                  </w:p>
                </w:tc>
                <w:tc>
                  <w:tcPr>
                    <w:tcW w:w="2579" w:type="dxa"/>
                    <w:vAlign w:val="center"/>
                  </w:tcPr>
                  <w:p>
                    <w:pPr>
                      <w:spacing w:line="240" w:lineRule="exact"/>
                      <w:jc w:val="center"/>
                      <w:rPr>
                        <w:rFonts w:ascii="Arial Narrow" w:hAnsi="Arial Narrow"/>
                        <w:kern w:val="2"/>
                        <w:szCs w:val="21"/>
                      </w:rPr>
                    </w:pPr>
                    <w:r>
                      <w:rPr>
                        <w:rFonts w:hint="eastAsia"/>
                      </w:rPr>
                      <w:t>增加</w:t>
                    </w:r>
                    <w:r>
                      <w:t>时点</w:t>
                    </w:r>
                  </w:p>
                </w:tc>
                <w:tc>
                  <w:tcPr>
                    <w:tcW w:w="2101" w:type="dxa"/>
                    <w:vAlign w:val="center"/>
                  </w:tcPr>
                  <w:p>
                    <w:pPr>
                      <w:spacing w:line="240" w:lineRule="exact"/>
                      <w:jc w:val="center"/>
                      <w:rPr>
                        <w:rFonts w:ascii="Arial Narrow" w:hAnsi="Arial Narrow"/>
                        <w:kern w:val="2"/>
                        <w:szCs w:val="21"/>
                      </w:rPr>
                    </w:pPr>
                    <w:r>
                      <w:rPr>
                        <w:rFonts w:hint="eastAsia"/>
                      </w:rPr>
                      <w:t>注册资本</w:t>
                    </w:r>
                  </w:p>
                  <w:p>
                    <w:pPr>
                      <w:spacing w:line="240" w:lineRule="exact"/>
                      <w:jc w:val="center"/>
                      <w:rPr>
                        <w:rFonts w:ascii="Arial Narrow" w:hAnsi="Arial Narrow"/>
                        <w:kern w:val="2"/>
                        <w:szCs w:val="21"/>
                      </w:rPr>
                    </w:pPr>
                    <w:r>
                      <w:rPr>
                        <w:rFonts w:hint="eastAsia"/>
                      </w:rPr>
                      <w:t>（万元）</w:t>
                    </w:r>
                  </w:p>
                </w:tc>
                <w:tc>
                  <w:tcPr>
                    <w:tcW w:w="2668" w:type="dxa"/>
                    <w:vAlign w:val="center"/>
                  </w:tcPr>
                  <w:p>
                    <w:pPr>
                      <w:spacing w:line="240" w:lineRule="exact"/>
                      <w:jc w:val="center"/>
                      <w:rPr>
                        <w:rFonts w:ascii="Arial Narrow" w:hAnsi="Arial Narrow"/>
                        <w:kern w:val="2"/>
                        <w:szCs w:val="21"/>
                      </w:rPr>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8" w:type="dxa"/>
                    <w:vAlign w:val="center"/>
                  </w:tcPr>
                  <w:p>
                    <w:pPr>
                      <w:snapToGrid w:val="0"/>
                      <w:jc w:val="center"/>
                      <w:rPr>
                        <w:rFonts w:ascii="Arial Narrow" w:hAnsi="Arial Narrow"/>
                        <w:kern w:val="2"/>
                        <w:szCs w:val="21"/>
                      </w:rPr>
                    </w:pPr>
                    <w:r>
                      <w:rPr>
                        <w:rFonts w:hint="eastAsia"/>
                      </w:rPr>
                      <w:t>重庆新润壹物业管理有限公司</w:t>
                    </w:r>
                  </w:p>
                </w:tc>
                <w:tc>
                  <w:tcPr>
                    <w:tcW w:w="1173" w:type="dxa"/>
                    <w:vAlign w:val="center"/>
                  </w:tcPr>
                  <w:p>
                    <w:pPr>
                      <w:snapToGrid w:val="0"/>
                      <w:spacing w:before="100" w:beforeAutospacing="1" w:after="100" w:afterAutospacing="1"/>
                      <w:jc w:val="center"/>
                      <w:textAlignment w:val="center"/>
                      <w:rPr>
                        <w:rFonts w:ascii="Arial Narrow" w:hAnsi="Arial Narrow"/>
                        <w:kern w:val="2"/>
                        <w:szCs w:val="21"/>
                      </w:rPr>
                    </w:pPr>
                    <w:r>
                      <w:rPr>
                        <w:rFonts w:hint="eastAsia"/>
                      </w:rPr>
                      <w:t>设立</w:t>
                    </w:r>
                  </w:p>
                </w:tc>
                <w:tc>
                  <w:tcPr>
                    <w:tcW w:w="2579" w:type="dxa"/>
                    <w:vAlign w:val="center"/>
                  </w:tcPr>
                  <w:p>
                    <w:pPr>
                      <w:snapToGrid w:val="0"/>
                      <w:spacing w:before="100" w:beforeAutospacing="1" w:after="100" w:afterAutospacing="1"/>
                      <w:jc w:val="center"/>
                      <w:textAlignment w:val="center"/>
                      <w:rPr>
                        <w:rFonts w:ascii="Arial Narrow" w:hAnsi="Arial Narrow"/>
                        <w:kern w:val="2"/>
                        <w:szCs w:val="21"/>
                      </w:rPr>
                    </w:pPr>
                    <w:r>
                      <w:rPr>
                        <w:rFonts w:hint="eastAsia" w:ascii="Arial Narrow" w:hAnsi="Arial Narrow"/>
                      </w:rPr>
                      <w:t>2</w:t>
                    </w:r>
                    <w:r>
                      <w:rPr>
                        <w:rFonts w:ascii="Arial Narrow" w:hAnsi="Arial Narrow"/>
                      </w:rPr>
                      <w:t>021</w:t>
                    </w:r>
                    <w:r>
                      <w:rPr>
                        <w:rFonts w:hint="eastAsia"/>
                      </w:rPr>
                      <w:t>年</w:t>
                    </w:r>
                    <w:r>
                      <w:rPr>
                        <w:rFonts w:hint="eastAsia" w:ascii="Arial Narrow" w:hAnsi="Arial Narrow"/>
                      </w:rPr>
                      <w:t>7</w:t>
                    </w:r>
                    <w:r>
                      <w:rPr>
                        <w:rFonts w:hint="eastAsia"/>
                      </w:rPr>
                      <w:t>月</w:t>
                    </w:r>
                  </w:p>
                </w:tc>
                <w:tc>
                  <w:tcPr>
                    <w:tcW w:w="2101" w:type="dxa"/>
                    <w:vAlign w:val="center"/>
                  </w:tcPr>
                  <w:p>
                    <w:pPr>
                      <w:snapToGrid w:val="0"/>
                      <w:spacing w:before="100" w:beforeAutospacing="1" w:after="100" w:afterAutospacing="1"/>
                      <w:jc w:val="center"/>
                      <w:textAlignment w:val="center"/>
                      <w:rPr>
                        <w:rFonts w:ascii="Arial Narrow" w:hAnsi="Arial Narrow"/>
                        <w:kern w:val="2"/>
                        <w:szCs w:val="21"/>
                      </w:rPr>
                    </w:pPr>
                    <w:r>
                      <w:rPr>
                        <w:rFonts w:ascii="Arial Narrow" w:hAnsi="Arial Narrow"/>
                      </w:rPr>
                      <w:t>1,000.00</w:t>
                    </w:r>
                  </w:p>
                </w:tc>
                <w:tc>
                  <w:tcPr>
                    <w:tcW w:w="2668" w:type="dxa"/>
                    <w:vAlign w:val="center"/>
                  </w:tcPr>
                  <w:p>
                    <w:pPr>
                      <w:snapToGrid w:val="0"/>
                      <w:spacing w:before="100" w:beforeAutospacing="1" w:after="100" w:afterAutospacing="1"/>
                      <w:textAlignment w:val="center"/>
                      <w:rPr>
                        <w:rFonts w:ascii="Arial Narrow" w:hAnsi="Arial Narrow"/>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8" w:type="dxa"/>
                    <w:vAlign w:val="center"/>
                  </w:tcPr>
                  <w:p>
                    <w:pPr>
                      <w:snapToGrid w:val="0"/>
                      <w:jc w:val="center"/>
                    </w:pPr>
                    <w:r>
                      <w:rPr>
                        <w:rFonts w:hint="eastAsia"/>
                      </w:rPr>
                      <w:t>重庆新力帆汽车销售有限公司</w:t>
                    </w:r>
                  </w:p>
                </w:tc>
                <w:tc>
                  <w:tcPr>
                    <w:tcW w:w="1173" w:type="dxa"/>
                    <w:vAlign w:val="center"/>
                  </w:tcPr>
                  <w:p>
                    <w:pPr>
                      <w:snapToGrid w:val="0"/>
                      <w:spacing w:before="100" w:beforeAutospacing="1" w:after="100" w:afterAutospacing="1"/>
                      <w:jc w:val="center"/>
                      <w:textAlignment w:val="center"/>
                    </w:pPr>
                    <w:r>
                      <w:rPr>
                        <w:rFonts w:hint="eastAsia"/>
                      </w:rPr>
                      <w:t>设立</w:t>
                    </w:r>
                  </w:p>
                </w:tc>
                <w:tc>
                  <w:tcPr>
                    <w:tcW w:w="2579" w:type="dxa"/>
                    <w:vAlign w:val="center"/>
                  </w:tcPr>
                  <w:p>
                    <w:pPr>
                      <w:tabs>
                        <w:tab w:val="left" w:pos="196"/>
                        <w:tab w:val="left" w:pos="426"/>
                      </w:tabs>
                      <w:snapToGrid w:val="0"/>
                      <w:spacing w:before="100" w:beforeAutospacing="1" w:after="100" w:afterAutospacing="1"/>
                      <w:jc w:val="center"/>
                      <w:textAlignment w:val="center"/>
                      <w:rPr>
                        <w:rFonts w:ascii="Arial Narrow" w:hAnsi="Arial Narrow"/>
                        <w:szCs w:val="21"/>
                      </w:rPr>
                    </w:pPr>
                    <w:r>
                      <w:rPr>
                        <w:rFonts w:hint="eastAsia" w:ascii="Arial Narrow" w:hAnsi="Arial Narrow"/>
                        <w:szCs w:val="21"/>
                      </w:rPr>
                      <w:t>2</w:t>
                    </w:r>
                    <w:r>
                      <w:rPr>
                        <w:rFonts w:ascii="Arial Narrow" w:hAnsi="Arial Narrow"/>
                        <w:szCs w:val="21"/>
                      </w:rPr>
                      <w:t>021</w:t>
                    </w:r>
                    <w:r>
                      <w:rPr>
                        <w:rFonts w:hint="eastAsia" w:ascii="Arial Narrow" w:hAnsi="Arial Narrow"/>
                        <w:szCs w:val="21"/>
                      </w:rPr>
                      <w:t>年1</w:t>
                    </w:r>
                    <w:r>
                      <w:rPr>
                        <w:rFonts w:ascii="Arial Narrow" w:hAnsi="Arial Narrow"/>
                        <w:szCs w:val="21"/>
                      </w:rPr>
                      <w:t>2</w:t>
                    </w:r>
                    <w:r>
                      <w:rPr>
                        <w:rFonts w:hint="eastAsia" w:ascii="Arial Narrow" w:hAnsi="Arial Narrow"/>
                        <w:szCs w:val="21"/>
                      </w:rPr>
                      <w:t>月</w:t>
                    </w:r>
                  </w:p>
                </w:tc>
                <w:tc>
                  <w:tcPr>
                    <w:tcW w:w="2101" w:type="dxa"/>
                    <w:vAlign w:val="center"/>
                  </w:tcPr>
                  <w:p>
                    <w:pPr>
                      <w:snapToGrid w:val="0"/>
                      <w:spacing w:before="100" w:beforeAutospacing="1" w:after="100" w:afterAutospacing="1"/>
                      <w:jc w:val="center"/>
                      <w:textAlignment w:val="center"/>
                      <w:rPr>
                        <w:rFonts w:ascii="Arial Narrow" w:hAnsi="Arial Narrow"/>
                      </w:rPr>
                    </w:pPr>
                    <w:r>
                      <w:rPr>
                        <w:rFonts w:ascii="Arial Narrow" w:hAnsi="Arial Narrow"/>
                      </w:rPr>
                      <w:t>1,000.00</w:t>
                    </w:r>
                  </w:p>
                </w:tc>
                <w:tc>
                  <w:tcPr>
                    <w:tcW w:w="2668" w:type="dxa"/>
                    <w:vAlign w:val="center"/>
                  </w:tcPr>
                  <w:p>
                    <w:pPr>
                      <w:snapToGrid w:val="0"/>
                      <w:spacing w:before="100" w:beforeAutospacing="1" w:after="100" w:afterAutospacing="1"/>
                      <w:textAlignment w:val="center"/>
                      <w:rPr>
                        <w:rFonts w:ascii="Arial Narrow" w:hAnsi="Arial Narrow"/>
                        <w:kern w:val="2"/>
                        <w:szCs w:val="21"/>
                      </w:rPr>
                    </w:pPr>
                    <w:r>
                      <w:rPr>
                        <w:rFonts w:hint="eastAsia" w:ascii="Arial Narrow" w:hAnsi="Arial Narrow"/>
                        <w:kern w:val="2"/>
                        <w:szCs w:val="21"/>
                      </w:rPr>
                      <w:t>本年度未运营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68" w:type="dxa"/>
                    <w:vAlign w:val="center"/>
                  </w:tcPr>
                  <w:p>
                    <w:pPr>
                      <w:snapToGrid w:val="0"/>
                      <w:jc w:val="center"/>
                      <w:rPr>
                        <w:rFonts w:ascii="Arial Narrow" w:hAnsi="Arial Narrow"/>
                        <w:kern w:val="2"/>
                        <w:szCs w:val="21"/>
                      </w:rPr>
                    </w:pPr>
                    <w:r>
                      <w:rPr>
                        <w:rFonts w:hint="eastAsia"/>
                      </w:rPr>
                      <w:t>河南力帆树民进出口有限公司</w:t>
                    </w:r>
                  </w:p>
                </w:tc>
                <w:tc>
                  <w:tcPr>
                    <w:tcW w:w="1173" w:type="dxa"/>
                    <w:vAlign w:val="center"/>
                  </w:tcPr>
                  <w:p>
                    <w:pPr>
                      <w:snapToGrid w:val="0"/>
                      <w:spacing w:before="100" w:beforeAutospacing="1" w:after="100" w:afterAutospacing="1"/>
                      <w:jc w:val="center"/>
                      <w:textAlignment w:val="center"/>
                      <w:rPr>
                        <w:rFonts w:ascii="Arial Narrow" w:hAnsi="Arial Narrow"/>
                        <w:kern w:val="2"/>
                        <w:szCs w:val="21"/>
                      </w:rPr>
                    </w:pPr>
                    <w:r>
                      <w:rPr>
                        <w:rFonts w:hint="eastAsia"/>
                      </w:rPr>
                      <w:t>设立</w:t>
                    </w:r>
                  </w:p>
                </w:tc>
                <w:tc>
                  <w:tcPr>
                    <w:tcW w:w="2579" w:type="dxa"/>
                    <w:vAlign w:val="center"/>
                  </w:tcPr>
                  <w:p>
                    <w:pPr>
                      <w:snapToGrid w:val="0"/>
                      <w:spacing w:before="100" w:beforeAutospacing="1" w:after="100" w:afterAutospacing="1"/>
                      <w:jc w:val="center"/>
                      <w:textAlignment w:val="center"/>
                      <w:rPr>
                        <w:rFonts w:ascii="Arial Narrow" w:hAnsi="Arial Narrow"/>
                        <w:kern w:val="2"/>
                        <w:szCs w:val="21"/>
                      </w:rPr>
                    </w:pPr>
                    <w:r>
                      <w:rPr>
                        <w:rFonts w:hint="eastAsia" w:ascii="Arial Narrow" w:hAnsi="Arial Narrow"/>
                      </w:rPr>
                      <w:t>2021年1月</w:t>
                    </w:r>
                  </w:p>
                </w:tc>
                <w:tc>
                  <w:tcPr>
                    <w:tcW w:w="2101" w:type="dxa"/>
                    <w:vAlign w:val="center"/>
                  </w:tcPr>
                  <w:p>
                    <w:pPr>
                      <w:snapToGrid w:val="0"/>
                      <w:spacing w:before="100" w:beforeAutospacing="1" w:after="100" w:afterAutospacing="1"/>
                      <w:jc w:val="center"/>
                      <w:textAlignment w:val="center"/>
                      <w:rPr>
                        <w:rFonts w:ascii="Arial Narrow" w:hAnsi="Arial Narrow"/>
                        <w:kern w:val="2"/>
                        <w:szCs w:val="21"/>
                      </w:rPr>
                    </w:pPr>
                    <w:r>
                      <w:rPr>
                        <w:rFonts w:ascii="Arial Narrow" w:hAnsi="Arial Narrow"/>
                      </w:rPr>
                      <w:t>1,000.00</w:t>
                    </w:r>
                  </w:p>
                </w:tc>
                <w:tc>
                  <w:tcPr>
                    <w:tcW w:w="2668" w:type="dxa"/>
                    <w:vAlign w:val="center"/>
                  </w:tcPr>
                  <w:p>
                    <w:pPr>
                      <w:snapToGrid w:val="0"/>
                      <w:spacing w:before="100" w:beforeAutospacing="1" w:after="100" w:afterAutospacing="1"/>
                      <w:textAlignment w:val="center"/>
                      <w:rPr>
                        <w:rFonts w:ascii="Arial Narrow" w:hAnsi="Arial Narrow"/>
                        <w:kern w:val="2"/>
                        <w:szCs w:val="21"/>
                      </w:rPr>
                    </w:pPr>
                    <w:r>
                      <w:rPr>
                        <w:rFonts w:hint="eastAsia" w:ascii="Arial Narrow" w:hAnsi="Arial Narrow"/>
                        <w:kern w:val="2"/>
                        <w:szCs w:val="21"/>
                      </w:rPr>
                      <w:t>本年度未运营</w:t>
                    </w:r>
                  </w:p>
                </w:tc>
              </w:tr>
            </w:tbl>
            <w:p/>
            <w:p>
              <w:pPr>
                <w:pStyle w:val="197"/>
                <w:widowControl w:val="0"/>
                <w:numPr>
                  <w:ilvl w:val="0"/>
                  <w:numId w:val="114"/>
                </w:numPr>
                <w:spacing w:before="120" w:beforeLines="50" w:beforeAutospacing="0" w:line="360" w:lineRule="auto"/>
                <w:ind w:left="0" w:leftChars="0" w:firstLine="422" w:firstLineChars="200"/>
                <w:jc w:val="both"/>
                <w:outlineLvl w:val="3"/>
                <w:rPr>
                  <w:b/>
                  <w:bCs/>
                </w:rPr>
              </w:pPr>
              <w:r>
                <w:rPr>
                  <w:rFonts w:hint="eastAsia"/>
                  <w:b/>
                  <w:bCs/>
                </w:rPr>
                <w:t>本年度注销清算子公司</w:t>
              </w:r>
            </w:p>
            <w:tbl>
              <w:tblPr>
                <w:tblStyle w:val="110"/>
                <w:tblW w:w="5236"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8"/>
                <w:gridCol w:w="710"/>
                <w:gridCol w:w="1561"/>
                <w:gridCol w:w="1699"/>
                <w:gridCol w:w="1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8" w:type="dxa"/>
                    <w:vAlign w:val="center"/>
                  </w:tcPr>
                  <w:p>
                    <w:pPr>
                      <w:widowControl w:val="0"/>
                      <w:spacing w:line="240" w:lineRule="exact"/>
                      <w:jc w:val="center"/>
                      <w:rPr>
                        <w:rFonts w:asciiTheme="minorEastAsia" w:hAnsiTheme="minorEastAsia" w:eastAsiaTheme="minorEastAsia"/>
                        <w:kern w:val="2"/>
                        <w:szCs w:val="21"/>
                      </w:rPr>
                    </w:pPr>
                    <w:r>
                      <w:rPr>
                        <w:rFonts w:asciiTheme="minorEastAsia" w:hAnsiTheme="minorEastAsia" w:eastAsiaTheme="minorEastAsia"/>
                      </w:rPr>
                      <w:t>公司名称</w:t>
                    </w:r>
                  </w:p>
                </w:tc>
                <w:tc>
                  <w:tcPr>
                    <w:tcW w:w="710" w:type="dxa"/>
                    <w:vAlign w:val="center"/>
                  </w:tcPr>
                  <w:p>
                    <w:pPr>
                      <w:widowControl w:val="0"/>
                      <w:spacing w:line="240" w:lineRule="exact"/>
                      <w:jc w:val="center"/>
                      <w:rPr>
                        <w:rFonts w:asciiTheme="minorEastAsia" w:hAnsiTheme="minorEastAsia" w:eastAsiaTheme="minorEastAsia"/>
                        <w:kern w:val="2"/>
                        <w:szCs w:val="21"/>
                      </w:rPr>
                    </w:pPr>
                    <w:r>
                      <w:rPr>
                        <w:rFonts w:asciiTheme="minorEastAsia" w:hAnsiTheme="minorEastAsia" w:eastAsiaTheme="minorEastAsia"/>
                      </w:rPr>
                      <w:t>减少方式</w:t>
                    </w:r>
                  </w:p>
                </w:tc>
                <w:tc>
                  <w:tcPr>
                    <w:tcW w:w="1561" w:type="dxa"/>
                    <w:vAlign w:val="center"/>
                  </w:tcPr>
                  <w:p>
                    <w:pPr>
                      <w:widowControl w:val="0"/>
                      <w:spacing w:line="240" w:lineRule="exact"/>
                      <w:jc w:val="center"/>
                      <w:rPr>
                        <w:rFonts w:asciiTheme="minorEastAsia" w:hAnsiTheme="minorEastAsia" w:eastAsiaTheme="minorEastAsia"/>
                        <w:kern w:val="2"/>
                        <w:szCs w:val="21"/>
                      </w:rPr>
                    </w:pPr>
                    <w:r>
                      <w:rPr>
                        <w:rFonts w:asciiTheme="minorEastAsia" w:hAnsiTheme="minorEastAsia" w:eastAsiaTheme="minorEastAsia"/>
                      </w:rPr>
                      <w:t>减少时点</w:t>
                    </w:r>
                  </w:p>
                </w:tc>
                <w:tc>
                  <w:tcPr>
                    <w:tcW w:w="1699" w:type="dxa"/>
                    <w:vAlign w:val="center"/>
                  </w:tcPr>
                  <w:p>
                    <w:pPr>
                      <w:widowControl w:val="0"/>
                      <w:spacing w:line="240" w:lineRule="exact"/>
                      <w:jc w:val="center"/>
                      <w:rPr>
                        <w:rFonts w:asciiTheme="minorEastAsia" w:hAnsiTheme="minorEastAsia" w:eastAsiaTheme="minorEastAsia"/>
                        <w:kern w:val="2"/>
                        <w:szCs w:val="21"/>
                      </w:rPr>
                    </w:pPr>
                    <w:r>
                      <w:rPr>
                        <w:rFonts w:asciiTheme="minorEastAsia" w:hAnsiTheme="minorEastAsia" w:eastAsiaTheme="minorEastAsia"/>
                      </w:rPr>
                      <w:t>处置日净资产</w:t>
                    </w:r>
                  </w:p>
                </w:tc>
                <w:tc>
                  <w:tcPr>
                    <w:tcW w:w="1593" w:type="dxa"/>
                    <w:vAlign w:val="center"/>
                  </w:tcPr>
                  <w:p>
                    <w:pPr>
                      <w:widowControl w:val="0"/>
                      <w:spacing w:line="240" w:lineRule="exact"/>
                      <w:jc w:val="center"/>
                      <w:rPr>
                        <w:rFonts w:asciiTheme="minorEastAsia" w:hAnsiTheme="minorEastAsia" w:eastAsiaTheme="minorEastAsia"/>
                        <w:kern w:val="2"/>
                        <w:szCs w:val="21"/>
                      </w:rPr>
                    </w:pPr>
                    <w:r>
                      <w:rPr>
                        <w:rFonts w:asciiTheme="minorEastAsia" w:hAnsiTheme="minorEastAsia" w:eastAsiaTheme="minorEastAsia"/>
                      </w:rPr>
                      <w:t>期初至处置日净利润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8" w:type="dxa"/>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昆明力帆汽车销售有限公司</w:t>
                    </w:r>
                  </w:p>
                </w:tc>
                <w:tc>
                  <w:tcPr>
                    <w:tcW w:w="710"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asciiTheme="minorEastAsia" w:hAnsiTheme="minorEastAsia" w:eastAsiaTheme="minorEastAsia"/>
                      </w:rPr>
                      <w:t>注销</w:t>
                    </w:r>
                  </w:p>
                </w:tc>
                <w:tc>
                  <w:tcPr>
                    <w:tcW w:w="1561"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hint="eastAsia" w:asciiTheme="minorEastAsia" w:hAnsiTheme="minorEastAsia" w:eastAsiaTheme="minorEastAsia"/>
                      </w:rPr>
                      <w:t>2</w:t>
                    </w:r>
                    <w:r>
                      <w:rPr>
                        <w:rFonts w:asciiTheme="minorEastAsia" w:hAnsiTheme="minorEastAsia" w:eastAsiaTheme="minorEastAsia"/>
                      </w:rPr>
                      <w:t>021</w:t>
                    </w:r>
                    <w:r>
                      <w:rPr>
                        <w:rFonts w:hint="eastAsia" w:asciiTheme="minorEastAsia" w:hAnsiTheme="minorEastAsia" w:eastAsiaTheme="minorEastAsia"/>
                      </w:rPr>
                      <w:t>年8月</w:t>
                    </w:r>
                  </w:p>
                </w:tc>
                <w:tc>
                  <w:tcPr>
                    <w:tcW w:w="1699"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p>
                </w:tc>
                <w:tc>
                  <w:tcPr>
                    <w:tcW w:w="1593"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-1,214.01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8" w:type="dxa"/>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苏州力帆新能源汽车销售有限公司</w:t>
                    </w:r>
                  </w:p>
                </w:tc>
                <w:tc>
                  <w:tcPr>
                    <w:tcW w:w="710"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asciiTheme="minorEastAsia" w:hAnsiTheme="minorEastAsia" w:eastAsiaTheme="minorEastAsia"/>
                      </w:rPr>
                      <w:t>注销</w:t>
                    </w:r>
                  </w:p>
                </w:tc>
                <w:tc>
                  <w:tcPr>
                    <w:tcW w:w="1561"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hint="eastAsia" w:asciiTheme="minorEastAsia" w:hAnsiTheme="minorEastAsia" w:eastAsiaTheme="minorEastAsia"/>
                      </w:rPr>
                      <w:t>2</w:t>
                    </w:r>
                    <w:r>
                      <w:rPr>
                        <w:rFonts w:asciiTheme="minorEastAsia" w:hAnsiTheme="minorEastAsia" w:eastAsiaTheme="minorEastAsia"/>
                      </w:rPr>
                      <w:t>021</w:t>
                    </w:r>
                    <w:r>
                      <w:rPr>
                        <w:rFonts w:hint="eastAsia" w:asciiTheme="minorEastAsia" w:hAnsiTheme="minorEastAsia" w:eastAsiaTheme="minorEastAsia"/>
                      </w:rPr>
                      <w:t>年4月</w:t>
                    </w:r>
                  </w:p>
                </w:tc>
                <w:tc>
                  <w:tcPr>
                    <w:tcW w:w="1699"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p>
                </w:tc>
                <w:tc>
                  <w:tcPr>
                    <w:tcW w:w="1593"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8" w:type="dxa"/>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武汉力帆新能源汽车服务有限公司</w:t>
                    </w:r>
                  </w:p>
                </w:tc>
                <w:tc>
                  <w:tcPr>
                    <w:tcW w:w="710"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asciiTheme="minorEastAsia" w:hAnsiTheme="minorEastAsia" w:eastAsiaTheme="minorEastAsia"/>
                      </w:rPr>
                      <w:t>注销</w:t>
                    </w:r>
                  </w:p>
                </w:tc>
                <w:tc>
                  <w:tcPr>
                    <w:tcW w:w="1561"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hint="eastAsia" w:asciiTheme="minorEastAsia" w:hAnsiTheme="minorEastAsia" w:eastAsiaTheme="minorEastAsia"/>
                      </w:rPr>
                      <w:t>2</w:t>
                    </w:r>
                    <w:r>
                      <w:rPr>
                        <w:rFonts w:asciiTheme="minorEastAsia" w:hAnsiTheme="minorEastAsia" w:eastAsiaTheme="minorEastAsia"/>
                      </w:rPr>
                      <w:t>021</w:t>
                    </w:r>
                    <w:r>
                      <w:rPr>
                        <w:rFonts w:hint="eastAsia" w:asciiTheme="minorEastAsia" w:hAnsiTheme="minorEastAsia" w:eastAsiaTheme="minorEastAsia"/>
                      </w:rPr>
                      <w:t>年8月</w:t>
                    </w:r>
                  </w:p>
                </w:tc>
                <w:tc>
                  <w:tcPr>
                    <w:tcW w:w="1699"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p>
                </w:tc>
                <w:tc>
                  <w:tcPr>
                    <w:tcW w:w="1593"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3,978.72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8" w:type="dxa"/>
                    <w:vAlign w:val="center"/>
                  </w:tcPr>
                  <w:p>
                    <w:pPr>
                      <w:jc w:val="center"/>
                      <w:rPr>
                        <w:rFonts w:asciiTheme="minorEastAsia" w:hAnsiTheme="minorEastAsia" w:eastAsiaTheme="minorEastAsia"/>
                        <w:kern w:val="2"/>
                        <w:szCs w:val="21"/>
                      </w:rPr>
                    </w:pPr>
                    <w:r>
                      <w:rPr>
                        <w:rFonts w:hint="eastAsia" w:asciiTheme="minorEastAsia" w:hAnsiTheme="minorEastAsia" w:eastAsiaTheme="minorEastAsia"/>
                      </w:rPr>
                      <w:t>西安斯托瑞进出口有限公司</w:t>
                    </w:r>
                  </w:p>
                </w:tc>
                <w:tc>
                  <w:tcPr>
                    <w:tcW w:w="710"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asciiTheme="minorEastAsia" w:hAnsiTheme="minorEastAsia" w:eastAsiaTheme="minorEastAsia"/>
                      </w:rPr>
                      <w:t>注销</w:t>
                    </w:r>
                  </w:p>
                </w:tc>
                <w:tc>
                  <w:tcPr>
                    <w:tcW w:w="1561"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hint="eastAsia" w:asciiTheme="minorEastAsia" w:hAnsiTheme="minorEastAsia" w:eastAsiaTheme="minorEastAsia"/>
                      </w:rPr>
                      <w:t>2</w:t>
                    </w:r>
                    <w:r>
                      <w:rPr>
                        <w:rFonts w:asciiTheme="minorEastAsia" w:hAnsiTheme="minorEastAsia" w:eastAsiaTheme="minorEastAsia"/>
                      </w:rPr>
                      <w:t>021</w:t>
                    </w:r>
                    <w:r>
                      <w:rPr>
                        <w:rFonts w:hint="eastAsia" w:asciiTheme="minorEastAsia" w:hAnsiTheme="minorEastAsia" w:eastAsiaTheme="minorEastAsia"/>
                      </w:rPr>
                      <w:t>年4月</w:t>
                    </w:r>
                  </w:p>
                </w:tc>
                <w:tc>
                  <w:tcPr>
                    <w:tcW w:w="1699" w:type="dxa"/>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-151,719.00</w:t>
                    </w:r>
                  </w:p>
                </w:tc>
                <w:tc>
                  <w:tcPr>
                    <w:tcW w:w="1593"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-125,997.98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68" w:type="dxa"/>
                    <w:vAlign w:val="center"/>
                  </w:tcPr>
                  <w:p>
                    <w:pPr>
                      <w:jc w:val="center"/>
                      <w:rPr>
                        <w:rFonts w:asciiTheme="minorEastAsia" w:hAnsiTheme="minorEastAsia" w:eastAsiaTheme="minorEastAsia"/>
                        <w:kern w:val="2"/>
                        <w:szCs w:val="21"/>
                      </w:rPr>
                    </w:pPr>
                    <w:r>
                      <w:rPr>
                        <w:rFonts w:hint="eastAsia" w:asciiTheme="minorEastAsia" w:hAnsiTheme="minorEastAsia" w:eastAsiaTheme="minorEastAsia"/>
                      </w:rPr>
                      <w:t>杭州移峰能源有限公司</w:t>
                    </w:r>
                  </w:p>
                </w:tc>
                <w:tc>
                  <w:tcPr>
                    <w:tcW w:w="710"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hint="eastAsia" w:asciiTheme="minorEastAsia" w:hAnsiTheme="minorEastAsia" w:eastAsiaTheme="minorEastAsia"/>
                      </w:rPr>
                      <w:t>注销</w:t>
                    </w:r>
                  </w:p>
                </w:tc>
                <w:tc>
                  <w:tcPr>
                    <w:tcW w:w="1561" w:type="dxa"/>
                    <w:vAlign w:val="center"/>
                  </w:tcPr>
                  <w:p>
                    <w:pPr>
                      <w:widowControl w:val="0"/>
                      <w:snapToGrid w:val="0"/>
                      <w:spacing w:before="100" w:beforeAutospacing="1" w:after="100" w:afterAutospacing="1"/>
                      <w:jc w:val="center"/>
                      <w:textAlignment w:val="center"/>
                      <w:rPr>
                        <w:rFonts w:asciiTheme="minorEastAsia" w:hAnsiTheme="minorEastAsia" w:eastAsiaTheme="minorEastAsia"/>
                        <w:kern w:val="2"/>
                        <w:szCs w:val="21"/>
                      </w:rPr>
                    </w:pPr>
                    <w:r>
                      <w:rPr>
                        <w:rFonts w:hint="eastAsia" w:asciiTheme="minorEastAsia" w:hAnsiTheme="minorEastAsia" w:eastAsiaTheme="minorEastAsia"/>
                      </w:rPr>
                      <w:t>2</w:t>
                    </w:r>
                    <w:r>
                      <w:rPr>
                        <w:rFonts w:asciiTheme="minorEastAsia" w:hAnsiTheme="minorEastAsia" w:eastAsiaTheme="minorEastAsia"/>
                      </w:rPr>
                      <w:t>021</w:t>
                    </w:r>
                    <w:r>
                      <w:rPr>
                        <w:rFonts w:hint="eastAsia" w:asciiTheme="minorEastAsia" w:hAnsiTheme="minorEastAsia" w:eastAsiaTheme="minorEastAsia"/>
                      </w:rPr>
                      <w:t>年1</w:t>
                    </w:r>
                    <w:r>
                      <w:rPr>
                        <w:rFonts w:asciiTheme="minorEastAsia" w:hAnsiTheme="minorEastAsia" w:eastAsiaTheme="minorEastAsia"/>
                      </w:rPr>
                      <w:t>2</w:t>
                    </w:r>
                    <w:r>
                      <w:rPr>
                        <w:rFonts w:hint="eastAsia" w:asciiTheme="minorEastAsia" w:hAnsiTheme="minorEastAsia" w:eastAsiaTheme="minorEastAsia"/>
                      </w:rPr>
                      <w:t>月</w:t>
                    </w:r>
                  </w:p>
                </w:tc>
                <w:tc>
                  <w:tcPr>
                    <w:tcW w:w="1699" w:type="dxa"/>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-13,837,849.12</w:t>
                    </w:r>
                  </w:p>
                </w:tc>
                <w:tc>
                  <w:tcPr>
                    <w:tcW w:w="1593" w:type="dxa"/>
                    <w:vAlign w:val="center"/>
                  </w:tcPr>
                  <w:p>
                    <w:pPr>
                      <w:widowControl w:val="0"/>
                      <w:snapToGrid w:val="0"/>
                      <w:spacing w:before="100" w:beforeAutospacing="1" w:after="100" w:afterAutospacing="1"/>
                      <w:jc w:val="right"/>
                      <w:textAlignment w:val="center"/>
                      <w:rPr>
                        <w:rFonts w:asciiTheme="minorEastAsia" w:hAnsiTheme="minorEastAsia" w:eastAsiaTheme="minorEastAsia"/>
                        <w:kern w:val="2"/>
                        <w:szCs w:val="21"/>
                      </w:rPr>
                    </w:pPr>
                    <w:r>
                      <w:rPr>
                        <w:rFonts w:asciiTheme="minorEastAsia" w:hAnsiTheme="minorEastAsia" w:eastAsiaTheme="minorEastAsia"/>
                      </w:rPr>
                      <w:t>-264,756.53</w:t>
                    </w:r>
                  </w:p>
                </w:tc>
              </w:tr>
            </w:tbl>
            <w:p>
              <w:pPr>
                <w:rPr>
                  <w:rFonts w:cs="Arial" w:asciiTheme="minorHAnsi" w:hAnsiTheme="minorHAnsi" w:eastAsiaTheme="minorEastAsia"/>
                  <w:color w:val="000000"/>
                </w:rPr>
              </w:pPr>
            </w:p>
          </w:sdtContent>
        </w:sdt>
      </w:sdtContent>
    </w:sdt>
    <w:sdt>
      <w:sdtPr>
        <w:rPr>
          <w:rFonts w:hint="eastAsia" w:cs="Arial" w:asciiTheme="minorHAnsi" w:hAnsiTheme="minorHAnsi" w:eastAsiaTheme="minorEastAsia"/>
          <w:b w:val="0"/>
          <w:bCs w:val="0"/>
          <w:color w:val="000000"/>
          <w:kern w:val="0"/>
          <w:szCs w:val="24"/>
        </w:rPr>
        <w:alias w:val="模块:同一控制下企业合并其他"/>
        <w:tag w:val="_SEC_ca392f46fede4abc8729431a3728c4bb"/>
        <w:id w:val="1218162412"/>
        <w:lock w:val="sdtLocked"/>
        <w:placeholder>
          <w:docPart w:val="GBC22222222222222222222222222222"/>
        </w:placeholder>
      </w:sdtPr>
      <w:sdtEndPr>
        <w:rPr>
          <w:rFonts w:hint="eastAsia" w:cs="Arial" w:asciiTheme="minorHAnsi" w:hAnsiTheme="minorHAnsi" w:eastAsiaTheme="minorEastAsia"/>
          <w:b w:val="0"/>
          <w:bCs w:val="0"/>
          <w:color w:val="000000"/>
          <w:kern w:val="0"/>
          <w:szCs w:val="24"/>
        </w:rPr>
      </w:sdtEndPr>
      <w:sdtContent>
        <w:p>
          <w:pPr>
            <w:pStyle w:val="114"/>
            <w:numPr>
              <w:ilvl w:val="0"/>
              <w:numId w:val="113"/>
            </w:numPr>
            <w:rPr>
              <w:rFonts w:ascii="宋体" w:hAnsi="宋体" w:cs="Arial"/>
              <w:color w:val="000000"/>
            </w:rPr>
          </w:pPr>
          <w:r>
            <w:rPr>
              <w:rFonts w:hint="eastAsia" w:ascii="宋体" w:hAnsi="宋体" w:cs="Arial"/>
              <w:color w:val="000000"/>
            </w:rPr>
            <w:t>其他</w:t>
          </w:r>
        </w:p>
        <w:sdt>
          <w:sdtPr>
            <w:rPr>
              <w:rFonts w:hint="eastAsia" w:cs="Arial"/>
              <w:color w:val="000000"/>
            </w:rPr>
            <w:alias w:val="是否适用：合并范围的变更-其他说明[双击切换]"/>
            <w:tag w:val="_GBC_f93907dc64cd43f0a9e4c85b200aec0c"/>
            <w:id w:val="-869907641"/>
            <w:lock w:val="sdtLocked"/>
            <w:placeholder>
              <w:docPart w:val="GBC22222222222222222222222222222"/>
            </w:placeholder>
          </w:sdtPr>
          <w:sdtEndPr>
            <w:rPr>
              <w:rFonts w:hint="eastAsia" w:cs="Arial"/>
              <w:color w:val="000000"/>
            </w:rPr>
          </w:sdtEndPr>
          <w:sdtContent>
            <w:p>
              <w:pPr>
                <w:rPr>
                  <w:rFonts w:cs="Arial" w:asciiTheme="minorHAnsi" w:hAnsiTheme="minorHAnsi" w:eastAsiaTheme="minorEastAsia"/>
                  <w:color w:val="000000"/>
                </w:rPr>
              </w:pPr>
              <w:r>
                <w:rPr>
                  <w:rFonts w:cs="Arial"/>
                  <w:color w:val="000000"/>
                </w:rPr>
                <w:fldChar w:fldCharType="begin"/>
              </w:r>
              <w:r>
                <w:rPr>
                  <w:rFonts w:cs="Arial"/>
                  <w:color w:val="000000"/>
                </w:rPr>
                <w:instrText xml:space="preserve">MACROBUTTON  SnrToggleCheckbox □适用 </w:instrText>
              </w:r>
              <w:r>
                <w:rPr>
                  <w:rFonts w:cs="Arial"/>
                  <w:color w:val="000000"/>
                </w:rPr>
                <w:fldChar w:fldCharType="end"/>
              </w:r>
              <w:r>
                <w:rPr>
                  <w:rFonts w:cs="Arial"/>
                  <w:color w:val="000000"/>
                </w:rPr>
                <w:fldChar w:fldCharType="begin"/>
              </w:r>
              <w:r>
                <w:rPr>
                  <w:rFonts w:cs="Arial"/>
                  <w:color w:val="000000"/>
                </w:rPr>
                <w:instrText xml:space="preserve"> MACROBUTTON  SnrToggleCheckbox √不适用 </w:instrText>
              </w:r>
              <w:r>
                <w:rPr>
                  <w:rFonts w:cs="Arial"/>
                  <w:color w:val="000000"/>
                </w:rPr>
                <w:fldChar w:fldCharType="end"/>
              </w:r>
            </w:p>
          </w:sdtContent>
        </w:sdt>
      </w:sdtContent>
    </w:sdt>
    <w:p>
      <w:pPr>
        <w:rPr>
          <w:rFonts w:cs="Arial"/>
          <w:color w:val="000000"/>
        </w:rPr>
      </w:pPr>
    </w:p>
    <w:p>
      <w:pPr>
        <w:rPr>
          <w:rFonts w:cs="Arial"/>
          <w:color w:val="000000"/>
        </w:rPr>
        <w:sectPr>
          <w:pgSz w:w="11906" w:h="16838"/>
          <w:pgMar w:top="1724" w:right="1797" w:bottom="1440" w:left="1797" w:header="856" w:footer="992" w:gutter="0"/>
          <w:cols w:space="425" w:num="1"/>
          <w:docGrid w:linePitch="312" w:charSpace="0"/>
        </w:sectPr>
      </w:pPr>
    </w:p>
    <w:p>
      <w:pPr>
        <w:pStyle w:val="113"/>
        <w:numPr>
          <w:ilvl w:val="0"/>
          <w:numId w:val="49"/>
        </w:numPr>
        <w:rPr>
          <w:rFonts w:ascii="宋体" w:hAnsi="宋体"/>
        </w:rPr>
      </w:pPr>
      <w:r>
        <w:rPr>
          <w:rFonts w:hint="eastAsia" w:ascii="宋体" w:hAnsi="宋体"/>
        </w:rPr>
        <w:t>在</w:t>
      </w:r>
      <w:r>
        <w:rPr>
          <w:rFonts w:hint="eastAsia"/>
        </w:rPr>
        <w:t>其他</w:t>
      </w:r>
      <w:r>
        <w:rPr>
          <w:rFonts w:hint="eastAsia" w:ascii="宋体" w:hAnsi="宋体"/>
        </w:rPr>
        <w:t>主体中的权益</w:t>
      </w:r>
    </w:p>
    <w:p>
      <w:pPr>
        <w:pStyle w:val="114"/>
        <w:numPr>
          <w:ilvl w:val="2"/>
          <w:numId w:val="115"/>
        </w:numPr>
      </w:pPr>
      <w:r>
        <w:rPr>
          <w:rFonts w:hint="eastAsia"/>
        </w:rPr>
        <w:t>在子公司中的权益</w:t>
      </w:r>
    </w:p>
    <w:sdt>
      <w:sdtPr>
        <w:rPr>
          <w:rFonts w:hint="eastAsia" w:ascii="宋体" w:hAnsi="宋体" w:eastAsia="宋体" w:cs="宋体"/>
          <w:b w:val="0"/>
          <w:bCs w:val="0"/>
          <w:kern w:val="0"/>
          <w:szCs w:val="24"/>
        </w:rPr>
        <w:alias w:val="模块:企业集团的构成"/>
        <w:tag w:val="_GBC_47f8b786d9024ebb977349f022d18c1c"/>
        <w:id w:val="-648751727"/>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115"/>
            <w:numPr>
              <w:ilvl w:val="3"/>
              <w:numId w:val="116"/>
            </w:numPr>
            <w:ind w:left="424" w:hanging="424" w:hangingChars="202"/>
          </w:pPr>
          <w:r>
            <w:rPr>
              <w:rFonts w:hint="eastAsia"/>
            </w:rPr>
            <w:t>企业集团的构成</w:t>
          </w:r>
        </w:p>
        <w:sdt>
          <w:sdtPr>
            <w:alias w:val="是否适用：企业集团的构成[双击切换]"/>
            <w:tag w:val="_GBC_f4dcd24cd0a6465f817fe278addb6568"/>
            <w:id w:val="-31587541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10"/>
            <w:tblW w:w="5325"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1"/>
            <w:gridCol w:w="1393"/>
            <w:gridCol w:w="1419"/>
            <w:gridCol w:w="1150"/>
            <w:gridCol w:w="1139"/>
            <w:gridCol w:w="1139"/>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sdt>
              <w:sdtPr>
                <w:tag w:val="_PLD_d102f36c2e2645ad9579603ca28588c8"/>
                <w:id w:val="-1952159720"/>
                <w:lock w:val="sdtLocked"/>
              </w:sdtPr>
              <w:sdtContent>
                <w:tc>
                  <w:tcPr>
                    <w:tcW w:w="870" w:type="pct"/>
                    <w:vMerge w:val="restart"/>
                    <w:shd w:val="clear" w:color="auto" w:fill="auto"/>
                    <w:vAlign w:val="center"/>
                  </w:tcPr>
                  <w:p>
                    <w:pPr>
                      <w:jc w:val="center"/>
                      <w:rPr>
                        <w:rFonts w:cs="Arial"/>
                        <w:szCs w:val="21"/>
                        <w:lang w:val="en-GB"/>
                      </w:rPr>
                    </w:pPr>
                    <w:r>
                      <w:rPr>
                        <w:rFonts w:hint="eastAsia" w:cs="Arial"/>
                        <w:szCs w:val="21"/>
                        <w:lang w:val="en-GB"/>
                      </w:rPr>
                      <w:t>子公司</w:t>
                    </w:r>
                  </w:p>
                  <w:p>
                    <w:pPr>
                      <w:jc w:val="center"/>
                      <w:rPr>
                        <w:rFonts w:cs="Arial"/>
                        <w:szCs w:val="21"/>
                      </w:rPr>
                    </w:pPr>
                    <w:r>
                      <w:rPr>
                        <w:rFonts w:hint="eastAsia" w:cs="Arial"/>
                        <w:szCs w:val="21"/>
                        <w:lang w:val="en-GB"/>
                      </w:rPr>
                      <w:t>名称</w:t>
                    </w:r>
                  </w:p>
                </w:tc>
              </w:sdtContent>
            </w:sdt>
            <w:sdt>
              <w:sdtPr>
                <w:tag w:val="_PLD_f2f68356b5494ce8941038ba206c0e79"/>
                <w:id w:val="-892261749"/>
                <w:lock w:val="sdtLocked"/>
              </w:sdtPr>
              <w:sdtContent>
                <w:tc>
                  <w:tcPr>
                    <w:tcW w:w="767" w:type="pct"/>
                    <w:vMerge w:val="restart"/>
                    <w:shd w:val="clear" w:color="auto" w:fill="auto"/>
                    <w:vAlign w:val="center"/>
                  </w:tcPr>
                  <w:p>
                    <w:pPr>
                      <w:jc w:val="center"/>
                      <w:rPr>
                        <w:rFonts w:cs="Arial"/>
                        <w:szCs w:val="21"/>
                      </w:rPr>
                    </w:pPr>
                    <w:r>
                      <w:rPr>
                        <w:rFonts w:hint="eastAsia" w:cs="Arial"/>
                        <w:szCs w:val="21"/>
                        <w:lang w:val="en-GB"/>
                      </w:rPr>
                      <w:t>主要经营地</w:t>
                    </w:r>
                  </w:p>
                </w:tc>
              </w:sdtContent>
            </w:sdt>
            <w:sdt>
              <w:sdtPr>
                <w:tag w:val="_PLD_e9cbfd017bcc45b9be4599d5ee950f92"/>
                <w:id w:val="1992666718"/>
                <w:lock w:val="sdtLocked"/>
              </w:sdtPr>
              <w:sdtContent>
                <w:tc>
                  <w:tcPr>
                    <w:tcW w:w="781" w:type="pct"/>
                    <w:vMerge w:val="restart"/>
                    <w:shd w:val="clear" w:color="auto" w:fill="auto"/>
                    <w:vAlign w:val="center"/>
                  </w:tcPr>
                  <w:p>
                    <w:pPr>
                      <w:jc w:val="center"/>
                      <w:rPr>
                        <w:rFonts w:cs="Arial"/>
                        <w:szCs w:val="21"/>
                      </w:rPr>
                    </w:pPr>
                    <w:r>
                      <w:rPr>
                        <w:rFonts w:hint="eastAsia" w:cs="Arial"/>
                        <w:szCs w:val="21"/>
                        <w:lang w:val="en-GB"/>
                      </w:rPr>
                      <w:t>注册地</w:t>
                    </w:r>
                  </w:p>
                </w:tc>
              </w:sdtContent>
            </w:sdt>
            <w:sdt>
              <w:sdtPr>
                <w:tag w:val="_PLD_da5558f3e8f24c30b756f825b0ebca03"/>
                <w:id w:val="-1177267293"/>
                <w:lock w:val="sdtLocked"/>
              </w:sdtPr>
              <w:sdtContent>
                <w:tc>
                  <w:tcPr>
                    <w:tcW w:w="633" w:type="pct"/>
                    <w:vMerge w:val="restart"/>
                    <w:shd w:val="clear" w:color="auto" w:fill="auto"/>
                    <w:vAlign w:val="center"/>
                  </w:tcPr>
                  <w:p>
                    <w:pPr>
                      <w:jc w:val="center"/>
                      <w:rPr>
                        <w:rFonts w:cs="Arial"/>
                        <w:szCs w:val="21"/>
                      </w:rPr>
                    </w:pPr>
                    <w:r>
                      <w:rPr>
                        <w:rFonts w:hint="eastAsia" w:cs="Arial"/>
                        <w:szCs w:val="21"/>
                        <w:lang w:val="en-GB"/>
                      </w:rPr>
                      <w:t>业务性质</w:t>
                    </w:r>
                  </w:p>
                </w:tc>
              </w:sdtContent>
            </w:sdt>
            <w:sdt>
              <w:sdtPr>
                <w:tag w:val="_PLD_817e427c8eff4fd1875d12860133e99e"/>
                <w:id w:val="-471905301"/>
                <w:lock w:val="sdtLocked"/>
              </w:sdtPr>
              <w:sdtContent>
                <w:tc>
                  <w:tcPr>
                    <w:tcW w:w="1254" w:type="pct"/>
                    <w:gridSpan w:val="2"/>
                    <w:shd w:val="clear" w:color="auto" w:fill="auto"/>
                    <w:vAlign w:val="center"/>
                  </w:tcPr>
                  <w:p>
                    <w:pPr>
                      <w:jc w:val="center"/>
                      <w:rPr>
                        <w:rFonts w:cs="Arial"/>
                        <w:szCs w:val="21"/>
                      </w:rPr>
                    </w:pPr>
                    <w:r>
                      <w:rPr>
                        <w:rFonts w:hint="eastAsia" w:cs="Arial"/>
                        <w:szCs w:val="21"/>
                        <w:lang w:val="en-GB"/>
                      </w:rPr>
                      <w:t>持股比例</w:t>
                    </w:r>
                    <w:r>
                      <w:rPr>
                        <w:rFonts w:cs="Arial"/>
                        <w:szCs w:val="21"/>
                      </w:rPr>
                      <w:t>(%)</w:t>
                    </w:r>
                  </w:p>
                </w:tc>
              </w:sdtContent>
            </w:sdt>
            <w:sdt>
              <w:sdtPr>
                <w:tag w:val="_PLD_0bb5e453efe4450ba0d853b98eb2c2b0"/>
                <w:id w:val="-1122369264"/>
                <w:lock w:val="sdtLocked"/>
              </w:sdtPr>
              <w:sdtContent>
                <w:tc>
                  <w:tcPr>
                    <w:tcW w:w="694" w:type="pct"/>
                    <w:vMerge w:val="restart"/>
                    <w:shd w:val="clear" w:color="auto" w:fill="auto"/>
                    <w:vAlign w:val="center"/>
                  </w:tcPr>
                  <w:p>
                    <w:pPr>
                      <w:jc w:val="center"/>
                      <w:rPr>
                        <w:rFonts w:cs="Arial"/>
                        <w:szCs w:val="21"/>
                        <w:lang w:val="en-GB"/>
                      </w:rPr>
                    </w:pPr>
                    <w:r>
                      <w:rPr>
                        <w:rFonts w:hint="eastAsia" w:cs="Arial"/>
                        <w:szCs w:val="21"/>
                        <w:lang w:val="en-GB"/>
                      </w:rPr>
                      <w:t>取得</w:t>
                    </w:r>
                  </w:p>
                  <w:p>
                    <w:pPr>
                      <w:jc w:val="center"/>
                      <w:rPr>
                        <w:rFonts w:cs="Arial"/>
                        <w:szCs w:val="21"/>
                        <w:lang w:val="en-GB"/>
                      </w:rPr>
                    </w:pPr>
                    <w:r>
                      <w:rPr>
                        <w:rFonts w:hint="eastAsia" w:cs="Arial"/>
                        <w:szCs w:val="21"/>
                        <w:lang w:val="en-GB"/>
                      </w:rPr>
                      <w:t>方式</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870" w:type="pct"/>
                <w:vMerge w:val="continue"/>
                <w:shd w:val="clear" w:color="auto" w:fill="auto"/>
                <w:vAlign w:val="center"/>
              </w:tcPr>
              <w:p>
                <w:pPr>
                  <w:jc w:val="both"/>
                  <w:rPr>
                    <w:rFonts w:cs="Arial"/>
                    <w:szCs w:val="21"/>
                  </w:rPr>
                </w:pPr>
              </w:p>
            </w:tc>
            <w:tc>
              <w:tcPr>
                <w:tcW w:w="767" w:type="pct"/>
                <w:vMerge w:val="continue"/>
                <w:shd w:val="clear" w:color="auto" w:fill="auto"/>
                <w:vAlign w:val="center"/>
              </w:tcPr>
              <w:p>
                <w:pPr>
                  <w:jc w:val="center"/>
                  <w:rPr>
                    <w:rFonts w:cs="Arial"/>
                    <w:szCs w:val="21"/>
                  </w:rPr>
                </w:pPr>
              </w:p>
            </w:tc>
            <w:tc>
              <w:tcPr>
                <w:tcW w:w="781" w:type="pct"/>
                <w:vMerge w:val="continue"/>
                <w:shd w:val="clear" w:color="auto" w:fill="auto"/>
                <w:vAlign w:val="center"/>
              </w:tcPr>
              <w:p>
                <w:pPr>
                  <w:jc w:val="center"/>
                  <w:rPr>
                    <w:rFonts w:cs="Arial"/>
                    <w:szCs w:val="21"/>
                  </w:rPr>
                </w:pPr>
              </w:p>
            </w:tc>
            <w:tc>
              <w:tcPr>
                <w:tcW w:w="633" w:type="pct"/>
                <w:vMerge w:val="continue"/>
                <w:shd w:val="clear" w:color="auto" w:fill="auto"/>
                <w:vAlign w:val="center"/>
              </w:tcPr>
              <w:p>
                <w:pPr>
                  <w:jc w:val="center"/>
                  <w:rPr>
                    <w:rFonts w:cs="Arial"/>
                    <w:szCs w:val="21"/>
                  </w:rPr>
                </w:pPr>
              </w:p>
            </w:tc>
            <w:sdt>
              <w:sdtPr>
                <w:tag w:val="_PLD_3f641d83162f4ae3a8840b93258d7ced"/>
                <w:id w:val="164981281"/>
                <w:lock w:val="sdtLocked"/>
              </w:sdtPr>
              <w:sdtContent>
                <w:tc>
                  <w:tcPr>
                    <w:tcW w:w="627" w:type="pct"/>
                    <w:shd w:val="clear" w:color="auto" w:fill="auto"/>
                    <w:vAlign w:val="center"/>
                  </w:tcPr>
                  <w:p>
                    <w:pPr>
                      <w:jc w:val="center"/>
                      <w:rPr>
                        <w:rFonts w:cs="Arial"/>
                        <w:szCs w:val="21"/>
                      </w:rPr>
                    </w:pPr>
                    <w:r>
                      <w:rPr>
                        <w:rFonts w:hint="eastAsia" w:cs="Arial"/>
                        <w:szCs w:val="21"/>
                        <w:lang w:val="en-GB"/>
                      </w:rPr>
                      <w:t>直接</w:t>
                    </w:r>
                  </w:p>
                </w:tc>
              </w:sdtContent>
            </w:sdt>
            <w:sdt>
              <w:sdtPr>
                <w:tag w:val="_PLD_ebc96648c2794ae08bfb57e63f0a34c5"/>
                <w:id w:val="-942067217"/>
                <w:lock w:val="sdtLocked"/>
              </w:sdtPr>
              <w:sdtContent>
                <w:tc>
                  <w:tcPr>
                    <w:tcW w:w="627" w:type="pct"/>
                    <w:shd w:val="clear" w:color="auto" w:fill="auto"/>
                    <w:vAlign w:val="center"/>
                  </w:tcPr>
                  <w:p>
                    <w:pPr>
                      <w:jc w:val="center"/>
                      <w:rPr>
                        <w:rFonts w:cs="Arial"/>
                        <w:szCs w:val="21"/>
                      </w:rPr>
                    </w:pPr>
                    <w:r>
                      <w:rPr>
                        <w:rFonts w:hint="eastAsia" w:cs="Arial"/>
                        <w:szCs w:val="21"/>
                        <w:lang w:val="en-GB"/>
                      </w:rPr>
                      <w:t>间接</w:t>
                    </w:r>
                  </w:p>
                </w:tc>
              </w:sdtContent>
            </w:sdt>
            <w:tc>
              <w:tcPr>
                <w:tcW w:w="694" w:type="pct"/>
                <w:vMerge w:val="continue"/>
                <w:vAlign w:val="center"/>
              </w:tcPr>
              <w:p>
                <w:pPr>
                  <w:jc w:val="center"/>
                  <w:rPr>
                    <w:rFonts w:cs="Arial"/>
                    <w:szCs w:val="21"/>
                  </w:rPr>
                </w:pPr>
              </w:p>
            </w:tc>
          </w:tr>
          <w:sdt>
            <w:sdtPr>
              <w:rPr>
                <w:rFonts w:asciiTheme="minorHAnsi" w:hAnsiTheme="minorHAnsi" w:eastAsiaTheme="minorEastAsia" w:cstheme="minorBidi"/>
                <w:kern w:val="2"/>
                <w:szCs w:val="21"/>
              </w:rPr>
              <w:alias w:val="企业合并及合并财务报表明细"/>
              <w:tag w:val="_GBC_986bfe326d834fea9d2920637e286f21"/>
              <w:id w:val="-26400383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重庆力帆摩托车发动机有限公司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制造</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45909250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河南力帆树民车业有限公司</w:t>
                    </w:r>
                  </w:p>
                </w:tc>
                <w:tc>
                  <w:tcPr>
                    <w:tcW w:w="767" w:type="pct"/>
                    <w:vAlign w:val="center"/>
                  </w:tcPr>
                  <w:p>
                    <w:pPr>
                      <w:jc w:val="center"/>
                      <w:rPr>
                        <w:szCs w:val="21"/>
                      </w:rPr>
                    </w:pPr>
                    <w:r>
                      <w:t>河南</w:t>
                    </w:r>
                  </w:p>
                </w:tc>
                <w:tc>
                  <w:tcPr>
                    <w:tcW w:w="781" w:type="pct"/>
                    <w:vAlign w:val="center"/>
                  </w:tcPr>
                  <w:p>
                    <w:pPr>
                      <w:jc w:val="center"/>
                      <w:rPr>
                        <w:szCs w:val="21"/>
                      </w:rPr>
                    </w:pPr>
                    <w:r>
                      <w:t>河南省叶县</w:t>
                    </w:r>
                  </w:p>
                </w:tc>
                <w:tc>
                  <w:tcPr>
                    <w:tcW w:w="633" w:type="pct"/>
                    <w:vAlign w:val="center"/>
                  </w:tcPr>
                  <w:p>
                    <w:pPr>
                      <w:jc w:val="center"/>
                      <w:rPr>
                        <w:szCs w:val="21"/>
                      </w:rPr>
                    </w:pPr>
                    <w:r>
                      <w:t>制造</w:t>
                    </w:r>
                  </w:p>
                </w:tc>
                <w:tc>
                  <w:tcPr>
                    <w:tcW w:w="627" w:type="pct"/>
                    <w:vAlign w:val="center"/>
                  </w:tcPr>
                  <w:p>
                    <w:pPr>
                      <w:jc w:val="center"/>
                      <w:rPr>
                        <w:szCs w:val="21"/>
                      </w:rPr>
                    </w:pPr>
                    <w:r>
                      <w:t>80.00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258746107"/>
              <w:lock w:val="sdtLocked"/>
            </w:sdtPr>
            <w:sdtEndPr>
              <w:rPr>
                <w:rFonts w:ascii="宋体" w:hAnsi="宋体" w:eastAsia="宋体" w:cs="宋体"/>
                <w:kern w:val="0"/>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rFonts w:asciiTheme="minorHAnsi" w:hAnsiTheme="minorHAnsi" w:eastAsiaTheme="minorEastAsia" w:cstheme="minorBidi"/>
                        <w:kern w:val="2"/>
                        <w:szCs w:val="21"/>
                      </w:rPr>
                    </w:pPr>
                    <w:r>
                      <w:rPr>
                        <w:rFonts w:hint="eastAsia" w:asciiTheme="minorHAnsi" w:hAnsiTheme="minorHAnsi" w:eastAsiaTheme="minorEastAsia" w:cstheme="minorBidi"/>
                        <w:kern w:val="2"/>
                        <w:szCs w:val="21"/>
                      </w:rPr>
                      <w:t>河南力帆树民进出口有限公司</w:t>
                    </w:r>
                  </w:p>
                </w:tc>
                <w:tc>
                  <w:tcPr>
                    <w:tcW w:w="767" w:type="pct"/>
                    <w:vAlign w:val="center"/>
                  </w:tcPr>
                  <w:p>
                    <w:pPr>
                      <w:jc w:val="center"/>
                    </w:pPr>
                    <w:r>
                      <w:rPr>
                        <w:rFonts w:hint="eastAsia"/>
                      </w:rPr>
                      <w:t>河南</w:t>
                    </w:r>
                  </w:p>
                </w:tc>
                <w:tc>
                  <w:tcPr>
                    <w:tcW w:w="781" w:type="pct"/>
                    <w:vAlign w:val="center"/>
                  </w:tcPr>
                  <w:p>
                    <w:pPr>
                      <w:jc w:val="center"/>
                    </w:pPr>
                    <w:r>
                      <w:rPr>
                        <w:rFonts w:hint="eastAsia"/>
                      </w:rPr>
                      <w:t>河南省叶县</w:t>
                    </w:r>
                  </w:p>
                </w:tc>
                <w:tc>
                  <w:tcPr>
                    <w:tcW w:w="633" w:type="pct"/>
                    <w:vAlign w:val="center"/>
                  </w:tcPr>
                  <w:p>
                    <w:pPr>
                      <w:jc w:val="center"/>
                    </w:pPr>
                    <w:r>
                      <w:rPr>
                        <w:rFonts w:hint="eastAsia"/>
                      </w:rPr>
                      <w:t>销售</w:t>
                    </w:r>
                  </w:p>
                </w:tc>
                <w:tc>
                  <w:tcPr>
                    <w:tcW w:w="627" w:type="pct"/>
                    <w:vAlign w:val="center"/>
                  </w:tcPr>
                  <w:p>
                    <w:pPr>
                      <w:jc w:val="center"/>
                    </w:pPr>
                  </w:p>
                </w:tc>
                <w:tc>
                  <w:tcPr>
                    <w:tcW w:w="627" w:type="pct"/>
                    <w:vAlign w:val="center"/>
                  </w:tcPr>
                  <w:p>
                    <w:pPr>
                      <w:jc w:val="center"/>
                      <w:rPr>
                        <w:szCs w:val="21"/>
                      </w:rPr>
                    </w:pPr>
                    <w:r>
                      <w:rPr>
                        <w:rFonts w:hint="eastAsia"/>
                        <w:szCs w:val="21"/>
                      </w:rPr>
                      <w:t>80</w:t>
                    </w:r>
                  </w:p>
                </w:tc>
                <w:tc>
                  <w:tcPr>
                    <w:tcW w:w="694" w:type="pct"/>
                    <w:vAlign w:val="center"/>
                  </w:tcPr>
                  <w:p>
                    <w:pPr>
                      <w:jc w:val="center"/>
                    </w:pPr>
                    <w:r>
                      <w:rPr>
                        <w:rFonts w:hint="eastAsia"/>
                      </w:rP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75176722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重庆力帆三轮摩托车有限公司</w:t>
                    </w:r>
                  </w:p>
                </w:tc>
                <w:tc>
                  <w:tcPr>
                    <w:tcW w:w="767" w:type="pct"/>
                    <w:vAlign w:val="center"/>
                  </w:tcPr>
                  <w:p>
                    <w:pPr>
                      <w:jc w:val="center"/>
                      <w:rPr>
                        <w:szCs w:val="21"/>
                      </w:rPr>
                    </w:pPr>
                    <w:r>
                      <w:t>重庆</w:t>
                    </w:r>
                  </w:p>
                </w:tc>
                <w:tc>
                  <w:tcPr>
                    <w:tcW w:w="781" w:type="pct"/>
                    <w:vAlign w:val="center"/>
                  </w:tcPr>
                  <w:p>
                    <w:pPr>
                      <w:jc w:val="center"/>
                      <w:rPr>
                        <w:szCs w:val="21"/>
                      </w:rPr>
                    </w:pPr>
                    <w:r>
                      <w:t>重庆市九龙坡区</w:t>
                    </w:r>
                  </w:p>
                </w:tc>
                <w:tc>
                  <w:tcPr>
                    <w:tcW w:w="633" w:type="pct"/>
                    <w:vAlign w:val="center"/>
                  </w:tcPr>
                  <w:p>
                    <w:pPr>
                      <w:jc w:val="center"/>
                      <w:rPr>
                        <w:szCs w:val="21"/>
                      </w:rPr>
                    </w:pPr>
                    <w:r>
                      <w:t>制造</w:t>
                    </w:r>
                  </w:p>
                </w:tc>
                <w:tc>
                  <w:tcPr>
                    <w:tcW w:w="627" w:type="pct"/>
                    <w:vAlign w:val="center"/>
                  </w:tcPr>
                  <w:p>
                    <w:pPr>
                      <w:jc w:val="center"/>
                      <w:rPr>
                        <w:szCs w:val="21"/>
                      </w:rPr>
                    </w:pPr>
                    <w:r>
                      <w:t>51.00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208938040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重庆力帆内燃机有限公司</w:t>
                    </w:r>
                  </w:p>
                </w:tc>
                <w:tc>
                  <w:tcPr>
                    <w:tcW w:w="767" w:type="pct"/>
                    <w:vAlign w:val="center"/>
                  </w:tcPr>
                  <w:p>
                    <w:pPr>
                      <w:jc w:val="center"/>
                      <w:rPr>
                        <w:szCs w:val="21"/>
                      </w:rPr>
                    </w:pPr>
                    <w:r>
                      <w:t>重庆</w:t>
                    </w:r>
                  </w:p>
                </w:tc>
                <w:tc>
                  <w:tcPr>
                    <w:tcW w:w="781" w:type="pct"/>
                    <w:vAlign w:val="center"/>
                  </w:tcPr>
                  <w:p>
                    <w:pPr>
                      <w:jc w:val="center"/>
                      <w:rPr>
                        <w:szCs w:val="21"/>
                      </w:rPr>
                    </w:pPr>
                    <w:r>
                      <w:t>重庆市北部新区</w:t>
                    </w:r>
                  </w:p>
                </w:tc>
                <w:tc>
                  <w:tcPr>
                    <w:tcW w:w="633" w:type="pct"/>
                    <w:vAlign w:val="center"/>
                  </w:tcPr>
                  <w:p>
                    <w:pPr>
                      <w:jc w:val="center"/>
                      <w:rPr>
                        <w:szCs w:val="21"/>
                      </w:rPr>
                    </w:pPr>
                    <w:r>
                      <w:t>制造</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30335554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重庆力帆乘用车有限公司</w:t>
                    </w:r>
                  </w:p>
                </w:tc>
                <w:tc>
                  <w:tcPr>
                    <w:tcW w:w="767" w:type="pct"/>
                    <w:vAlign w:val="center"/>
                  </w:tcPr>
                  <w:p>
                    <w:pPr>
                      <w:jc w:val="center"/>
                      <w:rPr>
                        <w:szCs w:val="21"/>
                      </w:rPr>
                    </w:pPr>
                    <w:r>
                      <w:t>重庆</w:t>
                    </w:r>
                  </w:p>
                </w:tc>
                <w:tc>
                  <w:tcPr>
                    <w:tcW w:w="781" w:type="pct"/>
                    <w:vAlign w:val="center"/>
                  </w:tcPr>
                  <w:p>
                    <w:pPr>
                      <w:jc w:val="center"/>
                      <w:rPr>
                        <w:szCs w:val="21"/>
                      </w:rPr>
                    </w:pPr>
                    <w:r>
                      <w:t>重庆市北部新区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86427842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重庆力帆汽车销售有限公司</w:t>
                    </w:r>
                  </w:p>
                </w:tc>
                <w:tc>
                  <w:tcPr>
                    <w:tcW w:w="767" w:type="pct"/>
                    <w:vAlign w:val="center"/>
                  </w:tcPr>
                  <w:p>
                    <w:pPr>
                      <w:jc w:val="center"/>
                      <w:rPr>
                        <w:szCs w:val="21"/>
                      </w:rPr>
                    </w:pPr>
                    <w:r>
                      <w:t>重庆</w:t>
                    </w:r>
                  </w:p>
                </w:tc>
                <w:tc>
                  <w:tcPr>
                    <w:tcW w:w="781" w:type="pct"/>
                    <w:vAlign w:val="center"/>
                  </w:tcPr>
                  <w:p>
                    <w:pPr>
                      <w:jc w:val="center"/>
                      <w:rPr>
                        <w:szCs w:val="21"/>
                      </w:rPr>
                    </w:pPr>
                    <w:r>
                      <w:t>重庆市经济技术开发区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88015411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广州市力帆电动汽车销售有限公司</w:t>
                    </w:r>
                  </w:p>
                </w:tc>
                <w:tc>
                  <w:tcPr>
                    <w:tcW w:w="767" w:type="pct"/>
                    <w:vAlign w:val="center"/>
                  </w:tcPr>
                  <w:p>
                    <w:pPr>
                      <w:jc w:val="center"/>
                      <w:rPr>
                        <w:szCs w:val="21"/>
                      </w:rPr>
                    </w:pPr>
                    <w:r>
                      <w:t>广州</w:t>
                    </w:r>
                  </w:p>
                </w:tc>
                <w:tc>
                  <w:tcPr>
                    <w:tcW w:w="781" w:type="pct"/>
                    <w:vAlign w:val="center"/>
                  </w:tcPr>
                  <w:p>
                    <w:pPr>
                      <w:jc w:val="center"/>
                      <w:rPr>
                        <w:szCs w:val="21"/>
                      </w:rPr>
                    </w:pPr>
                    <w:r>
                      <w:t>广州市花都区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41955587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力帆集团重庆万光新能源科技有限公司</w:t>
                    </w:r>
                  </w:p>
                </w:tc>
                <w:tc>
                  <w:tcPr>
                    <w:tcW w:w="767" w:type="pct"/>
                    <w:vAlign w:val="center"/>
                  </w:tcPr>
                  <w:p>
                    <w:pPr>
                      <w:jc w:val="center"/>
                      <w:rPr>
                        <w:szCs w:val="21"/>
                      </w:rPr>
                    </w:pPr>
                    <w:r>
                      <w:t>重庆</w:t>
                    </w:r>
                  </w:p>
                </w:tc>
                <w:tc>
                  <w:tcPr>
                    <w:tcW w:w="781" w:type="pct"/>
                    <w:vAlign w:val="center"/>
                  </w:tcPr>
                  <w:p>
                    <w:pPr>
                      <w:jc w:val="center"/>
                      <w:rPr>
                        <w:szCs w:val="21"/>
                      </w:rPr>
                    </w:pPr>
                    <w:r>
                      <w:t>重庆两江新区</w:t>
                    </w:r>
                  </w:p>
                </w:tc>
                <w:tc>
                  <w:tcPr>
                    <w:tcW w:w="633" w:type="pct"/>
                    <w:vAlign w:val="center"/>
                  </w:tcPr>
                  <w:p>
                    <w:pPr>
                      <w:jc w:val="center"/>
                      <w:rPr>
                        <w:szCs w:val="21"/>
                      </w:rPr>
                    </w:pPr>
                    <w:r>
                      <w:t>制造</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36559068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海博瑞德（重庆）汽车动力控制系统有限公司</w:t>
                    </w:r>
                  </w:p>
                </w:tc>
                <w:tc>
                  <w:tcPr>
                    <w:tcW w:w="767" w:type="pct"/>
                    <w:vAlign w:val="center"/>
                  </w:tcPr>
                  <w:p>
                    <w:pPr>
                      <w:jc w:val="center"/>
                      <w:rPr>
                        <w:szCs w:val="21"/>
                      </w:rPr>
                    </w:pPr>
                    <w:r>
                      <w:t>重庆</w:t>
                    </w:r>
                  </w:p>
                </w:tc>
                <w:tc>
                  <w:tcPr>
                    <w:tcW w:w="781" w:type="pct"/>
                    <w:vAlign w:val="center"/>
                  </w:tcPr>
                  <w:p>
                    <w:pPr>
                      <w:jc w:val="center"/>
                      <w:rPr>
                        <w:szCs w:val="21"/>
                      </w:rPr>
                    </w:pPr>
                    <w:r>
                      <w:t>重庆市南岸区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93.97</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14130939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北京海博瑞德科技有限公司</w:t>
                    </w:r>
                  </w:p>
                </w:tc>
                <w:tc>
                  <w:tcPr>
                    <w:tcW w:w="767" w:type="pct"/>
                    <w:vAlign w:val="center"/>
                  </w:tcPr>
                  <w:p>
                    <w:pPr>
                      <w:jc w:val="center"/>
                      <w:rPr>
                        <w:szCs w:val="21"/>
                      </w:rPr>
                    </w:pPr>
                    <w:r>
                      <w:t>北京</w:t>
                    </w:r>
                  </w:p>
                </w:tc>
                <w:tc>
                  <w:tcPr>
                    <w:tcW w:w="781" w:type="pct"/>
                    <w:vAlign w:val="center"/>
                  </w:tcPr>
                  <w:p>
                    <w:pPr>
                      <w:jc w:val="center"/>
                      <w:rPr>
                        <w:szCs w:val="21"/>
                      </w:rPr>
                    </w:pPr>
                    <w:r>
                      <w:t>北京市经济开发区</w:t>
                    </w:r>
                  </w:p>
                </w:tc>
                <w:tc>
                  <w:tcPr>
                    <w:tcW w:w="633" w:type="pct"/>
                    <w:vAlign w:val="center"/>
                  </w:tcPr>
                  <w:p>
                    <w:pPr>
                      <w:jc w:val="center"/>
                      <w:rPr>
                        <w:szCs w:val="21"/>
                      </w:rPr>
                    </w:pPr>
                    <w:r>
                      <w:t>服务</w:t>
                    </w:r>
                  </w:p>
                </w:tc>
                <w:tc>
                  <w:tcPr>
                    <w:tcW w:w="627" w:type="pct"/>
                    <w:vAlign w:val="center"/>
                  </w:tcPr>
                  <w:p>
                    <w:pPr>
                      <w:jc w:val="center"/>
                      <w:rPr>
                        <w:szCs w:val="21"/>
                      </w:rPr>
                    </w:pPr>
                  </w:p>
                </w:tc>
                <w:tc>
                  <w:tcPr>
                    <w:tcW w:w="627" w:type="pct"/>
                    <w:vAlign w:val="center"/>
                  </w:tcPr>
                  <w:p>
                    <w:pPr>
                      <w:jc w:val="center"/>
                      <w:rPr>
                        <w:szCs w:val="21"/>
                      </w:rPr>
                    </w:pPr>
                    <w:r>
                      <w:t>93.97</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74772532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上海中科力帆电动汽车有限公司</w:t>
                    </w:r>
                  </w:p>
                </w:tc>
                <w:tc>
                  <w:tcPr>
                    <w:tcW w:w="767" w:type="pct"/>
                    <w:vAlign w:val="center"/>
                  </w:tcPr>
                  <w:p>
                    <w:pPr>
                      <w:jc w:val="center"/>
                      <w:rPr>
                        <w:szCs w:val="21"/>
                      </w:rPr>
                    </w:pPr>
                    <w:r>
                      <w:t>上海</w:t>
                    </w:r>
                  </w:p>
                </w:tc>
                <w:tc>
                  <w:tcPr>
                    <w:tcW w:w="781" w:type="pct"/>
                    <w:vAlign w:val="center"/>
                  </w:tcPr>
                  <w:p>
                    <w:pPr>
                      <w:jc w:val="center"/>
                      <w:rPr>
                        <w:szCs w:val="21"/>
                      </w:rPr>
                    </w:pPr>
                    <w:r>
                      <w:t>上海市嘉定区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66.93</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37515655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重庆力帆实业（集团）进出口有限公司</w:t>
                    </w:r>
                  </w:p>
                </w:tc>
                <w:tc>
                  <w:tcPr>
                    <w:tcW w:w="767" w:type="pct"/>
                    <w:vAlign w:val="center"/>
                  </w:tcPr>
                  <w:p>
                    <w:pPr>
                      <w:jc w:val="center"/>
                      <w:rPr>
                        <w:szCs w:val="21"/>
                      </w:rPr>
                    </w:pPr>
                    <w:r>
                      <w:t>重庆</w:t>
                    </w:r>
                  </w:p>
                </w:tc>
                <w:tc>
                  <w:tcPr>
                    <w:tcW w:w="781" w:type="pct"/>
                    <w:vAlign w:val="center"/>
                  </w:tcPr>
                  <w:p>
                    <w:pPr>
                      <w:jc w:val="center"/>
                      <w:rPr>
                        <w:szCs w:val="21"/>
                      </w:rPr>
                    </w:pPr>
                    <w:r>
                      <w:t>重庆市沙坪坝区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30392668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张家港保税区力帆汽车进出口有限公司</w:t>
                    </w:r>
                  </w:p>
                </w:tc>
                <w:tc>
                  <w:tcPr>
                    <w:tcW w:w="767" w:type="pct"/>
                    <w:vAlign w:val="center"/>
                  </w:tcPr>
                  <w:p>
                    <w:pPr>
                      <w:jc w:val="center"/>
                      <w:rPr>
                        <w:szCs w:val="21"/>
                      </w:rPr>
                    </w:pPr>
                    <w:r>
                      <w:t>张家港</w:t>
                    </w:r>
                  </w:p>
                </w:tc>
                <w:tc>
                  <w:tcPr>
                    <w:tcW w:w="781" w:type="pct"/>
                    <w:vAlign w:val="center"/>
                  </w:tcPr>
                  <w:p>
                    <w:pPr>
                      <w:jc w:val="center"/>
                      <w:rPr>
                        <w:szCs w:val="21"/>
                      </w:rPr>
                    </w:pPr>
                    <w:r>
                      <w:t>张家港保税区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8230242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重庆力聚进出口贸易有限公司</w:t>
                    </w:r>
                  </w:p>
                </w:tc>
                <w:tc>
                  <w:tcPr>
                    <w:tcW w:w="767" w:type="pct"/>
                    <w:vAlign w:val="center"/>
                  </w:tcPr>
                  <w:p>
                    <w:pPr>
                      <w:jc w:val="center"/>
                      <w:rPr>
                        <w:szCs w:val="21"/>
                      </w:rPr>
                    </w:pPr>
                    <w:r>
                      <w:t>重庆</w:t>
                    </w:r>
                  </w:p>
                </w:tc>
                <w:tc>
                  <w:tcPr>
                    <w:tcW w:w="781" w:type="pct"/>
                    <w:vAlign w:val="center"/>
                  </w:tcPr>
                  <w:p>
                    <w:pPr>
                      <w:jc w:val="center"/>
                      <w:rPr>
                        <w:szCs w:val="21"/>
                      </w:rPr>
                    </w:pPr>
                    <w:r>
                      <w:t>重庆市江北区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79658567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力帆-越南摩托车制造联营公司</w:t>
                    </w:r>
                  </w:p>
                </w:tc>
                <w:tc>
                  <w:tcPr>
                    <w:tcW w:w="767" w:type="pct"/>
                    <w:vAlign w:val="center"/>
                  </w:tcPr>
                  <w:p>
                    <w:pPr>
                      <w:jc w:val="center"/>
                      <w:rPr>
                        <w:szCs w:val="21"/>
                      </w:rPr>
                    </w:pPr>
                    <w:r>
                      <w:t>越南</w:t>
                    </w:r>
                  </w:p>
                </w:tc>
                <w:tc>
                  <w:tcPr>
                    <w:tcW w:w="781" w:type="pct"/>
                    <w:vAlign w:val="center"/>
                  </w:tcPr>
                  <w:p>
                    <w:pPr>
                      <w:jc w:val="center"/>
                      <w:rPr>
                        <w:szCs w:val="21"/>
                      </w:rPr>
                    </w:pPr>
                    <w:r>
                      <w:t>越南兴安省</w:t>
                    </w:r>
                  </w:p>
                </w:tc>
                <w:tc>
                  <w:tcPr>
                    <w:tcW w:w="633" w:type="pct"/>
                    <w:vAlign w:val="center"/>
                  </w:tcPr>
                  <w:p>
                    <w:pPr>
                      <w:jc w:val="center"/>
                      <w:rPr>
                        <w:szCs w:val="21"/>
                      </w:rPr>
                    </w:pPr>
                    <w:r>
                      <w:t>销售</w:t>
                    </w:r>
                  </w:p>
                </w:tc>
                <w:tc>
                  <w:tcPr>
                    <w:tcW w:w="627" w:type="pct"/>
                    <w:vAlign w:val="center"/>
                  </w:tcPr>
                  <w:p>
                    <w:pPr>
                      <w:jc w:val="center"/>
                      <w:rPr>
                        <w:szCs w:val="21"/>
                      </w:rPr>
                    </w:pPr>
                    <w:r>
                      <w:t>70.00</w:t>
                    </w:r>
                  </w:p>
                </w:tc>
                <w:tc>
                  <w:tcPr>
                    <w:tcW w:w="627" w:type="pct"/>
                    <w:vAlign w:val="center"/>
                  </w:tcPr>
                  <w:p>
                    <w:pPr>
                      <w:jc w:val="center"/>
                      <w:rPr>
                        <w:szCs w:val="21"/>
                      </w:rPr>
                    </w:pPr>
                    <w:r>
                      <w:t>30.00</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76937966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力帆摩托车制造贸易有限公司</w:t>
                    </w:r>
                  </w:p>
                </w:tc>
                <w:tc>
                  <w:tcPr>
                    <w:tcW w:w="767" w:type="pct"/>
                    <w:vAlign w:val="center"/>
                  </w:tcPr>
                  <w:p>
                    <w:pPr>
                      <w:jc w:val="center"/>
                      <w:rPr>
                        <w:szCs w:val="21"/>
                      </w:rPr>
                    </w:pPr>
                    <w:r>
                      <w:t>土耳其</w:t>
                    </w:r>
                  </w:p>
                </w:tc>
                <w:tc>
                  <w:tcPr>
                    <w:tcW w:w="781" w:type="pct"/>
                    <w:vAlign w:val="center"/>
                  </w:tcPr>
                  <w:p>
                    <w:pPr>
                      <w:jc w:val="center"/>
                      <w:rPr>
                        <w:szCs w:val="21"/>
                      </w:rPr>
                    </w:pPr>
                    <w:r>
                      <w:t>土耳其伊斯坦布尔</w:t>
                    </w:r>
                  </w:p>
                </w:tc>
                <w:tc>
                  <w:tcPr>
                    <w:tcW w:w="633" w:type="pct"/>
                    <w:vAlign w:val="center"/>
                  </w:tcPr>
                  <w:p>
                    <w:pPr>
                      <w:jc w:val="center"/>
                      <w:rPr>
                        <w:szCs w:val="21"/>
                      </w:rPr>
                    </w:pPr>
                    <w:r>
                      <w:t>销售</w:t>
                    </w:r>
                  </w:p>
                </w:tc>
                <w:tc>
                  <w:tcPr>
                    <w:tcW w:w="627" w:type="pct"/>
                    <w:vAlign w:val="center"/>
                  </w:tcPr>
                  <w:p>
                    <w:pPr>
                      <w:jc w:val="center"/>
                      <w:rPr>
                        <w:szCs w:val="21"/>
                      </w:rPr>
                    </w:pPr>
                    <w:r>
                      <w:t>20.00</w:t>
                    </w:r>
                  </w:p>
                </w:tc>
                <w:tc>
                  <w:tcPr>
                    <w:tcW w:w="627" w:type="pct"/>
                    <w:vAlign w:val="center"/>
                  </w:tcPr>
                  <w:p>
                    <w:pPr>
                      <w:jc w:val="center"/>
                      <w:rPr>
                        <w:szCs w:val="21"/>
                      </w:rPr>
                    </w:pPr>
                    <w:r>
                      <w:t>80.00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47157026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新力帆墨西哥有限责任公司</w:t>
                    </w:r>
                  </w:p>
                </w:tc>
                <w:tc>
                  <w:tcPr>
                    <w:tcW w:w="767" w:type="pct"/>
                    <w:vAlign w:val="center"/>
                  </w:tcPr>
                  <w:p>
                    <w:pPr>
                      <w:jc w:val="center"/>
                      <w:rPr>
                        <w:szCs w:val="21"/>
                      </w:rPr>
                    </w:pPr>
                    <w:r>
                      <w:t>墨西哥</w:t>
                    </w:r>
                  </w:p>
                </w:tc>
                <w:tc>
                  <w:tcPr>
                    <w:tcW w:w="781" w:type="pct"/>
                    <w:vAlign w:val="center"/>
                  </w:tcPr>
                  <w:p>
                    <w:pPr>
                      <w:jc w:val="center"/>
                      <w:rPr>
                        <w:szCs w:val="21"/>
                      </w:rPr>
                    </w:pPr>
                    <w:r>
                      <w:t>墨西哥哈利斯科州</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48265602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扬帆汽车私人有限公司</w:t>
                    </w:r>
                  </w:p>
                </w:tc>
                <w:tc>
                  <w:tcPr>
                    <w:tcW w:w="767" w:type="pct"/>
                    <w:vAlign w:val="center"/>
                  </w:tcPr>
                  <w:p>
                    <w:pPr>
                      <w:jc w:val="center"/>
                      <w:rPr>
                        <w:szCs w:val="21"/>
                      </w:rPr>
                    </w:pPr>
                    <w:r>
                      <w:t>埃塞俄比亚</w:t>
                    </w:r>
                  </w:p>
                </w:tc>
                <w:tc>
                  <w:tcPr>
                    <w:tcW w:w="781" w:type="pct"/>
                    <w:vAlign w:val="center"/>
                  </w:tcPr>
                  <w:p>
                    <w:pPr>
                      <w:jc w:val="center"/>
                      <w:rPr>
                        <w:szCs w:val="21"/>
                      </w:rPr>
                    </w:pPr>
                    <w:r>
                      <w:t>埃塞俄比亚亚蒂斯亚贝巴</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26903900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力帆泰国制造有限公司</w:t>
                    </w:r>
                  </w:p>
                </w:tc>
                <w:tc>
                  <w:tcPr>
                    <w:tcW w:w="767" w:type="pct"/>
                    <w:vAlign w:val="center"/>
                  </w:tcPr>
                  <w:p>
                    <w:pPr>
                      <w:jc w:val="center"/>
                      <w:rPr>
                        <w:szCs w:val="21"/>
                      </w:rPr>
                    </w:pPr>
                    <w:r>
                      <w:t>泰国</w:t>
                    </w:r>
                  </w:p>
                </w:tc>
                <w:tc>
                  <w:tcPr>
                    <w:tcW w:w="781" w:type="pct"/>
                    <w:vAlign w:val="center"/>
                  </w:tcPr>
                  <w:p>
                    <w:pPr>
                      <w:jc w:val="center"/>
                      <w:rPr>
                        <w:szCs w:val="21"/>
                      </w:rPr>
                    </w:pPr>
                    <w:r>
                      <w:t>泰国曼谷</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372122908"/>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力帆国际（控股）有限公司</w:t>
                    </w:r>
                  </w:p>
                </w:tc>
                <w:tc>
                  <w:tcPr>
                    <w:tcW w:w="767" w:type="pct"/>
                    <w:vAlign w:val="center"/>
                  </w:tcPr>
                  <w:p>
                    <w:pPr>
                      <w:jc w:val="center"/>
                      <w:rPr>
                        <w:szCs w:val="21"/>
                      </w:rPr>
                    </w:pPr>
                    <w:r>
                      <w:t>香港</w:t>
                    </w:r>
                  </w:p>
                </w:tc>
                <w:tc>
                  <w:tcPr>
                    <w:tcW w:w="781" w:type="pct"/>
                    <w:vAlign w:val="center"/>
                  </w:tcPr>
                  <w:p>
                    <w:pPr>
                      <w:jc w:val="center"/>
                      <w:rPr>
                        <w:szCs w:val="21"/>
                      </w:rPr>
                    </w:pPr>
                    <w:r>
                      <w:t>香港</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09722250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力帆国际（贸易）有限公司</w:t>
                    </w:r>
                  </w:p>
                </w:tc>
                <w:tc>
                  <w:tcPr>
                    <w:tcW w:w="767" w:type="pct"/>
                    <w:vAlign w:val="center"/>
                  </w:tcPr>
                  <w:p>
                    <w:pPr>
                      <w:jc w:val="center"/>
                      <w:rPr>
                        <w:szCs w:val="21"/>
                      </w:rPr>
                    </w:pPr>
                    <w:r>
                      <w:t>新加坡</w:t>
                    </w:r>
                  </w:p>
                </w:tc>
                <w:tc>
                  <w:tcPr>
                    <w:tcW w:w="781" w:type="pct"/>
                    <w:vAlign w:val="center"/>
                  </w:tcPr>
                  <w:p>
                    <w:pPr>
                      <w:jc w:val="center"/>
                      <w:rPr>
                        <w:szCs w:val="21"/>
                      </w:rPr>
                    </w:pPr>
                    <w:r>
                      <w:t>新加坡</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58599279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乌拉圭控股公司LAFERTINS.A</w:t>
                    </w:r>
                  </w:p>
                </w:tc>
                <w:tc>
                  <w:tcPr>
                    <w:tcW w:w="767" w:type="pct"/>
                    <w:vAlign w:val="center"/>
                  </w:tcPr>
                  <w:p>
                    <w:pPr>
                      <w:jc w:val="center"/>
                      <w:rPr>
                        <w:szCs w:val="21"/>
                      </w:rPr>
                    </w:pPr>
                    <w:r>
                      <w:t>乌拉圭</w:t>
                    </w:r>
                  </w:p>
                </w:tc>
                <w:tc>
                  <w:tcPr>
                    <w:tcW w:w="781" w:type="pct"/>
                    <w:vAlign w:val="center"/>
                  </w:tcPr>
                  <w:p>
                    <w:pPr>
                      <w:jc w:val="center"/>
                      <w:rPr>
                        <w:szCs w:val="21"/>
                      </w:rPr>
                    </w:pPr>
                    <w:r>
                      <w:t>乌拉圭蒙得维的亚市</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816615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乌拉圭发动机公司ANIKTOS.A</w:t>
                    </w:r>
                  </w:p>
                </w:tc>
                <w:tc>
                  <w:tcPr>
                    <w:tcW w:w="767" w:type="pct"/>
                    <w:vAlign w:val="center"/>
                  </w:tcPr>
                  <w:p>
                    <w:pPr>
                      <w:jc w:val="center"/>
                      <w:rPr>
                        <w:szCs w:val="21"/>
                      </w:rPr>
                    </w:pPr>
                    <w:r>
                      <w:t>乌拉圭</w:t>
                    </w:r>
                  </w:p>
                </w:tc>
                <w:tc>
                  <w:tcPr>
                    <w:tcW w:w="781" w:type="pct"/>
                    <w:vAlign w:val="center"/>
                  </w:tcPr>
                  <w:p>
                    <w:pPr>
                      <w:jc w:val="center"/>
                      <w:rPr>
                        <w:szCs w:val="21"/>
                      </w:rPr>
                    </w:pPr>
                    <w:r>
                      <w:t>乌拉圭圣何塞州</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20956091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力帆巴西汽车有限公司LIFANDOBRASIL</w:t>
                    </w:r>
                  </w:p>
                </w:tc>
                <w:tc>
                  <w:tcPr>
                    <w:tcW w:w="767" w:type="pct"/>
                    <w:vAlign w:val="center"/>
                  </w:tcPr>
                  <w:p>
                    <w:pPr>
                      <w:jc w:val="center"/>
                      <w:rPr>
                        <w:szCs w:val="21"/>
                      </w:rPr>
                    </w:pPr>
                    <w:r>
                      <w:t>巴西</w:t>
                    </w:r>
                  </w:p>
                </w:tc>
                <w:tc>
                  <w:tcPr>
                    <w:tcW w:w="781" w:type="pct"/>
                    <w:vAlign w:val="center"/>
                  </w:tcPr>
                  <w:p>
                    <w:pPr>
                      <w:jc w:val="center"/>
                      <w:rPr>
                        <w:szCs w:val="21"/>
                      </w:rPr>
                    </w:pPr>
                    <w:r>
                      <w:t>圣保罗州</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55214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乌拉圭汽车公司BESINEYS.A</w:t>
                    </w:r>
                  </w:p>
                </w:tc>
                <w:tc>
                  <w:tcPr>
                    <w:tcW w:w="767" w:type="pct"/>
                    <w:vAlign w:val="center"/>
                  </w:tcPr>
                  <w:p>
                    <w:pPr>
                      <w:jc w:val="center"/>
                      <w:rPr>
                        <w:szCs w:val="21"/>
                      </w:rPr>
                    </w:pPr>
                    <w:r>
                      <w:t>乌拉圭</w:t>
                    </w:r>
                  </w:p>
                </w:tc>
                <w:tc>
                  <w:tcPr>
                    <w:tcW w:w="781" w:type="pct"/>
                    <w:vAlign w:val="center"/>
                  </w:tcPr>
                  <w:p>
                    <w:pPr>
                      <w:jc w:val="center"/>
                      <w:rPr>
                        <w:szCs w:val="21"/>
                      </w:rPr>
                    </w:pPr>
                    <w:r>
                      <w:t>乌拉圭圣何塞州</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211197145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力帆俄罗斯车辆有限责任公司</w:t>
                    </w:r>
                  </w:p>
                </w:tc>
                <w:tc>
                  <w:tcPr>
                    <w:tcW w:w="767" w:type="pct"/>
                    <w:vAlign w:val="center"/>
                  </w:tcPr>
                  <w:p>
                    <w:pPr>
                      <w:jc w:val="center"/>
                      <w:rPr>
                        <w:szCs w:val="21"/>
                      </w:rPr>
                    </w:pPr>
                    <w:r>
                      <w:t>俄罗斯</w:t>
                    </w:r>
                  </w:p>
                </w:tc>
                <w:tc>
                  <w:tcPr>
                    <w:tcW w:w="781" w:type="pct"/>
                    <w:vAlign w:val="center"/>
                  </w:tcPr>
                  <w:p>
                    <w:pPr>
                      <w:jc w:val="center"/>
                      <w:rPr>
                        <w:szCs w:val="21"/>
                      </w:rPr>
                    </w:pPr>
                    <w:r>
                      <w:t>俄罗斯联邦利佩茨克州</w:t>
                    </w:r>
                  </w:p>
                </w:tc>
                <w:tc>
                  <w:tcPr>
                    <w:tcW w:w="633" w:type="pct"/>
                    <w:vAlign w:val="center"/>
                  </w:tcPr>
                  <w:p>
                    <w:pPr>
                      <w:jc w:val="center"/>
                      <w:rPr>
                        <w:szCs w:val="21"/>
                      </w:rPr>
                    </w:pPr>
                    <w:r>
                      <w:t>销售</w:t>
                    </w:r>
                  </w:p>
                </w:tc>
                <w:tc>
                  <w:tcPr>
                    <w:tcW w:w="627" w:type="pct"/>
                    <w:vAlign w:val="center"/>
                  </w:tcPr>
                  <w:p>
                    <w:pPr>
                      <w:jc w:val="center"/>
                      <w:rPr>
                        <w:szCs w:val="21"/>
                      </w:rPr>
                    </w:pPr>
                    <w:r>
                      <w:t>5.00</w:t>
                    </w:r>
                  </w:p>
                </w:tc>
                <w:tc>
                  <w:tcPr>
                    <w:tcW w:w="627" w:type="pct"/>
                    <w:vAlign w:val="center"/>
                  </w:tcPr>
                  <w:p>
                    <w:pPr>
                      <w:jc w:val="center"/>
                      <w:rPr>
                        <w:szCs w:val="21"/>
                      </w:rPr>
                    </w:pPr>
                    <w:r>
                      <w:t>95.00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61225339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力帆汽车俄罗斯有限责任公司</w:t>
                    </w:r>
                  </w:p>
                </w:tc>
                <w:tc>
                  <w:tcPr>
                    <w:tcW w:w="767" w:type="pct"/>
                    <w:vAlign w:val="center"/>
                  </w:tcPr>
                  <w:p>
                    <w:pPr>
                      <w:jc w:val="center"/>
                      <w:rPr>
                        <w:szCs w:val="21"/>
                      </w:rPr>
                    </w:pPr>
                    <w:r>
                      <w:t>俄罗斯</w:t>
                    </w:r>
                  </w:p>
                </w:tc>
                <w:tc>
                  <w:tcPr>
                    <w:tcW w:w="781" w:type="pct"/>
                    <w:vAlign w:val="center"/>
                  </w:tcPr>
                  <w:p>
                    <w:pPr>
                      <w:jc w:val="center"/>
                      <w:rPr>
                        <w:szCs w:val="21"/>
                      </w:rPr>
                    </w:pPr>
                    <w:r>
                      <w:t>俄罗斯莫斯科</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26681791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ThreesailsLLC（三帆有限责任公司）</w:t>
                    </w:r>
                  </w:p>
                </w:tc>
                <w:tc>
                  <w:tcPr>
                    <w:tcW w:w="767" w:type="pct"/>
                    <w:vAlign w:val="center"/>
                  </w:tcPr>
                  <w:p>
                    <w:pPr>
                      <w:jc w:val="center"/>
                      <w:rPr>
                        <w:szCs w:val="21"/>
                      </w:rPr>
                    </w:pPr>
                    <w:r>
                      <w:t>俄罗斯</w:t>
                    </w:r>
                  </w:p>
                </w:tc>
                <w:tc>
                  <w:tcPr>
                    <w:tcW w:w="781" w:type="pct"/>
                    <w:vAlign w:val="center"/>
                  </w:tcPr>
                  <w:p>
                    <w:pPr>
                      <w:jc w:val="center"/>
                      <w:rPr>
                        <w:szCs w:val="21"/>
                      </w:rPr>
                    </w:pPr>
                    <w:r>
                      <w:t>俄罗斯莫斯科</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18281520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美国力帆股份有限公司</w:t>
                    </w:r>
                  </w:p>
                </w:tc>
                <w:tc>
                  <w:tcPr>
                    <w:tcW w:w="767" w:type="pct"/>
                    <w:vAlign w:val="center"/>
                  </w:tcPr>
                  <w:p>
                    <w:pPr>
                      <w:jc w:val="center"/>
                      <w:rPr>
                        <w:szCs w:val="21"/>
                      </w:rPr>
                    </w:pPr>
                    <w:r>
                      <w:t>美国</w:t>
                    </w:r>
                  </w:p>
                </w:tc>
                <w:tc>
                  <w:tcPr>
                    <w:tcW w:w="781" w:type="pct"/>
                    <w:vAlign w:val="center"/>
                  </w:tcPr>
                  <w:p>
                    <w:pPr>
                      <w:jc w:val="center"/>
                      <w:rPr>
                        <w:szCs w:val="21"/>
                      </w:rPr>
                    </w:pPr>
                    <w:r>
                      <w:t>美国加利福尼亚州安大略市</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51852959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力帆意大利有限责任公司</w:t>
                    </w:r>
                  </w:p>
                </w:tc>
                <w:tc>
                  <w:tcPr>
                    <w:tcW w:w="767" w:type="pct"/>
                    <w:vAlign w:val="center"/>
                  </w:tcPr>
                  <w:p>
                    <w:pPr>
                      <w:jc w:val="center"/>
                      <w:rPr>
                        <w:szCs w:val="21"/>
                      </w:rPr>
                    </w:pPr>
                    <w:r>
                      <w:t>意大利</w:t>
                    </w:r>
                  </w:p>
                </w:tc>
                <w:tc>
                  <w:tcPr>
                    <w:tcW w:w="781" w:type="pct"/>
                    <w:vAlign w:val="center"/>
                  </w:tcPr>
                  <w:p>
                    <w:pPr>
                      <w:jc w:val="center"/>
                      <w:rPr>
                        <w:szCs w:val="21"/>
                      </w:rPr>
                    </w:pPr>
                    <w:r>
                      <w:t>意大利</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76904187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重庆力帆实业集团销售有限公司</w:t>
                    </w:r>
                  </w:p>
                </w:tc>
                <w:tc>
                  <w:tcPr>
                    <w:tcW w:w="767" w:type="pct"/>
                    <w:vAlign w:val="center"/>
                  </w:tcPr>
                  <w:p>
                    <w:pPr>
                      <w:jc w:val="center"/>
                      <w:rPr>
                        <w:szCs w:val="21"/>
                      </w:rPr>
                    </w:pPr>
                    <w:r>
                      <w:t>重庆</w:t>
                    </w:r>
                  </w:p>
                </w:tc>
                <w:tc>
                  <w:tcPr>
                    <w:tcW w:w="781" w:type="pct"/>
                    <w:vAlign w:val="center"/>
                  </w:tcPr>
                  <w:p>
                    <w:pPr>
                      <w:jc w:val="center"/>
                      <w:rPr>
                        <w:szCs w:val="21"/>
                      </w:rPr>
                    </w:pPr>
                    <w:r>
                      <w:t>重庆市沙坪坝区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08136758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重庆轰轰烈摩托车销售有限公司</w:t>
                    </w:r>
                  </w:p>
                </w:tc>
                <w:tc>
                  <w:tcPr>
                    <w:tcW w:w="767" w:type="pct"/>
                    <w:vAlign w:val="center"/>
                  </w:tcPr>
                  <w:p>
                    <w:pPr>
                      <w:jc w:val="center"/>
                      <w:rPr>
                        <w:szCs w:val="21"/>
                      </w:rPr>
                    </w:pPr>
                    <w:r>
                      <w:t>重庆</w:t>
                    </w:r>
                  </w:p>
                </w:tc>
                <w:tc>
                  <w:tcPr>
                    <w:tcW w:w="781" w:type="pct"/>
                    <w:vAlign w:val="center"/>
                  </w:tcPr>
                  <w:p>
                    <w:pPr>
                      <w:jc w:val="center"/>
                      <w:rPr>
                        <w:szCs w:val="21"/>
                      </w:rPr>
                    </w:pPr>
                    <w:r>
                      <w:t>重庆市沙坪坝区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65844921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重庆力帆新能源汽车有限公司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制造</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65194596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重庆力帆汽车发动机有限公司</w:t>
                    </w:r>
                  </w:p>
                </w:tc>
                <w:tc>
                  <w:tcPr>
                    <w:tcW w:w="767" w:type="pct"/>
                    <w:vAlign w:val="center"/>
                  </w:tcPr>
                  <w:p>
                    <w:pPr>
                      <w:jc w:val="center"/>
                      <w:rPr>
                        <w:szCs w:val="21"/>
                      </w:rPr>
                    </w:pPr>
                    <w:r>
                      <w:t>重庆</w:t>
                    </w:r>
                  </w:p>
                </w:tc>
                <w:tc>
                  <w:tcPr>
                    <w:tcW w:w="781" w:type="pct"/>
                    <w:vAlign w:val="center"/>
                  </w:tcPr>
                  <w:p>
                    <w:pPr>
                      <w:jc w:val="center"/>
                      <w:rPr>
                        <w:szCs w:val="21"/>
                      </w:rPr>
                    </w:pPr>
                    <w:r>
                      <w:t>重庆市北部新区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79360161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河南力帆新能源电动车有限公司</w:t>
                    </w:r>
                  </w:p>
                </w:tc>
                <w:tc>
                  <w:tcPr>
                    <w:tcW w:w="767" w:type="pct"/>
                    <w:vAlign w:val="center"/>
                  </w:tcPr>
                  <w:p>
                    <w:pPr>
                      <w:jc w:val="center"/>
                      <w:rPr>
                        <w:szCs w:val="21"/>
                      </w:rPr>
                    </w:pPr>
                    <w:r>
                      <w:t>河南</w:t>
                    </w:r>
                  </w:p>
                </w:tc>
                <w:tc>
                  <w:tcPr>
                    <w:tcW w:w="781" w:type="pct"/>
                    <w:vAlign w:val="center"/>
                  </w:tcPr>
                  <w:p>
                    <w:pPr>
                      <w:jc w:val="center"/>
                      <w:rPr>
                        <w:szCs w:val="21"/>
                      </w:rPr>
                    </w:pPr>
                    <w:r>
                      <w:t>河南省济源市</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89377652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重庆力帆丰顺汽车销售有限公司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18397073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重庆新力帆电子商务有限公司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881671176"/>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重庆力帆资产管理有限公司</w:t>
                    </w:r>
                  </w:p>
                </w:tc>
                <w:tc>
                  <w:tcPr>
                    <w:tcW w:w="767" w:type="pct"/>
                    <w:vAlign w:val="center"/>
                  </w:tcPr>
                  <w:p>
                    <w:pPr>
                      <w:jc w:val="center"/>
                      <w:rPr>
                        <w:szCs w:val="21"/>
                      </w:rPr>
                    </w:pPr>
                    <w:r>
                      <w:t>重庆</w:t>
                    </w:r>
                  </w:p>
                </w:tc>
                <w:tc>
                  <w:tcPr>
                    <w:tcW w:w="781" w:type="pct"/>
                    <w:vAlign w:val="center"/>
                  </w:tcPr>
                  <w:p>
                    <w:pPr>
                      <w:jc w:val="center"/>
                      <w:rPr>
                        <w:szCs w:val="21"/>
                      </w:rPr>
                    </w:pPr>
                    <w:r>
                      <w:t>重庆市北部新区</w:t>
                    </w:r>
                  </w:p>
                </w:tc>
                <w:tc>
                  <w:tcPr>
                    <w:tcW w:w="633" w:type="pct"/>
                    <w:vAlign w:val="center"/>
                  </w:tcPr>
                  <w:p>
                    <w:pPr>
                      <w:jc w:val="center"/>
                      <w:rPr>
                        <w:szCs w:val="21"/>
                      </w:rPr>
                    </w:pPr>
                    <w:r>
                      <w:t>服务</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16239013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重庆力帆摩托车产销有限公司</w:t>
                    </w:r>
                  </w:p>
                </w:tc>
                <w:tc>
                  <w:tcPr>
                    <w:tcW w:w="767" w:type="pct"/>
                    <w:vAlign w:val="center"/>
                  </w:tcPr>
                  <w:p>
                    <w:pPr>
                      <w:jc w:val="center"/>
                      <w:rPr>
                        <w:szCs w:val="21"/>
                      </w:rPr>
                    </w:pPr>
                    <w:r>
                      <w:t>重庆</w:t>
                    </w:r>
                  </w:p>
                </w:tc>
                <w:tc>
                  <w:tcPr>
                    <w:tcW w:w="781" w:type="pct"/>
                    <w:vAlign w:val="center"/>
                  </w:tcPr>
                  <w:p>
                    <w:pPr>
                      <w:jc w:val="center"/>
                      <w:rPr>
                        <w:szCs w:val="21"/>
                      </w:rPr>
                    </w:pPr>
                    <w:r>
                      <w:t>重庆市沙坪坝区</w:t>
                    </w:r>
                  </w:p>
                </w:tc>
                <w:tc>
                  <w:tcPr>
                    <w:tcW w:w="633" w:type="pct"/>
                    <w:vAlign w:val="center"/>
                  </w:tcPr>
                  <w:p>
                    <w:pPr>
                      <w:jc w:val="center"/>
                      <w:rPr>
                        <w:szCs w:val="21"/>
                      </w:rPr>
                    </w:pPr>
                    <w:r>
                      <w:t>销售</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23316423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江门气派摩托车有限公司</w:t>
                    </w:r>
                  </w:p>
                </w:tc>
                <w:tc>
                  <w:tcPr>
                    <w:tcW w:w="767" w:type="pct"/>
                    <w:vAlign w:val="center"/>
                  </w:tcPr>
                  <w:p>
                    <w:pPr>
                      <w:jc w:val="center"/>
                      <w:rPr>
                        <w:szCs w:val="21"/>
                      </w:rPr>
                    </w:pPr>
                    <w:r>
                      <w:t>广东</w:t>
                    </w:r>
                  </w:p>
                </w:tc>
                <w:tc>
                  <w:tcPr>
                    <w:tcW w:w="781" w:type="pct"/>
                    <w:vAlign w:val="center"/>
                  </w:tcPr>
                  <w:p>
                    <w:pPr>
                      <w:jc w:val="center"/>
                      <w:rPr>
                        <w:szCs w:val="21"/>
                      </w:rPr>
                    </w:pPr>
                    <w:r>
                      <w:t>广东省江门市</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96608439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江门气派进出口有限公司</w:t>
                    </w:r>
                  </w:p>
                </w:tc>
                <w:tc>
                  <w:tcPr>
                    <w:tcW w:w="767" w:type="pct"/>
                    <w:vAlign w:val="center"/>
                  </w:tcPr>
                  <w:p>
                    <w:pPr>
                      <w:jc w:val="center"/>
                      <w:rPr>
                        <w:szCs w:val="21"/>
                      </w:rPr>
                    </w:pPr>
                    <w:r>
                      <w:t>广东</w:t>
                    </w:r>
                  </w:p>
                </w:tc>
                <w:tc>
                  <w:tcPr>
                    <w:tcW w:w="781" w:type="pct"/>
                    <w:vAlign w:val="center"/>
                  </w:tcPr>
                  <w:p>
                    <w:pPr>
                      <w:jc w:val="center"/>
                      <w:rPr>
                        <w:szCs w:val="21"/>
                      </w:rPr>
                    </w:pPr>
                    <w:r>
                      <w:t>广东省江门市</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82728240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重庆力帆速骓进出口贸易有限公司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58126145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重庆力帆喜生活摩托车销售有限公司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销售</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96249151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重庆力帆速越机械制造有限公司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91428536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重庆力帆瑞弛机械制造有限公司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70444318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重庆力帆电喷软件有限公司</w:t>
                    </w:r>
                  </w:p>
                </w:tc>
                <w:tc>
                  <w:tcPr>
                    <w:tcW w:w="767" w:type="pct"/>
                    <w:vAlign w:val="center"/>
                  </w:tcPr>
                  <w:p>
                    <w:pPr>
                      <w:jc w:val="center"/>
                      <w:rPr>
                        <w:szCs w:val="21"/>
                      </w:rPr>
                    </w:pPr>
                    <w:r>
                      <w:t>重庆</w:t>
                    </w:r>
                  </w:p>
                </w:tc>
                <w:tc>
                  <w:tcPr>
                    <w:tcW w:w="781" w:type="pct"/>
                    <w:vAlign w:val="center"/>
                  </w:tcPr>
                  <w:p>
                    <w:pPr>
                      <w:jc w:val="center"/>
                      <w:rPr>
                        <w:szCs w:val="21"/>
                      </w:rPr>
                    </w:pPr>
                    <w:r>
                      <w:t>重庆市沙坪坝区</w:t>
                    </w:r>
                  </w:p>
                </w:tc>
                <w:tc>
                  <w:tcPr>
                    <w:tcW w:w="633" w:type="pct"/>
                    <w:vAlign w:val="center"/>
                  </w:tcPr>
                  <w:p>
                    <w:pPr>
                      <w:jc w:val="center"/>
                      <w:rPr>
                        <w:szCs w:val="21"/>
                      </w:rPr>
                    </w:pPr>
                    <w:r>
                      <w:t>服务</w:t>
                    </w:r>
                  </w:p>
                </w:tc>
                <w:tc>
                  <w:tcPr>
                    <w:tcW w:w="627" w:type="pct"/>
                    <w:vAlign w:val="center"/>
                  </w:tcPr>
                  <w:p>
                    <w:pPr>
                      <w:jc w:val="center"/>
                      <w:rPr>
                        <w:szCs w:val="21"/>
                      </w:rPr>
                    </w:pPr>
                    <w:r>
                      <w:t>67.86</w:t>
                    </w:r>
                  </w:p>
                </w:tc>
                <w:tc>
                  <w:tcPr>
                    <w:tcW w:w="627" w:type="pct"/>
                    <w:vAlign w:val="center"/>
                  </w:tcPr>
                  <w:p>
                    <w:pPr>
                      <w:jc w:val="center"/>
                      <w:rPr>
                        <w:szCs w:val="21"/>
                      </w:rPr>
                    </w:pPr>
                    <w:r>
                      <w:t>32.14</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518044766"/>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重庆移峰能源有限公司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服务</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011840294"/>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成都移峰能源有限公司</w:t>
                    </w:r>
                  </w:p>
                </w:tc>
                <w:tc>
                  <w:tcPr>
                    <w:tcW w:w="767" w:type="pct"/>
                    <w:vAlign w:val="center"/>
                  </w:tcPr>
                  <w:p>
                    <w:pPr>
                      <w:jc w:val="center"/>
                      <w:rPr>
                        <w:szCs w:val="21"/>
                      </w:rPr>
                    </w:pPr>
                    <w:r>
                      <w:t>成都</w:t>
                    </w:r>
                  </w:p>
                </w:tc>
                <w:tc>
                  <w:tcPr>
                    <w:tcW w:w="781" w:type="pct"/>
                    <w:vAlign w:val="center"/>
                  </w:tcPr>
                  <w:p>
                    <w:pPr>
                      <w:jc w:val="center"/>
                      <w:rPr>
                        <w:szCs w:val="21"/>
                      </w:rPr>
                    </w:pPr>
                    <w:r>
                      <w:t>四川省成都市</w:t>
                    </w:r>
                  </w:p>
                </w:tc>
                <w:tc>
                  <w:tcPr>
                    <w:tcW w:w="633" w:type="pct"/>
                    <w:vAlign w:val="center"/>
                  </w:tcPr>
                  <w:p>
                    <w:pPr>
                      <w:jc w:val="center"/>
                      <w:rPr>
                        <w:szCs w:val="21"/>
                      </w:rPr>
                    </w:pPr>
                    <w:r>
                      <w:t>服务</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74161530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济源移峰能源有限公司</w:t>
                    </w:r>
                  </w:p>
                </w:tc>
                <w:tc>
                  <w:tcPr>
                    <w:tcW w:w="767" w:type="pct"/>
                    <w:vAlign w:val="center"/>
                  </w:tcPr>
                  <w:p>
                    <w:pPr>
                      <w:jc w:val="center"/>
                      <w:rPr>
                        <w:szCs w:val="21"/>
                      </w:rPr>
                    </w:pPr>
                    <w:r>
                      <w:t>济源</w:t>
                    </w:r>
                  </w:p>
                </w:tc>
                <w:tc>
                  <w:tcPr>
                    <w:tcW w:w="781" w:type="pct"/>
                    <w:vAlign w:val="center"/>
                  </w:tcPr>
                  <w:p>
                    <w:pPr>
                      <w:jc w:val="center"/>
                      <w:rPr>
                        <w:szCs w:val="21"/>
                      </w:rPr>
                    </w:pPr>
                    <w:r>
                      <w:t>河南省济源市</w:t>
                    </w:r>
                  </w:p>
                </w:tc>
                <w:tc>
                  <w:tcPr>
                    <w:tcW w:w="633" w:type="pct"/>
                    <w:vAlign w:val="center"/>
                  </w:tcPr>
                  <w:p>
                    <w:pPr>
                      <w:jc w:val="center"/>
                      <w:rPr>
                        <w:szCs w:val="21"/>
                      </w:rPr>
                    </w:pPr>
                    <w:r>
                      <w:t>服务</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97069966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绵阳移峰能源有限公司</w:t>
                    </w:r>
                  </w:p>
                </w:tc>
                <w:tc>
                  <w:tcPr>
                    <w:tcW w:w="767" w:type="pct"/>
                    <w:vAlign w:val="center"/>
                  </w:tcPr>
                  <w:p>
                    <w:pPr>
                      <w:jc w:val="center"/>
                      <w:rPr>
                        <w:szCs w:val="21"/>
                      </w:rPr>
                    </w:pPr>
                    <w:r>
                      <w:t>绵阳</w:t>
                    </w:r>
                  </w:p>
                </w:tc>
                <w:tc>
                  <w:tcPr>
                    <w:tcW w:w="781" w:type="pct"/>
                    <w:vAlign w:val="center"/>
                  </w:tcPr>
                  <w:p>
                    <w:pPr>
                      <w:jc w:val="center"/>
                      <w:rPr>
                        <w:szCs w:val="21"/>
                      </w:rPr>
                    </w:pPr>
                    <w:r>
                      <w:t>四川省绵阳市</w:t>
                    </w:r>
                  </w:p>
                </w:tc>
                <w:tc>
                  <w:tcPr>
                    <w:tcW w:w="633" w:type="pct"/>
                    <w:vAlign w:val="center"/>
                  </w:tcPr>
                  <w:p>
                    <w:pPr>
                      <w:jc w:val="center"/>
                      <w:rPr>
                        <w:szCs w:val="21"/>
                      </w:rPr>
                    </w:pPr>
                    <w:r>
                      <w:t>服务</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21139080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郑州移峰能源有限公司</w:t>
                    </w:r>
                  </w:p>
                </w:tc>
                <w:tc>
                  <w:tcPr>
                    <w:tcW w:w="767" w:type="pct"/>
                    <w:vAlign w:val="center"/>
                  </w:tcPr>
                  <w:p>
                    <w:pPr>
                      <w:jc w:val="center"/>
                      <w:rPr>
                        <w:szCs w:val="21"/>
                      </w:rPr>
                    </w:pPr>
                    <w:r>
                      <w:t>郑州</w:t>
                    </w:r>
                  </w:p>
                </w:tc>
                <w:tc>
                  <w:tcPr>
                    <w:tcW w:w="781" w:type="pct"/>
                    <w:vAlign w:val="center"/>
                  </w:tcPr>
                  <w:p>
                    <w:pPr>
                      <w:jc w:val="center"/>
                      <w:rPr>
                        <w:szCs w:val="21"/>
                      </w:rPr>
                    </w:pPr>
                    <w:r>
                      <w:t>河南省郑州市</w:t>
                    </w:r>
                  </w:p>
                </w:tc>
                <w:tc>
                  <w:tcPr>
                    <w:tcW w:w="633" w:type="pct"/>
                    <w:vAlign w:val="center"/>
                  </w:tcPr>
                  <w:p>
                    <w:pPr>
                      <w:jc w:val="center"/>
                      <w:rPr>
                        <w:szCs w:val="21"/>
                      </w:rPr>
                    </w:pPr>
                    <w:r>
                      <w:t>服务</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57524550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重庆力帆车辆研究院有限公司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研发</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72819541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重庆力帆智能新能源汽车研究院有限公司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研发</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683781403"/>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重庆无线绿洲通信技术有限公司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服务</w:t>
                    </w:r>
                  </w:p>
                </w:tc>
                <w:tc>
                  <w:tcPr>
                    <w:tcW w:w="627" w:type="pct"/>
                    <w:vAlign w:val="center"/>
                  </w:tcPr>
                  <w:p>
                    <w:pPr>
                      <w:jc w:val="center"/>
                      <w:rPr>
                        <w:szCs w:val="21"/>
                      </w:rPr>
                    </w:pPr>
                    <w:r>
                      <w:t>100.00</w:t>
                    </w:r>
                  </w:p>
                </w:tc>
                <w:tc>
                  <w:tcPr>
                    <w:tcW w:w="627" w:type="pct"/>
                    <w:vAlign w:val="center"/>
                  </w:tcPr>
                  <w:p>
                    <w:pPr>
                      <w:jc w:val="center"/>
                      <w:rPr>
                        <w:szCs w:val="21"/>
                      </w:rPr>
                    </w:pP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553455745"/>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北京无线绿洲通信技术有限公司</w:t>
                    </w:r>
                  </w:p>
                </w:tc>
                <w:tc>
                  <w:tcPr>
                    <w:tcW w:w="767" w:type="pct"/>
                    <w:vAlign w:val="center"/>
                  </w:tcPr>
                  <w:p>
                    <w:pPr>
                      <w:jc w:val="center"/>
                      <w:rPr>
                        <w:szCs w:val="21"/>
                      </w:rPr>
                    </w:pPr>
                    <w:r>
                      <w:t>北京</w:t>
                    </w:r>
                  </w:p>
                </w:tc>
                <w:tc>
                  <w:tcPr>
                    <w:tcW w:w="781" w:type="pct"/>
                    <w:vAlign w:val="center"/>
                  </w:tcPr>
                  <w:p>
                    <w:pPr>
                      <w:jc w:val="center"/>
                      <w:rPr>
                        <w:szCs w:val="21"/>
                      </w:rPr>
                    </w:pPr>
                    <w:r>
                      <w:t>北京市朝阳区</w:t>
                    </w:r>
                  </w:p>
                </w:tc>
                <w:tc>
                  <w:tcPr>
                    <w:tcW w:w="633" w:type="pct"/>
                    <w:vAlign w:val="center"/>
                  </w:tcPr>
                  <w:p>
                    <w:pPr>
                      <w:jc w:val="center"/>
                      <w:rPr>
                        <w:szCs w:val="21"/>
                      </w:rPr>
                    </w:pPr>
                    <w:r>
                      <w:t>服务</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882181466"/>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重庆力帆速博机械制造有限公司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43763961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重庆力帆速盈机械制造有限公司</w:t>
                    </w:r>
                  </w:p>
                </w:tc>
                <w:tc>
                  <w:tcPr>
                    <w:tcW w:w="767" w:type="pct"/>
                    <w:vAlign w:val="center"/>
                  </w:tcPr>
                  <w:p>
                    <w:pPr>
                      <w:jc w:val="center"/>
                      <w:rPr>
                        <w:szCs w:val="21"/>
                      </w:rPr>
                    </w:pPr>
                    <w:r>
                      <w:t>重庆</w:t>
                    </w:r>
                  </w:p>
                </w:tc>
                <w:tc>
                  <w:tcPr>
                    <w:tcW w:w="781" w:type="pct"/>
                    <w:vAlign w:val="center"/>
                  </w:tcPr>
                  <w:p>
                    <w:pPr>
                      <w:jc w:val="center"/>
                      <w:rPr>
                        <w:szCs w:val="21"/>
                      </w:rPr>
                    </w:pPr>
                    <w:r>
                      <w:t>重庆市北碚区</w:t>
                    </w:r>
                  </w:p>
                </w:tc>
                <w:tc>
                  <w:tcPr>
                    <w:tcW w:w="633" w:type="pct"/>
                    <w:vAlign w:val="center"/>
                  </w:tcPr>
                  <w:p>
                    <w:pPr>
                      <w:jc w:val="center"/>
                      <w:rPr>
                        <w:szCs w:val="21"/>
                      </w:rPr>
                    </w:pPr>
                    <w:r>
                      <w:t>制造</w:t>
                    </w:r>
                  </w:p>
                </w:tc>
                <w:tc>
                  <w:tcPr>
                    <w:tcW w:w="627" w:type="pct"/>
                    <w:vAlign w:val="center"/>
                  </w:tcPr>
                  <w:p>
                    <w:pPr>
                      <w:jc w:val="center"/>
                      <w:rPr>
                        <w:szCs w:val="21"/>
                      </w:rPr>
                    </w:pPr>
                  </w:p>
                </w:tc>
                <w:tc>
                  <w:tcPr>
                    <w:tcW w:w="627" w:type="pct"/>
                    <w:vAlign w:val="center"/>
                  </w:tcPr>
                  <w:p>
                    <w:pPr>
                      <w:jc w:val="center"/>
                      <w:rPr>
                        <w:szCs w:val="21"/>
                      </w:rPr>
                    </w:pPr>
                    <w:r>
                      <w:t>100.00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25580395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重庆润田房地产开发有限公司</w:t>
                    </w:r>
                  </w:p>
                </w:tc>
                <w:tc>
                  <w:tcPr>
                    <w:tcW w:w="767" w:type="pct"/>
                    <w:vAlign w:val="center"/>
                  </w:tcPr>
                  <w:p>
                    <w:pPr>
                      <w:jc w:val="center"/>
                      <w:rPr>
                        <w:szCs w:val="21"/>
                      </w:rPr>
                    </w:pPr>
                    <w:r>
                      <w:t>重庆</w:t>
                    </w:r>
                  </w:p>
                </w:tc>
                <w:tc>
                  <w:tcPr>
                    <w:tcW w:w="781" w:type="pct"/>
                    <w:vAlign w:val="center"/>
                  </w:tcPr>
                  <w:p>
                    <w:pPr>
                      <w:jc w:val="center"/>
                      <w:rPr>
                        <w:szCs w:val="21"/>
                      </w:rPr>
                    </w:pPr>
                    <w:r>
                      <w:t>重庆市江北区</w:t>
                    </w:r>
                  </w:p>
                </w:tc>
                <w:tc>
                  <w:tcPr>
                    <w:tcW w:w="633" w:type="pct"/>
                    <w:vAlign w:val="center"/>
                  </w:tcPr>
                  <w:p>
                    <w:pPr>
                      <w:jc w:val="center"/>
                      <w:rPr>
                        <w:szCs w:val="21"/>
                      </w:rPr>
                    </w:pPr>
                    <w:r>
                      <w:t>房地产</w:t>
                    </w:r>
                  </w:p>
                </w:tc>
                <w:tc>
                  <w:tcPr>
                    <w:tcW w:w="627" w:type="pct"/>
                    <w:vAlign w:val="center"/>
                  </w:tcPr>
                  <w:p>
                    <w:pPr>
                      <w:jc w:val="center"/>
                      <w:rPr>
                        <w:szCs w:val="21"/>
                      </w:rPr>
                    </w:pPr>
                  </w:p>
                </w:tc>
                <w:tc>
                  <w:tcPr>
                    <w:tcW w:w="627" w:type="pct"/>
                    <w:vAlign w:val="center"/>
                  </w:tcPr>
                  <w:p>
                    <w:pPr>
                      <w:jc w:val="center"/>
                      <w:rPr>
                        <w:szCs w:val="21"/>
                      </w:rPr>
                    </w:pPr>
                    <w:r>
                      <w:t>50.00</w:t>
                    </w:r>
                  </w:p>
                </w:tc>
                <w:tc>
                  <w:tcPr>
                    <w:tcW w:w="694" w:type="pct"/>
                    <w:vAlign w:val="center"/>
                  </w:tcPr>
                  <w:p>
                    <w:pPr>
                      <w:jc w:val="center"/>
                      <w:rPr>
                        <w:szCs w:val="21"/>
                      </w:rPr>
                    </w:pPr>
                    <w:r>
                      <w:t>非同一控制下企业合并</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1313909240"/>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重庆新润壹物业管理有限公司</w:t>
                    </w:r>
                  </w:p>
                </w:tc>
                <w:tc>
                  <w:tcPr>
                    <w:tcW w:w="767" w:type="pct"/>
                    <w:vAlign w:val="center"/>
                  </w:tcPr>
                  <w:p>
                    <w:pPr>
                      <w:jc w:val="center"/>
                      <w:rPr>
                        <w:szCs w:val="21"/>
                      </w:rPr>
                    </w:pPr>
                    <w:r>
                      <w:t>重庆</w:t>
                    </w:r>
                  </w:p>
                </w:tc>
                <w:tc>
                  <w:tcPr>
                    <w:tcW w:w="781" w:type="pct"/>
                    <w:vAlign w:val="center"/>
                  </w:tcPr>
                  <w:p>
                    <w:pPr>
                      <w:jc w:val="center"/>
                      <w:rPr>
                        <w:szCs w:val="21"/>
                      </w:rPr>
                    </w:pPr>
                    <w:r>
                      <w:t>重庆市渝北区</w:t>
                    </w:r>
                  </w:p>
                </w:tc>
                <w:tc>
                  <w:tcPr>
                    <w:tcW w:w="633" w:type="pct"/>
                    <w:vAlign w:val="center"/>
                  </w:tcPr>
                  <w:p>
                    <w:pPr>
                      <w:jc w:val="center"/>
                      <w:rPr>
                        <w:szCs w:val="21"/>
                      </w:rPr>
                    </w:pPr>
                    <w:r>
                      <w:t>物业服务</w:t>
                    </w:r>
                  </w:p>
                </w:tc>
                <w:tc>
                  <w:tcPr>
                    <w:tcW w:w="627" w:type="pct"/>
                    <w:vAlign w:val="center"/>
                  </w:tcPr>
                  <w:p>
                    <w:pPr>
                      <w:jc w:val="center"/>
                      <w:rPr>
                        <w:szCs w:val="21"/>
                      </w:rPr>
                    </w:pPr>
                  </w:p>
                </w:tc>
                <w:tc>
                  <w:tcPr>
                    <w:tcW w:w="627" w:type="pct"/>
                    <w:vAlign w:val="center"/>
                  </w:tcPr>
                  <w:p>
                    <w:pPr>
                      <w:jc w:val="center"/>
                      <w:rPr>
                        <w:szCs w:val="21"/>
                      </w:rPr>
                    </w:pPr>
                    <w:r>
                      <w:t>50.00</w:t>
                    </w:r>
                  </w:p>
                </w:tc>
                <w:tc>
                  <w:tcPr>
                    <w:tcW w:w="694" w:type="pct"/>
                    <w:vAlign w:val="center"/>
                  </w:tcPr>
                  <w:p>
                    <w:pPr>
                      <w:jc w:val="center"/>
                      <w:rPr>
                        <w:szCs w:val="21"/>
                      </w:rPr>
                    </w:pPr>
                    <w:r>
                      <w:t>设立</w:t>
                    </w:r>
                  </w:p>
                </w:tc>
              </w:tr>
            </w:sdtContent>
          </w:sdt>
          <w:sdt>
            <w:sdtPr>
              <w:rPr>
                <w:rFonts w:asciiTheme="minorHAnsi" w:hAnsiTheme="minorHAnsi" w:eastAsiaTheme="minorEastAsia" w:cstheme="minorBidi"/>
                <w:kern w:val="2"/>
                <w:szCs w:val="21"/>
              </w:rPr>
              <w:alias w:val="企业合并及合并财务报表明细"/>
              <w:tag w:val="_GBC_986bfe326d834fea9d2920637e286f21"/>
              <w:id w:val="-981081798"/>
              <w:lock w:val="sdtLocked"/>
            </w:sdtPr>
            <w:sdtEndPr>
              <w:rPr>
                <w:rFonts w:asciiTheme="minorHAnsi" w:hAnsiTheme="minorHAnsi" w:eastAsiaTheme="minorEastAsia" w:cstheme="minorBidi"/>
                <w:kern w:val="2"/>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 w:type="pct"/>
                    <w:vAlign w:val="center"/>
                  </w:tcPr>
                  <w:p>
                    <w:pPr>
                      <w:jc w:val="both"/>
                      <w:rPr>
                        <w:szCs w:val="21"/>
                      </w:rPr>
                    </w:pPr>
                    <w:r>
                      <w:t>重庆新力帆汽车销售有限公司</w:t>
                    </w:r>
                  </w:p>
                </w:tc>
                <w:tc>
                  <w:tcPr>
                    <w:tcW w:w="767" w:type="pct"/>
                    <w:vAlign w:val="center"/>
                  </w:tcPr>
                  <w:p>
                    <w:pPr>
                      <w:jc w:val="center"/>
                    </w:pPr>
                    <w:r>
                      <w:t>重庆</w:t>
                    </w:r>
                  </w:p>
                </w:tc>
                <w:tc>
                  <w:tcPr>
                    <w:tcW w:w="781" w:type="pct"/>
                    <w:vAlign w:val="center"/>
                  </w:tcPr>
                  <w:p>
                    <w:pPr>
                      <w:jc w:val="center"/>
                    </w:pPr>
                    <w:r>
                      <w:t>重庆市渝北区</w:t>
                    </w:r>
                  </w:p>
                </w:tc>
                <w:tc>
                  <w:tcPr>
                    <w:tcW w:w="633" w:type="pct"/>
                    <w:vAlign w:val="center"/>
                  </w:tcPr>
                  <w:p>
                    <w:pPr>
                      <w:jc w:val="center"/>
                    </w:pPr>
                    <w:r>
                      <w:t>零售业</w:t>
                    </w:r>
                  </w:p>
                </w:tc>
                <w:tc>
                  <w:tcPr>
                    <w:tcW w:w="627" w:type="pct"/>
                    <w:vAlign w:val="center"/>
                  </w:tcPr>
                  <w:p>
                    <w:pPr>
                      <w:jc w:val="center"/>
                      <w:rPr>
                        <w:szCs w:val="21"/>
                      </w:rPr>
                    </w:pPr>
                  </w:p>
                </w:tc>
                <w:tc>
                  <w:tcPr>
                    <w:tcW w:w="627" w:type="pct"/>
                    <w:vAlign w:val="center"/>
                  </w:tcPr>
                  <w:p>
                    <w:pPr>
                      <w:jc w:val="center"/>
                    </w:pPr>
                    <w:r>
                      <w:t>100.00</w:t>
                    </w:r>
                  </w:p>
                </w:tc>
                <w:tc>
                  <w:tcPr>
                    <w:tcW w:w="694" w:type="pct"/>
                    <w:vAlign w:val="center"/>
                  </w:tcPr>
                  <w:p>
                    <w:pPr>
                      <w:jc w:val="center"/>
                    </w:pPr>
                    <w:r>
                      <w:t>设立</w:t>
                    </w:r>
                  </w:p>
                </w:tc>
              </w:tr>
            </w:sdtContent>
          </w:sdt>
        </w:tbl>
        <w:p/>
        <w:p>
          <w:pPr>
            <w:spacing w:line="360" w:lineRule="auto"/>
            <w:rPr>
              <w:rFonts w:cs="Arial"/>
              <w:szCs w:val="21"/>
            </w:rPr>
          </w:pPr>
          <w:r>
            <w:rPr>
              <w:rFonts w:hint="eastAsia" w:cs="Arial"/>
              <w:szCs w:val="21"/>
            </w:rPr>
            <w:t>在子公司的持股比例不同于表决权比例的说明：</w:t>
          </w:r>
        </w:p>
        <w:p>
          <w:pPr>
            <w:pStyle w:val="197"/>
            <w:widowControl w:val="0"/>
            <w:spacing w:before="0" w:beforeAutospacing="0" w:after="0" w:afterAutospacing="0" w:line="360" w:lineRule="auto"/>
            <w:ind w:left="0" w:leftChars="0" w:firstLine="420" w:firstLineChars="200"/>
            <w:jc w:val="both"/>
            <w:rPr>
              <w:rFonts w:ascii="Arial" w:hAnsi="Arial" w:cs="Arial"/>
            </w:rPr>
          </w:pPr>
          <w:sdt>
            <w:sdtPr>
              <w:rPr>
                <w:rFonts w:cs="Arial"/>
              </w:rPr>
              <w:alias w:val="在子公司的持股比例不同于表决权比例的说明"/>
              <w:tag w:val="_GBC_b7be591163dc47e4b00f98006e6fbb0b"/>
              <w:id w:val="-752663290"/>
              <w:lock w:val="sdtLocked"/>
              <w:placeholder>
                <w:docPart w:val="GBC22222222222222222222222222222"/>
              </w:placeholder>
            </w:sdtPr>
            <w:sdtEndPr>
              <w:rPr>
                <w:rFonts w:cs="Arial"/>
                <w:kern w:val="0"/>
              </w:rPr>
            </w:sdtEndPr>
            <w:sdtContent>
              <w:r>
                <w:rPr>
                  <w:rFonts w:hint="eastAsia" w:cs="Arial"/>
                </w:rPr>
                <w:t>本公司无持股比例不同于表决权比例的子公司。</w:t>
              </w:r>
            </w:sdtContent>
          </w:sdt>
        </w:p>
        <w:p>
          <w:pPr>
            <w:spacing w:line="360" w:lineRule="auto"/>
            <w:rPr>
              <w:rFonts w:cs="Arial"/>
              <w:szCs w:val="21"/>
            </w:rPr>
          </w:pPr>
          <w:r>
            <w:rPr>
              <w:rFonts w:hint="eastAsia" w:cs="Arial"/>
              <w:szCs w:val="21"/>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1559590919"/>
            <w:lock w:val="sdtLocked"/>
            <w:placeholder>
              <w:docPart w:val="GBC22222222222222222222222222222"/>
            </w:placeholder>
          </w:sdtPr>
          <w:sdtEndPr>
            <w:rPr>
              <w:rFonts w:cs="Arial"/>
            </w:rPr>
          </w:sdtEndPr>
          <w:sdtContent>
            <w:p>
              <w:pPr>
                <w:pStyle w:val="197"/>
                <w:widowControl w:val="0"/>
                <w:spacing w:before="0" w:beforeAutospacing="0" w:after="0" w:afterAutospacing="0" w:line="360" w:lineRule="auto"/>
                <w:ind w:left="0" w:leftChars="0" w:firstLine="420" w:firstLineChars="200"/>
                <w:jc w:val="both"/>
                <w:rPr>
                  <w:rFonts w:cs="Arial"/>
                </w:rPr>
              </w:pPr>
              <w:r>
                <w:rPr>
                  <w:rFonts w:hint="eastAsia" w:cs="Arial"/>
                </w:rPr>
                <w:t>本公司持有重庆润田房地产开发有限公司</w:t>
              </w:r>
              <w:r>
                <w:rPr>
                  <w:rFonts w:cs="Arial"/>
                </w:rPr>
                <w:t>50%股权，为其第一大股东，由本公司委派董事长和半数席位董事，董事长具有特别投票权（平票时，董事长可再投一票）。</w:t>
              </w:r>
            </w:p>
            <w:p>
              <w:pPr>
                <w:pStyle w:val="284"/>
                <w:widowControl w:val="0"/>
                <w:tabs>
                  <w:tab w:val="left" w:pos="196"/>
                  <w:tab w:val="left" w:pos="426"/>
                </w:tabs>
                <w:spacing w:line="360" w:lineRule="auto"/>
                <w:ind w:left="0" w:leftChars="0" w:firstLine="420" w:firstLineChars="200"/>
                <w:jc w:val="both"/>
                <w:rPr>
                  <w:rFonts w:ascii="Arial" w:hAnsi="Arial" w:cs="Arial"/>
                </w:rPr>
              </w:pPr>
              <w:r>
                <w:rPr>
                  <w:rFonts w:hint="eastAsia" w:ascii="Arial" w:hAnsi="Arial" w:cs="Arial"/>
                </w:rPr>
                <w:t>本公司持有重庆新润壹物业管理有限公司50%股权，为其第一大股东，重庆新润壹物业管理有限公司系重庆润田房地产开发有限公司全资子公司。</w:t>
              </w:r>
            </w:p>
            <w:p>
              <w:pPr>
                <w:pStyle w:val="284"/>
                <w:widowControl w:val="0"/>
                <w:tabs>
                  <w:tab w:val="left" w:pos="196"/>
                  <w:tab w:val="left" w:pos="426"/>
                </w:tabs>
                <w:spacing w:line="360" w:lineRule="auto"/>
                <w:ind w:left="0" w:leftChars="0" w:firstLine="420" w:firstLineChars="200"/>
                <w:jc w:val="both"/>
                <w:rPr>
                  <w:rFonts w:ascii="Arial" w:hAnsi="Arial" w:cs="Arial"/>
                </w:rPr>
              </w:pPr>
            </w:p>
            <w:p>
              <w:pPr>
                <w:pStyle w:val="284"/>
                <w:widowControl w:val="0"/>
                <w:tabs>
                  <w:tab w:val="left" w:pos="196"/>
                  <w:tab w:val="left" w:pos="426"/>
                </w:tabs>
                <w:spacing w:line="360" w:lineRule="auto"/>
                <w:ind w:left="0" w:leftChars="0" w:firstLine="420" w:firstLineChars="200"/>
                <w:jc w:val="both"/>
                <w:rPr>
                  <w:rFonts w:ascii="Arial" w:hAnsi="Arial" w:cs="Arial"/>
                </w:rPr>
              </w:pPr>
              <w:r>
                <w:rPr>
                  <w:rFonts w:hint="eastAsia" w:ascii="Arial" w:hAnsi="Arial" w:cs="Arial"/>
                </w:rPr>
                <w:t>本公司无持有半数以上表决权但不控制被投资单位的情况。</w:t>
              </w:r>
            </w:p>
          </w:sdtContent>
        </w:sdt>
        <w:p>
          <w:pPr>
            <w:spacing w:line="360" w:lineRule="auto"/>
            <w:rPr>
              <w:rFonts w:cs="Arial"/>
              <w:szCs w:val="21"/>
            </w:rPr>
          </w:pPr>
          <w:r>
            <w:rPr>
              <w:rFonts w:hint="eastAsia" w:cs="Arial"/>
              <w:szCs w:val="21"/>
            </w:rPr>
            <w:t>对于纳入合并范围的重要的结构化主体，控制的依据：</w:t>
          </w:r>
        </w:p>
        <w:sdt>
          <w:sdtPr>
            <w:rPr>
              <w:rFonts w:hint="eastAsia" w:cs="Arial"/>
              <w:szCs w:val="21"/>
            </w:rPr>
            <w:alias w:val="对于纳入合并范围的重要的结构化主体，控制的依据"/>
            <w:tag w:val="_GBC_254d83ec47cd4003902f2d0f6017d432"/>
            <w:id w:val="-265240845"/>
            <w:lock w:val="sdtLocked"/>
            <w:placeholder>
              <w:docPart w:val="GBC22222222222222222222222222222"/>
            </w:placeholder>
          </w:sdtPr>
          <w:sdtEndPr>
            <w:rPr>
              <w:rFonts w:hint="eastAsia" w:cs="Arial"/>
              <w:szCs w:val="21"/>
            </w:rPr>
          </w:sdtEndPr>
          <w:sdtContent>
            <w:p>
              <w:pPr>
                <w:spacing w:line="360" w:lineRule="auto"/>
                <w:rPr>
                  <w:rFonts w:cs="Arial"/>
                  <w:szCs w:val="21"/>
                </w:rPr>
              </w:pPr>
              <w:r>
                <w:rPr>
                  <w:rFonts w:hint="eastAsia" w:cs="Arial"/>
                  <w:szCs w:val="21"/>
                </w:rPr>
                <w:t>无</w:t>
              </w:r>
            </w:p>
          </w:sdtContent>
        </w:sdt>
        <w:p>
          <w:pPr>
            <w:spacing w:line="360" w:lineRule="auto"/>
            <w:rPr>
              <w:rFonts w:cs="Arial"/>
              <w:szCs w:val="21"/>
            </w:rPr>
          </w:pPr>
        </w:p>
        <w:p>
          <w:pPr>
            <w:spacing w:line="360" w:lineRule="auto"/>
            <w:rPr>
              <w:rFonts w:cs="Arial"/>
              <w:szCs w:val="21"/>
            </w:rPr>
          </w:pPr>
          <w:r>
            <w:rPr>
              <w:rFonts w:hint="eastAsia" w:cs="Arial"/>
              <w:szCs w:val="21"/>
            </w:rPr>
            <w:t>确定公司是代理人还是委托人的依据：</w:t>
          </w:r>
        </w:p>
        <w:sdt>
          <w:sdtPr>
            <w:rPr>
              <w:rFonts w:hint="eastAsia" w:cs="Arial"/>
              <w:szCs w:val="21"/>
            </w:rPr>
            <w:alias w:val="确定公司是代理人还是委托人的依据"/>
            <w:tag w:val="_GBC_f515cb0c8a654271b5991b0accabe800"/>
            <w:id w:val="-481392057"/>
            <w:lock w:val="sdtLocked"/>
            <w:placeholder>
              <w:docPart w:val="GBC22222222222222222222222222222"/>
            </w:placeholder>
          </w:sdtPr>
          <w:sdtEndPr>
            <w:rPr>
              <w:rFonts w:hint="eastAsia" w:cs="Arial"/>
              <w:szCs w:val="21"/>
            </w:rPr>
          </w:sdtEndPr>
          <w:sdtContent>
            <w:p>
              <w:pPr>
                <w:spacing w:line="360" w:lineRule="auto"/>
                <w:rPr>
                  <w:rFonts w:cs="Arial"/>
                  <w:szCs w:val="21"/>
                </w:rPr>
              </w:pPr>
              <w:r>
                <w:rPr>
                  <w:rFonts w:hint="eastAsia" w:cs="Arial"/>
                  <w:szCs w:val="21"/>
                </w:rPr>
                <w:t>无</w:t>
              </w:r>
            </w:p>
          </w:sdtContent>
        </w:sdt>
        <w:p>
          <w:pPr>
            <w:spacing w:line="360" w:lineRule="auto"/>
            <w:rPr>
              <w:rFonts w:cs="Arial"/>
              <w:szCs w:val="21"/>
            </w:rPr>
          </w:pPr>
        </w:p>
        <w:p>
          <w:pPr>
            <w:spacing w:line="360" w:lineRule="auto"/>
            <w:rPr>
              <w:rFonts w:cs="Arial"/>
              <w:szCs w:val="21"/>
            </w:rPr>
          </w:pPr>
          <w:r>
            <w:rPr>
              <w:rFonts w:hint="eastAsia" w:cs="Arial"/>
              <w:szCs w:val="21"/>
            </w:rPr>
            <w:t>其他说明：</w:t>
          </w:r>
        </w:p>
        <w:sdt>
          <w:sdtPr>
            <w:rPr>
              <w:rFonts w:cs="Arial"/>
              <w:szCs w:val="21"/>
            </w:rPr>
            <w:alias w:val="企业集团的构成的其他需要说明的事项"/>
            <w:tag w:val="_GBC_7dc3099f920f4546b2a983c0eb4c2ce0"/>
            <w:id w:val="484205896"/>
            <w:lock w:val="sdtLocked"/>
            <w:placeholder>
              <w:docPart w:val="GBC22222222222222222222222222222"/>
            </w:placeholder>
          </w:sdtPr>
          <w:sdtEndPr>
            <w:rPr>
              <w:rFonts w:cs="Arial"/>
              <w:szCs w:val="21"/>
            </w:rPr>
          </w:sdtEndPr>
          <w:sdtContent>
            <w:p>
              <w:pPr>
                <w:spacing w:line="360" w:lineRule="auto"/>
                <w:rPr>
                  <w:rFonts w:cstheme="minorBidi"/>
                  <w:szCs w:val="21"/>
                </w:rPr>
              </w:pPr>
              <w:r>
                <w:rPr>
                  <w:rFonts w:hint="eastAsia" w:cs="Arial"/>
                  <w:szCs w:val="21"/>
                </w:rPr>
                <w:t>无</w:t>
              </w:r>
            </w:p>
          </w:sdtContent>
        </w:sdt>
      </w:sdtContent>
    </w:sdt>
    <w:p>
      <w:pPr>
        <w:rPr>
          <w:rFonts w:cs="Arial"/>
          <w:szCs w:val="21"/>
        </w:rPr>
      </w:pPr>
    </w:p>
    <w:sdt>
      <w:sdtPr>
        <w:rPr>
          <w:rFonts w:hint="eastAsia" w:ascii="宋体" w:hAnsi="宋体" w:eastAsia="宋体" w:cs="宋体"/>
          <w:b w:val="0"/>
          <w:bCs w:val="0"/>
          <w:kern w:val="0"/>
          <w:szCs w:val="24"/>
        </w:rPr>
        <w:alias w:val="模块:重要的非全资子公司"/>
        <w:tag w:val="_GBC_a2ec6e05ebd34d2fa14b1ba6b3ba8eb1"/>
        <w:id w:val="1236123568"/>
        <w:lock w:val="sdtLocked"/>
        <w:placeholder>
          <w:docPart w:val="GBC22222222222222222222222222222"/>
        </w:placeholder>
      </w:sdtPr>
      <w:sdtEndPr>
        <w:rPr>
          <w:rFonts w:hint="default" w:ascii="宋体" w:hAnsi="宋体" w:eastAsia="宋体" w:cs="Arial"/>
          <w:b w:val="0"/>
          <w:bCs w:val="0"/>
          <w:kern w:val="0"/>
          <w:szCs w:val="21"/>
        </w:rPr>
      </w:sdtEndPr>
      <w:sdtContent>
        <w:p>
          <w:pPr>
            <w:pStyle w:val="115"/>
            <w:numPr>
              <w:ilvl w:val="3"/>
              <w:numId w:val="116"/>
            </w:numPr>
            <w:ind w:left="424" w:hanging="424" w:hangingChars="202"/>
          </w:pPr>
          <w:r>
            <w:rPr>
              <w:rFonts w:hint="eastAsia"/>
            </w:rPr>
            <w:t>重要的非全资子公司</w:t>
          </w:r>
        </w:p>
        <w:sdt>
          <w:sdtPr>
            <w:alias w:val="是否适用：重要的非全资子公司[双击切换]"/>
            <w:tag w:val="_GBC_51a84bfe201248b8bd5edb53b6cd6283"/>
            <w:id w:val="2098211816"/>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非全资子公司"/>
              <w:tag w:val="_GBC_e5936e9952394755bacf71d437afcd44"/>
              <w:id w:val="-12596030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重要的非全资子公司"/>
              <w:tag w:val="_GBC_5ffac6aa0e464031b94de604fccc76c7"/>
              <w:id w:val="1817369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1"/>
            <w:gridCol w:w="1700"/>
            <w:gridCol w:w="1404"/>
            <w:gridCol w:w="1832"/>
            <w:gridCol w:w="1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5428bb469efb45b09d2152fb27b33f8a"/>
                <w:id w:val="53666196"/>
                <w:lock w:val="sdtLocked"/>
              </w:sdtPr>
              <w:sdtContent>
                <w:tc>
                  <w:tcPr>
                    <w:tcW w:w="1144" w:type="pct"/>
                    <w:shd w:val="clear" w:color="auto" w:fill="auto"/>
                    <w:vAlign w:val="center"/>
                  </w:tcPr>
                  <w:p>
                    <w:pPr>
                      <w:jc w:val="center"/>
                      <w:rPr>
                        <w:rFonts w:cs="Arial"/>
                        <w:szCs w:val="21"/>
                      </w:rPr>
                    </w:pPr>
                    <w:r>
                      <w:rPr>
                        <w:rFonts w:hint="eastAsia" w:cs="Arial"/>
                        <w:szCs w:val="21"/>
                        <w:lang w:val="en-GB"/>
                      </w:rPr>
                      <w:t>子公司名称</w:t>
                    </w:r>
                  </w:p>
                </w:tc>
              </w:sdtContent>
            </w:sdt>
            <w:sdt>
              <w:sdtPr>
                <w:tag w:val="_PLD_6f42810edcef4f808238b34484325c1a"/>
                <w:id w:val="1173841046"/>
                <w:lock w:val="sdtLocked"/>
              </w:sdtPr>
              <w:sdtContent>
                <w:tc>
                  <w:tcPr>
                    <w:tcW w:w="997" w:type="pct"/>
                    <w:shd w:val="clear" w:color="auto" w:fill="auto"/>
                    <w:vAlign w:val="center"/>
                  </w:tcPr>
                  <w:p>
                    <w:pPr>
                      <w:jc w:val="center"/>
                      <w:rPr>
                        <w:rFonts w:cs="Arial"/>
                        <w:bCs/>
                        <w:szCs w:val="21"/>
                        <w:lang w:val="en-GB"/>
                      </w:rPr>
                    </w:pPr>
                    <w:r>
                      <w:rPr>
                        <w:rFonts w:hint="eastAsia" w:cs="Arial"/>
                        <w:bCs/>
                        <w:szCs w:val="21"/>
                        <w:lang w:val="en-GB"/>
                      </w:rPr>
                      <w:t>少数股东持股</w:t>
                    </w:r>
                  </w:p>
                  <w:p>
                    <w:pPr>
                      <w:jc w:val="center"/>
                      <w:rPr>
                        <w:rFonts w:cs="Arial"/>
                        <w:szCs w:val="21"/>
                      </w:rPr>
                    </w:pPr>
                    <w:r>
                      <w:rPr>
                        <w:rFonts w:hint="eastAsia" w:cs="Arial"/>
                        <w:bCs/>
                        <w:szCs w:val="21"/>
                        <w:lang w:val="en-GB"/>
                      </w:rPr>
                      <w:t>比例</w:t>
                    </w:r>
                  </w:p>
                </w:tc>
              </w:sdtContent>
            </w:sdt>
            <w:sdt>
              <w:sdtPr>
                <w:tag w:val="_PLD_5fe25832d2ec4782a2b0dd4183a7a18d"/>
                <w:id w:val="482286207"/>
                <w:lock w:val="sdtLocked"/>
              </w:sdtPr>
              <w:sdtContent>
                <w:tc>
                  <w:tcPr>
                    <w:tcW w:w="823" w:type="pct"/>
                    <w:shd w:val="clear" w:color="auto" w:fill="auto"/>
                    <w:vAlign w:val="center"/>
                  </w:tcPr>
                  <w:p>
                    <w:pPr>
                      <w:jc w:val="center"/>
                      <w:rPr>
                        <w:rFonts w:cs="Arial"/>
                        <w:szCs w:val="21"/>
                      </w:rPr>
                    </w:pPr>
                    <w:r>
                      <w:rPr>
                        <w:rFonts w:hint="eastAsia" w:cs="Arial"/>
                        <w:bCs/>
                        <w:szCs w:val="21"/>
                        <w:lang w:val="en-GB"/>
                      </w:rPr>
                      <w:t>本期归属于少数股东的损益</w:t>
                    </w:r>
                  </w:p>
                </w:tc>
              </w:sdtContent>
            </w:sdt>
            <w:sdt>
              <w:sdtPr>
                <w:tag w:val="_PLD_2a49e43dba264aa2a5a6a65baca97c74"/>
                <w:id w:val="-1002513633"/>
                <w:lock w:val="sdtLocked"/>
              </w:sdtPr>
              <w:sdtContent>
                <w:tc>
                  <w:tcPr>
                    <w:tcW w:w="1074" w:type="pct"/>
                    <w:shd w:val="clear" w:color="auto" w:fill="auto"/>
                    <w:vAlign w:val="center"/>
                  </w:tcPr>
                  <w:p>
                    <w:pPr>
                      <w:jc w:val="center"/>
                      <w:rPr>
                        <w:rFonts w:cs="Arial"/>
                        <w:szCs w:val="21"/>
                      </w:rPr>
                    </w:pPr>
                    <w:r>
                      <w:rPr>
                        <w:rFonts w:hint="eastAsia" w:cs="Arial"/>
                        <w:bCs/>
                        <w:szCs w:val="21"/>
                        <w:lang w:val="en-GB"/>
                      </w:rPr>
                      <w:t>本期向少数股东宣告分派的股利</w:t>
                    </w:r>
                  </w:p>
                </w:tc>
              </w:sdtContent>
            </w:sdt>
            <w:sdt>
              <w:sdtPr>
                <w:tag w:val="_PLD_fb758b5ac95741fa930b476448e32371"/>
                <w:id w:val="-1595551478"/>
                <w:lock w:val="sdtLocked"/>
              </w:sdtPr>
              <w:sdtContent>
                <w:tc>
                  <w:tcPr>
                    <w:tcW w:w="962" w:type="pct"/>
                    <w:shd w:val="clear" w:color="auto" w:fill="auto"/>
                    <w:vAlign w:val="center"/>
                  </w:tcPr>
                  <w:p>
                    <w:pPr>
                      <w:ind w:right="-16"/>
                      <w:jc w:val="center"/>
                      <w:rPr>
                        <w:rFonts w:cs="Arial"/>
                        <w:bCs/>
                        <w:szCs w:val="21"/>
                      </w:rPr>
                    </w:pPr>
                    <w:r>
                      <w:rPr>
                        <w:rFonts w:hint="eastAsia" w:cs="Arial"/>
                        <w:bCs/>
                        <w:szCs w:val="21"/>
                        <w:lang w:val="en-GB"/>
                      </w:rPr>
                      <w:t>期末少数股东权益余额</w:t>
                    </w:r>
                  </w:p>
                </w:tc>
              </w:sdtContent>
            </w:sdt>
          </w:tr>
          <w:sdt>
            <w:sdtPr>
              <w:rPr>
                <w:szCs w:val="21"/>
              </w:rPr>
              <w:alias w:val="重要的非全资子公司明细"/>
              <w:tag w:val="_GBC_786318b12f804986888adc0492796ebd"/>
              <w:id w:val="-46813205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tcPr>
                  <w:p>
                    <w:pPr>
                      <w:rPr>
                        <w:szCs w:val="21"/>
                      </w:rPr>
                    </w:pPr>
                    <w:r>
                      <w:t>重庆力帆三轮摩托车有限公司</w:t>
                    </w:r>
                  </w:p>
                </w:tc>
                <w:tc>
                  <w:tcPr>
                    <w:tcW w:w="997" w:type="pct"/>
                    <w:vAlign w:val="center"/>
                  </w:tcPr>
                  <w:p>
                    <w:pPr>
                      <w:jc w:val="center"/>
                      <w:rPr>
                        <w:szCs w:val="21"/>
                      </w:rPr>
                    </w:pPr>
                    <w:r>
                      <w:t>49.00</w:t>
                    </w:r>
                    <w:r>
                      <w:rPr>
                        <w:rFonts w:hint="eastAsia"/>
                      </w:rPr>
                      <w:t>%</w:t>
                    </w:r>
                  </w:p>
                </w:tc>
                <w:tc>
                  <w:tcPr>
                    <w:tcW w:w="823" w:type="pct"/>
                    <w:vAlign w:val="center"/>
                  </w:tcPr>
                  <w:p>
                    <w:pPr>
                      <w:jc w:val="right"/>
                      <w:rPr>
                        <w:szCs w:val="21"/>
                      </w:rPr>
                    </w:pPr>
                    <w:r>
                      <w:t>-108.48</w:t>
                    </w:r>
                  </w:p>
                </w:tc>
                <w:tc>
                  <w:tcPr>
                    <w:tcW w:w="1074" w:type="pct"/>
                    <w:vAlign w:val="center"/>
                  </w:tcPr>
                  <w:p>
                    <w:pPr>
                      <w:jc w:val="right"/>
                      <w:rPr>
                        <w:szCs w:val="21"/>
                      </w:rPr>
                    </w:pPr>
                  </w:p>
                </w:tc>
                <w:tc>
                  <w:tcPr>
                    <w:tcW w:w="962" w:type="pct"/>
                    <w:vAlign w:val="center"/>
                  </w:tcPr>
                  <w:p>
                    <w:pPr>
                      <w:jc w:val="right"/>
                      <w:rPr>
                        <w:szCs w:val="21"/>
                      </w:rPr>
                    </w:pPr>
                    <w:r>
                      <w:t>1,177.16</w:t>
                    </w:r>
                  </w:p>
                </w:tc>
              </w:tr>
            </w:sdtContent>
          </w:sdt>
          <w:sdt>
            <w:sdtPr>
              <w:rPr>
                <w:szCs w:val="21"/>
              </w:rPr>
              <w:alias w:val="重要的非全资子公司明细"/>
              <w:tag w:val="_GBC_786318b12f804986888adc0492796ebd"/>
              <w:id w:val="-181231911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tcPr>
                  <w:p>
                    <w:pPr>
                      <w:rPr>
                        <w:szCs w:val="21"/>
                      </w:rPr>
                    </w:pPr>
                    <w:r>
                      <w:t>河南力帆树民车业有限公司</w:t>
                    </w:r>
                  </w:p>
                </w:tc>
                <w:tc>
                  <w:tcPr>
                    <w:tcW w:w="997" w:type="pct"/>
                    <w:vAlign w:val="center"/>
                  </w:tcPr>
                  <w:p>
                    <w:pPr>
                      <w:jc w:val="center"/>
                      <w:rPr>
                        <w:szCs w:val="21"/>
                      </w:rPr>
                    </w:pPr>
                    <w:r>
                      <w:t>20.00</w:t>
                    </w:r>
                    <w:r>
                      <w:rPr>
                        <w:rFonts w:hint="eastAsia"/>
                      </w:rPr>
                      <w:t>%</w:t>
                    </w:r>
                  </w:p>
                </w:tc>
                <w:tc>
                  <w:tcPr>
                    <w:tcW w:w="823" w:type="pct"/>
                    <w:vAlign w:val="center"/>
                  </w:tcPr>
                  <w:p>
                    <w:pPr>
                      <w:jc w:val="right"/>
                      <w:rPr>
                        <w:szCs w:val="21"/>
                      </w:rPr>
                    </w:pPr>
                    <w:r>
                      <w:t>-397.01</w:t>
                    </w:r>
                  </w:p>
                </w:tc>
                <w:tc>
                  <w:tcPr>
                    <w:tcW w:w="1074" w:type="pct"/>
                    <w:vAlign w:val="center"/>
                  </w:tcPr>
                  <w:p>
                    <w:pPr>
                      <w:jc w:val="right"/>
                      <w:rPr>
                        <w:szCs w:val="21"/>
                      </w:rPr>
                    </w:pPr>
                  </w:p>
                </w:tc>
                <w:tc>
                  <w:tcPr>
                    <w:tcW w:w="962" w:type="pct"/>
                    <w:vAlign w:val="center"/>
                  </w:tcPr>
                  <w:p>
                    <w:pPr>
                      <w:jc w:val="right"/>
                      <w:rPr>
                        <w:szCs w:val="21"/>
                      </w:rPr>
                    </w:pPr>
                    <w:r>
                      <w:t>3,369.77</w:t>
                    </w:r>
                  </w:p>
                </w:tc>
              </w:tr>
            </w:sdtContent>
          </w:sdt>
          <w:sdt>
            <w:sdtPr>
              <w:rPr>
                <w:szCs w:val="21"/>
              </w:rPr>
              <w:alias w:val="重要的非全资子公司明细"/>
              <w:tag w:val="_GBC_786318b12f804986888adc0492796ebd"/>
              <w:id w:val="191289027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4" w:type="pct"/>
                  </w:tcPr>
                  <w:p>
                    <w:pPr>
                      <w:rPr>
                        <w:szCs w:val="21"/>
                      </w:rPr>
                    </w:pPr>
                    <w:r>
                      <w:t>重庆润田房地产开发有限公司</w:t>
                    </w:r>
                  </w:p>
                </w:tc>
                <w:tc>
                  <w:tcPr>
                    <w:tcW w:w="997" w:type="pct"/>
                    <w:vAlign w:val="center"/>
                  </w:tcPr>
                  <w:p>
                    <w:pPr>
                      <w:jc w:val="center"/>
                      <w:rPr>
                        <w:szCs w:val="21"/>
                      </w:rPr>
                    </w:pPr>
                    <w:r>
                      <w:t>50.00</w:t>
                    </w:r>
                    <w:r>
                      <w:rPr>
                        <w:rFonts w:hint="eastAsia"/>
                      </w:rPr>
                      <w:t>%</w:t>
                    </w:r>
                  </w:p>
                </w:tc>
                <w:tc>
                  <w:tcPr>
                    <w:tcW w:w="823" w:type="pct"/>
                    <w:vAlign w:val="center"/>
                  </w:tcPr>
                  <w:p>
                    <w:pPr>
                      <w:jc w:val="right"/>
                      <w:rPr>
                        <w:szCs w:val="21"/>
                      </w:rPr>
                    </w:pPr>
                    <w:r>
                      <w:t>2,783.94</w:t>
                    </w:r>
                  </w:p>
                </w:tc>
                <w:tc>
                  <w:tcPr>
                    <w:tcW w:w="1074" w:type="pct"/>
                    <w:vAlign w:val="center"/>
                  </w:tcPr>
                  <w:p>
                    <w:pPr>
                      <w:jc w:val="right"/>
                      <w:rPr>
                        <w:szCs w:val="21"/>
                      </w:rPr>
                    </w:pPr>
                  </w:p>
                </w:tc>
                <w:tc>
                  <w:tcPr>
                    <w:tcW w:w="962" w:type="pct"/>
                    <w:vAlign w:val="center"/>
                  </w:tcPr>
                  <w:p>
                    <w:pPr>
                      <w:jc w:val="right"/>
                      <w:rPr>
                        <w:szCs w:val="21"/>
                      </w:rPr>
                    </w:pPr>
                    <w:r>
                      <w:t>108,737.43</w:t>
                    </w:r>
                  </w:p>
                </w:tc>
              </w:tr>
            </w:sdtContent>
          </w:sdt>
        </w:tbl>
        <w:p/>
        <w:p>
          <w:pPr>
            <w:rPr>
              <w:rFonts w:cs="Arial"/>
              <w:szCs w:val="21"/>
            </w:rPr>
          </w:pPr>
          <w:r>
            <w:rPr>
              <w:rFonts w:hint="eastAsia" w:cs="Arial"/>
              <w:szCs w:val="21"/>
            </w:rPr>
            <w:t>子公司少数股东的持股比例不同于表决权比例的说明：</w:t>
          </w:r>
        </w:p>
        <w:sdt>
          <w:sdtPr>
            <w:rPr>
              <w:rFonts w:cs="Arial"/>
              <w:szCs w:val="21"/>
            </w:rPr>
            <w:alias w:val="是否适用：子公司少数股东的持股比例不同于表决权比例的说明[双击切换]"/>
            <w:tag w:val="_GBC_eb13eae90d024e1384cf2a06768aea73"/>
            <w:id w:val="1133453491"/>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p>
          <w:pPr>
            <w:rPr>
              <w:rFonts w:cs="Arial"/>
              <w:szCs w:val="21"/>
            </w:rPr>
          </w:pPr>
          <w:r>
            <w:rPr>
              <w:rFonts w:hint="eastAsia" w:cs="Arial"/>
              <w:szCs w:val="21"/>
            </w:rPr>
            <w:t>其他说明：</w:t>
          </w:r>
        </w:p>
        <w:sdt>
          <w:sdtPr>
            <w:rPr>
              <w:rFonts w:cs="Arial"/>
              <w:szCs w:val="21"/>
            </w:rPr>
            <w:alias w:val="是否适用：重要的非全资子公司其他说明[双击切换]"/>
            <w:tag w:val="_GBC_eb65403cb5164cc9a0cf4afea08b150d"/>
            <w:id w:val="-1368751565"/>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pPr>
      <w:r>
        <w:rPr>
          <w:rFonts w:cs="Arial"/>
          <w:szCs w:val="21"/>
        </w:rPr>
        <w:br w:type="page"/>
      </w:r>
    </w:p>
    <w:p>
      <w:pPr>
        <w:rPr>
          <w:rFonts w:cs="Arial"/>
          <w:szCs w:val="21"/>
        </w:rPr>
        <w:sectPr>
          <w:pgSz w:w="11906" w:h="16838"/>
          <w:pgMar w:top="1724" w:right="1797" w:bottom="1440" w:left="1797" w:header="851" w:footer="992" w:gutter="0"/>
          <w:cols w:space="720" w:num="1"/>
          <w:docGrid w:linePitch="312" w:charSpace="0"/>
        </w:sectPr>
      </w:pPr>
    </w:p>
    <w:p>
      <w:pPr>
        <w:rPr>
          <w:rFonts w:cs="Arial"/>
          <w:szCs w:val="21"/>
        </w:rPr>
      </w:pPr>
    </w:p>
    <w:sdt>
      <w:sdtPr>
        <w:rPr>
          <w:rFonts w:hint="eastAsia" w:ascii="宋体" w:hAnsi="宋体" w:eastAsia="宋体" w:cs="宋体"/>
          <w:b w:val="0"/>
          <w:bCs w:val="0"/>
          <w:kern w:val="0"/>
          <w:szCs w:val="24"/>
        </w:rPr>
        <w:alias w:val="模块:重要非全资子公司的主要财务信息"/>
        <w:tag w:val="_GBC_501222dd8f884fabbdeaec6fe7e79709"/>
        <w:id w:val="-1365978912"/>
        <w:lock w:val="sdtLocked"/>
        <w:placeholder>
          <w:docPart w:val="GBC22222222222222222222222222222"/>
        </w:placeholder>
      </w:sdtPr>
      <w:sdtEndPr>
        <w:rPr>
          <w:rFonts w:hint="default" w:ascii="宋体" w:hAnsi="宋体" w:eastAsia="宋体" w:cs="Arial"/>
          <w:b w:val="0"/>
          <w:bCs w:val="0"/>
          <w:kern w:val="0"/>
          <w:szCs w:val="21"/>
        </w:rPr>
      </w:sdtEndPr>
      <w:sdtContent>
        <w:p>
          <w:pPr>
            <w:pStyle w:val="115"/>
            <w:numPr>
              <w:ilvl w:val="3"/>
              <w:numId w:val="116"/>
            </w:numPr>
            <w:ind w:left="424" w:hanging="424" w:hangingChars="202"/>
          </w:pPr>
          <w:r>
            <w:rPr>
              <w:rFonts w:hint="eastAsia"/>
            </w:rPr>
            <w:t>重要非全资子公司的主要财务信息</w:t>
          </w:r>
        </w:p>
        <w:sdt>
          <w:sdtPr>
            <w:alias w:val="是否适用：重要非全资子公司的主要财务信息[双击切换]"/>
            <w:tag w:val="_GBC_04ab753eff3c46fda94161ee757bd1fa"/>
            <w:id w:val="778605360"/>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非全资子公司的主要财务信息"/>
              <w:tag w:val="_GBC_ba918360b15748859fb63cacad1f617d"/>
              <w:id w:val="-412086762"/>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5189926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661" w:type="pct"/>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1220"/>
            <w:gridCol w:w="1220"/>
            <w:gridCol w:w="1220"/>
            <w:gridCol w:w="1135"/>
            <w:gridCol w:w="1220"/>
            <w:gridCol w:w="1227"/>
            <w:gridCol w:w="1220"/>
            <w:gridCol w:w="1220"/>
            <w:gridCol w:w="1220"/>
            <w:gridCol w:w="1221"/>
            <w:gridCol w:w="1221"/>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d5dae06c1d0c4fdea02e2f6e645a1e09"/>
                <w:id w:val="-220751589"/>
                <w:lock w:val="sdtLocked"/>
              </w:sdtPr>
              <w:sdtContent>
                <w:tc>
                  <w:tcPr>
                    <w:tcW w:w="367" w:type="pct"/>
                    <w:vMerge w:val="restart"/>
                    <w:shd w:val="clear" w:color="auto" w:fill="auto"/>
                    <w:vAlign w:val="center"/>
                  </w:tcPr>
                  <w:p>
                    <w:pPr>
                      <w:ind w:right="-16"/>
                      <w:jc w:val="center"/>
                      <w:rPr>
                        <w:rFonts w:cs="Arial"/>
                        <w:bCs/>
                        <w:szCs w:val="21"/>
                      </w:rPr>
                    </w:pPr>
                    <w:r>
                      <w:rPr>
                        <w:rFonts w:hint="eastAsia" w:cs="Arial"/>
                        <w:bCs/>
                        <w:szCs w:val="21"/>
                        <w:lang w:val="en-GB"/>
                      </w:rPr>
                      <w:t>子公司名称</w:t>
                    </w:r>
                  </w:p>
                </w:tc>
              </w:sdtContent>
            </w:sdt>
            <w:sdt>
              <w:sdtPr>
                <w:tag w:val="_PLD_6cc7af9079654f428ee1cf0edd2c70b1"/>
                <w:id w:val="316843306"/>
                <w:lock w:val="sdtLocked"/>
              </w:sdtPr>
              <w:sdtContent>
                <w:tc>
                  <w:tcPr>
                    <w:tcW w:w="2303" w:type="pct"/>
                    <w:gridSpan w:val="6"/>
                    <w:shd w:val="clear" w:color="auto" w:fill="auto"/>
                    <w:vAlign w:val="center"/>
                  </w:tcPr>
                  <w:p>
                    <w:pPr>
                      <w:ind w:right="-16"/>
                      <w:jc w:val="center"/>
                      <w:rPr>
                        <w:rFonts w:cs="Arial"/>
                        <w:bCs/>
                        <w:szCs w:val="21"/>
                      </w:rPr>
                    </w:pPr>
                    <w:r>
                      <w:rPr>
                        <w:rFonts w:hint="eastAsia" w:cs="Arial"/>
                        <w:bCs/>
                        <w:szCs w:val="21"/>
                        <w:lang w:val="en-GB"/>
                      </w:rPr>
                      <w:t>期末余额</w:t>
                    </w:r>
                  </w:p>
                </w:tc>
              </w:sdtContent>
            </w:sdt>
            <w:sdt>
              <w:sdtPr>
                <w:tag w:val="_PLD_64749f66f68948bd92fb0a885f835f78"/>
                <w:id w:val="-1921774580"/>
                <w:lock w:val="sdtLocked"/>
              </w:sdtPr>
              <w:sdtContent>
                <w:tc>
                  <w:tcPr>
                    <w:tcW w:w="2330" w:type="pct"/>
                    <w:gridSpan w:val="6"/>
                    <w:shd w:val="clear" w:color="auto" w:fill="auto"/>
                    <w:vAlign w:val="center"/>
                  </w:tcPr>
                  <w:p>
                    <w:pPr>
                      <w:ind w:right="-16"/>
                      <w:jc w:val="center"/>
                      <w:rPr>
                        <w:rFonts w:cs="Arial"/>
                        <w:bCs/>
                        <w:szCs w:val="21"/>
                      </w:rPr>
                    </w:pPr>
                    <w:r>
                      <w:rPr>
                        <w:rFonts w:hint="eastAsia" w:cs="Arial"/>
                        <w:bCs/>
                        <w:szCs w:val="21"/>
                        <w:lang w:val="en-GB"/>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367" w:type="pct"/>
                <w:vMerge w:val="continue"/>
                <w:shd w:val="clear" w:color="auto" w:fill="auto"/>
                <w:vAlign w:val="center"/>
              </w:tcPr>
              <w:p>
                <w:pPr>
                  <w:rPr>
                    <w:rFonts w:cs="Arial"/>
                    <w:bCs/>
                    <w:szCs w:val="21"/>
                  </w:rPr>
                </w:pPr>
              </w:p>
            </w:tc>
            <w:sdt>
              <w:sdtPr>
                <w:tag w:val="_PLD_bfcbeed8b46d4b8da13c03613130a3c9"/>
                <w:id w:val="1955824129"/>
                <w:lock w:val="sdtLocked"/>
              </w:sdtPr>
              <w:sdtContent>
                <w:tc>
                  <w:tcPr>
                    <w:tcW w:w="388" w:type="pct"/>
                    <w:shd w:val="clear" w:color="auto" w:fill="auto"/>
                    <w:vAlign w:val="center"/>
                  </w:tcPr>
                  <w:p>
                    <w:pPr>
                      <w:jc w:val="center"/>
                      <w:rPr>
                        <w:rFonts w:cs="Arial"/>
                        <w:szCs w:val="21"/>
                      </w:rPr>
                    </w:pPr>
                    <w:r>
                      <w:rPr>
                        <w:rFonts w:hint="eastAsia" w:cs="Arial"/>
                        <w:szCs w:val="21"/>
                        <w:lang w:val="en-GB"/>
                      </w:rPr>
                      <w:t>流动资产</w:t>
                    </w:r>
                  </w:p>
                </w:tc>
              </w:sdtContent>
            </w:sdt>
            <w:sdt>
              <w:sdtPr>
                <w:tag w:val="_PLD_22bcaa48c51f400d9b2d6a387002778f"/>
                <w:id w:val="-1188829051"/>
                <w:lock w:val="sdtLocked"/>
              </w:sdtPr>
              <w:sdtContent>
                <w:tc>
                  <w:tcPr>
                    <w:tcW w:w="388" w:type="pct"/>
                    <w:shd w:val="clear" w:color="auto" w:fill="auto"/>
                    <w:vAlign w:val="center"/>
                  </w:tcPr>
                  <w:p>
                    <w:pPr>
                      <w:ind w:left="-40" w:right="-97"/>
                      <w:jc w:val="center"/>
                      <w:rPr>
                        <w:rFonts w:cs="Arial"/>
                        <w:szCs w:val="21"/>
                      </w:rPr>
                    </w:pPr>
                    <w:r>
                      <w:rPr>
                        <w:rFonts w:hint="eastAsia" w:cs="Arial"/>
                        <w:szCs w:val="21"/>
                        <w:lang w:val="en-GB"/>
                      </w:rPr>
                      <w:t>非流动资产</w:t>
                    </w:r>
                  </w:p>
                </w:tc>
              </w:sdtContent>
            </w:sdt>
            <w:sdt>
              <w:sdtPr>
                <w:tag w:val="_PLD_a7790df686914e0f8cc8668009824e9e"/>
                <w:id w:val="-1851637271"/>
                <w:lock w:val="sdtLocked"/>
              </w:sdtPr>
              <w:sdtContent>
                <w:tc>
                  <w:tcPr>
                    <w:tcW w:w="388" w:type="pct"/>
                    <w:shd w:val="clear" w:color="auto" w:fill="auto"/>
                    <w:vAlign w:val="center"/>
                  </w:tcPr>
                  <w:p>
                    <w:pPr>
                      <w:jc w:val="center"/>
                      <w:rPr>
                        <w:rFonts w:cs="Arial"/>
                        <w:szCs w:val="21"/>
                      </w:rPr>
                    </w:pPr>
                    <w:r>
                      <w:rPr>
                        <w:rFonts w:hint="eastAsia" w:cs="Arial"/>
                        <w:szCs w:val="21"/>
                        <w:lang w:val="en-GB"/>
                      </w:rPr>
                      <w:t>资产合计</w:t>
                    </w:r>
                  </w:p>
                </w:tc>
              </w:sdtContent>
            </w:sdt>
            <w:sdt>
              <w:sdtPr>
                <w:tag w:val="_PLD_a6a87cbf1eb046db9bbca57bcceaf08a"/>
                <w:id w:val="-731226901"/>
                <w:lock w:val="sdtLocked"/>
              </w:sdtPr>
              <w:sdtContent>
                <w:tc>
                  <w:tcPr>
                    <w:tcW w:w="361" w:type="pct"/>
                    <w:shd w:val="clear" w:color="auto" w:fill="auto"/>
                    <w:vAlign w:val="center"/>
                  </w:tcPr>
                  <w:p>
                    <w:pPr>
                      <w:jc w:val="center"/>
                      <w:rPr>
                        <w:rFonts w:cs="Arial"/>
                        <w:szCs w:val="21"/>
                      </w:rPr>
                    </w:pPr>
                    <w:r>
                      <w:rPr>
                        <w:rFonts w:hint="eastAsia" w:cs="Arial"/>
                        <w:szCs w:val="21"/>
                        <w:lang w:val="en-GB"/>
                      </w:rPr>
                      <w:t>流动负债</w:t>
                    </w:r>
                  </w:p>
                </w:tc>
              </w:sdtContent>
            </w:sdt>
            <w:sdt>
              <w:sdtPr>
                <w:tag w:val="_PLD_bed2f2ec1880450a93ab1b045e836c87"/>
                <w:id w:val="-239948755"/>
                <w:lock w:val="sdtLocked"/>
              </w:sdtPr>
              <w:sdtContent>
                <w:tc>
                  <w:tcPr>
                    <w:tcW w:w="388" w:type="pct"/>
                    <w:shd w:val="clear" w:color="auto" w:fill="auto"/>
                    <w:vAlign w:val="center"/>
                  </w:tcPr>
                  <w:p>
                    <w:pPr>
                      <w:ind w:left="-40" w:right="-97"/>
                      <w:jc w:val="center"/>
                      <w:rPr>
                        <w:rFonts w:cs="Arial"/>
                        <w:szCs w:val="21"/>
                      </w:rPr>
                    </w:pPr>
                    <w:r>
                      <w:rPr>
                        <w:rFonts w:hint="eastAsia" w:cs="Arial"/>
                        <w:szCs w:val="21"/>
                        <w:lang w:val="en-GB"/>
                      </w:rPr>
                      <w:t>非流动负债</w:t>
                    </w:r>
                  </w:p>
                </w:tc>
              </w:sdtContent>
            </w:sdt>
            <w:sdt>
              <w:sdtPr>
                <w:tag w:val="_PLD_3609f15b31554b67a5a1ff617bd5582d"/>
                <w:id w:val="-1532643271"/>
                <w:lock w:val="sdtLocked"/>
              </w:sdtPr>
              <w:sdtContent>
                <w:tc>
                  <w:tcPr>
                    <w:tcW w:w="388" w:type="pct"/>
                    <w:shd w:val="clear" w:color="auto" w:fill="auto"/>
                    <w:vAlign w:val="center"/>
                  </w:tcPr>
                  <w:p>
                    <w:pPr>
                      <w:jc w:val="center"/>
                      <w:rPr>
                        <w:rFonts w:cs="Arial"/>
                        <w:szCs w:val="21"/>
                      </w:rPr>
                    </w:pPr>
                    <w:r>
                      <w:rPr>
                        <w:rFonts w:hint="eastAsia" w:cs="Arial"/>
                        <w:szCs w:val="21"/>
                        <w:lang w:val="en-GB"/>
                      </w:rPr>
                      <w:t>负债合计</w:t>
                    </w:r>
                  </w:p>
                </w:tc>
              </w:sdtContent>
            </w:sdt>
            <w:sdt>
              <w:sdtPr>
                <w:tag w:val="_PLD_35c03e5c5e124d339d35180c4515f97a"/>
                <w:id w:val="-1004967495"/>
                <w:lock w:val="sdtLocked"/>
              </w:sdtPr>
              <w:sdtContent>
                <w:tc>
                  <w:tcPr>
                    <w:tcW w:w="388" w:type="pct"/>
                    <w:shd w:val="clear" w:color="auto" w:fill="auto"/>
                    <w:vAlign w:val="center"/>
                  </w:tcPr>
                  <w:p>
                    <w:pPr>
                      <w:jc w:val="center"/>
                      <w:rPr>
                        <w:rFonts w:cs="Arial"/>
                        <w:szCs w:val="21"/>
                      </w:rPr>
                    </w:pPr>
                    <w:r>
                      <w:rPr>
                        <w:rFonts w:hint="eastAsia" w:cs="Arial"/>
                        <w:szCs w:val="21"/>
                        <w:lang w:val="en-GB"/>
                      </w:rPr>
                      <w:t>流动资产</w:t>
                    </w:r>
                  </w:p>
                </w:tc>
              </w:sdtContent>
            </w:sdt>
            <w:sdt>
              <w:sdtPr>
                <w:tag w:val="_PLD_c9852fe654ce474bb582d7b8dab46c0a"/>
                <w:id w:val="1204295453"/>
                <w:lock w:val="sdtLocked"/>
              </w:sdtPr>
              <w:sdtContent>
                <w:tc>
                  <w:tcPr>
                    <w:tcW w:w="388" w:type="pct"/>
                    <w:shd w:val="clear" w:color="auto" w:fill="auto"/>
                    <w:vAlign w:val="center"/>
                  </w:tcPr>
                  <w:p>
                    <w:pPr>
                      <w:ind w:left="-40" w:right="-97"/>
                      <w:jc w:val="center"/>
                      <w:rPr>
                        <w:rFonts w:cs="Arial"/>
                        <w:szCs w:val="21"/>
                      </w:rPr>
                    </w:pPr>
                    <w:r>
                      <w:rPr>
                        <w:rFonts w:hint="eastAsia" w:cs="Arial"/>
                        <w:szCs w:val="21"/>
                        <w:lang w:val="en-GB"/>
                      </w:rPr>
                      <w:t>非流动资产</w:t>
                    </w:r>
                  </w:p>
                </w:tc>
              </w:sdtContent>
            </w:sdt>
            <w:sdt>
              <w:sdtPr>
                <w:tag w:val="_PLD_e7455f798f7740fdafaf89940e8195c3"/>
                <w:id w:val="-76205214"/>
                <w:lock w:val="sdtLocked"/>
              </w:sdtPr>
              <w:sdtContent>
                <w:tc>
                  <w:tcPr>
                    <w:tcW w:w="388" w:type="pct"/>
                    <w:shd w:val="clear" w:color="auto" w:fill="auto"/>
                    <w:vAlign w:val="center"/>
                  </w:tcPr>
                  <w:p>
                    <w:pPr>
                      <w:jc w:val="center"/>
                      <w:rPr>
                        <w:rFonts w:cs="Arial"/>
                        <w:szCs w:val="21"/>
                      </w:rPr>
                    </w:pPr>
                    <w:r>
                      <w:rPr>
                        <w:rFonts w:hint="eastAsia" w:cs="Arial"/>
                        <w:szCs w:val="21"/>
                        <w:lang w:val="en-GB"/>
                      </w:rPr>
                      <w:t>资产合计</w:t>
                    </w:r>
                  </w:p>
                </w:tc>
              </w:sdtContent>
            </w:sdt>
            <w:sdt>
              <w:sdtPr>
                <w:tag w:val="_PLD_b590bdfc5abd4f30a4b1c3cf13a2772b"/>
                <w:id w:val="-2087901284"/>
                <w:lock w:val="sdtLocked"/>
              </w:sdtPr>
              <w:sdtContent>
                <w:tc>
                  <w:tcPr>
                    <w:tcW w:w="388" w:type="pct"/>
                    <w:shd w:val="clear" w:color="auto" w:fill="auto"/>
                    <w:vAlign w:val="center"/>
                  </w:tcPr>
                  <w:p>
                    <w:pPr>
                      <w:jc w:val="center"/>
                      <w:rPr>
                        <w:rFonts w:cs="Arial"/>
                        <w:szCs w:val="21"/>
                      </w:rPr>
                    </w:pPr>
                    <w:r>
                      <w:rPr>
                        <w:rFonts w:hint="eastAsia" w:cs="Arial"/>
                        <w:szCs w:val="21"/>
                        <w:lang w:val="en-GB"/>
                      </w:rPr>
                      <w:t>流动负债</w:t>
                    </w:r>
                  </w:p>
                </w:tc>
              </w:sdtContent>
            </w:sdt>
            <w:sdt>
              <w:sdtPr>
                <w:tag w:val="_PLD_acc4c516f1954954b9ffdd4ee0900cfe"/>
                <w:id w:val="-849791807"/>
                <w:lock w:val="sdtLocked"/>
              </w:sdtPr>
              <w:sdtContent>
                <w:tc>
                  <w:tcPr>
                    <w:tcW w:w="388" w:type="pct"/>
                    <w:shd w:val="clear" w:color="auto" w:fill="auto"/>
                    <w:vAlign w:val="center"/>
                  </w:tcPr>
                  <w:p>
                    <w:pPr>
                      <w:ind w:left="-40" w:right="-97"/>
                      <w:jc w:val="center"/>
                      <w:rPr>
                        <w:rFonts w:cs="Arial"/>
                        <w:szCs w:val="21"/>
                      </w:rPr>
                    </w:pPr>
                    <w:r>
                      <w:rPr>
                        <w:rFonts w:hint="eastAsia" w:cs="Arial"/>
                        <w:szCs w:val="21"/>
                        <w:lang w:val="en-GB"/>
                      </w:rPr>
                      <w:t>非流动负债</w:t>
                    </w:r>
                  </w:p>
                </w:tc>
              </w:sdtContent>
            </w:sdt>
            <w:sdt>
              <w:sdtPr>
                <w:tag w:val="_PLD_397eebedf0c14a0e8060aa378e6e579d"/>
                <w:id w:val="408432496"/>
                <w:lock w:val="sdtLocked"/>
              </w:sdtPr>
              <w:sdtContent>
                <w:tc>
                  <w:tcPr>
                    <w:tcW w:w="388" w:type="pct"/>
                    <w:shd w:val="clear" w:color="auto" w:fill="auto"/>
                    <w:vAlign w:val="center"/>
                  </w:tcPr>
                  <w:p>
                    <w:pPr>
                      <w:jc w:val="center"/>
                      <w:rPr>
                        <w:rFonts w:cs="Arial"/>
                        <w:szCs w:val="21"/>
                      </w:rPr>
                    </w:pPr>
                    <w:r>
                      <w:rPr>
                        <w:rFonts w:hint="eastAsia" w:cs="Arial"/>
                        <w:szCs w:val="21"/>
                        <w:lang w:val="en-GB"/>
                      </w:rPr>
                      <w:t>负债合计</w:t>
                    </w:r>
                  </w:p>
                </w:tc>
              </w:sdtContent>
            </w:sdt>
          </w:tr>
          <w:sdt>
            <w:sdtPr>
              <w:rPr>
                <w:sz w:val="18"/>
                <w:szCs w:val="18"/>
              </w:rPr>
              <w:alias w:val="重要非全资子公司的主要财务信息明细"/>
              <w:tag w:val="_GBC_feef0d2d67a84217a9099e634bb2d3df"/>
              <w:id w:val="1006405482"/>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Pr>
                  <w:p>
                    <w:pPr>
                      <w:rPr>
                        <w:sz w:val="18"/>
                        <w:szCs w:val="18"/>
                      </w:rPr>
                    </w:pPr>
                    <w:r>
                      <w:rPr>
                        <w:sz w:val="18"/>
                        <w:szCs w:val="18"/>
                      </w:rPr>
                      <w:t>重庆力帆三轮摩托车有限公司</w:t>
                    </w:r>
                  </w:p>
                </w:tc>
                <w:tc>
                  <w:tcPr>
                    <w:tcW w:w="388" w:type="pct"/>
                    <w:vAlign w:val="center"/>
                  </w:tcPr>
                  <w:p>
                    <w:pPr>
                      <w:jc w:val="right"/>
                      <w:rPr>
                        <w:sz w:val="18"/>
                        <w:szCs w:val="18"/>
                      </w:rPr>
                    </w:pPr>
                    <w:r>
                      <w:rPr>
                        <w:sz w:val="18"/>
                        <w:szCs w:val="18"/>
                      </w:rPr>
                      <w:t>3,199.42</w:t>
                    </w:r>
                  </w:p>
                </w:tc>
                <w:tc>
                  <w:tcPr>
                    <w:tcW w:w="388" w:type="pct"/>
                    <w:vAlign w:val="center"/>
                  </w:tcPr>
                  <w:p>
                    <w:pPr>
                      <w:jc w:val="right"/>
                      <w:rPr>
                        <w:sz w:val="18"/>
                        <w:szCs w:val="18"/>
                      </w:rPr>
                    </w:pPr>
                    <w:r>
                      <w:rPr>
                        <w:sz w:val="18"/>
                        <w:szCs w:val="18"/>
                      </w:rPr>
                      <w:t>28.79</w:t>
                    </w:r>
                  </w:p>
                </w:tc>
                <w:tc>
                  <w:tcPr>
                    <w:tcW w:w="388" w:type="pct"/>
                    <w:vAlign w:val="center"/>
                  </w:tcPr>
                  <w:p>
                    <w:pPr>
                      <w:jc w:val="right"/>
                      <w:rPr>
                        <w:sz w:val="18"/>
                        <w:szCs w:val="18"/>
                      </w:rPr>
                    </w:pPr>
                    <w:r>
                      <w:rPr>
                        <w:sz w:val="18"/>
                        <w:szCs w:val="18"/>
                      </w:rPr>
                      <w:t>3,228.21</w:t>
                    </w:r>
                  </w:p>
                </w:tc>
                <w:tc>
                  <w:tcPr>
                    <w:tcW w:w="361" w:type="pct"/>
                    <w:vAlign w:val="center"/>
                  </w:tcPr>
                  <w:p>
                    <w:pPr>
                      <w:jc w:val="right"/>
                      <w:rPr>
                        <w:sz w:val="18"/>
                        <w:szCs w:val="18"/>
                      </w:rPr>
                    </w:pPr>
                    <w:r>
                      <w:rPr>
                        <w:sz w:val="18"/>
                        <w:szCs w:val="18"/>
                      </w:rPr>
                      <w:t>927.85</w:t>
                    </w:r>
                  </w:p>
                </w:tc>
                <w:tc>
                  <w:tcPr>
                    <w:tcW w:w="388" w:type="pct"/>
                    <w:vAlign w:val="center"/>
                  </w:tcPr>
                  <w:p>
                    <w:pPr>
                      <w:jc w:val="right"/>
                      <w:rPr>
                        <w:sz w:val="18"/>
                        <w:szCs w:val="18"/>
                      </w:rPr>
                    </w:pPr>
                  </w:p>
                </w:tc>
                <w:tc>
                  <w:tcPr>
                    <w:tcW w:w="388" w:type="pct"/>
                    <w:vAlign w:val="center"/>
                  </w:tcPr>
                  <w:p>
                    <w:pPr>
                      <w:jc w:val="right"/>
                      <w:rPr>
                        <w:sz w:val="18"/>
                        <w:szCs w:val="18"/>
                      </w:rPr>
                    </w:pPr>
                    <w:r>
                      <w:rPr>
                        <w:sz w:val="18"/>
                        <w:szCs w:val="18"/>
                      </w:rPr>
                      <w:t>927.85</w:t>
                    </w:r>
                  </w:p>
                </w:tc>
                <w:tc>
                  <w:tcPr>
                    <w:tcW w:w="388" w:type="pct"/>
                    <w:vAlign w:val="center"/>
                  </w:tcPr>
                  <w:p>
                    <w:pPr>
                      <w:jc w:val="right"/>
                      <w:rPr>
                        <w:sz w:val="18"/>
                        <w:szCs w:val="18"/>
                      </w:rPr>
                    </w:pPr>
                    <w:r>
                      <w:rPr>
                        <w:sz w:val="18"/>
                        <w:szCs w:val="18"/>
                      </w:rPr>
                      <w:t>4,021.67</w:t>
                    </w:r>
                  </w:p>
                </w:tc>
                <w:tc>
                  <w:tcPr>
                    <w:tcW w:w="388" w:type="pct"/>
                    <w:vAlign w:val="center"/>
                  </w:tcPr>
                  <w:p>
                    <w:pPr>
                      <w:jc w:val="right"/>
                      <w:rPr>
                        <w:sz w:val="18"/>
                        <w:szCs w:val="18"/>
                      </w:rPr>
                    </w:pPr>
                    <w:r>
                      <w:rPr>
                        <w:sz w:val="18"/>
                        <w:szCs w:val="18"/>
                      </w:rPr>
                      <w:t>41.74</w:t>
                    </w:r>
                  </w:p>
                </w:tc>
                <w:tc>
                  <w:tcPr>
                    <w:tcW w:w="388" w:type="pct"/>
                    <w:vAlign w:val="center"/>
                  </w:tcPr>
                  <w:p>
                    <w:pPr>
                      <w:jc w:val="right"/>
                      <w:rPr>
                        <w:sz w:val="18"/>
                        <w:szCs w:val="18"/>
                      </w:rPr>
                    </w:pPr>
                    <w:r>
                      <w:rPr>
                        <w:sz w:val="18"/>
                        <w:szCs w:val="18"/>
                      </w:rPr>
                      <w:t>4,063.41</w:t>
                    </w:r>
                  </w:p>
                </w:tc>
                <w:tc>
                  <w:tcPr>
                    <w:tcW w:w="388" w:type="pct"/>
                    <w:vAlign w:val="center"/>
                  </w:tcPr>
                  <w:p>
                    <w:pPr>
                      <w:jc w:val="right"/>
                      <w:rPr>
                        <w:sz w:val="18"/>
                        <w:szCs w:val="18"/>
                      </w:rPr>
                    </w:pPr>
                    <w:r>
                      <w:rPr>
                        <w:sz w:val="18"/>
                        <w:szCs w:val="18"/>
                      </w:rPr>
                      <w:t>1,439.65</w:t>
                    </w:r>
                  </w:p>
                </w:tc>
                <w:tc>
                  <w:tcPr>
                    <w:tcW w:w="388" w:type="pct"/>
                    <w:vAlign w:val="center"/>
                  </w:tcPr>
                  <w:p>
                    <w:pPr>
                      <w:jc w:val="right"/>
                      <w:rPr>
                        <w:sz w:val="18"/>
                        <w:szCs w:val="18"/>
                      </w:rPr>
                    </w:pPr>
                  </w:p>
                </w:tc>
                <w:tc>
                  <w:tcPr>
                    <w:tcW w:w="388" w:type="pct"/>
                    <w:vAlign w:val="center"/>
                  </w:tcPr>
                  <w:p>
                    <w:pPr>
                      <w:jc w:val="right"/>
                      <w:rPr>
                        <w:sz w:val="18"/>
                        <w:szCs w:val="18"/>
                      </w:rPr>
                    </w:pPr>
                    <w:r>
                      <w:rPr>
                        <w:sz w:val="18"/>
                        <w:szCs w:val="18"/>
                      </w:rPr>
                      <w:t>1,439.65</w:t>
                    </w:r>
                  </w:p>
                </w:tc>
              </w:tr>
            </w:sdtContent>
          </w:sdt>
          <w:sdt>
            <w:sdtPr>
              <w:rPr>
                <w:sz w:val="18"/>
                <w:szCs w:val="18"/>
              </w:rPr>
              <w:alias w:val="重要非全资子公司的主要财务信息明细"/>
              <w:tag w:val="_GBC_feef0d2d67a84217a9099e634bb2d3df"/>
              <w:id w:val="1331108791"/>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Pr>
                  <w:p>
                    <w:pPr>
                      <w:rPr>
                        <w:sz w:val="18"/>
                        <w:szCs w:val="18"/>
                      </w:rPr>
                    </w:pPr>
                    <w:r>
                      <w:rPr>
                        <w:sz w:val="18"/>
                        <w:szCs w:val="18"/>
                      </w:rPr>
                      <w:t>河南力帆树民车业有限公司</w:t>
                    </w:r>
                  </w:p>
                </w:tc>
                <w:tc>
                  <w:tcPr>
                    <w:tcW w:w="388" w:type="pct"/>
                    <w:vAlign w:val="center"/>
                  </w:tcPr>
                  <w:p>
                    <w:pPr>
                      <w:jc w:val="right"/>
                      <w:rPr>
                        <w:sz w:val="18"/>
                        <w:szCs w:val="18"/>
                      </w:rPr>
                    </w:pPr>
                    <w:r>
                      <w:rPr>
                        <w:sz w:val="18"/>
                        <w:szCs w:val="18"/>
                      </w:rPr>
                      <w:t>5,707.98</w:t>
                    </w:r>
                  </w:p>
                </w:tc>
                <w:tc>
                  <w:tcPr>
                    <w:tcW w:w="388" w:type="pct"/>
                    <w:vAlign w:val="center"/>
                  </w:tcPr>
                  <w:p>
                    <w:pPr>
                      <w:jc w:val="right"/>
                      <w:rPr>
                        <w:sz w:val="18"/>
                        <w:szCs w:val="18"/>
                      </w:rPr>
                    </w:pPr>
                    <w:r>
                      <w:rPr>
                        <w:sz w:val="18"/>
                        <w:szCs w:val="18"/>
                      </w:rPr>
                      <w:t>22,525.4</w:t>
                    </w:r>
                  </w:p>
                </w:tc>
                <w:tc>
                  <w:tcPr>
                    <w:tcW w:w="388" w:type="pct"/>
                    <w:vAlign w:val="center"/>
                  </w:tcPr>
                  <w:p>
                    <w:pPr>
                      <w:jc w:val="right"/>
                      <w:rPr>
                        <w:sz w:val="18"/>
                        <w:szCs w:val="18"/>
                      </w:rPr>
                    </w:pPr>
                    <w:r>
                      <w:rPr>
                        <w:sz w:val="18"/>
                        <w:szCs w:val="18"/>
                      </w:rPr>
                      <w:t>28,233.38</w:t>
                    </w:r>
                  </w:p>
                </w:tc>
                <w:tc>
                  <w:tcPr>
                    <w:tcW w:w="361" w:type="pct"/>
                    <w:vAlign w:val="center"/>
                  </w:tcPr>
                  <w:p>
                    <w:pPr>
                      <w:jc w:val="right"/>
                      <w:rPr>
                        <w:sz w:val="18"/>
                        <w:szCs w:val="18"/>
                      </w:rPr>
                    </w:pPr>
                    <w:r>
                      <w:rPr>
                        <w:sz w:val="18"/>
                        <w:szCs w:val="18"/>
                      </w:rPr>
                      <w:t>11,318.55</w:t>
                    </w:r>
                  </w:p>
                </w:tc>
                <w:tc>
                  <w:tcPr>
                    <w:tcW w:w="388" w:type="pct"/>
                    <w:vAlign w:val="center"/>
                  </w:tcPr>
                  <w:p>
                    <w:pPr>
                      <w:jc w:val="right"/>
                      <w:rPr>
                        <w:sz w:val="18"/>
                        <w:szCs w:val="18"/>
                      </w:rPr>
                    </w:pPr>
                    <w:r>
                      <w:rPr>
                        <w:sz w:val="18"/>
                        <w:szCs w:val="18"/>
                      </w:rPr>
                      <w:t>66</w:t>
                    </w:r>
                  </w:p>
                </w:tc>
                <w:tc>
                  <w:tcPr>
                    <w:tcW w:w="388" w:type="pct"/>
                    <w:vAlign w:val="center"/>
                  </w:tcPr>
                  <w:p>
                    <w:pPr>
                      <w:jc w:val="right"/>
                      <w:rPr>
                        <w:sz w:val="18"/>
                        <w:szCs w:val="18"/>
                      </w:rPr>
                    </w:pPr>
                    <w:r>
                      <w:rPr>
                        <w:sz w:val="18"/>
                        <w:szCs w:val="18"/>
                      </w:rPr>
                      <w:t>11,384.55</w:t>
                    </w:r>
                  </w:p>
                </w:tc>
                <w:tc>
                  <w:tcPr>
                    <w:tcW w:w="388" w:type="pct"/>
                    <w:vAlign w:val="center"/>
                  </w:tcPr>
                  <w:p>
                    <w:pPr>
                      <w:jc w:val="right"/>
                      <w:rPr>
                        <w:sz w:val="18"/>
                        <w:szCs w:val="18"/>
                      </w:rPr>
                    </w:pPr>
                    <w:r>
                      <w:rPr>
                        <w:sz w:val="18"/>
                        <w:szCs w:val="18"/>
                      </w:rPr>
                      <w:t>3,244.09</w:t>
                    </w:r>
                  </w:p>
                </w:tc>
                <w:tc>
                  <w:tcPr>
                    <w:tcW w:w="388" w:type="pct"/>
                    <w:vAlign w:val="center"/>
                  </w:tcPr>
                  <w:p>
                    <w:pPr>
                      <w:jc w:val="right"/>
                      <w:rPr>
                        <w:sz w:val="18"/>
                        <w:szCs w:val="18"/>
                      </w:rPr>
                    </w:pPr>
                    <w:r>
                      <w:rPr>
                        <w:sz w:val="18"/>
                        <w:szCs w:val="18"/>
                      </w:rPr>
                      <w:t>23,705.79</w:t>
                    </w:r>
                  </w:p>
                </w:tc>
                <w:tc>
                  <w:tcPr>
                    <w:tcW w:w="388" w:type="pct"/>
                    <w:vAlign w:val="center"/>
                  </w:tcPr>
                  <w:p>
                    <w:pPr>
                      <w:jc w:val="right"/>
                      <w:rPr>
                        <w:sz w:val="18"/>
                        <w:szCs w:val="18"/>
                      </w:rPr>
                    </w:pPr>
                    <w:r>
                      <w:rPr>
                        <w:sz w:val="18"/>
                        <w:szCs w:val="18"/>
                      </w:rPr>
                      <w:t>26,949.88</w:t>
                    </w:r>
                  </w:p>
                </w:tc>
                <w:tc>
                  <w:tcPr>
                    <w:tcW w:w="388" w:type="pct"/>
                    <w:vAlign w:val="center"/>
                  </w:tcPr>
                  <w:p>
                    <w:pPr>
                      <w:jc w:val="right"/>
                      <w:rPr>
                        <w:sz w:val="18"/>
                        <w:szCs w:val="18"/>
                      </w:rPr>
                    </w:pPr>
                    <w:r>
                      <w:rPr>
                        <w:sz w:val="18"/>
                        <w:szCs w:val="18"/>
                      </w:rPr>
                      <w:t>11,782.69</w:t>
                    </w:r>
                  </w:p>
                </w:tc>
                <w:tc>
                  <w:tcPr>
                    <w:tcW w:w="388" w:type="pct"/>
                    <w:vAlign w:val="center"/>
                  </w:tcPr>
                  <w:p>
                    <w:pPr>
                      <w:jc w:val="right"/>
                      <w:rPr>
                        <w:sz w:val="18"/>
                        <w:szCs w:val="18"/>
                      </w:rPr>
                    </w:pPr>
                    <w:r>
                      <w:rPr>
                        <w:sz w:val="18"/>
                        <w:szCs w:val="18"/>
                      </w:rPr>
                      <w:t>77</w:t>
                    </w:r>
                  </w:p>
                </w:tc>
                <w:tc>
                  <w:tcPr>
                    <w:tcW w:w="388" w:type="pct"/>
                    <w:vAlign w:val="center"/>
                  </w:tcPr>
                  <w:p>
                    <w:pPr>
                      <w:jc w:val="right"/>
                      <w:rPr>
                        <w:sz w:val="18"/>
                        <w:szCs w:val="18"/>
                      </w:rPr>
                    </w:pPr>
                    <w:r>
                      <w:rPr>
                        <w:sz w:val="18"/>
                        <w:szCs w:val="18"/>
                      </w:rPr>
                      <w:t>11,859.69</w:t>
                    </w:r>
                  </w:p>
                </w:tc>
              </w:tr>
            </w:sdtContent>
          </w:sdt>
          <w:sdt>
            <w:sdtPr>
              <w:rPr>
                <w:sz w:val="18"/>
                <w:szCs w:val="18"/>
              </w:rPr>
              <w:alias w:val="重要非全资子公司的主要财务信息明细"/>
              <w:tag w:val="_GBC_feef0d2d67a84217a9099e634bb2d3df"/>
              <w:id w:val="-183390384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7" w:type="pct"/>
                  </w:tcPr>
                  <w:p>
                    <w:pPr>
                      <w:rPr>
                        <w:sz w:val="18"/>
                        <w:szCs w:val="18"/>
                      </w:rPr>
                    </w:pPr>
                    <w:r>
                      <w:rPr>
                        <w:sz w:val="18"/>
                        <w:szCs w:val="18"/>
                      </w:rPr>
                      <w:t>重庆润田房地产开发有限公司</w:t>
                    </w:r>
                  </w:p>
                </w:tc>
                <w:tc>
                  <w:tcPr>
                    <w:tcW w:w="388" w:type="pct"/>
                    <w:vAlign w:val="center"/>
                  </w:tcPr>
                  <w:p>
                    <w:pPr>
                      <w:jc w:val="right"/>
                      <w:rPr>
                        <w:sz w:val="18"/>
                        <w:szCs w:val="18"/>
                      </w:rPr>
                    </w:pPr>
                    <w:r>
                      <w:rPr>
                        <w:sz w:val="18"/>
                        <w:szCs w:val="18"/>
                      </w:rPr>
                      <w:t>185,920.11</w:t>
                    </w:r>
                  </w:p>
                </w:tc>
                <w:tc>
                  <w:tcPr>
                    <w:tcW w:w="388" w:type="pct"/>
                    <w:vAlign w:val="center"/>
                  </w:tcPr>
                  <w:p>
                    <w:pPr>
                      <w:jc w:val="right"/>
                      <w:rPr>
                        <w:sz w:val="18"/>
                        <w:szCs w:val="18"/>
                      </w:rPr>
                    </w:pPr>
                    <w:r>
                      <w:rPr>
                        <w:sz w:val="18"/>
                        <w:szCs w:val="18"/>
                      </w:rPr>
                      <w:t>300,795.65</w:t>
                    </w:r>
                  </w:p>
                </w:tc>
                <w:tc>
                  <w:tcPr>
                    <w:tcW w:w="388" w:type="pct"/>
                    <w:vAlign w:val="center"/>
                  </w:tcPr>
                  <w:p>
                    <w:pPr>
                      <w:jc w:val="right"/>
                      <w:rPr>
                        <w:sz w:val="18"/>
                        <w:szCs w:val="18"/>
                      </w:rPr>
                    </w:pPr>
                    <w:r>
                      <w:rPr>
                        <w:sz w:val="18"/>
                        <w:szCs w:val="18"/>
                      </w:rPr>
                      <w:t>486,715.76</w:t>
                    </w:r>
                  </w:p>
                </w:tc>
                <w:tc>
                  <w:tcPr>
                    <w:tcW w:w="361" w:type="pct"/>
                    <w:vAlign w:val="center"/>
                  </w:tcPr>
                  <w:p>
                    <w:pPr>
                      <w:jc w:val="right"/>
                      <w:rPr>
                        <w:sz w:val="18"/>
                        <w:szCs w:val="18"/>
                      </w:rPr>
                    </w:pPr>
                    <w:r>
                      <w:rPr>
                        <w:sz w:val="18"/>
                        <w:szCs w:val="18"/>
                      </w:rPr>
                      <w:t>146,108.2</w:t>
                    </w:r>
                  </w:p>
                </w:tc>
                <w:tc>
                  <w:tcPr>
                    <w:tcW w:w="388" w:type="pct"/>
                    <w:vAlign w:val="center"/>
                  </w:tcPr>
                  <w:p>
                    <w:pPr>
                      <w:jc w:val="right"/>
                      <w:rPr>
                        <w:sz w:val="18"/>
                        <w:szCs w:val="18"/>
                      </w:rPr>
                    </w:pPr>
                    <w:r>
                      <w:rPr>
                        <w:sz w:val="18"/>
                        <w:szCs w:val="18"/>
                      </w:rPr>
                      <w:t>123,132.71</w:t>
                    </w:r>
                  </w:p>
                </w:tc>
                <w:tc>
                  <w:tcPr>
                    <w:tcW w:w="388" w:type="pct"/>
                    <w:vAlign w:val="center"/>
                  </w:tcPr>
                  <w:p>
                    <w:pPr>
                      <w:jc w:val="right"/>
                      <w:rPr>
                        <w:sz w:val="18"/>
                        <w:szCs w:val="18"/>
                      </w:rPr>
                    </w:pPr>
                    <w:r>
                      <w:rPr>
                        <w:sz w:val="18"/>
                        <w:szCs w:val="18"/>
                      </w:rPr>
                      <w:t>269,240.91</w:t>
                    </w:r>
                  </w:p>
                </w:tc>
                <w:tc>
                  <w:tcPr>
                    <w:tcW w:w="388" w:type="pct"/>
                    <w:vAlign w:val="center"/>
                  </w:tcPr>
                  <w:p>
                    <w:pPr>
                      <w:jc w:val="right"/>
                      <w:rPr>
                        <w:sz w:val="18"/>
                        <w:szCs w:val="18"/>
                      </w:rPr>
                    </w:pPr>
                    <w:r>
                      <w:rPr>
                        <w:sz w:val="18"/>
                        <w:szCs w:val="18"/>
                      </w:rPr>
                      <w:t>236,107.86</w:t>
                    </w:r>
                  </w:p>
                </w:tc>
                <w:tc>
                  <w:tcPr>
                    <w:tcW w:w="388" w:type="pct"/>
                    <w:vAlign w:val="center"/>
                  </w:tcPr>
                  <w:p>
                    <w:pPr>
                      <w:jc w:val="right"/>
                      <w:rPr>
                        <w:sz w:val="18"/>
                        <w:szCs w:val="18"/>
                      </w:rPr>
                    </w:pPr>
                    <w:r>
                      <w:rPr>
                        <w:sz w:val="18"/>
                        <w:szCs w:val="18"/>
                      </w:rPr>
                      <w:t>249,488.95</w:t>
                    </w:r>
                  </w:p>
                </w:tc>
                <w:tc>
                  <w:tcPr>
                    <w:tcW w:w="388" w:type="pct"/>
                    <w:vAlign w:val="center"/>
                  </w:tcPr>
                  <w:p>
                    <w:pPr>
                      <w:jc w:val="right"/>
                      <w:rPr>
                        <w:sz w:val="18"/>
                        <w:szCs w:val="18"/>
                      </w:rPr>
                    </w:pPr>
                    <w:r>
                      <w:rPr>
                        <w:sz w:val="18"/>
                        <w:szCs w:val="18"/>
                      </w:rPr>
                      <w:t>485,596.81</w:t>
                    </w:r>
                  </w:p>
                </w:tc>
                <w:tc>
                  <w:tcPr>
                    <w:tcW w:w="388" w:type="pct"/>
                    <w:vAlign w:val="center"/>
                  </w:tcPr>
                  <w:p>
                    <w:pPr>
                      <w:jc w:val="right"/>
                      <w:rPr>
                        <w:sz w:val="18"/>
                        <w:szCs w:val="18"/>
                      </w:rPr>
                    </w:pPr>
                    <w:r>
                      <w:rPr>
                        <w:sz w:val="18"/>
                        <w:szCs w:val="18"/>
                      </w:rPr>
                      <w:t>131,905.52</w:t>
                    </w:r>
                  </w:p>
                </w:tc>
                <w:tc>
                  <w:tcPr>
                    <w:tcW w:w="388" w:type="pct"/>
                    <w:vAlign w:val="center"/>
                  </w:tcPr>
                  <w:p>
                    <w:pPr>
                      <w:jc w:val="right"/>
                      <w:rPr>
                        <w:sz w:val="18"/>
                        <w:szCs w:val="18"/>
                      </w:rPr>
                    </w:pPr>
                    <w:r>
                      <w:rPr>
                        <w:sz w:val="18"/>
                        <w:szCs w:val="18"/>
                      </w:rPr>
                      <w:t>142,180.85</w:t>
                    </w:r>
                  </w:p>
                </w:tc>
                <w:tc>
                  <w:tcPr>
                    <w:tcW w:w="388" w:type="pct"/>
                    <w:vAlign w:val="center"/>
                  </w:tcPr>
                  <w:p>
                    <w:pPr>
                      <w:jc w:val="right"/>
                      <w:rPr>
                        <w:sz w:val="18"/>
                        <w:szCs w:val="18"/>
                      </w:rPr>
                    </w:pPr>
                    <w:r>
                      <w:rPr>
                        <w:sz w:val="18"/>
                        <w:szCs w:val="18"/>
                      </w:rPr>
                      <w:t>274,086.37</w:t>
                    </w:r>
                  </w:p>
                </w:tc>
              </w:tr>
            </w:sdtContent>
          </w:sdt>
        </w:tbl>
        <w:p/>
        <w:p>
          <w:pPr>
            <w:rPr>
              <w:rFonts w:cs="Arial"/>
              <w:szCs w:val="21"/>
            </w:rPr>
          </w:pPr>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4"/>
            <w:gridCol w:w="1383"/>
            <w:gridCol w:w="1322"/>
            <w:gridCol w:w="1464"/>
            <w:gridCol w:w="1620"/>
            <w:gridCol w:w="1383"/>
            <w:gridCol w:w="1322"/>
            <w:gridCol w:w="1464"/>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sdt>
              <w:sdtPr>
                <w:tag w:val="_PLD_f862f5520ccd48d7b0fd3b875414eb44"/>
                <w:id w:val="-1322268875"/>
                <w:lock w:val="sdtLocked"/>
              </w:sdtPr>
              <w:sdtContent>
                <w:tc>
                  <w:tcPr>
                    <w:tcW w:w="833" w:type="pct"/>
                    <w:vMerge w:val="restart"/>
                    <w:shd w:val="clear" w:color="auto" w:fill="auto"/>
                    <w:vAlign w:val="center"/>
                  </w:tcPr>
                  <w:p>
                    <w:pPr>
                      <w:spacing w:line="276" w:lineRule="auto"/>
                      <w:ind w:right="-16"/>
                      <w:jc w:val="center"/>
                      <w:rPr>
                        <w:rFonts w:cs="Arial"/>
                        <w:bCs/>
                        <w:szCs w:val="21"/>
                      </w:rPr>
                    </w:pPr>
                    <w:r>
                      <w:rPr>
                        <w:rFonts w:hint="eastAsia" w:cs="Arial"/>
                        <w:bCs/>
                        <w:szCs w:val="21"/>
                        <w:lang w:val="en-GB"/>
                      </w:rPr>
                      <w:t>子公司名称</w:t>
                    </w:r>
                  </w:p>
                </w:tc>
              </w:sdtContent>
            </w:sdt>
            <w:sdt>
              <w:sdtPr>
                <w:tag w:val="_PLD_5506f9b7657a4249a69db52c93f94b62"/>
                <w:id w:val="-1713265160"/>
                <w:lock w:val="sdtLocked"/>
              </w:sdtPr>
              <w:sdtContent>
                <w:tc>
                  <w:tcPr>
                    <w:tcW w:w="2084" w:type="pct"/>
                    <w:gridSpan w:val="4"/>
                    <w:shd w:val="clear" w:color="auto" w:fill="auto"/>
                    <w:vAlign w:val="center"/>
                  </w:tcPr>
                  <w:p>
                    <w:pPr>
                      <w:spacing w:line="276" w:lineRule="auto"/>
                      <w:ind w:right="-16"/>
                      <w:jc w:val="center"/>
                      <w:rPr>
                        <w:rFonts w:cs="Arial"/>
                        <w:bCs/>
                        <w:szCs w:val="21"/>
                      </w:rPr>
                    </w:pPr>
                    <w:r>
                      <w:rPr>
                        <w:rFonts w:hint="eastAsia" w:cs="Arial"/>
                        <w:bCs/>
                        <w:szCs w:val="21"/>
                        <w:lang w:val="en-GB"/>
                      </w:rPr>
                      <w:t>本期发生额</w:t>
                    </w:r>
                  </w:p>
                </w:tc>
              </w:sdtContent>
            </w:sdt>
            <w:sdt>
              <w:sdtPr>
                <w:tag w:val="_PLD_063dddde33114bd0989718130d614207"/>
                <w:id w:val="-2112432888"/>
                <w:lock w:val="sdtLocked"/>
              </w:sdtPr>
              <w:sdtContent>
                <w:tc>
                  <w:tcPr>
                    <w:tcW w:w="2084" w:type="pct"/>
                    <w:gridSpan w:val="4"/>
                    <w:shd w:val="clear" w:color="auto" w:fill="auto"/>
                    <w:vAlign w:val="center"/>
                  </w:tcPr>
                  <w:p>
                    <w:pPr>
                      <w:spacing w:line="276" w:lineRule="auto"/>
                      <w:ind w:right="-16"/>
                      <w:jc w:val="center"/>
                      <w:rPr>
                        <w:rFonts w:cs="Arial"/>
                        <w:bCs/>
                        <w:szCs w:val="21"/>
                      </w:rPr>
                    </w:pPr>
                    <w:r>
                      <w:rPr>
                        <w:rFonts w:hint="eastAsia" w:cs="Arial"/>
                        <w:bCs/>
                        <w:szCs w:val="21"/>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33" w:type="pct"/>
                <w:vMerge w:val="continue"/>
                <w:shd w:val="clear" w:color="auto" w:fill="auto"/>
                <w:vAlign w:val="center"/>
              </w:tcPr>
              <w:p>
                <w:pPr>
                  <w:jc w:val="center"/>
                  <w:rPr>
                    <w:rFonts w:cs="Arial"/>
                    <w:bCs/>
                    <w:szCs w:val="21"/>
                  </w:rPr>
                </w:pPr>
              </w:p>
            </w:tc>
            <w:sdt>
              <w:sdtPr>
                <w:tag w:val="_PLD_0ff6644b89fa49828839f84e0b320d2e"/>
                <w:id w:val="-71591325"/>
                <w:lock w:val="sdtLocked"/>
              </w:sdtPr>
              <w:sdtContent>
                <w:tc>
                  <w:tcPr>
                    <w:tcW w:w="498" w:type="pct"/>
                    <w:shd w:val="clear" w:color="auto" w:fill="auto"/>
                    <w:vAlign w:val="center"/>
                  </w:tcPr>
                  <w:p>
                    <w:pPr>
                      <w:spacing w:line="276" w:lineRule="auto"/>
                      <w:jc w:val="center"/>
                      <w:rPr>
                        <w:rFonts w:cs="Arial"/>
                        <w:szCs w:val="21"/>
                      </w:rPr>
                    </w:pPr>
                    <w:r>
                      <w:rPr>
                        <w:rFonts w:hint="eastAsia" w:cs="Arial"/>
                        <w:szCs w:val="21"/>
                        <w:lang w:val="en-GB"/>
                      </w:rPr>
                      <w:t>营业收入</w:t>
                    </w:r>
                  </w:p>
                </w:tc>
              </w:sdtContent>
            </w:sdt>
            <w:sdt>
              <w:sdtPr>
                <w:tag w:val="_PLD_3ed6f54533ae4b35b5749cded650328b"/>
                <w:id w:val="708296372"/>
                <w:lock w:val="sdtLocked"/>
              </w:sdtPr>
              <w:sdtContent>
                <w:tc>
                  <w:tcPr>
                    <w:tcW w:w="476" w:type="pct"/>
                    <w:shd w:val="clear" w:color="auto" w:fill="auto"/>
                    <w:vAlign w:val="center"/>
                  </w:tcPr>
                  <w:p>
                    <w:pPr>
                      <w:spacing w:line="276" w:lineRule="auto"/>
                      <w:jc w:val="center"/>
                      <w:rPr>
                        <w:rFonts w:cs="Arial"/>
                        <w:szCs w:val="21"/>
                      </w:rPr>
                    </w:pPr>
                    <w:r>
                      <w:rPr>
                        <w:rFonts w:hint="eastAsia" w:cs="Arial"/>
                        <w:szCs w:val="21"/>
                        <w:lang w:val="en-GB"/>
                      </w:rPr>
                      <w:t>净利润</w:t>
                    </w:r>
                  </w:p>
                </w:tc>
              </w:sdtContent>
            </w:sdt>
            <w:sdt>
              <w:sdtPr>
                <w:tag w:val="_PLD_f277e496f88240b8a09027ca500f53c9"/>
                <w:id w:val="1630283629"/>
                <w:lock w:val="sdtLocked"/>
              </w:sdtPr>
              <w:sdtContent>
                <w:tc>
                  <w:tcPr>
                    <w:tcW w:w="527" w:type="pct"/>
                    <w:shd w:val="clear" w:color="auto" w:fill="auto"/>
                    <w:vAlign w:val="center"/>
                  </w:tcPr>
                  <w:p>
                    <w:pPr>
                      <w:spacing w:line="276" w:lineRule="auto"/>
                      <w:jc w:val="center"/>
                      <w:rPr>
                        <w:rFonts w:cs="Arial"/>
                        <w:szCs w:val="21"/>
                      </w:rPr>
                    </w:pPr>
                    <w:r>
                      <w:rPr>
                        <w:rFonts w:hint="eastAsia" w:cs="Arial"/>
                        <w:szCs w:val="21"/>
                        <w:lang w:val="en-GB"/>
                      </w:rPr>
                      <w:t>综合收益总额</w:t>
                    </w:r>
                  </w:p>
                </w:tc>
              </w:sdtContent>
            </w:sdt>
            <w:sdt>
              <w:sdtPr>
                <w:tag w:val="_PLD_b06ad8ebb20b4c158ab41b3105f22658"/>
                <w:id w:val="-669253147"/>
                <w:lock w:val="sdtLocked"/>
              </w:sdtPr>
              <w:sdtContent>
                <w:tc>
                  <w:tcPr>
                    <w:tcW w:w="583" w:type="pct"/>
                    <w:shd w:val="clear" w:color="auto" w:fill="auto"/>
                    <w:vAlign w:val="center"/>
                  </w:tcPr>
                  <w:p>
                    <w:pPr>
                      <w:spacing w:line="276" w:lineRule="auto"/>
                      <w:jc w:val="center"/>
                      <w:rPr>
                        <w:rFonts w:cs="Arial"/>
                        <w:szCs w:val="21"/>
                      </w:rPr>
                    </w:pPr>
                    <w:r>
                      <w:rPr>
                        <w:rFonts w:hint="eastAsia" w:cs="Arial"/>
                        <w:szCs w:val="21"/>
                        <w:lang w:val="en-GB"/>
                      </w:rPr>
                      <w:t>经营活动现金流量</w:t>
                    </w:r>
                  </w:p>
                </w:tc>
              </w:sdtContent>
            </w:sdt>
            <w:sdt>
              <w:sdtPr>
                <w:tag w:val="_PLD_4fc4163d4ea74839b6634e2ab30a43dd"/>
                <w:id w:val="34012287"/>
                <w:lock w:val="sdtLocked"/>
              </w:sdtPr>
              <w:sdtContent>
                <w:tc>
                  <w:tcPr>
                    <w:tcW w:w="498" w:type="pct"/>
                    <w:shd w:val="clear" w:color="auto" w:fill="auto"/>
                    <w:vAlign w:val="center"/>
                  </w:tcPr>
                  <w:p>
                    <w:pPr>
                      <w:spacing w:line="276" w:lineRule="auto"/>
                      <w:jc w:val="center"/>
                      <w:rPr>
                        <w:rFonts w:cs="Arial"/>
                        <w:szCs w:val="21"/>
                      </w:rPr>
                    </w:pPr>
                    <w:r>
                      <w:rPr>
                        <w:rFonts w:hint="eastAsia" w:cs="Arial"/>
                        <w:szCs w:val="21"/>
                        <w:lang w:val="en-GB"/>
                      </w:rPr>
                      <w:t>营业收入</w:t>
                    </w:r>
                  </w:p>
                </w:tc>
              </w:sdtContent>
            </w:sdt>
            <w:sdt>
              <w:sdtPr>
                <w:tag w:val="_PLD_afe353d057d34119880797ab0530197f"/>
                <w:id w:val="356787620"/>
                <w:lock w:val="sdtLocked"/>
              </w:sdtPr>
              <w:sdtContent>
                <w:tc>
                  <w:tcPr>
                    <w:tcW w:w="476" w:type="pct"/>
                    <w:shd w:val="clear" w:color="auto" w:fill="auto"/>
                    <w:vAlign w:val="center"/>
                  </w:tcPr>
                  <w:p>
                    <w:pPr>
                      <w:spacing w:line="276" w:lineRule="auto"/>
                      <w:jc w:val="center"/>
                      <w:rPr>
                        <w:rFonts w:cs="Arial"/>
                        <w:szCs w:val="21"/>
                      </w:rPr>
                    </w:pPr>
                    <w:r>
                      <w:rPr>
                        <w:rFonts w:hint="eastAsia" w:cs="Arial"/>
                        <w:szCs w:val="21"/>
                        <w:lang w:val="en-GB"/>
                      </w:rPr>
                      <w:t>净利润</w:t>
                    </w:r>
                  </w:p>
                </w:tc>
              </w:sdtContent>
            </w:sdt>
            <w:sdt>
              <w:sdtPr>
                <w:tag w:val="_PLD_06c5ed8a09a8478bb7daf6526e9a9894"/>
                <w:id w:val="1394385272"/>
                <w:lock w:val="sdtLocked"/>
              </w:sdtPr>
              <w:sdtContent>
                <w:tc>
                  <w:tcPr>
                    <w:tcW w:w="527" w:type="pct"/>
                    <w:shd w:val="clear" w:color="auto" w:fill="auto"/>
                    <w:vAlign w:val="center"/>
                  </w:tcPr>
                  <w:p>
                    <w:pPr>
                      <w:spacing w:line="276" w:lineRule="auto"/>
                      <w:jc w:val="center"/>
                      <w:rPr>
                        <w:rFonts w:cs="Arial"/>
                        <w:szCs w:val="21"/>
                      </w:rPr>
                    </w:pPr>
                    <w:r>
                      <w:rPr>
                        <w:rFonts w:hint="eastAsia" w:cs="Arial"/>
                        <w:szCs w:val="21"/>
                        <w:lang w:val="en-GB"/>
                      </w:rPr>
                      <w:t>综合收益总额</w:t>
                    </w:r>
                  </w:p>
                </w:tc>
              </w:sdtContent>
            </w:sdt>
            <w:sdt>
              <w:sdtPr>
                <w:tag w:val="_PLD_4bb5318561af41709725de1d7e458dde"/>
                <w:id w:val="-860587747"/>
                <w:lock w:val="sdtLocked"/>
              </w:sdtPr>
              <w:sdtContent>
                <w:tc>
                  <w:tcPr>
                    <w:tcW w:w="583" w:type="pct"/>
                    <w:shd w:val="clear" w:color="auto" w:fill="auto"/>
                    <w:vAlign w:val="center"/>
                  </w:tcPr>
                  <w:p>
                    <w:pPr>
                      <w:spacing w:line="276" w:lineRule="auto"/>
                      <w:jc w:val="center"/>
                      <w:rPr>
                        <w:rFonts w:cs="Arial"/>
                        <w:szCs w:val="21"/>
                      </w:rPr>
                    </w:pPr>
                    <w:r>
                      <w:rPr>
                        <w:rFonts w:hint="eastAsia" w:cs="Arial"/>
                        <w:szCs w:val="21"/>
                        <w:lang w:val="en-GB"/>
                      </w:rPr>
                      <w:t>经营活动现金流量</w:t>
                    </w:r>
                  </w:p>
                </w:tc>
              </w:sdtContent>
            </w:sdt>
          </w:tr>
          <w:sdt>
            <w:sdtPr>
              <w:rPr>
                <w:sz w:val="18"/>
                <w:szCs w:val="18"/>
              </w:rPr>
              <w:alias w:val="重要非全资子公司的主要财务信息明细"/>
              <w:tag w:val="_GBC_330f4405d49345f7b8f69770f6eb8b4a"/>
              <w:id w:val="-1232454359"/>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pPr>
                      <w:spacing w:line="276" w:lineRule="auto"/>
                      <w:rPr>
                        <w:sz w:val="18"/>
                        <w:szCs w:val="18"/>
                      </w:rPr>
                    </w:pPr>
                    <w:r>
                      <w:rPr>
                        <w:sz w:val="18"/>
                        <w:szCs w:val="18"/>
                      </w:rPr>
                      <w:t>重庆力帆三轮摩托车有限公司</w:t>
                    </w:r>
                  </w:p>
                </w:tc>
                <w:tc>
                  <w:tcPr>
                    <w:tcW w:w="498" w:type="pct"/>
                    <w:vAlign w:val="center"/>
                  </w:tcPr>
                  <w:p>
                    <w:pPr>
                      <w:spacing w:line="276" w:lineRule="auto"/>
                      <w:jc w:val="right"/>
                      <w:rPr>
                        <w:sz w:val="18"/>
                        <w:szCs w:val="18"/>
                      </w:rPr>
                    </w:pPr>
                    <w:r>
                      <w:rPr>
                        <w:sz w:val="18"/>
                        <w:szCs w:val="18"/>
                      </w:rPr>
                      <w:t>7,018.94</w:t>
                    </w:r>
                  </w:p>
                </w:tc>
                <w:tc>
                  <w:tcPr>
                    <w:tcW w:w="476" w:type="pct"/>
                    <w:vAlign w:val="center"/>
                  </w:tcPr>
                  <w:p>
                    <w:pPr>
                      <w:spacing w:line="276" w:lineRule="auto"/>
                      <w:jc w:val="right"/>
                      <w:rPr>
                        <w:sz w:val="18"/>
                        <w:szCs w:val="18"/>
                      </w:rPr>
                    </w:pPr>
                    <w:r>
                      <w:rPr>
                        <w:sz w:val="18"/>
                        <w:szCs w:val="18"/>
                      </w:rPr>
                      <w:t>-221.4</w:t>
                    </w:r>
                  </w:p>
                </w:tc>
                <w:tc>
                  <w:tcPr>
                    <w:tcW w:w="527" w:type="pct"/>
                    <w:vAlign w:val="center"/>
                  </w:tcPr>
                  <w:p>
                    <w:pPr>
                      <w:spacing w:line="276" w:lineRule="auto"/>
                      <w:jc w:val="right"/>
                      <w:rPr>
                        <w:sz w:val="18"/>
                        <w:szCs w:val="18"/>
                      </w:rPr>
                    </w:pPr>
                    <w:r>
                      <w:rPr>
                        <w:sz w:val="18"/>
                        <w:szCs w:val="18"/>
                      </w:rPr>
                      <w:t>-221.4</w:t>
                    </w:r>
                  </w:p>
                </w:tc>
                <w:tc>
                  <w:tcPr>
                    <w:tcW w:w="583" w:type="pct"/>
                    <w:vAlign w:val="center"/>
                  </w:tcPr>
                  <w:p>
                    <w:pPr>
                      <w:spacing w:line="276" w:lineRule="auto"/>
                      <w:jc w:val="right"/>
                      <w:rPr>
                        <w:sz w:val="18"/>
                        <w:szCs w:val="18"/>
                      </w:rPr>
                    </w:pPr>
                    <w:r>
                      <w:rPr>
                        <w:sz w:val="18"/>
                        <w:szCs w:val="18"/>
                      </w:rPr>
                      <w:t>325.86</w:t>
                    </w:r>
                  </w:p>
                </w:tc>
                <w:tc>
                  <w:tcPr>
                    <w:tcW w:w="498" w:type="pct"/>
                    <w:vAlign w:val="center"/>
                  </w:tcPr>
                  <w:p>
                    <w:pPr>
                      <w:spacing w:line="276" w:lineRule="auto"/>
                      <w:jc w:val="right"/>
                      <w:rPr>
                        <w:sz w:val="18"/>
                        <w:szCs w:val="18"/>
                      </w:rPr>
                    </w:pPr>
                    <w:r>
                      <w:rPr>
                        <w:sz w:val="18"/>
                        <w:szCs w:val="18"/>
                      </w:rPr>
                      <w:t>9,242.05</w:t>
                    </w:r>
                  </w:p>
                </w:tc>
                <w:tc>
                  <w:tcPr>
                    <w:tcW w:w="476" w:type="pct"/>
                    <w:vAlign w:val="center"/>
                  </w:tcPr>
                  <w:p>
                    <w:pPr>
                      <w:spacing w:line="276" w:lineRule="auto"/>
                      <w:jc w:val="right"/>
                      <w:rPr>
                        <w:sz w:val="18"/>
                        <w:szCs w:val="18"/>
                      </w:rPr>
                    </w:pPr>
                    <w:r>
                      <w:rPr>
                        <w:sz w:val="18"/>
                        <w:szCs w:val="18"/>
                      </w:rPr>
                      <w:t>60.04</w:t>
                    </w:r>
                  </w:p>
                </w:tc>
                <w:tc>
                  <w:tcPr>
                    <w:tcW w:w="527" w:type="pct"/>
                    <w:vAlign w:val="center"/>
                  </w:tcPr>
                  <w:p>
                    <w:pPr>
                      <w:spacing w:line="276" w:lineRule="auto"/>
                      <w:jc w:val="right"/>
                      <w:rPr>
                        <w:sz w:val="18"/>
                        <w:szCs w:val="18"/>
                      </w:rPr>
                    </w:pPr>
                    <w:r>
                      <w:rPr>
                        <w:sz w:val="18"/>
                        <w:szCs w:val="18"/>
                      </w:rPr>
                      <w:t>60.04</w:t>
                    </w:r>
                  </w:p>
                </w:tc>
                <w:tc>
                  <w:tcPr>
                    <w:tcW w:w="583" w:type="pct"/>
                    <w:vAlign w:val="center"/>
                  </w:tcPr>
                  <w:p>
                    <w:pPr>
                      <w:spacing w:line="276" w:lineRule="auto"/>
                      <w:jc w:val="right"/>
                      <w:rPr>
                        <w:sz w:val="18"/>
                        <w:szCs w:val="18"/>
                      </w:rPr>
                    </w:pPr>
                    <w:r>
                      <w:rPr>
                        <w:sz w:val="18"/>
                        <w:szCs w:val="18"/>
                      </w:rPr>
                      <w:t>-1,171.12</w:t>
                    </w:r>
                  </w:p>
                </w:tc>
              </w:tr>
            </w:sdtContent>
          </w:sdt>
          <w:sdt>
            <w:sdtPr>
              <w:rPr>
                <w:sz w:val="18"/>
                <w:szCs w:val="18"/>
              </w:rPr>
              <w:alias w:val="重要非全资子公司的主要财务信息明细"/>
              <w:tag w:val="_GBC_330f4405d49345f7b8f69770f6eb8b4a"/>
              <w:id w:val="-151437404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pPr>
                      <w:spacing w:line="276" w:lineRule="auto"/>
                      <w:rPr>
                        <w:sz w:val="18"/>
                        <w:szCs w:val="18"/>
                      </w:rPr>
                    </w:pPr>
                    <w:r>
                      <w:rPr>
                        <w:sz w:val="18"/>
                        <w:szCs w:val="18"/>
                      </w:rPr>
                      <w:t>河南力帆树民车业有限公司</w:t>
                    </w:r>
                  </w:p>
                </w:tc>
                <w:tc>
                  <w:tcPr>
                    <w:tcW w:w="498" w:type="pct"/>
                    <w:vAlign w:val="center"/>
                  </w:tcPr>
                  <w:p>
                    <w:pPr>
                      <w:spacing w:line="276" w:lineRule="auto"/>
                      <w:jc w:val="right"/>
                      <w:rPr>
                        <w:sz w:val="18"/>
                        <w:szCs w:val="18"/>
                      </w:rPr>
                    </w:pPr>
                    <w:r>
                      <w:rPr>
                        <w:sz w:val="18"/>
                        <w:szCs w:val="18"/>
                      </w:rPr>
                      <w:t>14,341.51</w:t>
                    </w:r>
                  </w:p>
                </w:tc>
                <w:tc>
                  <w:tcPr>
                    <w:tcW w:w="476" w:type="pct"/>
                    <w:vAlign w:val="center"/>
                  </w:tcPr>
                  <w:p>
                    <w:pPr>
                      <w:spacing w:line="276" w:lineRule="auto"/>
                      <w:jc w:val="right"/>
                      <w:rPr>
                        <w:sz w:val="18"/>
                        <w:szCs w:val="18"/>
                      </w:rPr>
                    </w:pPr>
                    <w:r>
                      <w:rPr>
                        <w:sz w:val="18"/>
                        <w:szCs w:val="18"/>
                      </w:rPr>
                      <w:t>-1,276.3</w:t>
                    </w:r>
                  </w:p>
                </w:tc>
                <w:tc>
                  <w:tcPr>
                    <w:tcW w:w="527" w:type="pct"/>
                    <w:vAlign w:val="center"/>
                  </w:tcPr>
                  <w:p>
                    <w:pPr>
                      <w:spacing w:line="276" w:lineRule="auto"/>
                      <w:jc w:val="right"/>
                      <w:rPr>
                        <w:sz w:val="18"/>
                        <w:szCs w:val="18"/>
                      </w:rPr>
                    </w:pPr>
                    <w:r>
                      <w:rPr>
                        <w:sz w:val="18"/>
                        <w:szCs w:val="18"/>
                      </w:rPr>
                      <w:t>-1,276.3</w:t>
                    </w:r>
                  </w:p>
                </w:tc>
                <w:tc>
                  <w:tcPr>
                    <w:tcW w:w="583" w:type="pct"/>
                    <w:vAlign w:val="center"/>
                  </w:tcPr>
                  <w:p>
                    <w:pPr>
                      <w:spacing w:line="276" w:lineRule="auto"/>
                      <w:jc w:val="right"/>
                      <w:rPr>
                        <w:sz w:val="18"/>
                        <w:szCs w:val="18"/>
                      </w:rPr>
                    </w:pPr>
                    <w:r>
                      <w:rPr>
                        <w:sz w:val="18"/>
                        <w:szCs w:val="18"/>
                      </w:rPr>
                      <w:t>473.5</w:t>
                    </w:r>
                  </w:p>
                </w:tc>
                <w:tc>
                  <w:tcPr>
                    <w:tcW w:w="498" w:type="pct"/>
                    <w:vAlign w:val="center"/>
                  </w:tcPr>
                  <w:p>
                    <w:pPr>
                      <w:spacing w:line="276" w:lineRule="auto"/>
                      <w:jc w:val="right"/>
                      <w:rPr>
                        <w:sz w:val="18"/>
                        <w:szCs w:val="18"/>
                      </w:rPr>
                    </w:pPr>
                    <w:r>
                      <w:rPr>
                        <w:sz w:val="18"/>
                        <w:szCs w:val="18"/>
                      </w:rPr>
                      <w:t>12,803.65</w:t>
                    </w:r>
                  </w:p>
                </w:tc>
                <w:tc>
                  <w:tcPr>
                    <w:tcW w:w="476" w:type="pct"/>
                    <w:vAlign w:val="center"/>
                  </w:tcPr>
                  <w:p>
                    <w:pPr>
                      <w:spacing w:line="276" w:lineRule="auto"/>
                      <w:jc w:val="right"/>
                      <w:rPr>
                        <w:sz w:val="18"/>
                        <w:szCs w:val="18"/>
                      </w:rPr>
                    </w:pPr>
                    <w:r>
                      <w:rPr>
                        <w:sz w:val="18"/>
                        <w:szCs w:val="18"/>
                      </w:rPr>
                      <w:t>-1,206.43</w:t>
                    </w:r>
                  </w:p>
                </w:tc>
                <w:tc>
                  <w:tcPr>
                    <w:tcW w:w="527" w:type="pct"/>
                    <w:vAlign w:val="center"/>
                  </w:tcPr>
                  <w:p>
                    <w:pPr>
                      <w:spacing w:line="276" w:lineRule="auto"/>
                      <w:jc w:val="right"/>
                      <w:rPr>
                        <w:sz w:val="18"/>
                        <w:szCs w:val="18"/>
                      </w:rPr>
                    </w:pPr>
                    <w:r>
                      <w:rPr>
                        <w:sz w:val="18"/>
                        <w:szCs w:val="18"/>
                      </w:rPr>
                      <w:t>-1,206.43</w:t>
                    </w:r>
                  </w:p>
                </w:tc>
                <w:tc>
                  <w:tcPr>
                    <w:tcW w:w="583" w:type="pct"/>
                    <w:vAlign w:val="center"/>
                  </w:tcPr>
                  <w:p>
                    <w:pPr>
                      <w:spacing w:line="276" w:lineRule="auto"/>
                      <w:jc w:val="right"/>
                      <w:rPr>
                        <w:sz w:val="18"/>
                        <w:szCs w:val="18"/>
                      </w:rPr>
                    </w:pPr>
                    <w:r>
                      <w:rPr>
                        <w:sz w:val="18"/>
                        <w:szCs w:val="18"/>
                      </w:rPr>
                      <w:t>432.71</w:t>
                    </w:r>
                  </w:p>
                </w:tc>
              </w:tr>
            </w:sdtContent>
          </w:sdt>
          <w:sdt>
            <w:sdtPr>
              <w:rPr>
                <w:sz w:val="18"/>
                <w:szCs w:val="18"/>
              </w:rPr>
              <w:alias w:val="重要非全资子公司的主要财务信息明细"/>
              <w:tag w:val="_GBC_330f4405d49345f7b8f69770f6eb8b4a"/>
              <w:id w:val="-104580837"/>
              <w:lock w:val="sdtLocked"/>
            </w:sdtPr>
            <w:sdtEndPr>
              <w:rPr>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tcPr>
                  <w:p>
                    <w:pPr>
                      <w:spacing w:line="276" w:lineRule="auto"/>
                      <w:rPr>
                        <w:sz w:val="18"/>
                        <w:szCs w:val="18"/>
                      </w:rPr>
                    </w:pPr>
                    <w:r>
                      <w:rPr>
                        <w:sz w:val="18"/>
                        <w:szCs w:val="18"/>
                      </w:rPr>
                      <w:t>重庆润田房地产开发有限公司</w:t>
                    </w:r>
                  </w:p>
                </w:tc>
                <w:tc>
                  <w:tcPr>
                    <w:tcW w:w="498" w:type="pct"/>
                    <w:vAlign w:val="center"/>
                  </w:tcPr>
                  <w:p>
                    <w:pPr>
                      <w:spacing w:line="276" w:lineRule="auto"/>
                      <w:jc w:val="right"/>
                      <w:rPr>
                        <w:sz w:val="18"/>
                        <w:szCs w:val="18"/>
                      </w:rPr>
                    </w:pPr>
                    <w:r>
                      <w:rPr>
                        <w:sz w:val="18"/>
                        <w:szCs w:val="18"/>
                      </w:rPr>
                      <w:t>28,610.4</w:t>
                    </w:r>
                  </w:p>
                </w:tc>
                <w:tc>
                  <w:tcPr>
                    <w:tcW w:w="476" w:type="pct"/>
                    <w:vAlign w:val="center"/>
                  </w:tcPr>
                  <w:p>
                    <w:pPr>
                      <w:spacing w:line="276" w:lineRule="auto"/>
                      <w:jc w:val="right"/>
                      <w:rPr>
                        <w:sz w:val="18"/>
                        <w:szCs w:val="18"/>
                      </w:rPr>
                    </w:pPr>
                    <w:r>
                      <w:rPr>
                        <w:sz w:val="18"/>
                        <w:szCs w:val="18"/>
                      </w:rPr>
                      <w:t>5,567.89</w:t>
                    </w:r>
                  </w:p>
                </w:tc>
                <w:tc>
                  <w:tcPr>
                    <w:tcW w:w="527" w:type="pct"/>
                    <w:vAlign w:val="center"/>
                  </w:tcPr>
                  <w:p>
                    <w:pPr>
                      <w:spacing w:line="276" w:lineRule="auto"/>
                      <w:jc w:val="right"/>
                      <w:rPr>
                        <w:sz w:val="18"/>
                        <w:szCs w:val="18"/>
                      </w:rPr>
                    </w:pPr>
                    <w:r>
                      <w:rPr>
                        <w:sz w:val="18"/>
                        <w:szCs w:val="18"/>
                      </w:rPr>
                      <w:t>5,964.42</w:t>
                    </w:r>
                  </w:p>
                </w:tc>
                <w:tc>
                  <w:tcPr>
                    <w:tcW w:w="583" w:type="pct"/>
                    <w:vAlign w:val="center"/>
                  </w:tcPr>
                  <w:p>
                    <w:pPr>
                      <w:spacing w:line="276" w:lineRule="auto"/>
                      <w:jc w:val="right"/>
                      <w:rPr>
                        <w:sz w:val="18"/>
                        <w:szCs w:val="18"/>
                      </w:rPr>
                    </w:pPr>
                    <w:r>
                      <w:rPr>
                        <w:sz w:val="18"/>
                        <w:szCs w:val="18"/>
                      </w:rPr>
                      <w:t>22,361.6</w:t>
                    </w:r>
                  </w:p>
                </w:tc>
                <w:tc>
                  <w:tcPr>
                    <w:tcW w:w="498" w:type="pct"/>
                    <w:vAlign w:val="center"/>
                  </w:tcPr>
                  <w:p>
                    <w:pPr>
                      <w:spacing w:line="276" w:lineRule="auto"/>
                      <w:jc w:val="right"/>
                      <w:rPr>
                        <w:sz w:val="18"/>
                        <w:szCs w:val="18"/>
                      </w:rPr>
                    </w:pPr>
                    <w:r>
                      <w:rPr>
                        <w:sz w:val="18"/>
                        <w:szCs w:val="18"/>
                      </w:rPr>
                      <w:t>25,509.04</w:t>
                    </w:r>
                  </w:p>
                </w:tc>
                <w:tc>
                  <w:tcPr>
                    <w:tcW w:w="476" w:type="pct"/>
                    <w:vAlign w:val="center"/>
                  </w:tcPr>
                  <w:p>
                    <w:pPr>
                      <w:spacing w:line="276" w:lineRule="auto"/>
                      <w:jc w:val="right"/>
                      <w:rPr>
                        <w:sz w:val="18"/>
                        <w:szCs w:val="18"/>
                      </w:rPr>
                    </w:pPr>
                    <w:r>
                      <w:rPr>
                        <w:sz w:val="18"/>
                        <w:szCs w:val="18"/>
                      </w:rPr>
                      <w:t>1,365.19</w:t>
                    </w:r>
                  </w:p>
                </w:tc>
                <w:tc>
                  <w:tcPr>
                    <w:tcW w:w="527" w:type="pct"/>
                    <w:vAlign w:val="center"/>
                  </w:tcPr>
                  <w:p>
                    <w:pPr>
                      <w:spacing w:line="276" w:lineRule="auto"/>
                      <w:jc w:val="right"/>
                      <w:rPr>
                        <w:sz w:val="18"/>
                        <w:szCs w:val="18"/>
                      </w:rPr>
                    </w:pPr>
                    <w:r>
                      <w:rPr>
                        <w:sz w:val="18"/>
                        <w:szCs w:val="18"/>
                      </w:rPr>
                      <w:t>1,365.19</w:t>
                    </w:r>
                  </w:p>
                </w:tc>
                <w:tc>
                  <w:tcPr>
                    <w:tcW w:w="583" w:type="pct"/>
                    <w:vAlign w:val="center"/>
                  </w:tcPr>
                  <w:p>
                    <w:pPr>
                      <w:spacing w:line="276" w:lineRule="auto"/>
                      <w:jc w:val="right"/>
                      <w:rPr>
                        <w:sz w:val="18"/>
                        <w:szCs w:val="18"/>
                      </w:rPr>
                    </w:pPr>
                    <w:r>
                      <w:rPr>
                        <w:sz w:val="18"/>
                        <w:szCs w:val="18"/>
                      </w:rPr>
                      <w:t>19,911.14</w:t>
                    </w:r>
                  </w:p>
                </w:tc>
              </w:tr>
            </w:sdtContent>
          </w:sdt>
        </w:tbl>
        <w:p/>
        <w:p>
          <w:pPr>
            <w:rPr>
              <w:rFonts w:cs="Arial"/>
              <w:szCs w:val="21"/>
            </w:rPr>
          </w:pPr>
          <w:r>
            <w:rPr>
              <w:rFonts w:hint="eastAsia" w:cs="Arial"/>
              <w:szCs w:val="21"/>
            </w:rPr>
            <w:t>其他说明：</w:t>
          </w:r>
        </w:p>
        <w:sdt>
          <w:sdtPr>
            <w:rPr>
              <w:rFonts w:cs="Arial"/>
              <w:szCs w:val="21"/>
            </w:rPr>
            <w:alias w:val="重要非全资子公司的主要财务信息的其他说明"/>
            <w:tag w:val="_GBC_c6413d961dad488aae6fcf0fda2bf33a"/>
            <w:id w:val="115108297"/>
            <w:lock w:val="sdtLocked"/>
          </w:sdtPr>
          <w:sdtEndPr>
            <w:rPr>
              <w:rFonts w:cs="Arial"/>
              <w:szCs w:val="21"/>
            </w:rPr>
          </w:sdtEndPr>
          <w:sdtContent>
            <w:p>
              <w:pPr>
                <w:rPr>
                  <w:rFonts w:cs="Arial"/>
                  <w:szCs w:val="21"/>
                </w:rPr>
              </w:pPr>
              <w:r>
                <w:rPr>
                  <w:rFonts w:hint="eastAsia" w:cs="Arial"/>
                  <w:szCs w:val="21"/>
                </w:rPr>
                <w:t>无</w:t>
              </w:r>
            </w:p>
          </w:sdtContent>
        </w:sdt>
        <w:p>
          <w:pPr>
            <w:rPr>
              <w:rFonts w:cs="Arial"/>
              <w:szCs w:val="21"/>
            </w:rPr>
          </w:pPr>
          <w:r>
            <w:rPr>
              <w:rFonts w:cs="Arial"/>
              <w:szCs w:val="21"/>
            </w:rPr>
            <w:br w:type="page"/>
          </w:r>
        </w:p>
        <w:p>
          <w:pPr>
            <w:rPr>
              <w:rFonts w:cs="Arial"/>
              <w:szCs w:val="21"/>
            </w:rPr>
            <w:sectPr>
              <w:pgSz w:w="16838" w:h="11906" w:orient="landscape"/>
              <w:pgMar w:top="1797" w:right="1724" w:bottom="1797" w:left="1440" w:header="851" w:footer="992" w:gutter="0"/>
              <w:cols w:space="720" w:num="1"/>
              <w:docGrid w:linePitch="312" w:charSpace="0"/>
            </w:sectPr>
          </w:pPr>
        </w:p>
        <w:p>
          <w:pPr>
            <w:rPr>
              <w:rFonts w:cs="Arial"/>
              <w:szCs w:val="21"/>
            </w:rPr>
          </w:pPr>
        </w:p>
      </w:sdtContent>
    </w:sdt>
    <w:sdt>
      <w:sdtPr>
        <w:rPr>
          <w:rFonts w:hint="eastAsia" w:ascii="宋体" w:hAnsi="宋体" w:eastAsia="宋体" w:cs="宋体"/>
          <w:b w:val="0"/>
          <w:bCs w:val="0"/>
          <w:kern w:val="0"/>
          <w:szCs w:val="24"/>
        </w:rPr>
        <w:alias w:val="模块:使用企业集团资产和清偿企业集团债务的重大限制"/>
        <w:tag w:val="_GBC_573fe5c9daf0401da00d8fc5198daf66"/>
        <w:id w:val="-708030251"/>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115"/>
            <w:numPr>
              <w:ilvl w:val="3"/>
              <w:numId w:val="116"/>
            </w:numPr>
            <w:ind w:left="424" w:hanging="424" w:hangingChars="202"/>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2020890521"/>
            <w:lock w:val="sdtLocked"/>
            <w:placeholder>
              <w:docPart w:val="GBC22222222222222222222222222222"/>
            </w:placeholder>
          </w:sdtPr>
          <w:sdtContent>
            <w:p>
              <w:pPr>
                <w:rPr>
                  <w:rFonts w:cs="Arial"/>
                  <w:b/>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rFonts w:cs="Arial"/>
          <w:szCs w:val="21"/>
        </w:rPr>
      </w:pPr>
    </w:p>
    <w:sdt>
      <w:sdtPr>
        <w:rPr>
          <w:rFonts w:hint="eastAsia" w:ascii="宋体" w:hAnsi="宋体" w:eastAsia="宋体" w:cs="宋体"/>
          <w:b w:val="0"/>
          <w:bCs w:val="0"/>
          <w:kern w:val="0"/>
          <w:szCs w:val="24"/>
        </w:rPr>
        <w:alias w:val="模块:向纳入合并财务报表范围的结构化主体提供的财务支持或其他支持"/>
        <w:tag w:val="_GBC_114877d69a2e4b56b15fb618155127e3"/>
        <w:id w:val="-1340696004"/>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115"/>
            <w:numPr>
              <w:ilvl w:val="3"/>
              <w:numId w:val="116"/>
            </w:numPr>
            <w:ind w:left="424" w:hanging="424" w:hangingChars="202"/>
          </w:pPr>
          <w:r>
            <w:rPr>
              <w:rFonts w:hint="eastAsia"/>
            </w:rPr>
            <w:t>向纳入合并财务报表范围的结构化主体提供的财务支持或其他支持</w:t>
          </w:r>
        </w:p>
        <w:sdt>
          <w:sdtPr>
            <w:rPr>
              <w:rFonts w:hint="eastAsia" w:cs="Arial"/>
              <w:szCs w:val="21"/>
            </w:rPr>
            <w:alias w:val="是否适用：向纳入合并财务报表范围的结构化主体提供的财务支持或其他支持[双击切换]"/>
            <w:tag w:val="_GBC_395393741a9c49d1bd1b845f818ade1e"/>
            <w:id w:val="1620952765"/>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b/>
          <w:szCs w:val="21"/>
        </w:rPr>
      </w:pPr>
    </w:p>
    <w:sdt>
      <w:sdtPr>
        <w:rPr>
          <w:szCs w:val="21"/>
        </w:rPr>
        <w:alias w:val="模块:在子公司中的权益其他说明"/>
        <w:tag w:val="_GBC_a0f68dc0a3a24efaa431a8c8d768eb0f"/>
        <w:id w:val="524600266"/>
        <w:lock w:val="sdtLocked"/>
        <w:placeholder>
          <w:docPart w:val="GBC22222222222222222222222222222"/>
        </w:placeholder>
      </w:sdtPr>
      <w:sdtEndPr>
        <w:rPr>
          <w:szCs w:val="21"/>
        </w:rPr>
      </w:sdtEndPr>
      <w:sdtContent>
        <w:p>
          <w:pPr>
            <w:rPr>
              <w:szCs w:val="21"/>
            </w:rPr>
          </w:pPr>
          <w:r>
            <w:rPr>
              <w:rFonts w:hint="eastAsia"/>
              <w:szCs w:val="21"/>
            </w:rPr>
            <w:t>其他说明：</w:t>
          </w:r>
        </w:p>
        <w:sdt>
          <w:sdtPr>
            <w:rPr>
              <w:szCs w:val="21"/>
            </w:rPr>
            <w:alias w:val="是否适用：在子公司中的权益其他说明[双击切换]"/>
            <w:tag w:val="_GBC_b26ad9d381c8467f9c05b435b2cb6493"/>
            <w:id w:val="1239757757"/>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114"/>
        <w:numPr>
          <w:ilvl w:val="2"/>
          <w:numId w:val="115"/>
        </w:numPr>
        <w:rPr>
          <w:rFonts w:ascii="宋体" w:hAnsi="宋体" w:cs="Arial"/>
          <w:szCs w:val="21"/>
        </w:rPr>
      </w:pPr>
      <w:r>
        <w:rPr>
          <w:rFonts w:hint="eastAsia" w:ascii="宋体" w:hAnsi="宋体" w:cs="Arial"/>
          <w:szCs w:val="21"/>
        </w:rPr>
        <w:t>在子公司的所有者权益份额发生变化且仍控制子公司的交易</w:t>
      </w:r>
    </w:p>
    <w:sdt>
      <w:sdtPr>
        <w:alias w:val="是否适用：在子公司的所有者权益份额发生变化且仍控制子公司的交易[双击切换]"/>
        <w:tag w:val="_GBC_4c0599836d204e25b4d5d4f8434a2c4c"/>
        <w:id w:val="2079701598"/>
        <w:lock w:val="sdtConten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b w:val="0"/>
          <w:bCs w:val="0"/>
          <w:kern w:val="0"/>
          <w:szCs w:val="24"/>
        </w:rPr>
        <w:alias w:val="模块:在子公司所有者权益份额的变化情况的说明"/>
        <w:tag w:val="_GBC_97caac97575742839d3ba3c28ee39a60"/>
        <w:id w:val="1815444948"/>
        <w:lock w:val="sdtLocked"/>
      </w:sdtPr>
      <w:sdtEndPr>
        <w:rPr>
          <w:rFonts w:hint="eastAsia" w:ascii="宋体" w:hAnsi="宋体" w:eastAsia="宋体" w:cs="Arial"/>
          <w:b w:val="0"/>
          <w:bCs w:val="0"/>
          <w:kern w:val="0"/>
          <w:szCs w:val="21"/>
        </w:rPr>
      </w:sdtEndPr>
      <w:sdtContent>
        <w:p>
          <w:pPr>
            <w:pStyle w:val="115"/>
            <w:numPr>
              <w:ilvl w:val="0"/>
              <w:numId w:val="117"/>
            </w:numPr>
          </w:pPr>
          <w:r>
            <w:rPr>
              <w:rFonts w:hint="eastAsia"/>
            </w:rPr>
            <w:t>在子公司所有者权益份额的变化情况的说明</w:t>
          </w:r>
        </w:p>
        <w:sdt>
          <w:sdtPr>
            <w:rPr>
              <w:rFonts w:hint="eastAsia" w:cs="Arial"/>
              <w:szCs w:val="21"/>
            </w:rPr>
            <w:alias w:val="是否适用：在子公司所有者权益份额的变化情况的说明[双击切换]"/>
            <w:tag w:val="_GBC_8fcd7586a7a04450a37f9fb53e3ddd9d"/>
            <w:id w:val="59294252"/>
            <w:lock w:val="sdtLocked"/>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sdtContent>
    </w:sdt>
    <w:sdt>
      <w:sdtPr>
        <w:rPr>
          <w:rFonts w:hint="eastAsia" w:ascii="宋体" w:hAnsi="宋体" w:eastAsia="宋体" w:cs="宋体"/>
          <w:b w:val="0"/>
          <w:bCs w:val="0"/>
          <w:kern w:val="0"/>
          <w:szCs w:val="24"/>
        </w:rPr>
        <w:alias w:val="模块:交易对于少数股东权益及归属于母公司所有者权益的影响"/>
        <w:tag w:val="_GBC_6c711c3ca3c84136960924716eba5afd"/>
        <w:id w:val="1381368773"/>
        <w:lock w:val="sdtLocked"/>
      </w:sdtPr>
      <w:sdtEndPr>
        <w:rPr>
          <w:rFonts w:hint="default" w:ascii="宋体" w:hAnsi="宋体" w:eastAsia="宋体" w:cstheme="minorBidi"/>
          <w:b w:val="0"/>
          <w:bCs w:val="0"/>
          <w:kern w:val="0"/>
          <w:szCs w:val="21"/>
        </w:rPr>
      </w:sdtEndPr>
      <w:sdtContent>
        <w:p>
          <w:pPr>
            <w:pStyle w:val="115"/>
            <w:numPr>
              <w:ilvl w:val="0"/>
              <w:numId w:val="117"/>
            </w:numPr>
          </w:pPr>
          <w:r>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2013130049"/>
            <w:lock w:val="sdtLocked"/>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交易对于少数股东权益及归属于母公司所有者权益的影响"/>
              <w:tag w:val="_GBC_8bc6137285324aca89e1a906fd8e99b5"/>
              <w:id w:val="207492361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18775827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11"/>
            <w:gridCol w:w="3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5" w:type="pct"/>
                <w:shd w:val="clear" w:color="auto" w:fill="auto"/>
              </w:tcPr>
              <w:p>
                <w:pPr>
                  <w:rPr>
                    <w:rFonts w:cs="Arial"/>
                    <w:szCs w:val="21"/>
                    <w:lang w:val="en-GB"/>
                  </w:rPr>
                </w:pPr>
                <w:r>
                  <w:rPr>
                    <w:rFonts w:hint="eastAsia" w:cs="Arial"/>
                    <w:szCs w:val="21"/>
                    <w:lang w:val="en-GB"/>
                  </w:rPr>
                  <w:t>项目</w:t>
                </w:r>
              </w:p>
            </w:tc>
            <w:sdt>
              <w:sdtPr>
                <w:rPr>
                  <w:szCs w:val="21"/>
                </w:rPr>
                <w:alias w:val="交易对于少数股东权益及归属于母公司所有者权益的影响明细-公司名称"/>
                <w:tag w:val="_GBC_0899d6221c8b4c0197d4cc9d76f2a617"/>
                <w:id w:val="1259248838"/>
                <w:lock w:val="sdtLocked"/>
              </w:sdtPr>
              <w:sdtEndPr>
                <w:rPr>
                  <w:rFonts w:hint="eastAsia"/>
                  <w:szCs w:val="21"/>
                </w:rPr>
              </w:sdtEndPr>
              <w:sdtContent>
                <w:tc>
                  <w:tcPr>
                    <w:tcW w:w="1945" w:type="pct"/>
                    <w:shd w:val="clear" w:color="auto" w:fill="auto"/>
                  </w:tcPr>
                  <w:p>
                    <w:pPr>
                      <w:rPr>
                        <w:szCs w:val="21"/>
                      </w:rPr>
                    </w:pPr>
                    <w:r>
                      <w:rPr>
                        <w:rFonts w:hint="eastAsia"/>
                        <w:szCs w:val="21"/>
                      </w:rPr>
                      <w:t>河南力帆树民车业有限</w:t>
                    </w:r>
                    <w:r>
                      <w:rPr>
                        <w:szCs w:val="21"/>
                      </w:rPr>
                      <w:t>公司</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65e676f300544834a93a8fdbee5bac37"/>
                <w:id w:val="-913009118"/>
                <w:lock w:val="sdtLocked"/>
              </w:sdtPr>
              <w:sdtContent>
                <w:tc>
                  <w:tcPr>
                    <w:tcW w:w="3055" w:type="pct"/>
                    <w:shd w:val="clear" w:color="auto" w:fill="auto"/>
                  </w:tcPr>
                  <w:p>
                    <w:pPr>
                      <w:rPr>
                        <w:rFonts w:cs="Arial"/>
                        <w:szCs w:val="21"/>
                      </w:rPr>
                    </w:pPr>
                    <w:r>
                      <w:rPr>
                        <w:rFonts w:hint="eastAsia" w:cs="Arial"/>
                        <w:szCs w:val="21"/>
                        <w:lang w:val="en-GB"/>
                      </w:rPr>
                      <w:t>购买成本/处置对价</w:t>
                    </w:r>
                  </w:p>
                </w:tc>
              </w:sdtContent>
            </w:sdt>
            <w:tc>
              <w:tcPr>
                <w:tcW w:w="1945"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11f07e95b89d4fc9900ee767bfa0324b"/>
                <w:id w:val="-307169334"/>
                <w:lock w:val="sdtLocked"/>
              </w:sdtPr>
              <w:sdtContent>
                <w:tc>
                  <w:tcPr>
                    <w:tcW w:w="3055" w:type="pct"/>
                    <w:shd w:val="clear" w:color="auto" w:fill="auto"/>
                    <w:vAlign w:val="center"/>
                  </w:tcPr>
                  <w:p>
                    <w:pPr>
                      <w:rPr>
                        <w:rFonts w:cs="Arial"/>
                        <w:color w:val="000000"/>
                        <w:szCs w:val="21"/>
                      </w:rPr>
                    </w:pPr>
                    <w:r>
                      <w:rPr>
                        <w:rFonts w:cs="Arial"/>
                        <w:color w:val="000000"/>
                        <w:szCs w:val="21"/>
                      </w:rPr>
                      <w:t>--</w:t>
                    </w:r>
                    <w:r>
                      <w:rPr>
                        <w:rFonts w:hint="eastAsia" w:cs="Arial"/>
                        <w:color w:val="000000"/>
                        <w:szCs w:val="21"/>
                        <w:lang w:val="en-GB"/>
                      </w:rPr>
                      <w:t>现金</w:t>
                    </w:r>
                  </w:p>
                </w:tc>
              </w:sdtContent>
            </w:sdt>
            <w:tc>
              <w:tcPr>
                <w:tcW w:w="1945" w:type="pct"/>
                <w:shd w:val="clear" w:color="auto" w:fill="auto"/>
              </w:tcPr>
              <w:p>
                <w:pPr>
                  <w:jc w:val="right"/>
                </w:pPr>
                <w:r>
                  <w:t>5,462.89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b707a787a0d944649f1729870815d5e3"/>
                <w:id w:val="1837192799"/>
                <w:lock w:val="sdtLocked"/>
              </w:sdtPr>
              <w:sdtContent>
                <w:tc>
                  <w:tcPr>
                    <w:tcW w:w="3055" w:type="pct"/>
                    <w:shd w:val="clear" w:color="auto" w:fill="auto"/>
                    <w:vAlign w:val="center"/>
                  </w:tcPr>
                  <w:p>
                    <w:pPr>
                      <w:rPr>
                        <w:rFonts w:cs="Arial"/>
                        <w:color w:val="000000"/>
                        <w:szCs w:val="21"/>
                      </w:rPr>
                    </w:pPr>
                    <w:r>
                      <w:rPr>
                        <w:rFonts w:cs="Arial"/>
                        <w:color w:val="000000"/>
                        <w:szCs w:val="21"/>
                      </w:rPr>
                      <w:t>--</w:t>
                    </w:r>
                    <w:r>
                      <w:rPr>
                        <w:rFonts w:hint="eastAsia" w:cs="Arial"/>
                        <w:color w:val="000000"/>
                        <w:szCs w:val="21"/>
                        <w:lang w:val="en-GB"/>
                      </w:rPr>
                      <w:t>非现金资产的公允价值</w:t>
                    </w:r>
                  </w:p>
                </w:tc>
              </w:sdtContent>
            </w:sdt>
            <w:tc>
              <w:tcPr>
                <w:tcW w:w="1945" w:type="pct"/>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rPr>
                  <w:szCs w:val="21"/>
                </w:rPr>
                <w:alias w:val="购买成本或处置对价科目名称"/>
                <w:tag w:val="_GBC_627eb663e3114afdaa6d41212cd51fd0"/>
                <w:id w:val="-807780967"/>
                <w:lock w:val="sdtLocked"/>
              </w:sdtPr>
              <w:sdtEndPr>
                <w:rPr>
                  <w:rFonts w:hint="eastAsia"/>
                  <w:szCs w:val="21"/>
                </w:rPr>
              </w:sdtEndPr>
              <w:sdtContent>
                <w:tc>
                  <w:tcPr>
                    <w:tcW w:w="3055" w:type="pct"/>
                    <w:shd w:val="clear" w:color="auto" w:fill="auto"/>
                    <w:vAlign w:val="center"/>
                  </w:tcPr>
                  <w:p>
                    <w:r>
                      <w:rPr>
                        <w:rFonts w:hint="eastAsia"/>
                      </w:rPr>
                      <w:t>购买日之前持有的股权于购买日的公允价值</w:t>
                    </w:r>
                  </w:p>
                </w:tc>
              </w:sdtContent>
            </w:sdt>
            <w:sdt>
              <w:sdtPr>
                <w:rPr>
                  <w:szCs w:val="21"/>
                </w:rPr>
                <w:alias w:val="购买成本或处置对价科目名称金额"/>
                <w:tag w:val="_GBC_2010a6f7b507480a931be28f62fc671f"/>
                <w:id w:val="1500851854"/>
                <w:lock w:val="sdtLocked"/>
              </w:sdtPr>
              <w:sdtEndPr>
                <w:rPr>
                  <w:rFonts w:hint="eastAsia"/>
                  <w:szCs w:val="21"/>
                </w:rPr>
              </w:sdtEndPr>
              <w:sdtContent>
                <w:tc>
                  <w:tcPr>
                    <w:tcW w:w="1945" w:type="pct"/>
                    <w:shd w:val="clear" w:color="auto" w:fill="auto"/>
                  </w:tcPr>
                  <w:p>
                    <w:pPr>
                      <w:jc w:val="right"/>
                      <w:rPr>
                        <w:szCs w:val="21"/>
                      </w:rPr>
                    </w:pPr>
                    <w:r>
                      <w:t>7,987.75</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7ee9f21e8eaf413bafe9a8eab9d8376d"/>
                <w:id w:val="-411621090"/>
                <w:lock w:val="sdtLocked"/>
              </w:sdtPr>
              <w:sdtContent>
                <w:tc>
                  <w:tcPr>
                    <w:tcW w:w="3055" w:type="pct"/>
                    <w:shd w:val="clear" w:color="auto" w:fill="auto"/>
                    <w:vAlign w:val="center"/>
                  </w:tcPr>
                  <w:p>
                    <w:pPr>
                      <w:rPr>
                        <w:rFonts w:cs="Arial"/>
                        <w:color w:val="000000"/>
                        <w:szCs w:val="21"/>
                      </w:rPr>
                    </w:pPr>
                    <w:r>
                      <w:rPr>
                        <w:rFonts w:hint="eastAsia" w:cs="Arial"/>
                        <w:color w:val="000000"/>
                        <w:szCs w:val="21"/>
                        <w:lang w:val="en-GB"/>
                      </w:rPr>
                      <w:t>购买成本/处置对价合计</w:t>
                    </w:r>
                  </w:p>
                </w:tc>
              </w:sdtContent>
            </w:sdt>
            <w:tc>
              <w:tcPr>
                <w:tcW w:w="1945" w:type="pct"/>
                <w:shd w:val="clear" w:color="auto" w:fill="auto"/>
              </w:tcPr>
              <w:p>
                <w:pPr>
                  <w:jc w:val="right"/>
                </w:pPr>
                <w:r>
                  <w:t>13,450.64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1f66c2d420e24f73bd49023e15ff8f3c"/>
                <w:id w:val="-1244100670"/>
                <w:lock w:val="sdtLocked"/>
              </w:sdtPr>
              <w:sdtContent>
                <w:tc>
                  <w:tcPr>
                    <w:tcW w:w="3055" w:type="pct"/>
                    <w:shd w:val="clear" w:color="auto" w:fill="auto"/>
                    <w:vAlign w:val="center"/>
                  </w:tcPr>
                  <w:p>
                    <w:pPr>
                      <w:rPr>
                        <w:rFonts w:cs="Arial"/>
                        <w:color w:val="000000"/>
                        <w:szCs w:val="21"/>
                      </w:rPr>
                    </w:pPr>
                    <w:r>
                      <w:rPr>
                        <w:rFonts w:hint="eastAsia" w:cs="Arial"/>
                        <w:color w:val="000000"/>
                        <w:szCs w:val="21"/>
                        <w:lang w:val="en-GB"/>
                      </w:rPr>
                      <w:t>减：按取得/处置的股权比例计算的子公司净资产份额</w:t>
                    </w:r>
                  </w:p>
                </w:tc>
              </w:sdtContent>
            </w:sdt>
            <w:tc>
              <w:tcPr>
                <w:tcW w:w="1945" w:type="pct"/>
                <w:shd w:val="clear" w:color="auto" w:fill="auto"/>
                <w:vAlign w:val="center"/>
              </w:tcPr>
              <w:p>
                <w:pPr>
                  <w:jc w:val="right"/>
                  <w:rPr>
                    <w:sz w:val="24"/>
                  </w:rPr>
                </w:pPr>
                <w:r>
                  <w:t>14,046.50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c306055d2e5b449c8552559530692808"/>
                <w:id w:val="2092809344"/>
                <w:lock w:val="sdtLocked"/>
              </w:sdtPr>
              <w:sdtContent>
                <w:tc>
                  <w:tcPr>
                    <w:tcW w:w="3055" w:type="pct"/>
                    <w:shd w:val="clear" w:color="auto" w:fill="auto"/>
                    <w:vAlign w:val="center"/>
                  </w:tcPr>
                  <w:p>
                    <w:pPr>
                      <w:rPr>
                        <w:rFonts w:cs="Arial"/>
                        <w:color w:val="000000"/>
                        <w:szCs w:val="21"/>
                      </w:rPr>
                    </w:pPr>
                    <w:r>
                      <w:rPr>
                        <w:rFonts w:hint="eastAsia" w:cs="Arial"/>
                        <w:color w:val="000000"/>
                        <w:szCs w:val="21"/>
                        <w:lang w:val="en-GB"/>
                      </w:rPr>
                      <w:t>差额</w:t>
                    </w:r>
                  </w:p>
                </w:tc>
              </w:sdtContent>
            </w:sdt>
            <w:tc>
              <w:tcPr>
                <w:tcW w:w="1945" w:type="pct"/>
                <w:shd w:val="clear" w:color="auto" w:fill="auto"/>
                <w:vAlign w:val="center"/>
              </w:tcPr>
              <w:p>
                <w:pPr>
                  <w:jc w:val="right"/>
                  <w:rPr>
                    <w:sz w:val="24"/>
                  </w:rPr>
                </w:pPr>
                <w:r>
                  <w:t>-595.86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sdt>
              <w:sdtPr>
                <w:tag w:val="_PLD_d457fa36c2ff4c079d8da4538c9af109"/>
                <w:id w:val="-608038787"/>
                <w:lock w:val="sdtLocked"/>
              </w:sdtPr>
              <w:sdtContent>
                <w:tc>
                  <w:tcPr>
                    <w:tcW w:w="3055" w:type="pct"/>
                    <w:shd w:val="clear" w:color="auto" w:fill="auto"/>
                    <w:vAlign w:val="center"/>
                  </w:tcPr>
                  <w:p>
                    <w:pPr>
                      <w:rPr>
                        <w:rFonts w:cs="Arial"/>
                        <w:color w:val="000000"/>
                        <w:szCs w:val="21"/>
                      </w:rPr>
                    </w:pPr>
                    <w:r>
                      <w:rPr>
                        <w:rFonts w:hint="eastAsia" w:cs="Arial"/>
                        <w:color w:val="000000"/>
                        <w:szCs w:val="21"/>
                        <w:lang w:val="en-GB"/>
                      </w:rPr>
                      <w:t>其中：调整资本公积</w:t>
                    </w:r>
                  </w:p>
                </w:tc>
              </w:sdtContent>
            </w:sdt>
            <w:tc>
              <w:tcPr>
                <w:tcW w:w="1945" w:type="pct"/>
                <w:shd w:val="clear" w:color="auto" w:fill="auto"/>
                <w:vAlign w:val="center"/>
              </w:tcPr>
              <w:p>
                <w:pPr>
                  <w:jc w:val="right"/>
                  <w:rPr>
                    <w:sz w:val="24"/>
                  </w:rPr>
                </w:pPr>
                <w:r>
                  <w:t>-595.86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bdb04bdb68c47b3a5f3b47c2d4dae88"/>
                <w:id w:val="-489106672"/>
                <w:lock w:val="sdtLocked"/>
              </w:sdtPr>
              <w:sdtContent>
                <w:tc>
                  <w:tcPr>
                    <w:tcW w:w="3055" w:type="pct"/>
                    <w:shd w:val="clear" w:color="auto" w:fill="auto"/>
                    <w:vAlign w:val="center"/>
                  </w:tcPr>
                  <w:p>
                    <w:pPr>
                      <w:ind w:firstLine="630" w:firstLineChars="300"/>
                      <w:rPr>
                        <w:rFonts w:cs="Arial"/>
                        <w:color w:val="000000"/>
                        <w:szCs w:val="21"/>
                      </w:rPr>
                    </w:pPr>
                    <w:r>
                      <w:rPr>
                        <w:rFonts w:hint="eastAsia" w:cs="Arial"/>
                        <w:color w:val="000000"/>
                        <w:szCs w:val="21"/>
                        <w:lang w:val="en-GB"/>
                      </w:rPr>
                      <w:t>调整盈余公积</w:t>
                    </w:r>
                  </w:p>
                </w:tc>
              </w:sdtContent>
            </w:sdt>
            <w:tc>
              <w:tcPr>
                <w:tcW w:w="1945" w:type="pct"/>
                <w:shd w:val="clear" w:color="auto" w:fill="auto"/>
                <w:vAlign w:val="center"/>
              </w:tcPr>
              <w:p>
                <w:pP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ac66671f59ed4a1084f43bfa55791ddd"/>
                <w:id w:val="-2100319940"/>
                <w:lock w:val="sdtLocked"/>
              </w:sdtPr>
              <w:sdtContent>
                <w:tc>
                  <w:tcPr>
                    <w:tcW w:w="3055" w:type="pct"/>
                    <w:shd w:val="clear" w:color="auto" w:fill="auto"/>
                    <w:vAlign w:val="center"/>
                  </w:tcPr>
                  <w:p>
                    <w:pPr>
                      <w:ind w:firstLine="630" w:firstLineChars="300"/>
                      <w:rPr>
                        <w:rFonts w:cs="Arial"/>
                        <w:color w:val="000000"/>
                        <w:szCs w:val="21"/>
                      </w:rPr>
                    </w:pPr>
                    <w:r>
                      <w:rPr>
                        <w:rFonts w:hint="eastAsia" w:cs="Arial"/>
                        <w:color w:val="000000"/>
                        <w:szCs w:val="21"/>
                        <w:lang w:val="en-GB"/>
                      </w:rPr>
                      <w:t>调整未分配利润</w:t>
                    </w:r>
                  </w:p>
                </w:tc>
              </w:sdtContent>
            </w:sdt>
            <w:tc>
              <w:tcPr>
                <w:tcW w:w="1945" w:type="pct"/>
                <w:shd w:val="clear" w:color="auto" w:fill="auto"/>
              </w:tcPr>
              <w:p>
                <w:pPr>
                  <w:jc w:val="right"/>
                  <w:rPr>
                    <w:szCs w:val="21"/>
                  </w:rPr>
                </w:pPr>
              </w:p>
            </w:tc>
          </w:tr>
        </w:tbl>
        <w:p>
          <w:pPr>
            <w:rPr>
              <w:rFonts w:cs="Arial"/>
              <w:szCs w:val="21"/>
            </w:rPr>
          </w:pPr>
        </w:p>
        <w:p>
          <w:pPr>
            <w:rPr>
              <w:rFonts w:cs="Arial"/>
              <w:szCs w:val="21"/>
            </w:rPr>
          </w:pPr>
          <w:r>
            <w:rPr>
              <w:rFonts w:hint="eastAsia" w:cs="Arial"/>
              <w:szCs w:val="21"/>
            </w:rPr>
            <w:t>其他说明</w:t>
          </w:r>
        </w:p>
        <w:sdt>
          <w:sdtPr>
            <w:rPr>
              <w:rFonts w:cs="Arial"/>
              <w:szCs w:val="21"/>
            </w:rPr>
            <w:alias w:val="是否适用：在子公司的所有者权益份额发生变化且仍控制子公司的交易的说明[双击切换]"/>
            <w:tag w:val="_GBC_f6cb777929974f7d8effe42e8ad42e7e"/>
            <w:id w:val="-1225369493"/>
            <w:lock w:val="sdtLocked"/>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pStyle w:val="114"/>
        <w:numPr>
          <w:ilvl w:val="2"/>
          <w:numId w:val="115"/>
        </w:numPr>
        <w:rPr>
          <w:rFonts w:ascii="宋体" w:hAnsi="宋体" w:cs="Arial"/>
          <w:szCs w:val="21"/>
        </w:rPr>
      </w:pPr>
      <w:r>
        <w:rPr>
          <w:rFonts w:hint="eastAsia" w:ascii="宋体" w:hAnsi="宋体" w:cs="Arial"/>
          <w:szCs w:val="21"/>
        </w:rPr>
        <w:t>在合营企业或联营企业中的权益</w:t>
      </w:r>
    </w:p>
    <w:sdt>
      <w:sdtPr>
        <w:alias w:val="是否适用：在合营企业或联营企业中的权益[双击切换]"/>
        <w:tag w:val="_GBC_2bff91875b7a49f3929c4613048756c1"/>
        <w:id w:val="-651369437"/>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ascii="宋体" w:hAnsi="宋体" w:eastAsia="宋体" w:cs="宋体"/>
          <w:b w:val="0"/>
          <w:bCs w:val="0"/>
          <w:kern w:val="0"/>
          <w:szCs w:val="24"/>
        </w:rPr>
        <w:alias w:val="模块:重要的合营企业或联营企业"/>
        <w:tag w:val="_GBC_49e4a749316a464e89485cda5774fc07"/>
        <w:id w:val="-553009614"/>
        <w:lock w:val="sdtLocked"/>
        <w:placeholder>
          <w:docPart w:val="GBC22222222222222222222222222222"/>
        </w:placeholder>
      </w:sdtPr>
      <w:sdtEndPr>
        <w:rPr>
          <w:rFonts w:hint="default" w:ascii="宋体" w:hAnsi="宋体" w:eastAsia="宋体" w:cstheme="minorBidi"/>
          <w:b w:val="0"/>
          <w:bCs w:val="0"/>
          <w:kern w:val="2"/>
          <w:szCs w:val="21"/>
        </w:rPr>
      </w:sdtEndPr>
      <w:sdtContent>
        <w:p>
          <w:pPr>
            <w:pStyle w:val="115"/>
            <w:numPr>
              <w:ilvl w:val="3"/>
              <w:numId w:val="118"/>
            </w:numPr>
            <w:ind w:left="424" w:hanging="424" w:hangingChars="202"/>
          </w:pPr>
          <w:r>
            <w:rPr>
              <w:rFonts w:hint="eastAsia"/>
            </w:rPr>
            <w:t>重要的合营企业或联营企业</w:t>
          </w:r>
        </w:p>
        <w:sdt>
          <w:sdtPr>
            <w:rPr>
              <w:rFonts w:hint="eastAsia"/>
            </w:rPr>
            <w:alias w:val="是否适用：重要的合营企业或联营企业[双击切换]"/>
            <w:tag w:val="_GBC_99df64ed4bb84c2da5fb54cda5ae039b"/>
            <w:id w:val="1875972296"/>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的合营企业或联营企业"/>
              <w:tag w:val="_GBC_fc95ad35f9984b0c84fb2b12ebeb41db"/>
              <w:id w:val="282014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15463629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8"/>
            <w:gridCol w:w="1252"/>
            <w:gridCol w:w="1179"/>
            <w:gridCol w:w="1218"/>
            <w:gridCol w:w="1000"/>
            <w:gridCol w:w="1030"/>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sdt>
              <w:sdtPr>
                <w:tag w:val="_PLD_6004d65b7e3443dc82381484e3885a6b"/>
                <w:id w:val="-1693370263"/>
                <w:lock w:val="sdtLocked"/>
              </w:sdtPr>
              <w:sdtContent>
                <w:tc>
                  <w:tcPr>
                    <w:tcW w:w="667" w:type="pct"/>
                    <w:vMerge w:val="restart"/>
                    <w:shd w:val="clear" w:color="auto" w:fill="auto"/>
                    <w:vAlign w:val="center"/>
                  </w:tcPr>
                  <w:p>
                    <w:pPr>
                      <w:jc w:val="center"/>
                      <w:rPr>
                        <w:rFonts w:cs="Arial"/>
                        <w:szCs w:val="21"/>
                      </w:rPr>
                    </w:pPr>
                    <w:r>
                      <w:rPr>
                        <w:rFonts w:hint="eastAsia" w:cs="Arial"/>
                        <w:szCs w:val="21"/>
                        <w:lang w:val="en-GB"/>
                      </w:rPr>
                      <w:t>合营企业或联营企业名称</w:t>
                    </w:r>
                  </w:p>
                </w:tc>
              </w:sdtContent>
            </w:sdt>
            <w:sdt>
              <w:sdtPr>
                <w:tag w:val="_PLD_2e148655e91e4b998bd7a7d0b10c96fd"/>
                <w:id w:val="1556659239"/>
                <w:lock w:val="sdtLocked"/>
              </w:sdtPr>
              <w:sdtContent>
                <w:tc>
                  <w:tcPr>
                    <w:tcW w:w="734" w:type="pct"/>
                    <w:vMerge w:val="restart"/>
                    <w:shd w:val="clear" w:color="auto" w:fill="auto"/>
                    <w:vAlign w:val="center"/>
                  </w:tcPr>
                  <w:p>
                    <w:pPr>
                      <w:jc w:val="center"/>
                      <w:rPr>
                        <w:rFonts w:cs="Arial"/>
                        <w:szCs w:val="21"/>
                      </w:rPr>
                    </w:pPr>
                    <w:r>
                      <w:rPr>
                        <w:rFonts w:hint="eastAsia" w:cs="Arial"/>
                        <w:szCs w:val="21"/>
                        <w:lang w:val="en-GB"/>
                      </w:rPr>
                      <w:t>主要经营地</w:t>
                    </w:r>
                  </w:p>
                </w:tc>
              </w:sdtContent>
            </w:sdt>
            <w:sdt>
              <w:sdtPr>
                <w:tag w:val="_PLD_32e2714eb7074350886ae0d40b5c34b1"/>
                <w:id w:val="-1734460029"/>
                <w:lock w:val="sdtLocked"/>
              </w:sdtPr>
              <w:sdtContent>
                <w:tc>
                  <w:tcPr>
                    <w:tcW w:w="691" w:type="pct"/>
                    <w:vMerge w:val="restart"/>
                    <w:shd w:val="clear" w:color="auto" w:fill="auto"/>
                    <w:vAlign w:val="center"/>
                  </w:tcPr>
                  <w:p>
                    <w:pPr>
                      <w:jc w:val="center"/>
                      <w:rPr>
                        <w:rFonts w:cs="Arial"/>
                        <w:szCs w:val="21"/>
                      </w:rPr>
                    </w:pPr>
                    <w:r>
                      <w:rPr>
                        <w:rFonts w:hint="eastAsia" w:cs="Arial"/>
                        <w:szCs w:val="21"/>
                        <w:lang w:val="en-GB"/>
                      </w:rPr>
                      <w:t>注册地</w:t>
                    </w:r>
                  </w:p>
                </w:tc>
              </w:sdtContent>
            </w:sdt>
            <w:sdt>
              <w:sdtPr>
                <w:tag w:val="_PLD_d429c77b8bef473a98608606ebcd4d75"/>
                <w:id w:val="226734977"/>
                <w:lock w:val="sdtLocked"/>
              </w:sdtPr>
              <w:sdtContent>
                <w:tc>
                  <w:tcPr>
                    <w:tcW w:w="714" w:type="pct"/>
                    <w:vMerge w:val="restart"/>
                    <w:shd w:val="clear" w:color="auto" w:fill="auto"/>
                    <w:vAlign w:val="center"/>
                  </w:tcPr>
                  <w:p>
                    <w:pPr>
                      <w:jc w:val="center"/>
                      <w:rPr>
                        <w:rFonts w:cs="Arial"/>
                        <w:szCs w:val="21"/>
                      </w:rPr>
                    </w:pPr>
                    <w:r>
                      <w:rPr>
                        <w:rFonts w:hint="eastAsia" w:cs="Arial"/>
                        <w:szCs w:val="21"/>
                        <w:lang w:val="en-GB"/>
                      </w:rPr>
                      <w:t>业务性质</w:t>
                    </w:r>
                  </w:p>
                </w:tc>
              </w:sdtContent>
            </w:sdt>
            <w:sdt>
              <w:sdtPr>
                <w:tag w:val="_PLD_bc055f9d5073401a85de2316f2a2b7ce"/>
                <w:id w:val="-756744030"/>
                <w:lock w:val="sdtLocked"/>
              </w:sdtPr>
              <w:sdtContent>
                <w:tc>
                  <w:tcPr>
                    <w:tcW w:w="1190" w:type="pct"/>
                    <w:gridSpan w:val="2"/>
                    <w:shd w:val="clear" w:color="auto" w:fill="auto"/>
                    <w:vAlign w:val="center"/>
                  </w:tcPr>
                  <w:p>
                    <w:pPr>
                      <w:jc w:val="center"/>
                      <w:rPr>
                        <w:rFonts w:cs="Arial"/>
                        <w:szCs w:val="21"/>
                      </w:rPr>
                    </w:pPr>
                    <w:r>
                      <w:rPr>
                        <w:rFonts w:hint="eastAsia" w:cs="Arial"/>
                        <w:szCs w:val="21"/>
                        <w:lang w:val="en-GB"/>
                      </w:rPr>
                      <w:t>持股比例</w:t>
                    </w:r>
                    <w:r>
                      <w:rPr>
                        <w:rFonts w:cs="Arial"/>
                        <w:szCs w:val="21"/>
                      </w:rPr>
                      <w:t>(%)</w:t>
                    </w:r>
                  </w:p>
                </w:tc>
              </w:sdtContent>
            </w:sdt>
            <w:sdt>
              <w:sdtPr>
                <w:tag w:val="_PLD_96c57a3220e8432f8deedb4873fcf29c"/>
                <w:id w:val="-1650510310"/>
                <w:lock w:val="sdtLocked"/>
              </w:sdtPr>
              <w:sdtContent>
                <w:tc>
                  <w:tcPr>
                    <w:tcW w:w="1003" w:type="pct"/>
                    <w:vMerge w:val="restart"/>
                    <w:shd w:val="clear" w:color="auto" w:fill="auto"/>
                    <w:vAlign w:val="center"/>
                  </w:tcPr>
                  <w:p>
                    <w:pPr>
                      <w:jc w:val="center"/>
                      <w:rPr>
                        <w:rFonts w:cs="Arial"/>
                        <w:szCs w:val="21"/>
                      </w:rPr>
                    </w:pPr>
                    <w:r>
                      <w:rPr>
                        <w:rFonts w:hint="eastAsia" w:cs="Arial"/>
                        <w:szCs w:val="21"/>
                        <w:lang w:val="en-GB"/>
                      </w:rPr>
                      <w:t>对合营企业或联营企业投资的会计处理方法</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67" w:type="pct"/>
                <w:vMerge w:val="continue"/>
                <w:shd w:val="clear" w:color="auto" w:fill="auto"/>
                <w:vAlign w:val="center"/>
              </w:tcPr>
              <w:p>
                <w:pPr>
                  <w:rPr>
                    <w:rFonts w:cs="Arial"/>
                    <w:szCs w:val="21"/>
                  </w:rPr>
                </w:pPr>
              </w:p>
            </w:tc>
            <w:tc>
              <w:tcPr>
                <w:tcW w:w="734" w:type="pct"/>
                <w:vMerge w:val="continue"/>
                <w:shd w:val="clear" w:color="auto" w:fill="auto"/>
                <w:vAlign w:val="center"/>
              </w:tcPr>
              <w:p>
                <w:pPr>
                  <w:rPr>
                    <w:rFonts w:cs="Arial"/>
                    <w:szCs w:val="21"/>
                  </w:rPr>
                </w:pPr>
              </w:p>
            </w:tc>
            <w:tc>
              <w:tcPr>
                <w:tcW w:w="691" w:type="pct"/>
                <w:vMerge w:val="continue"/>
                <w:shd w:val="clear" w:color="auto" w:fill="auto"/>
                <w:vAlign w:val="center"/>
              </w:tcPr>
              <w:p>
                <w:pPr>
                  <w:rPr>
                    <w:rFonts w:cs="Arial"/>
                    <w:szCs w:val="21"/>
                  </w:rPr>
                </w:pPr>
              </w:p>
            </w:tc>
            <w:tc>
              <w:tcPr>
                <w:tcW w:w="714" w:type="pct"/>
                <w:vMerge w:val="continue"/>
                <w:shd w:val="clear" w:color="auto" w:fill="auto"/>
                <w:vAlign w:val="center"/>
              </w:tcPr>
              <w:p>
                <w:pPr>
                  <w:rPr>
                    <w:rFonts w:cs="Arial"/>
                    <w:szCs w:val="21"/>
                  </w:rPr>
                </w:pPr>
              </w:p>
            </w:tc>
            <w:sdt>
              <w:sdtPr>
                <w:tag w:val="_PLD_076e5c9e7ab64e6db098592664f75c64"/>
                <w:id w:val="-608348933"/>
                <w:lock w:val="sdtLocked"/>
              </w:sdtPr>
              <w:sdtContent>
                <w:tc>
                  <w:tcPr>
                    <w:tcW w:w="586" w:type="pct"/>
                    <w:shd w:val="clear" w:color="auto" w:fill="auto"/>
                    <w:vAlign w:val="center"/>
                  </w:tcPr>
                  <w:p>
                    <w:pPr>
                      <w:jc w:val="center"/>
                      <w:rPr>
                        <w:rFonts w:cs="Arial"/>
                        <w:szCs w:val="21"/>
                      </w:rPr>
                    </w:pPr>
                    <w:r>
                      <w:rPr>
                        <w:rFonts w:hint="eastAsia" w:cs="Arial"/>
                        <w:szCs w:val="21"/>
                        <w:lang w:val="en-GB"/>
                      </w:rPr>
                      <w:t>直接</w:t>
                    </w:r>
                  </w:p>
                </w:tc>
              </w:sdtContent>
            </w:sdt>
            <w:sdt>
              <w:sdtPr>
                <w:tag w:val="_PLD_49b77f1690ee4cc88f829d510135f0bf"/>
                <w:id w:val="-2132699557"/>
                <w:lock w:val="sdtLocked"/>
              </w:sdtPr>
              <w:sdtContent>
                <w:tc>
                  <w:tcPr>
                    <w:tcW w:w="604" w:type="pct"/>
                    <w:shd w:val="clear" w:color="auto" w:fill="auto"/>
                    <w:vAlign w:val="center"/>
                  </w:tcPr>
                  <w:p>
                    <w:pPr>
                      <w:jc w:val="center"/>
                      <w:rPr>
                        <w:rFonts w:cs="Arial"/>
                        <w:szCs w:val="21"/>
                      </w:rPr>
                    </w:pPr>
                    <w:r>
                      <w:rPr>
                        <w:rFonts w:hint="eastAsia" w:cs="Arial"/>
                        <w:szCs w:val="21"/>
                        <w:lang w:val="en-GB"/>
                      </w:rPr>
                      <w:t>间接</w:t>
                    </w:r>
                  </w:p>
                </w:tc>
              </w:sdtContent>
            </w:sdt>
            <w:tc>
              <w:tcPr>
                <w:tcW w:w="1003" w:type="pct"/>
                <w:vMerge w:val="continue"/>
                <w:vAlign w:val="center"/>
              </w:tcPr>
              <w:p>
                <w:pPr>
                  <w:rPr>
                    <w:rFonts w:cs="Arial"/>
                    <w:szCs w:val="21"/>
                  </w:rPr>
                </w:pPr>
              </w:p>
            </w:tc>
          </w:tr>
          <w:sdt>
            <w:sdtPr>
              <w:rPr>
                <w:szCs w:val="21"/>
              </w:rPr>
              <w:alias w:val="重要的合营企业或联营企业明细"/>
              <w:tag w:val="_GBC_a1baed559822472c8c78b05cadceb35a"/>
              <w:id w:val="-186434880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szCs w:val="21"/>
                      </w:rPr>
                    </w:pPr>
                    <w:r>
                      <w:t>重庆银行股份有限公司</w:t>
                    </w:r>
                  </w:p>
                </w:tc>
                <w:tc>
                  <w:tcPr>
                    <w:tcW w:w="734" w:type="pct"/>
                    <w:vAlign w:val="center"/>
                  </w:tcPr>
                  <w:p>
                    <w:pPr>
                      <w:jc w:val="center"/>
                      <w:rPr>
                        <w:szCs w:val="21"/>
                      </w:rPr>
                    </w:pPr>
                    <w:r>
                      <w:t>重庆</w:t>
                    </w:r>
                  </w:p>
                </w:tc>
                <w:tc>
                  <w:tcPr>
                    <w:tcW w:w="691" w:type="pct"/>
                    <w:vAlign w:val="center"/>
                  </w:tcPr>
                  <w:p>
                    <w:pPr>
                      <w:jc w:val="center"/>
                      <w:rPr>
                        <w:szCs w:val="21"/>
                      </w:rPr>
                    </w:pPr>
                    <w:r>
                      <w:t>重庆</w:t>
                    </w:r>
                  </w:p>
                </w:tc>
                <w:tc>
                  <w:tcPr>
                    <w:tcW w:w="714" w:type="pct"/>
                    <w:vAlign w:val="center"/>
                  </w:tcPr>
                  <w:p>
                    <w:pPr>
                      <w:jc w:val="center"/>
                      <w:rPr>
                        <w:szCs w:val="21"/>
                      </w:rPr>
                    </w:pPr>
                    <w:r>
                      <w:t>金融行业</w:t>
                    </w:r>
                  </w:p>
                </w:tc>
                <w:tc>
                  <w:tcPr>
                    <w:tcW w:w="586" w:type="pct"/>
                    <w:vAlign w:val="center"/>
                  </w:tcPr>
                  <w:p>
                    <w:pPr>
                      <w:jc w:val="center"/>
                      <w:rPr>
                        <w:szCs w:val="21"/>
                      </w:rPr>
                    </w:pPr>
                    <w:r>
                      <w:t>3.73</w:t>
                    </w:r>
                  </w:p>
                </w:tc>
                <w:tc>
                  <w:tcPr>
                    <w:tcW w:w="604" w:type="pct"/>
                    <w:vAlign w:val="center"/>
                  </w:tcPr>
                  <w:p>
                    <w:pPr>
                      <w:jc w:val="center"/>
                      <w:rPr>
                        <w:szCs w:val="21"/>
                      </w:rPr>
                    </w:pPr>
                    <w:r>
                      <w:t>4.76</w:t>
                    </w:r>
                  </w:p>
                </w:tc>
                <w:tc>
                  <w:tcPr>
                    <w:tcW w:w="1003" w:type="pct"/>
                    <w:vAlign w:val="center"/>
                  </w:tcPr>
                  <w:p>
                    <w:pPr>
                      <w:jc w:val="center"/>
                      <w:rPr>
                        <w:szCs w:val="21"/>
                      </w:rPr>
                    </w:pPr>
                    <w:r>
                      <w:t>权益法</w:t>
                    </w:r>
                  </w:p>
                </w:tc>
              </w:tr>
            </w:sdtContent>
          </w:sdt>
          <w:sdt>
            <w:sdtPr>
              <w:rPr>
                <w:szCs w:val="21"/>
              </w:rPr>
              <w:alias w:val="重要的合营企业或联营企业明细"/>
              <w:tag w:val="_GBC_a1baed559822472c8c78b05cadceb35a"/>
              <w:id w:val="-92048257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7" w:type="pct"/>
                  </w:tcPr>
                  <w:p>
                    <w:pPr>
                      <w:rPr>
                        <w:szCs w:val="21"/>
                      </w:rPr>
                    </w:pPr>
                    <w:r>
                      <w:t>力帆融资租赁（上海）有限公司</w:t>
                    </w:r>
                  </w:p>
                </w:tc>
                <w:tc>
                  <w:tcPr>
                    <w:tcW w:w="734" w:type="pct"/>
                    <w:vAlign w:val="center"/>
                  </w:tcPr>
                  <w:p>
                    <w:pPr>
                      <w:jc w:val="center"/>
                      <w:rPr>
                        <w:szCs w:val="21"/>
                      </w:rPr>
                    </w:pPr>
                    <w:r>
                      <w:t>上海</w:t>
                    </w:r>
                  </w:p>
                </w:tc>
                <w:tc>
                  <w:tcPr>
                    <w:tcW w:w="691" w:type="pct"/>
                    <w:vAlign w:val="center"/>
                  </w:tcPr>
                  <w:p>
                    <w:pPr>
                      <w:jc w:val="center"/>
                      <w:rPr>
                        <w:szCs w:val="21"/>
                      </w:rPr>
                    </w:pPr>
                    <w:r>
                      <w:t>上海</w:t>
                    </w:r>
                  </w:p>
                </w:tc>
                <w:tc>
                  <w:tcPr>
                    <w:tcW w:w="714" w:type="pct"/>
                    <w:vAlign w:val="center"/>
                  </w:tcPr>
                  <w:p>
                    <w:pPr>
                      <w:jc w:val="center"/>
                      <w:rPr>
                        <w:szCs w:val="21"/>
                      </w:rPr>
                    </w:pPr>
                    <w:r>
                      <w:t>金融行业</w:t>
                    </w:r>
                  </w:p>
                </w:tc>
                <w:tc>
                  <w:tcPr>
                    <w:tcW w:w="586" w:type="pct"/>
                    <w:vAlign w:val="center"/>
                  </w:tcPr>
                  <w:p>
                    <w:pPr>
                      <w:jc w:val="center"/>
                      <w:rPr>
                        <w:szCs w:val="21"/>
                      </w:rPr>
                    </w:pPr>
                    <w:r>
                      <w:t>21.80</w:t>
                    </w:r>
                  </w:p>
                </w:tc>
                <w:tc>
                  <w:tcPr>
                    <w:tcW w:w="604" w:type="pct"/>
                    <w:vAlign w:val="center"/>
                  </w:tcPr>
                  <w:p>
                    <w:pPr>
                      <w:jc w:val="center"/>
                      <w:rPr>
                        <w:szCs w:val="21"/>
                      </w:rPr>
                    </w:pPr>
                    <w:r>
                      <w:t>27.20</w:t>
                    </w:r>
                  </w:p>
                </w:tc>
                <w:tc>
                  <w:tcPr>
                    <w:tcW w:w="1003" w:type="pct"/>
                    <w:vAlign w:val="center"/>
                  </w:tcPr>
                  <w:p>
                    <w:pPr>
                      <w:jc w:val="center"/>
                      <w:rPr>
                        <w:szCs w:val="21"/>
                      </w:rPr>
                    </w:pPr>
                    <w:r>
                      <w:t>权益法</w:t>
                    </w:r>
                  </w:p>
                </w:tc>
              </w:tr>
            </w:sdtContent>
          </w:sdt>
        </w:tbl>
        <w:p/>
        <w:p>
          <w:pPr>
            <w:rPr>
              <w:rFonts w:cs="Arial"/>
              <w:szCs w:val="21"/>
            </w:rPr>
          </w:pPr>
          <w:r>
            <w:rPr>
              <w:rFonts w:hint="eastAsia" w:cs="Arial"/>
              <w:szCs w:val="21"/>
            </w:rPr>
            <w:t>在合营企业或联营企业的持股比例不同于表决权比例的说明：</w:t>
          </w:r>
        </w:p>
        <w:p>
          <w:pPr>
            <w:rPr>
              <w:rFonts w:cs="Arial"/>
              <w:szCs w:val="21"/>
            </w:rPr>
          </w:pPr>
          <w:sdt>
            <w:sdtPr>
              <w:rPr>
                <w:rFonts w:cs="Arial"/>
                <w:szCs w:val="21"/>
              </w:rPr>
              <w:alias w:val="在合营企业或联营企业的持股比例不同于表决权比例的说明"/>
              <w:tag w:val="_GBC_b18385c11aff4424b360bd0cb4f81376"/>
              <w:id w:val="2113243450"/>
              <w:lock w:val="sdtLocked"/>
              <w:placeholder>
                <w:docPart w:val="GBC22222222222222222222222222222"/>
              </w:placeholder>
            </w:sdtPr>
            <w:sdtEndPr>
              <w:rPr>
                <w:rFonts w:cs="Arial"/>
                <w:szCs w:val="21"/>
              </w:rPr>
            </w:sdtEndPr>
            <w:sdtContent>
              <w:r>
                <w:rPr>
                  <w:rFonts w:hint="eastAsia" w:cs="Arial"/>
                  <w:szCs w:val="21"/>
                </w:rPr>
                <w:t>无</w:t>
              </w:r>
            </w:sdtContent>
          </w:sdt>
        </w:p>
        <w:p>
          <w:pPr>
            <w:rPr>
              <w:rFonts w:cs="Arial"/>
              <w:szCs w:val="21"/>
            </w:rPr>
          </w:pPr>
        </w:p>
        <w:p>
          <w:pPr>
            <w:rPr>
              <w:rFonts w:cs="Arial"/>
              <w:szCs w:val="21"/>
            </w:rPr>
          </w:pPr>
          <w:r>
            <w:rPr>
              <w:rFonts w:hint="eastAsia" w:cs="Arial"/>
              <w:szCs w:val="21"/>
            </w:rPr>
            <w:t>持有</w:t>
          </w:r>
          <w:r>
            <w:rPr>
              <w:rFonts w:cs="Arial"/>
              <w:szCs w:val="21"/>
            </w:rPr>
            <w:t>20%以下表决权但具有重大影响，或者持有20%或以上表决权但不具有重大影响的依据：</w:t>
          </w:r>
        </w:p>
        <w:p>
          <w:pPr>
            <w:pStyle w:val="197"/>
            <w:widowControl w:val="0"/>
            <w:spacing w:line="360" w:lineRule="auto"/>
            <w:ind w:left="0" w:leftChars="0" w:firstLine="420" w:firstLineChars="200"/>
            <w:jc w:val="both"/>
            <w:rPr>
              <w:rFonts w:ascii="Arial" w:hAnsi="Arial" w:cs="Arial"/>
            </w:rPr>
          </w:pPr>
          <w:sdt>
            <w:sdtPr>
              <w:rPr>
                <w:rFonts w:cs="Arial"/>
              </w:rPr>
              <w:alias w:val="持有20%以下表决权但具有重大影响，或者持有20%或以上表决权但不具有重大影响的依据"/>
              <w:tag w:val="_GBC_08a71a8c491f4c758da0748f7570fb28"/>
              <w:id w:val="-979459153"/>
              <w:lock w:val="sdtLocked"/>
              <w:placeholder>
                <w:docPart w:val="GBC22222222222222222222222222222"/>
              </w:placeholder>
            </w:sdtPr>
            <w:sdtEndPr>
              <w:rPr>
                <w:rFonts w:cs="Arial"/>
                <w:kern w:val="0"/>
              </w:rPr>
            </w:sdtEndPr>
            <w:sdtContent>
              <w:r>
                <w:rPr>
                  <w:rFonts w:hint="eastAsia" w:cs="Arial"/>
                </w:rPr>
                <w:t>截至202</w:t>
              </w:r>
              <w:r>
                <w:rPr>
                  <w:rFonts w:cs="Arial"/>
                </w:rPr>
                <w:t>1</w:t>
              </w:r>
              <w:r>
                <w:rPr>
                  <w:rFonts w:hint="eastAsia" w:cs="Arial"/>
                </w:rPr>
                <w:t>年12月31日，本公司与全资子公司力帆国际（控股）有限公司合计持有重庆银行股份有限公司8</w:t>
              </w:r>
              <w:r>
                <w:rPr>
                  <w:rFonts w:cs="Arial"/>
                </w:rPr>
                <w:t>.49</w:t>
              </w:r>
              <w:r>
                <w:rPr>
                  <w:rFonts w:hint="eastAsia" w:cs="Arial"/>
                </w:rPr>
                <w:t>%的股份，同时公司在其董事会中派有代表，本公司对重庆银行股份有限公司构成重大影响。</w:t>
              </w:r>
            </w:sdtContent>
          </w:sdt>
        </w:p>
      </w:sdtContent>
    </w:sdt>
    <w:p>
      <w:pPr>
        <w:pStyle w:val="115"/>
        <w:numPr>
          <w:ilvl w:val="3"/>
          <w:numId w:val="118"/>
        </w:numPr>
        <w:ind w:left="424" w:hanging="424" w:hangingChars="201"/>
      </w:pPr>
      <w:r>
        <w:rPr>
          <w:rFonts w:hint="eastAsia"/>
        </w:rPr>
        <w:t>重要合营企业的主要财务信息</w:t>
      </w:r>
    </w:p>
    <w:sdt>
      <w:sdtPr>
        <w:rPr>
          <w:rFonts w:hint="eastAsia"/>
        </w:rPr>
        <w:alias w:val="模块:重要合营企业的主要财务信息"/>
        <w:tag w:val="_GBC_10d60417c84d41c1b3386073557d9d05"/>
        <w:id w:val="-1884088133"/>
        <w:lock w:val="sdtLocked"/>
        <w:placeholder>
          <w:docPart w:val="GBC22222222222222222222222222222"/>
        </w:placeholder>
      </w:sdtPr>
      <w:sdtEndPr>
        <w:rPr>
          <w:rFonts w:hint="default" w:cstheme="minorBidi"/>
          <w:szCs w:val="21"/>
        </w:rPr>
      </w:sdtEndPr>
      <w:sdtContent>
        <w:sdt>
          <w:sdtPr>
            <w:rPr>
              <w:rFonts w:hint="eastAsia"/>
            </w:rPr>
            <w:alias w:val="是否适用：重要合营企业的主要财务信息[双击切换]"/>
            <w:tag w:val="_GBC_8218a872fcd045d290940ccf3b3bdfa5"/>
            <w:id w:val="-144503922"/>
            <w:lock w:val="sdtLocked"/>
            <w:placeholder>
              <w:docPart w:val="GBC22222222222222222222222222222"/>
            </w:placeholder>
          </w:sdtPr>
          <w:sdtEndPr>
            <w:rPr>
              <w:rFonts w:hint="eastAsia"/>
            </w:rPr>
          </w:sdtEndPr>
          <w:sdtContent>
            <w:p>
              <w:pPr>
                <w:rPr>
                  <w:rFonts w:cs="Arial"/>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theme="minorBidi"/>
              <w:szCs w:val="21"/>
            </w:rPr>
          </w:pPr>
        </w:p>
      </w:sdtContent>
    </w:sdt>
    <w:p>
      <w:pPr>
        <w:pStyle w:val="115"/>
        <w:numPr>
          <w:ilvl w:val="3"/>
          <w:numId w:val="118"/>
        </w:numPr>
        <w:ind w:left="424" w:hanging="424" w:hangingChars="201"/>
      </w:pPr>
      <w:r>
        <w:rPr>
          <w:rFonts w:hint="eastAsia"/>
        </w:rPr>
        <w:t>重要联营企业的主要财务信息</w:t>
      </w:r>
    </w:p>
    <w:sdt>
      <w:sdtPr>
        <w:rPr>
          <w:rFonts w:hint="eastAsia"/>
        </w:rPr>
        <w:alias w:val="模块:重要联营企业的主要财务信息"/>
        <w:tag w:val="_GBC_ac3eed998bbd4658ab651a88daefefb1"/>
        <w:id w:val="412205940"/>
        <w:lock w:val="sdtLocked"/>
        <w:placeholder>
          <w:docPart w:val="GBC22222222222222222222222222222"/>
        </w:placeholder>
      </w:sdtPr>
      <w:sdtEndPr>
        <w:rPr>
          <w:rFonts w:hint="default" w:cstheme="minorBidi"/>
          <w:szCs w:val="21"/>
        </w:rPr>
      </w:sdtEndPr>
      <w:sdtContent>
        <w:sdt>
          <w:sdtPr>
            <w:rPr>
              <w:rFonts w:hint="eastAsia"/>
            </w:rPr>
            <w:alias w:val="是否适用：重要联营企业的主要财务信息[双击切换]"/>
            <w:tag w:val="_GBC_e570958be6b64b7d8be73c12ea5135f1"/>
            <w:id w:val="133696374"/>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重要联营企业的主要财务信息"/>
              <w:tag w:val="_GBC_0306b30be35040cd86d2b964142011d4"/>
              <w:id w:val="-1357210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重要联营企业的主要财务信息"/>
              <w:tag w:val="_GBC_a2e655bae21746219bfd958c6f5b8be9"/>
              <w:id w:val="-15783552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2669"/>
            <w:gridCol w:w="1581"/>
            <w:gridCol w:w="1342"/>
            <w:gridCol w:w="1581"/>
            <w:gridCol w:w="13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565" w:type="pct"/>
                <w:vMerge w:val="restart"/>
                <w:tcBorders>
                  <w:top w:val="single" w:color="auto" w:sz="4" w:space="0"/>
                  <w:left w:val="single" w:color="auto" w:sz="4" w:space="0"/>
                  <w:bottom w:val="single" w:color="auto" w:sz="6" w:space="0"/>
                  <w:right w:val="single" w:color="auto" w:sz="6" w:space="0"/>
                </w:tcBorders>
                <w:shd w:val="clear" w:color="auto" w:fill="auto"/>
              </w:tcPr>
              <w:p>
                <w:pPr>
                  <w:jc w:val="center"/>
                  <w:rPr>
                    <w:rFonts w:cs="Arial"/>
                    <w:szCs w:val="21"/>
                  </w:rPr>
                </w:pPr>
              </w:p>
            </w:tc>
            <w:sdt>
              <w:sdtPr>
                <w:rPr>
                  <w:rFonts w:hint="eastAsia" w:cs="Arial"/>
                  <w:szCs w:val="21"/>
                  <w:lang w:val="en-GB"/>
                </w:rPr>
                <w:alias w:val="重要联营企业的主要财务信息-发生期间"/>
                <w:tag w:val="_GBC_3985273c74d84e5d9e0004348ff54fc3"/>
                <w:id w:val="-152768224"/>
                <w:lock w:val="sdtLocked"/>
              </w:sdtPr>
              <w:sdtEndPr>
                <w:rPr>
                  <w:rFonts w:hint="eastAsia" w:cs="Arial"/>
                  <w:szCs w:val="21"/>
                  <w:lang w:val="en-GB"/>
                </w:rPr>
              </w:sdtEndPr>
              <w:sdtContent>
                <w:tc>
                  <w:tcPr>
                    <w:tcW w:w="1714" w:type="pct"/>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rPr>
                    </w:pPr>
                    <w:r>
                      <w:rPr>
                        <w:rFonts w:hint="eastAsia" w:cs="Arial"/>
                        <w:szCs w:val="21"/>
                        <w:lang w:val="en-GB"/>
                      </w:rPr>
                      <w:t>期末余额</w:t>
                    </w:r>
                    <w:r>
                      <w:rPr>
                        <w:rFonts w:cs="Arial"/>
                        <w:szCs w:val="21"/>
                      </w:rPr>
                      <w:t xml:space="preserve">/ </w:t>
                    </w:r>
                    <w:r>
                      <w:rPr>
                        <w:rFonts w:hint="eastAsia" w:cs="Arial"/>
                        <w:szCs w:val="21"/>
                        <w:lang w:val="en-GB"/>
                      </w:rPr>
                      <w:t>本期发生额</w:t>
                    </w:r>
                  </w:p>
                </w:tc>
              </w:sdtContent>
            </w:sdt>
            <w:sdt>
              <w:sdtPr>
                <w:rPr>
                  <w:rFonts w:hint="eastAsia" w:cs="Arial"/>
                  <w:szCs w:val="21"/>
                  <w:lang w:val="en-GB"/>
                </w:rPr>
                <w:alias w:val="重要联营企业的主要财务信息-发生期间"/>
                <w:tag w:val="_GBC_c59f213bf9cc43468db35ae8e45286d0"/>
                <w:id w:val="-882253955"/>
                <w:lock w:val="sdtLocked"/>
              </w:sdtPr>
              <w:sdtEndPr>
                <w:rPr>
                  <w:rFonts w:hint="eastAsia" w:cs="Arial"/>
                  <w:szCs w:val="21"/>
                  <w:lang w:val="en-GB"/>
                </w:rPr>
              </w:sdtEndPr>
              <w:sdtContent>
                <w:tc>
                  <w:tcPr>
                    <w:tcW w:w="1721" w:type="pct"/>
                    <w:gridSpan w:val="2"/>
                    <w:tcBorders>
                      <w:top w:val="single" w:color="auto" w:sz="4" w:space="0"/>
                      <w:left w:val="single" w:color="auto" w:sz="6" w:space="0"/>
                      <w:bottom w:val="single" w:color="auto" w:sz="6" w:space="0"/>
                      <w:right w:val="single" w:color="auto" w:sz="6" w:space="0"/>
                    </w:tcBorders>
                    <w:shd w:val="clear" w:color="auto" w:fill="auto"/>
                    <w:vAlign w:val="center"/>
                  </w:tcPr>
                  <w:p>
                    <w:pPr>
                      <w:jc w:val="center"/>
                      <w:rPr>
                        <w:rFonts w:cs="Arial"/>
                        <w:szCs w:val="21"/>
                        <w:lang w:val="en-GB"/>
                      </w:rPr>
                    </w:pPr>
                    <w:r>
                      <w:rPr>
                        <w:rFonts w:hint="eastAsia" w:cs="Arial"/>
                        <w:szCs w:val="21"/>
                        <w:lang w:val="en-GB"/>
                      </w:rPr>
                      <w:t>期初余额</w:t>
                    </w:r>
                    <w:r>
                      <w:rPr>
                        <w:rFonts w:cs="Arial"/>
                        <w:szCs w:val="21"/>
                      </w:rPr>
                      <w:t xml:space="preserve">/ </w:t>
                    </w:r>
                    <w:r>
                      <w:rPr>
                        <w:rFonts w:hint="eastAsia" w:cs="Arial"/>
                        <w:szCs w:val="21"/>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0" w:hRule="atLeast"/>
            </w:trPr>
            <w:tc>
              <w:tcPr>
                <w:tcW w:w="1565" w:type="pct"/>
                <w:vMerge w:val="continue"/>
                <w:tcBorders>
                  <w:top w:val="single" w:color="auto" w:sz="4" w:space="0"/>
                  <w:left w:val="single" w:color="auto" w:sz="4" w:space="0"/>
                  <w:bottom w:val="single" w:color="auto" w:sz="6" w:space="0"/>
                  <w:right w:val="single" w:color="auto" w:sz="6" w:space="0"/>
                </w:tcBorders>
                <w:shd w:val="clear" w:color="auto" w:fill="auto"/>
                <w:vAlign w:val="center"/>
              </w:tcPr>
              <w:p>
                <w:pPr>
                  <w:rPr>
                    <w:rFonts w:cs="Arial"/>
                    <w:szCs w:val="21"/>
                  </w:rPr>
                </w:pPr>
              </w:p>
            </w:tc>
            <w:sdt>
              <w:sdtPr>
                <w:rPr>
                  <w:szCs w:val="21"/>
                </w:rPr>
                <w:alias w:val="重要联营企业的主要财务信息明细-企业名称"/>
                <w:tag w:val="_GBC_efc7f4a58fe54a3fb8fad3e0deb94eae"/>
                <w:id w:val="971171537"/>
                <w:lock w:val="sdtLocked"/>
              </w:sdtPr>
              <w:sdtEndPr>
                <w:rPr>
                  <w:szCs w:val="21"/>
                </w:rPr>
              </w:sdtEndPr>
              <w:sdtContent>
                <w:tc>
                  <w:tcPr>
                    <w:tcW w:w="927" w:type="pct"/>
                    <w:tcBorders>
                      <w:top w:val="single" w:color="auto" w:sz="6" w:space="0"/>
                      <w:left w:val="single" w:color="auto" w:sz="6" w:space="0"/>
                      <w:right w:val="single" w:color="auto" w:sz="6" w:space="0"/>
                    </w:tcBorders>
                    <w:shd w:val="clear" w:color="auto" w:fill="auto"/>
                  </w:tcPr>
                  <w:p>
                    <w:r>
                      <w:t>重庆银行股份有限公司</w:t>
                    </w:r>
                  </w:p>
                  <w:p>
                    <w:pPr>
                      <w:jc w:val="center"/>
                      <w:rPr>
                        <w:szCs w:val="21"/>
                      </w:rPr>
                    </w:pPr>
                  </w:p>
                </w:tc>
              </w:sdtContent>
            </w:sdt>
            <w:sdt>
              <w:sdtPr>
                <w:rPr>
                  <w:szCs w:val="21"/>
                </w:rPr>
                <w:alias w:val="重要联营企业的主要财务信息明细-企业名称"/>
                <w:tag w:val="_GBC_efc7f4a58fe54a3fb8fad3e0deb94eae"/>
                <w:id w:val="1137831470"/>
                <w:lock w:val="sdtLocked"/>
              </w:sdtPr>
              <w:sdtEndPr>
                <w:rPr>
                  <w:szCs w:val="21"/>
                </w:rPr>
              </w:sdtEndPr>
              <w:sdtContent>
                <w:tc>
                  <w:tcPr>
                    <w:tcW w:w="787" w:type="pct"/>
                    <w:tcBorders>
                      <w:top w:val="single" w:color="auto" w:sz="6" w:space="0"/>
                      <w:left w:val="single" w:color="auto" w:sz="6" w:space="0"/>
                      <w:right w:val="single" w:color="auto" w:sz="6" w:space="0"/>
                    </w:tcBorders>
                    <w:shd w:val="clear" w:color="auto" w:fill="auto"/>
                  </w:tcPr>
                  <w:p>
                    <w:r>
                      <w:t>力帆融资租赁（上海）有限公司</w:t>
                    </w:r>
                  </w:p>
                  <w:p>
                    <w:pPr>
                      <w:jc w:val="center"/>
                      <w:rPr>
                        <w:szCs w:val="21"/>
                      </w:rPr>
                    </w:pPr>
                  </w:p>
                </w:tc>
              </w:sdtContent>
            </w:sdt>
            <w:sdt>
              <w:sdtPr>
                <w:rPr>
                  <w:szCs w:val="21"/>
                </w:rPr>
                <w:alias w:val="重要联营企业的主要财务信息明细-企业名称"/>
                <w:tag w:val="_GBC_ec035f4a8b8047b6ae76c73886ec26ca"/>
                <w:id w:val="-785576127"/>
                <w:lock w:val="sdtLocked"/>
              </w:sdtPr>
              <w:sdtEndPr>
                <w:rPr>
                  <w:szCs w:val="21"/>
                </w:rPr>
              </w:sdtEndPr>
              <w:sdtContent>
                <w:tc>
                  <w:tcPr>
                    <w:tcW w:w="927" w:type="pct"/>
                    <w:tcBorders>
                      <w:top w:val="single" w:color="auto" w:sz="6" w:space="0"/>
                      <w:left w:val="single" w:color="auto" w:sz="6" w:space="0"/>
                      <w:bottom w:val="single" w:color="auto" w:sz="6" w:space="0"/>
                      <w:right w:val="single" w:color="auto" w:sz="6" w:space="0"/>
                    </w:tcBorders>
                    <w:shd w:val="clear" w:color="auto" w:fill="auto"/>
                  </w:tcPr>
                  <w:p>
                    <w:r>
                      <w:t>重庆银行股份有限公司</w:t>
                    </w:r>
                  </w:p>
                  <w:p>
                    <w:pPr>
                      <w:jc w:val="center"/>
                      <w:rPr>
                        <w:szCs w:val="21"/>
                      </w:rPr>
                    </w:pPr>
                  </w:p>
                </w:tc>
              </w:sdtContent>
            </w:sdt>
            <w:sdt>
              <w:sdtPr>
                <w:rPr>
                  <w:szCs w:val="21"/>
                </w:rPr>
                <w:alias w:val="重要联营企业的主要财务信息明细-企业名称"/>
                <w:tag w:val="_GBC_ec035f4a8b8047b6ae76c73886ec26ca"/>
                <w:id w:val="1846362207"/>
                <w:lock w:val="sdtLocked"/>
              </w:sdtPr>
              <w:sdtEndPr>
                <w:rPr>
                  <w:szCs w:val="21"/>
                </w:rPr>
              </w:sdtEndPr>
              <w:sdtContent>
                <w:tc>
                  <w:tcPr>
                    <w:tcW w:w="794" w:type="pct"/>
                    <w:tcBorders>
                      <w:top w:val="single" w:color="auto" w:sz="6" w:space="0"/>
                      <w:left w:val="single" w:color="auto" w:sz="6" w:space="0"/>
                      <w:bottom w:val="single" w:color="auto" w:sz="6" w:space="0"/>
                      <w:right w:val="single" w:color="auto" w:sz="6" w:space="0"/>
                    </w:tcBorders>
                    <w:shd w:val="clear" w:color="auto" w:fill="auto"/>
                  </w:tcPr>
                  <w:p>
                    <w:r>
                      <w:t>力帆融资租赁（上海）有限公司</w:t>
                    </w:r>
                  </w:p>
                  <w:p>
                    <w:pPr>
                      <w:jc w:val="center"/>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93b9a2f53b8c47c3b912a3f65bfa401f"/>
                <w:id w:val="-1643106210"/>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资产合计</w:t>
                    </w:r>
                  </w:p>
                </w:tc>
              </w:sdtContent>
            </w:sdt>
            <w:tc>
              <w:tcPr>
                <w:tcW w:w="927" w:type="pct"/>
                <w:tcBorders>
                  <w:left w:val="single" w:color="auto" w:sz="6" w:space="0"/>
                  <w:right w:val="single" w:color="auto" w:sz="6" w:space="0"/>
                </w:tcBorders>
                <w:shd w:val="clear" w:color="auto" w:fill="auto"/>
                <w:vAlign w:val="center"/>
              </w:tcPr>
              <w:p>
                <w:pPr>
                  <w:jc w:val="right"/>
                  <w:rPr>
                    <w:sz w:val="24"/>
                  </w:rPr>
                </w:pPr>
                <w:r>
                  <w:t>61,895,362.00</w:t>
                </w:r>
              </w:p>
            </w:tc>
            <w:tc>
              <w:tcPr>
                <w:tcW w:w="787" w:type="pct"/>
                <w:tcBorders>
                  <w:left w:val="single" w:color="auto" w:sz="6" w:space="0"/>
                  <w:right w:val="single" w:color="auto" w:sz="6" w:space="0"/>
                </w:tcBorders>
                <w:shd w:val="clear" w:color="auto" w:fill="auto"/>
                <w:vAlign w:val="center"/>
              </w:tcPr>
              <w:p>
                <w:pPr>
                  <w:jc w:val="right"/>
                  <w:rPr>
                    <w:sz w:val="24"/>
                  </w:rPr>
                </w:pPr>
                <w:r>
                  <w:t>51,283.65</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56,164,139.70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62,936.82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9cbbfa9377864d43b63aa61b4f155abf"/>
                <w:id w:val="1455450355"/>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负债合计</w:t>
                    </w:r>
                  </w:p>
                </w:tc>
              </w:sdtContent>
            </w:sdt>
            <w:tc>
              <w:tcPr>
                <w:tcW w:w="927" w:type="pct"/>
                <w:tcBorders>
                  <w:left w:val="single" w:color="auto" w:sz="6" w:space="0"/>
                  <w:right w:val="single" w:color="auto" w:sz="6" w:space="0"/>
                </w:tcBorders>
                <w:shd w:val="clear" w:color="auto" w:fill="auto"/>
                <w:vAlign w:val="center"/>
              </w:tcPr>
              <w:p>
                <w:pPr>
                  <w:jc w:val="right"/>
                  <w:rPr>
                    <w:sz w:val="24"/>
                  </w:rPr>
                </w:pPr>
                <w:r>
                  <w:t>56,970,692.50</w:t>
                </w:r>
              </w:p>
            </w:tc>
            <w:tc>
              <w:tcPr>
                <w:tcW w:w="787" w:type="pct"/>
                <w:tcBorders>
                  <w:left w:val="single" w:color="auto" w:sz="6" w:space="0"/>
                  <w:right w:val="single" w:color="auto" w:sz="6" w:space="0"/>
                </w:tcBorders>
                <w:shd w:val="clear" w:color="auto" w:fill="auto"/>
                <w:vAlign w:val="center"/>
              </w:tcPr>
              <w:p>
                <w:pPr>
                  <w:jc w:val="right"/>
                  <w:rPr>
                    <w:sz w:val="24"/>
                  </w:rPr>
                </w:pPr>
                <w:r>
                  <w:t>16,785.25</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51,964,718.30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17,320.49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16753c98818d47ecb057fbb811eb12e0"/>
                <w:id w:val="-1692525649"/>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少数股东权益</w:t>
                    </w:r>
                  </w:p>
                </w:tc>
              </w:sdtContent>
            </w:sdt>
            <w:tc>
              <w:tcPr>
                <w:tcW w:w="927" w:type="pct"/>
                <w:tcBorders>
                  <w:left w:val="single" w:color="auto" w:sz="6" w:space="0"/>
                  <w:right w:val="single" w:color="auto" w:sz="6" w:space="0"/>
                </w:tcBorders>
                <w:shd w:val="clear" w:color="auto" w:fill="auto"/>
                <w:vAlign w:val="center"/>
              </w:tcPr>
              <w:p>
                <w:pPr>
                  <w:jc w:val="right"/>
                  <w:rPr>
                    <w:sz w:val="24"/>
                  </w:rPr>
                </w:pPr>
                <w:r>
                  <w:t>197,350.70</w:t>
                </w:r>
              </w:p>
            </w:tc>
            <w:tc>
              <w:tcPr>
                <w:tcW w:w="787" w:type="pct"/>
                <w:tcBorders>
                  <w:left w:val="single" w:color="auto" w:sz="6" w:space="0"/>
                  <w:right w:val="single" w:color="auto" w:sz="6" w:space="0"/>
                </w:tcBorders>
                <w:shd w:val="clear" w:color="auto" w:fill="auto"/>
                <w:vAlign w:val="center"/>
              </w:tcPr>
              <w:p>
                <w:pPr>
                  <w:jc w:val="right"/>
                  <w:rPr>
                    <w:sz w:val="24"/>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181,921.70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r>
                  <w:rPr>
                    <w:rFonts w:hint="eastAsia"/>
                  </w:rPr>
                  <w:t>其他权益工具</w:t>
                </w:r>
              </w:p>
            </w:tc>
            <w:tc>
              <w:tcPr>
                <w:tcW w:w="927" w:type="pct"/>
                <w:tcBorders>
                  <w:left w:val="single" w:color="auto" w:sz="6" w:space="0"/>
                  <w:right w:val="single" w:color="auto" w:sz="6" w:space="0"/>
                </w:tcBorders>
                <w:shd w:val="clear" w:color="auto" w:fill="auto"/>
                <w:vAlign w:val="center"/>
              </w:tcPr>
              <w:p>
                <w:pPr>
                  <w:jc w:val="right"/>
                </w:pPr>
                <w:r>
                  <w:rPr>
                    <w:rFonts w:hint="eastAsia"/>
                  </w:rPr>
                  <w:t>490,930.70</w:t>
                </w:r>
              </w:p>
            </w:tc>
            <w:tc>
              <w:tcPr>
                <w:tcW w:w="787" w:type="pct"/>
                <w:tcBorders>
                  <w:left w:val="single" w:color="auto" w:sz="6" w:space="0"/>
                  <w:right w:val="single" w:color="auto" w:sz="6" w:space="0"/>
                </w:tcBorders>
                <w:shd w:val="clear" w:color="auto" w:fill="auto"/>
                <w:vAlign w:val="center"/>
              </w:tcPr>
              <w:p>
                <w:pPr>
                  <w:jc w:val="right"/>
                  <w:rPr>
                    <w:sz w:val="24"/>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pPr>
                <w:r>
                  <w:rPr>
                    <w:rFonts w:hint="eastAsia"/>
                  </w:rPr>
                  <w:t>490,930.70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a24a27859d54478ebb4bb56e062c15f9"/>
                <w:id w:val="1345601556"/>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归属于母公司股东权益</w:t>
                    </w:r>
                  </w:p>
                </w:tc>
              </w:sdtContent>
            </w:sdt>
            <w:tc>
              <w:tcPr>
                <w:tcW w:w="927" w:type="pct"/>
                <w:tcBorders>
                  <w:left w:val="single" w:color="auto" w:sz="6" w:space="0"/>
                  <w:right w:val="single" w:color="auto" w:sz="6" w:space="0"/>
                </w:tcBorders>
                <w:shd w:val="clear" w:color="auto" w:fill="auto"/>
                <w:vAlign w:val="center"/>
              </w:tcPr>
              <w:p>
                <w:pPr>
                  <w:jc w:val="right"/>
                  <w:rPr>
                    <w:sz w:val="24"/>
                  </w:rPr>
                </w:pPr>
                <w:r>
                  <w:t>4,727,318.80</w:t>
                </w:r>
              </w:p>
            </w:tc>
            <w:tc>
              <w:tcPr>
                <w:tcW w:w="787" w:type="pct"/>
                <w:tcBorders>
                  <w:left w:val="single" w:color="auto" w:sz="6" w:space="0"/>
                  <w:right w:val="single" w:color="auto" w:sz="6" w:space="0"/>
                </w:tcBorders>
                <w:shd w:val="clear" w:color="auto" w:fill="auto"/>
                <w:vAlign w:val="center"/>
              </w:tcPr>
              <w:p>
                <w:pPr>
                  <w:jc w:val="right"/>
                  <w:rPr>
                    <w:sz w:val="24"/>
                  </w:rPr>
                </w:pPr>
                <w:r>
                  <w:t>34,498.40</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4,017,499.70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45,616.33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83760dd036554298ad568f0c4835493a"/>
                <w:id w:val="-2122295803"/>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按持股比例计算的净资产份额</w:t>
                    </w:r>
                  </w:p>
                </w:tc>
              </w:sdtContent>
            </w:sdt>
            <w:tc>
              <w:tcPr>
                <w:tcW w:w="927" w:type="pct"/>
                <w:tcBorders>
                  <w:left w:val="single" w:color="auto" w:sz="6" w:space="0"/>
                  <w:right w:val="single" w:color="auto" w:sz="6" w:space="0"/>
                </w:tcBorders>
                <w:shd w:val="clear" w:color="auto" w:fill="auto"/>
                <w:vAlign w:val="center"/>
              </w:tcPr>
              <w:p>
                <w:pPr>
                  <w:jc w:val="right"/>
                  <w:rPr>
                    <w:sz w:val="24"/>
                  </w:rPr>
                </w:pPr>
                <w:r>
                  <w:t>359,669.35</w:t>
                </w:r>
              </w:p>
            </w:tc>
            <w:tc>
              <w:tcPr>
                <w:tcW w:w="787" w:type="pct"/>
                <w:tcBorders>
                  <w:left w:val="single" w:color="auto" w:sz="6" w:space="0"/>
                  <w:right w:val="single" w:color="auto" w:sz="6" w:space="0"/>
                </w:tcBorders>
                <w:shd w:val="clear" w:color="auto" w:fill="auto"/>
                <w:vAlign w:val="center"/>
              </w:tcPr>
              <w:p>
                <w:pPr>
                  <w:jc w:val="right"/>
                  <w:rPr>
                    <w:sz w:val="24"/>
                  </w:rPr>
                </w:pPr>
                <w:r>
                  <w:t>16,904.22</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332,485.14</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22,352.00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65d5a31f9fa341df9186936cb486be79"/>
                <w:id w:val="1267267707"/>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调整事项</w:t>
                    </w:r>
                  </w:p>
                </w:tc>
              </w:sdtContent>
            </w:sdt>
            <w:tc>
              <w:tcPr>
                <w:tcW w:w="927" w:type="pct"/>
                <w:tcBorders>
                  <w:left w:val="single" w:color="auto" w:sz="6" w:space="0"/>
                  <w:right w:val="single" w:color="auto" w:sz="6" w:space="0"/>
                </w:tcBorders>
                <w:shd w:val="clear" w:color="auto" w:fill="auto"/>
                <w:vAlign w:val="center"/>
              </w:tcPr>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3b84f6fef53942f0bdb1e0f4fac47531"/>
                <w:id w:val="34315014"/>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cs="Arial"/>
                        <w:color w:val="000000"/>
                        <w:szCs w:val="21"/>
                      </w:rPr>
                      <w:t>--</w:t>
                    </w:r>
                    <w:r>
                      <w:rPr>
                        <w:rFonts w:hint="eastAsia" w:cs="Arial"/>
                        <w:color w:val="000000"/>
                        <w:szCs w:val="21"/>
                        <w:lang w:val="en-GB"/>
                      </w:rPr>
                      <w:t>商誉</w:t>
                    </w:r>
                  </w:p>
                </w:tc>
              </w:sdtContent>
            </w:sdt>
            <w:tc>
              <w:tcPr>
                <w:tcW w:w="927" w:type="pct"/>
                <w:tcBorders>
                  <w:left w:val="single" w:color="auto" w:sz="6" w:space="0"/>
                  <w:right w:val="single" w:color="auto" w:sz="6" w:space="0"/>
                </w:tcBorders>
                <w:shd w:val="clear" w:color="auto" w:fill="auto"/>
                <w:vAlign w:val="center"/>
              </w:tcPr>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19e094c58ac743409a1de824377c9f41"/>
                <w:id w:val="-1620985830"/>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cs="Arial"/>
                        <w:color w:val="000000"/>
                        <w:szCs w:val="21"/>
                      </w:rPr>
                      <w:t>--</w:t>
                    </w:r>
                    <w:r>
                      <w:rPr>
                        <w:rFonts w:hint="eastAsia" w:cs="Arial"/>
                        <w:color w:val="000000"/>
                        <w:szCs w:val="21"/>
                        <w:lang w:val="en-GB"/>
                      </w:rPr>
                      <w:t>内部交易未实现利润</w:t>
                    </w:r>
                  </w:p>
                </w:tc>
              </w:sdtContent>
            </w:sdt>
            <w:tc>
              <w:tcPr>
                <w:tcW w:w="927" w:type="pct"/>
                <w:tcBorders>
                  <w:left w:val="single" w:color="auto" w:sz="6" w:space="0"/>
                  <w:right w:val="single" w:color="auto" w:sz="6" w:space="0"/>
                </w:tcBorders>
                <w:shd w:val="clear" w:color="auto" w:fill="auto"/>
                <w:vAlign w:val="center"/>
              </w:tcPr>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40744878c73643e78916ab27167da56e"/>
                <w:id w:val="786623993"/>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cs="Arial"/>
                        <w:color w:val="000000"/>
                        <w:szCs w:val="21"/>
                      </w:rPr>
                      <w:t>--</w:t>
                    </w:r>
                    <w:r>
                      <w:rPr>
                        <w:rFonts w:hint="eastAsia" w:cs="Arial"/>
                        <w:color w:val="000000"/>
                        <w:szCs w:val="21"/>
                        <w:lang w:val="en-GB"/>
                      </w:rPr>
                      <w:t>其他</w:t>
                    </w:r>
                  </w:p>
                </w:tc>
              </w:sdtContent>
            </w:sdt>
            <w:tc>
              <w:tcPr>
                <w:tcW w:w="927" w:type="pct"/>
                <w:tcBorders>
                  <w:left w:val="single" w:color="auto" w:sz="6" w:space="0"/>
                  <w:right w:val="single" w:color="auto" w:sz="6" w:space="0"/>
                </w:tcBorders>
                <w:shd w:val="clear" w:color="auto" w:fill="auto"/>
                <w:vAlign w:val="center"/>
              </w:tcPr>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88aac7b4c3d3477a959d3c9bcd283178"/>
                <w:id w:val="-815184092"/>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对联营企业权益投资的账面价值</w:t>
                    </w:r>
                  </w:p>
                </w:tc>
              </w:sdtContent>
            </w:sdt>
            <w:tc>
              <w:tcPr>
                <w:tcW w:w="927" w:type="pct"/>
                <w:tcBorders>
                  <w:left w:val="single" w:color="auto" w:sz="6" w:space="0"/>
                  <w:right w:val="single" w:color="auto" w:sz="6" w:space="0"/>
                </w:tcBorders>
                <w:shd w:val="clear" w:color="auto" w:fill="auto"/>
                <w:vAlign w:val="center"/>
              </w:tcPr>
              <w:p>
                <w:pPr>
                  <w:jc w:val="right"/>
                  <w:rPr>
                    <w:sz w:val="24"/>
                  </w:rPr>
                </w:pPr>
                <w:r>
                  <w:t>381,320.29</w:t>
                </w:r>
              </w:p>
            </w:tc>
            <w:tc>
              <w:tcPr>
                <w:tcW w:w="787" w:type="pct"/>
                <w:tcBorders>
                  <w:left w:val="single" w:color="auto" w:sz="6" w:space="0"/>
                  <w:right w:val="single" w:color="auto" w:sz="6" w:space="0"/>
                </w:tcBorders>
                <w:shd w:val="clear" w:color="auto" w:fill="auto"/>
                <w:vAlign w:val="center"/>
              </w:tcPr>
              <w:p>
                <w:pPr>
                  <w:jc w:val="right"/>
                  <w:rPr>
                    <w:sz w:val="24"/>
                  </w:rPr>
                </w:pPr>
                <w:r>
                  <w:t>16,904.22</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354,358.11</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22,352.00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e6318b53d54241479b21f864d5e6f6a9"/>
                <w:id w:val="-1770620498"/>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存在公开报价的联营企业权益投资的公允价值</w:t>
                    </w:r>
                  </w:p>
                </w:tc>
              </w:sdtContent>
            </w:sdt>
            <w:tc>
              <w:tcPr>
                <w:tcW w:w="927" w:type="pct"/>
                <w:tcBorders>
                  <w:left w:val="single" w:color="auto" w:sz="6" w:space="0"/>
                  <w:right w:val="single" w:color="auto" w:sz="6" w:space="0"/>
                </w:tcBorders>
                <w:shd w:val="clear" w:color="auto" w:fill="auto"/>
                <w:vAlign w:val="center"/>
              </w:tcPr>
              <w:p>
                <w:pPr>
                  <w:jc w:val="right"/>
                  <w:rPr>
                    <w:rFonts w:asciiTheme="minorEastAsia" w:hAnsiTheme="minorEastAsia" w:eastAsiaTheme="minorEastAsia"/>
                  </w:rPr>
                </w:pPr>
                <w:r>
                  <w:rPr>
                    <w:rFonts w:asciiTheme="minorEastAsia" w:hAnsiTheme="minorEastAsia" w:eastAsiaTheme="minorEastAsia"/>
                  </w:rPr>
                  <w:t>131,489.24</w:t>
                </w:r>
              </w:p>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rFonts w:asciiTheme="minorEastAsia" w:hAnsiTheme="minorEastAsia" w:eastAsiaTheme="minorEastAsia"/>
                  </w:rPr>
                </w:pPr>
                <w:r>
                  <w:rPr>
                    <w:rFonts w:asciiTheme="minorEastAsia" w:hAnsiTheme="minorEastAsia" w:eastAsiaTheme="minorEastAsia"/>
                  </w:rPr>
                  <w:t>142,987.18</w:t>
                </w:r>
              </w:p>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9814be1c77a644928d7ffa3fb0b9d2e1"/>
                <w:id w:val="1786689691"/>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营业收入</w:t>
                    </w:r>
                  </w:p>
                </w:tc>
              </w:sdtContent>
            </w:sdt>
            <w:tc>
              <w:tcPr>
                <w:tcW w:w="927" w:type="pct"/>
                <w:tcBorders>
                  <w:left w:val="single" w:color="auto" w:sz="6" w:space="0"/>
                  <w:right w:val="single" w:color="auto" w:sz="6" w:space="0"/>
                </w:tcBorders>
                <w:shd w:val="clear" w:color="auto" w:fill="auto"/>
                <w:vAlign w:val="center"/>
              </w:tcPr>
              <w:p>
                <w:pPr>
                  <w:jc w:val="right"/>
                  <w:rPr>
                    <w:sz w:val="24"/>
                  </w:rPr>
                </w:pPr>
                <w:r>
                  <w:t>1,451,523.00</w:t>
                </w:r>
              </w:p>
            </w:tc>
            <w:tc>
              <w:tcPr>
                <w:tcW w:w="787" w:type="pct"/>
                <w:tcBorders>
                  <w:left w:val="single" w:color="auto" w:sz="6" w:space="0"/>
                  <w:right w:val="single" w:color="auto" w:sz="6" w:space="0"/>
                </w:tcBorders>
                <w:shd w:val="clear" w:color="auto" w:fill="auto"/>
                <w:vAlign w:val="center"/>
              </w:tcPr>
              <w:p>
                <w:pPr>
                  <w:jc w:val="right"/>
                  <w:rPr>
                    <w:sz w:val="24"/>
                  </w:rPr>
                </w:pPr>
                <w:r>
                  <w:t>536.27</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1,304,835.10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1,555.04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cc6add3e9dbe47cbae39d310932ff70b"/>
                <w:id w:val="-2059460212"/>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净利润</w:t>
                    </w:r>
                  </w:p>
                </w:tc>
              </w:sdtContent>
            </w:sdt>
            <w:tc>
              <w:tcPr>
                <w:tcW w:w="927" w:type="pct"/>
                <w:tcBorders>
                  <w:left w:val="single" w:color="auto" w:sz="6" w:space="0"/>
                  <w:right w:val="single" w:color="auto" w:sz="6" w:space="0"/>
                </w:tcBorders>
                <w:shd w:val="clear" w:color="auto" w:fill="auto"/>
                <w:vAlign w:val="center"/>
              </w:tcPr>
              <w:p>
                <w:pPr>
                  <w:jc w:val="right"/>
                  <w:rPr>
                    <w:sz w:val="24"/>
                  </w:rPr>
                </w:pPr>
                <w:r>
                  <w:t>485,902.50</w:t>
                </w:r>
              </w:p>
            </w:tc>
            <w:tc>
              <w:tcPr>
                <w:tcW w:w="787" w:type="pct"/>
                <w:tcBorders>
                  <w:left w:val="single" w:color="auto" w:sz="6" w:space="0"/>
                  <w:right w:val="single" w:color="auto" w:sz="6" w:space="0"/>
                </w:tcBorders>
                <w:shd w:val="clear" w:color="auto" w:fill="auto"/>
                <w:vAlign w:val="center"/>
              </w:tcPr>
              <w:p>
                <w:pPr>
                  <w:jc w:val="right"/>
                  <w:rPr>
                    <w:sz w:val="24"/>
                  </w:rPr>
                </w:pPr>
                <w:r>
                  <w:t>-11,117.93</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456,569.50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-8,481.02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5f33061a1f59495ebe589936031d001e"/>
                <w:id w:val="1385605414"/>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lang w:val="en-GB"/>
                      </w:rPr>
                    </w:pPr>
                    <w:r>
                      <w:rPr>
                        <w:rFonts w:hint="eastAsia" w:cs="Arial"/>
                        <w:color w:val="000000"/>
                        <w:szCs w:val="21"/>
                        <w:lang w:val="en-GB"/>
                      </w:rPr>
                      <w:t>终止经营的净利润</w:t>
                    </w:r>
                  </w:p>
                </w:tc>
              </w:sdtContent>
            </w:sdt>
            <w:tc>
              <w:tcPr>
                <w:tcW w:w="927" w:type="pct"/>
                <w:tcBorders>
                  <w:left w:val="single" w:color="auto" w:sz="6" w:space="0"/>
                  <w:right w:val="single" w:color="auto" w:sz="6" w:space="0"/>
                </w:tcBorders>
                <w:shd w:val="clear" w:color="auto" w:fill="auto"/>
                <w:vAlign w:val="center"/>
              </w:tcPr>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150d11eed5f7496c9efbd41529cfb2fe"/>
                <w:id w:val="1901020902"/>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其他综合收益</w:t>
                    </w:r>
                  </w:p>
                </w:tc>
              </w:sdtContent>
            </w:sdt>
            <w:tc>
              <w:tcPr>
                <w:tcW w:w="927" w:type="pct"/>
                <w:tcBorders>
                  <w:left w:val="single" w:color="auto" w:sz="6" w:space="0"/>
                  <w:right w:val="single" w:color="auto" w:sz="6" w:space="0"/>
                </w:tcBorders>
                <w:shd w:val="clear" w:color="auto" w:fill="auto"/>
                <w:vAlign w:val="center"/>
              </w:tcPr>
              <w:p>
                <w:pPr>
                  <w:jc w:val="right"/>
                  <w:rPr>
                    <w:szCs w:val="21"/>
                  </w:rPr>
                </w:pPr>
              </w:p>
            </w:tc>
            <w:tc>
              <w:tcPr>
                <w:tcW w:w="787" w:type="pct"/>
                <w:tcBorders>
                  <w:left w:val="single" w:color="auto" w:sz="6" w:space="0"/>
                  <w:right w:val="single" w:color="auto" w:sz="6" w:space="0"/>
                </w:tcBorders>
                <w:shd w:val="clear" w:color="auto" w:fill="auto"/>
                <w:vAlign w:val="center"/>
              </w:tcPr>
              <w:p>
                <w:pPr>
                  <w:jc w:val="right"/>
                  <w:rPr>
                    <w:szCs w:val="21"/>
                  </w:rPr>
                </w:pP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aca477b75b8548ffb0cae4d911df9f59"/>
                <w:id w:val="1040863571"/>
                <w:lock w:val="sdtLocked"/>
              </w:sdtPr>
              <w:sdtContent>
                <w:tc>
                  <w:tcPr>
                    <w:tcW w:w="1565" w:type="pct"/>
                    <w:tcBorders>
                      <w:top w:val="single" w:color="auto" w:sz="6" w:space="0"/>
                      <w:left w:val="single" w:color="auto" w:sz="4" w:space="0"/>
                      <w:bottom w:val="single" w:color="auto" w:sz="6"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综合收益总额</w:t>
                    </w:r>
                  </w:p>
                </w:tc>
              </w:sdtContent>
            </w:sdt>
            <w:tc>
              <w:tcPr>
                <w:tcW w:w="927" w:type="pct"/>
                <w:tcBorders>
                  <w:left w:val="single" w:color="auto" w:sz="6" w:space="0"/>
                  <w:right w:val="single" w:color="auto" w:sz="6" w:space="0"/>
                </w:tcBorders>
                <w:shd w:val="clear" w:color="auto" w:fill="auto"/>
                <w:vAlign w:val="center"/>
              </w:tcPr>
              <w:p>
                <w:pPr>
                  <w:jc w:val="right"/>
                  <w:rPr>
                    <w:sz w:val="24"/>
                  </w:rPr>
                </w:pPr>
                <w:r>
                  <w:t>516,785.30</w:t>
                </w:r>
              </w:p>
            </w:tc>
            <w:tc>
              <w:tcPr>
                <w:tcW w:w="787" w:type="pct"/>
                <w:tcBorders>
                  <w:left w:val="single" w:color="auto" w:sz="6" w:space="0"/>
                  <w:right w:val="single" w:color="auto" w:sz="6" w:space="0"/>
                </w:tcBorders>
                <w:shd w:val="clear" w:color="auto" w:fill="auto"/>
                <w:vAlign w:val="center"/>
              </w:tcPr>
              <w:p>
                <w:pPr>
                  <w:jc w:val="right"/>
                  <w:rPr>
                    <w:sz w:val="24"/>
                  </w:rPr>
                </w:pPr>
                <w:r>
                  <w:t>-11,117.93</w:t>
                </w:r>
              </w:p>
            </w:tc>
            <w:tc>
              <w:tcPr>
                <w:tcW w:w="927" w:type="pct"/>
                <w:tcBorders>
                  <w:top w:val="single" w:color="auto" w:sz="6" w:space="0"/>
                  <w:left w:val="single" w:color="auto" w:sz="6" w:space="0"/>
                  <w:bottom w:val="single" w:color="auto" w:sz="6" w:space="0"/>
                  <w:right w:val="single" w:color="auto" w:sz="6" w:space="0"/>
                </w:tcBorders>
                <w:vAlign w:val="center"/>
              </w:tcPr>
              <w:p>
                <w:pPr>
                  <w:jc w:val="right"/>
                  <w:rPr>
                    <w:sz w:val="24"/>
                  </w:rPr>
                </w:pPr>
                <w:r>
                  <w:t>441,258.60</w:t>
                </w:r>
              </w:p>
            </w:tc>
            <w:tc>
              <w:tcPr>
                <w:tcW w:w="794" w:type="pct"/>
                <w:tcBorders>
                  <w:top w:val="single" w:color="auto" w:sz="6" w:space="0"/>
                  <w:left w:val="single" w:color="auto" w:sz="6" w:space="0"/>
                  <w:bottom w:val="single" w:color="auto" w:sz="6" w:space="0"/>
                  <w:right w:val="single" w:color="auto" w:sz="6" w:space="0"/>
                </w:tcBorders>
                <w:vAlign w:val="center"/>
              </w:tcPr>
              <w:p>
                <w:pPr>
                  <w:jc w:val="right"/>
                  <w:rPr>
                    <w:sz w:val="24"/>
                  </w:rPr>
                </w:pPr>
                <w:r>
                  <w:t>-8,481.02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sdt>
              <w:sdtPr>
                <w:tag w:val="_PLD_2c0ced87aa7249418772718451ec98cd"/>
                <w:id w:val="833796737"/>
                <w:lock w:val="sdtLocked"/>
              </w:sdtPr>
              <w:sdtContent>
                <w:tc>
                  <w:tcPr>
                    <w:tcW w:w="1565" w:type="pct"/>
                    <w:tcBorders>
                      <w:top w:val="single" w:color="auto" w:sz="6" w:space="0"/>
                      <w:left w:val="single" w:color="auto" w:sz="4" w:space="0"/>
                      <w:bottom w:val="single" w:color="auto" w:sz="4" w:space="0"/>
                      <w:right w:val="single" w:color="auto" w:sz="6" w:space="0"/>
                    </w:tcBorders>
                    <w:shd w:val="clear" w:color="auto" w:fill="auto"/>
                    <w:vAlign w:val="bottom"/>
                  </w:tcPr>
                  <w:p>
                    <w:pPr>
                      <w:rPr>
                        <w:rFonts w:cs="Arial"/>
                        <w:color w:val="000000"/>
                        <w:szCs w:val="21"/>
                      </w:rPr>
                    </w:pPr>
                    <w:r>
                      <w:rPr>
                        <w:rFonts w:hint="eastAsia" w:cs="Arial"/>
                        <w:color w:val="000000"/>
                        <w:szCs w:val="21"/>
                        <w:lang w:val="en-GB"/>
                      </w:rPr>
                      <w:t>本年度收到的来自联营企业的股利</w:t>
                    </w:r>
                  </w:p>
                </w:tc>
              </w:sdtContent>
            </w:sdt>
            <w:tc>
              <w:tcPr>
                <w:tcW w:w="927" w:type="pct"/>
                <w:tcBorders>
                  <w:left w:val="single" w:color="auto" w:sz="6" w:space="0"/>
                  <w:bottom w:val="single" w:color="auto" w:sz="4" w:space="0"/>
                  <w:right w:val="single" w:color="auto" w:sz="6" w:space="0"/>
                </w:tcBorders>
                <w:shd w:val="clear" w:color="auto" w:fill="auto"/>
                <w:vAlign w:val="center"/>
              </w:tcPr>
              <w:p>
                <w:pPr>
                  <w:jc w:val="right"/>
                  <w:rPr>
                    <w:sz w:val="24"/>
                  </w:rPr>
                </w:pPr>
                <w:r>
                  <w:t>10,996.75</w:t>
                </w:r>
              </w:p>
            </w:tc>
            <w:tc>
              <w:tcPr>
                <w:tcW w:w="787" w:type="pct"/>
                <w:tcBorders>
                  <w:left w:val="single" w:color="auto" w:sz="6" w:space="0"/>
                  <w:bottom w:val="single" w:color="auto" w:sz="4" w:space="0"/>
                  <w:right w:val="single" w:color="auto" w:sz="6" w:space="0"/>
                </w:tcBorders>
                <w:shd w:val="clear" w:color="auto" w:fill="auto"/>
                <w:vAlign w:val="center"/>
              </w:tcPr>
              <w:p>
                <w:pPr>
                  <w:jc w:val="right"/>
                  <w:rPr>
                    <w:sz w:val="24"/>
                  </w:rPr>
                </w:pPr>
              </w:p>
            </w:tc>
            <w:tc>
              <w:tcPr>
                <w:tcW w:w="927" w:type="pct"/>
                <w:tcBorders>
                  <w:top w:val="single" w:color="auto" w:sz="6" w:space="0"/>
                  <w:left w:val="single" w:color="auto" w:sz="6" w:space="0"/>
                  <w:bottom w:val="single" w:color="auto" w:sz="4" w:space="0"/>
                  <w:right w:val="single" w:color="auto" w:sz="6" w:space="0"/>
                </w:tcBorders>
                <w:vAlign w:val="center"/>
              </w:tcPr>
              <w:p>
                <w:pPr>
                  <w:jc w:val="right"/>
                </w:pPr>
                <w:r>
                  <w:t>5,814.72</w:t>
                </w:r>
              </w:p>
            </w:tc>
            <w:tc>
              <w:tcPr>
                <w:tcW w:w="794" w:type="pct"/>
                <w:tcBorders>
                  <w:top w:val="single" w:color="auto" w:sz="6" w:space="0"/>
                  <w:left w:val="single" w:color="auto" w:sz="6" w:space="0"/>
                  <w:bottom w:val="single" w:color="auto" w:sz="4" w:space="0"/>
                  <w:right w:val="single" w:color="auto" w:sz="6" w:space="0"/>
                </w:tcBorders>
                <w:vAlign w:val="center"/>
              </w:tcPr>
              <w:p>
                <w:pPr>
                  <w:jc w:val="right"/>
                  <w:rPr>
                    <w:szCs w:val="21"/>
                  </w:rPr>
                </w:pPr>
              </w:p>
            </w:tc>
          </w:tr>
        </w:tbl>
        <w:p>
          <w:pPr>
            <w:rPr>
              <w:rFonts w:cs="Arial"/>
              <w:szCs w:val="21"/>
            </w:rPr>
          </w:pPr>
          <w:r>
            <w:rPr>
              <w:rFonts w:hint="eastAsia" w:cs="Arial"/>
              <w:szCs w:val="21"/>
            </w:rPr>
            <w:t>其他说明</w:t>
          </w:r>
        </w:p>
        <w:sdt>
          <w:sdtPr>
            <w:rPr>
              <w:rFonts w:hint="eastAsia" w:cs="Arial"/>
              <w:szCs w:val="21"/>
            </w:rPr>
            <w:alias w:val="重要联营企业的主要财务信息其他说明的方法"/>
            <w:tag w:val="_GBC_49602fee37fb4c848eee594868d16caa"/>
            <w:id w:val="1329709476"/>
            <w:lock w:val="sdtLocked"/>
            <w:placeholder>
              <w:docPart w:val="GBC22222222222222222222222222222"/>
            </w:placeholder>
          </w:sdtPr>
          <w:sdtEndPr>
            <w:rPr>
              <w:rFonts w:hint="eastAsia" w:cs="Arial"/>
              <w:szCs w:val="21"/>
            </w:rPr>
          </w:sdtEndPr>
          <w:sdtContent>
            <w:p>
              <w:pPr>
                <w:rPr>
                  <w:rFonts w:cs="Arial"/>
                  <w:szCs w:val="21"/>
                </w:rPr>
              </w:pPr>
              <w:r>
                <w:rPr>
                  <w:rFonts w:hint="eastAsia" w:cs="Arial"/>
                  <w:szCs w:val="21"/>
                </w:rPr>
                <w:t>无</w:t>
              </w:r>
            </w:p>
          </w:sdtContent>
        </w:sdt>
      </w:sdtContent>
    </w:sdt>
    <w:p>
      <w:pPr>
        <w:rPr>
          <w:rFonts w:cs="Arial"/>
          <w:szCs w:val="21"/>
        </w:rPr>
      </w:pPr>
    </w:p>
    <w:sdt>
      <w:sdtPr>
        <w:rPr>
          <w:rFonts w:hint="eastAsia" w:ascii="宋体" w:hAnsi="宋体" w:eastAsia="宋体" w:cs="宋体"/>
          <w:b w:val="0"/>
          <w:bCs w:val="0"/>
          <w:kern w:val="0"/>
          <w:szCs w:val="24"/>
        </w:rPr>
        <w:alias w:val="模块:不重要的合营企业和联营企业的汇总财务信息"/>
        <w:tag w:val="_GBC_7592afe8201c4b36a34fa177ca124037"/>
        <w:id w:val="313917222"/>
        <w:lock w:val="sdtLocked"/>
        <w:placeholder>
          <w:docPart w:val="GBC22222222222222222222222222222"/>
        </w:placeholder>
      </w:sdtPr>
      <w:sdtEndPr>
        <w:rPr>
          <w:rFonts w:hint="default" w:ascii="宋体" w:hAnsi="宋体" w:eastAsia="宋体" w:cs="Arial"/>
          <w:b w:val="0"/>
          <w:bCs w:val="0"/>
          <w:kern w:val="0"/>
          <w:szCs w:val="21"/>
        </w:rPr>
      </w:sdtEndPr>
      <w:sdtContent>
        <w:p>
          <w:pPr>
            <w:pStyle w:val="115"/>
            <w:numPr>
              <w:ilvl w:val="3"/>
              <w:numId w:val="118"/>
            </w:numPr>
            <w:ind w:left="424" w:hanging="424" w:hangingChars="202"/>
          </w:pPr>
          <w:r>
            <w:rPr>
              <w:rFonts w:hint="eastAsia"/>
            </w:rPr>
            <w:t>不重要的合营企业和联营企业的汇总财务信息</w:t>
          </w:r>
        </w:p>
        <w:sdt>
          <w:sdtPr>
            <w:rPr>
              <w:rFonts w:hint="eastAsia"/>
            </w:rPr>
            <w:alias w:val="是否适用：不重要的合营企业和联营企业的汇总财务信息[双击切换]"/>
            <w:tag w:val="_GBC_0aba65ffa2fc4a9db5812b38264da59a"/>
            <w:id w:val="-1405834874"/>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不重要的合营企业和联营企业的汇总财务信息"/>
              <w:tag w:val="_GBC_d02efd9c85904b029b5a51b02d9519e8"/>
              <w:id w:val="-64482361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20446272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6"/>
            <w:gridCol w:w="2894"/>
            <w:gridCol w:w="2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604" w:type="pct"/>
                <w:shd w:val="clear" w:color="auto" w:fill="auto"/>
              </w:tcPr>
              <w:p>
                <w:pPr>
                  <w:jc w:val="center"/>
                  <w:rPr>
                    <w:rFonts w:cs="Arial"/>
                    <w:szCs w:val="21"/>
                  </w:rPr>
                </w:pPr>
              </w:p>
            </w:tc>
            <w:sdt>
              <w:sdtPr>
                <w:tag w:val="_PLD_0f94e995a1b3419692bd4d8e5c6d3e83"/>
                <w:id w:val="485207350"/>
                <w:lock w:val="sdtLocked"/>
              </w:sdtPr>
              <w:sdtContent>
                <w:tc>
                  <w:tcPr>
                    <w:tcW w:w="1697" w:type="pct"/>
                    <w:shd w:val="clear" w:color="auto" w:fill="auto"/>
                  </w:tcPr>
                  <w:p>
                    <w:pPr>
                      <w:jc w:val="center"/>
                      <w:rPr>
                        <w:rFonts w:cs="Arial"/>
                        <w:szCs w:val="21"/>
                      </w:rPr>
                    </w:pPr>
                    <w:r>
                      <w:rPr>
                        <w:rFonts w:hint="eastAsia" w:cs="Arial"/>
                        <w:szCs w:val="21"/>
                        <w:lang w:val="en-GB"/>
                      </w:rPr>
                      <w:t>期末余额</w:t>
                    </w:r>
                    <w:r>
                      <w:rPr>
                        <w:rFonts w:cs="Arial"/>
                        <w:szCs w:val="21"/>
                      </w:rPr>
                      <w:t xml:space="preserve">/ </w:t>
                    </w:r>
                    <w:r>
                      <w:rPr>
                        <w:rFonts w:hint="eastAsia" w:cs="Arial"/>
                        <w:szCs w:val="21"/>
                        <w:lang w:val="en-GB"/>
                      </w:rPr>
                      <w:t>本期发生额</w:t>
                    </w:r>
                  </w:p>
                </w:tc>
              </w:sdtContent>
            </w:sdt>
            <w:sdt>
              <w:sdtPr>
                <w:tag w:val="_PLD_41f132b6b30d40258178a800b0285b01"/>
                <w:id w:val="1564679989"/>
                <w:lock w:val="sdtLocked"/>
              </w:sdtPr>
              <w:sdtContent>
                <w:tc>
                  <w:tcPr>
                    <w:tcW w:w="1699" w:type="pct"/>
                    <w:shd w:val="clear" w:color="auto" w:fill="auto"/>
                  </w:tcPr>
                  <w:p>
                    <w:pPr>
                      <w:jc w:val="center"/>
                      <w:rPr>
                        <w:rFonts w:cs="Arial"/>
                        <w:szCs w:val="21"/>
                      </w:rPr>
                    </w:pPr>
                    <w:r>
                      <w:rPr>
                        <w:rFonts w:hint="eastAsia" w:cs="Arial"/>
                        <w:szCs w:val="21"/>
                        <w:lang w:val="en-GB"/>
                      </w:rPr>
                      <w:t>期初余额</w:t>
                    </w:r>
                    <w:r>
                      <w:rPr>
                        <w:rFonts w:cs="Arial"/>
                        <w:szCs w:val="21"/>
                      </w:rPr>
                      <w:t xml:space="preserve">/ </w:t>
                    </w:r>
                    <w:r>
                      <w:rPr>
                        <w:rFonts w:hint="eastAsia" w:cs="Arial"/>
                        <w:szCs w:val="21"/>
                        <w:lang w:val="en-GB"/>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cbda7c3468d14ed7a076bd7c6a1d9c6f"/>
                <w:id w:val="285245062"/>
                <w:lock w:val="sdtLocked"/>
              </w:sdtPr>
              <w:sdtContent>
                <w:tc>
                  <w:tcPr>
                    <w:tcW w:w="5000" w:type="pct"/>
                    <w:gridSpan w:val="3"/>
                    <w:shd w:val="clear" w:color="auto" w:fill="auto"/>
                  </w:tcPr>
                  <w:p>
                    <w:pPr>
                      <w:rPr>
                        <w:szCs w:val="21"/>
                      </w:rPr>
                    </w:pPr>
                    <w:r>
                      <w:rPr>
                        <w:rFonts w:hint="eastAsia" w:cs="Arial"/>
                        <w:szCs w:val="21"/>
                        <w:lang w:val="en-GB"/>
                      </w:rPr>
                      <w:t>联营企业：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57856c647d7e492783ca7742de3229d1"/>
                <w:id w:val="659201387"/>
                <w:lock w:val="sdtLocked"/>
              </w:sdtPr>
              <w:sdtContent>
                <w:tc>
                  <w:tcPr>
                    <w:tcW w:w="1604" w:type="pct"/>
                    <w:shd w:val="clear" w:color="auto" w:fill="auto"/>
                    <w:vAlign w:val="center"/>
                  </w:tcPr>
                  <w:p>
                    <w:pPr>
                      <w:rPr>
                        <w:rFonts w:cs="Arial"/>
                        <w:color w:val="000000"/>
                        <w:szCs w:val="21"/>
                      </w:rPr>
                    </w:pPr>
                    <w:r>
                      <w:rPr>
                        <w:rFonts w:hint="eastAsia" w:cs="Arial"/>
                        <w:color w:val="000000"/>
                        <w:szCs w:val="21"/>
                        <w:lang w:val="en-GB"/>
                      </w:rPr>
                      <w:t>投资账面价值合计</w:t>
                    </w:r>
                  </w:p>
                </w:tc>
              </w:sdtContent>
            </w:sdt>
            <w:tc>
              <w:tcPr>
                <w:tcW w:w="1697" w:type="pct"/>
                <w:vAlign w:val="center"/>
              </w:tcPr>
              <w:p>
                <w:pPr>
                  <w:jc w:val="right"/>
                  <w:rPr>
                    <w:sz w:val="24"/>
                  </w:rPr>
                </w:pPr>
                <w:r>
                  <w:t>12,363.81</w:t>
                </w:r>
              </w:p>
            </w:tc>
            <w:tc>
              <w:tcPr>
                <w:tcW w:w="1699" w:type="pct"/>
                <w:vAlign w:val="center"/>
              </w:tcPr>
              <w:p>
                <w:pPr>
                  <w:jc w:val="right"/>
                  <w:rPr>
                    <w:sz w:val="24"/>
                  </w:rPr>
                </w:pPr>
                <w:r>
                  <w:t>20,293.51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3ce74083a4545808d6b87b66cb814b0"/>
                <w:id w:val="1758711302"/>
                <w:lock w:val="sdtLocked"/>
              </w:sdtPr>
              <w:sdtContent>
                <w:tc>
                  <w:tcPr>
                    <w:tcW w:w="5000" w:type="pct"/>
                    <w:gridSpan w:val="3"/>
                    <w:shd w:val="clear" w:color="auto" w:fill="auto"/>
                    <w:vAlign w:val="center"/>
                  </w:tcPr>
                  <w:p>
                    <w:pPr>
                      <w:rPr>
                        <w:szCs w:val="21"/>
                      </w:rPr>
                    </w:pPr>
                    <w:r>
                      <w:rPr>
                        <w:rFonts w:hint="eastAsia" w:cs="Arial"/>
                        <w:color w:val="000000"/>
                        <w:szCs w:val="21"/>
                        <w:lang w:val="en-GB"/>
                      </w:rPr>
                      <w:t>下列各项按持股比例计算的合计数</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75e720363794e09ab0fd35ce9bc1d43"/>
                <w:id w:val="663294745"/>
                <w:lock w:val="sdtLocked"/>
              </w:sdtPr>
              <w:sdtContent>
                <w:tc>
                  <w:tcPr>
                    <w:tcW w:w="1604" w:type="pct"/>
                    <w:shd w:val="clear" w:color="auto" w:fill="auto"/>
                    <w:vAlign w:val="center"/>
                  </w:tcPr>
                  <w:p>
                    <w:pPr>
                      <w:rPr>
                        <w:rFonts w:cs="Arial"/>
                        <w:color w:val="000000"/>
                        <w:szCs w:val="21"/>
                      </w:rPr>
                    </w:pPr>
                    <w:r>
                      <w:rPr>
                        <w:rFonts w:cs="Arial"/>
                        <w:color w:val="000000"/>
                        <w:szCs w:val="21"/>
                      </w:rPr>
                      <w:t>--</w:t>
                    </w:r>
                    <w:r>
                      <w:rPr>
                        <w:rFonts w:hint="eastAsia" w:cs="Arial"/>
                        <w:color w:val="000000"/>
                        <w:szCs w:val="21"/>
                        <w:lang w:val="en-GB"/>
                      </w:rPr>
                      <w:t>净利润</w:t>
                    </w:r>
                  </w:p>
                </w:tc>
              </w:sdtContent>
            </w:sdt>
            <w:tc>
              <w:tcPr>
                <w:tcW w:w="1697" w:type="pct"/>
                <w:vAlign w:val="center"/>
              </w:tcPr>
              <w:p>
                <w:pPr>
                  <w:jc w:val="right"/>
                  <w:rPr>
                    <w:sz w:val="24"/>
                  </w:rPr>
                </w:pPr>
                <w:r>
                  <w:t>-149,524.11</w:t>
                </w:r>
              </w:p>
            </w:tc>
            <w:tc>
              <w:tcPr>
                <w:tcW w:w="1699" w:type="pct"/>
                <w:vAlign w:val="center"/>
              </w:tcPr>
              <w:p>
                <w:pPr>
                  <w:jc w:val="right"/>
                  <w:rPr>
                    <w:sz w:val="24"/>
                  </w:rPr>
                </w:pPr>
                <w:r>
                  <w:t>-33,801.55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0951dd4d81044674a5026fa9141415b8"/>
                <w:id w:val="-387418151"/>
                <w:lock w:val="sdtLocked"/>
              </w:sdtPr>
              <w:sdtContent>
                <w:tc>
                  <w:tcPr>
                    <w:tcW w:w="1604" w:type="pct"/>
                    <w:shd w:val="clear" w:color="auto" w:fill="auto"/>
                    <w:vAlign w:val="center"/>
                  </w:tcPr>
                  <w:p>
                    <w:pPr>
                      <w:rPr>
                        <w:rFonts w:cs="Arial"/>
                        <w:color w:val="000000"/>
                        <w:szCs w:val="21"/>
                      </w:rPr>
                    </w:pPr>
                    <w:r>
                      <w:rPr>
                        <w:rFonts w:cs="Arial"/>
                        <w:color w:val="000000"/>
                        <w:szCs w:val="21"/>
                      </w:rPr>
                      <w:t>--</w:t>
                    </w:r>
                    <w:r>
                      <w:rPr>
                        <w:rFonts w:hint="eastAsia" w:cs="Arial"/>
                        <w:color w:val="000000"/>
                        <w:szCs w:val="21"/>
                        <w:lang w:val="en-GB"/>
                      </w:rPr>
                      <w:t>其他综合收益</w:t>
                    </w:r>
                  </w:p>
                </w:tc>
              </w:sdtContent>
            </w:sdt>
            <w:tc>
              <w:tcPr>
                <w:tcW w:w="1697" w:type="pct"/>
              </w:tcPr>
              <w:p>
                <w:pPr>
                  <w:jc w:val="right"/>
                  <w:rPr>
                    <w:szCs w:val="21"/>
                  </w:rPr>
                </w:pPr>
              </w:p>
            </w:tc>
            <w:tc>
              <w:tcPr>
                <w:tcW w:w="1699" w:type="pct"/>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sdt>
              <w:sdtPr>
                <w:tag w:val="_PLD_886e789cb8f14412809a9dc5e3ef806c"/>
                <w:id w:val="637842732"/>
                <w:lock w:val="sdtLocked"/>
              </w:sdtPr>
              <w:sdtContent>
                <w:tc>
                  <w:tcPr>
                    <w:tcW w:w="1604" w:type="pct"/>
                    <w:shd w:val="clear" w:color="auto" w:fill="auto"/>
                    <w:vAlign w:val="center"/>
                  </w:tcPr>
                  <w:p>
                    <w:pPr>
                      <w:rPr>
                        <w:rFonts w:cs="Arial"/>
                        <w:color w:val="000000"/>
                        <w:szCs w:val="21"/>
                      </w:rPr>
                    </w:pPr>
                    <w:r>
                      <w:rPr>
                        <w:rFonts w:cs="Arial"/>
                        <w:color w:val="000000"/>
                        <w:szCs w:val="21"/>
                      </w:rPr>
                      <w:t>--</w:t>
                    </w:r>
                    <w:r>
                      <w:rPr>
                        <w:rFonts w:hint="eastAsia" w:cs="Arial"/>
                        <w:color w:val="000000"/>
                        <w:szCs w:val="21"/>
                        <w:lang w:val="en-GB"/>
                      </w:rPr>
                      <w:t>综合收益总额</w:t>
                    </w:r>
                  </w:p>
                </w:tc>
              </w:sdtContent>
            </w:sdt>
            <w:tc>
              <w:tcPr>
                <w:tcW w:w="1697" w:type="pct"/>
                <w:vAlign w:val="center"/>
              </w:tcPr>
              <w:p>
                <w:pPr>
                  <w:jc w:val="right"/>
                  <w:rPr>
                    <w:sz w:val="24"/>
                  </w:rPr>
                </w:pPr>
                <w:r>
                  <w:t>-149,524.11</w:t>
                </w:r>
              </w:p>
            </w:tc>
            <w:tc>
              <w:tcPr>
                <w:tcW w:w="1699" w:type="pct"/>
                <w:vAlign w:val="center"/>
              </w:tcPr>
              <w:p>
                <w:pPr>
                  <w:jc w:val="right"/>
                  <w:rPr>
                    <w:sz w:val="24"/>
                  </w:rPr>
                </w:pPr>
                <w:r>
                  <w:t>-33,801.55</w:t>
                </w:r>
              </w:p>
            </w:tc>
          </w:tr>
        </w:tbl>
        <w:p/>
        <w:p>
          <w:pPr>
            <w:rPr>
              <w:rFonts w:cs="Arial"/>
              <w:szCs w:val="21"/>
            </w:rPr>
          </w:pPr>
          <w:r>
            <w:rPr>
              <w:rFonts w:hint="eastAsia" w:cs="Arial"/>
              <w:szCs w:val="21"/>
            </w:rPr>
            <w:t>其他说明</w:t>
          </w:r>
        </w:p>
        <w:p>
          <w:pPr>
            <w:rPr>
              <w:rFonts w:cs="Arial"/>
              <w:szCs w:val="21"/>
            </w:rPr>
          </w:pPr>
          <w:sdt>
            <w:sdtPr>
              <w:rPr>
                <w:szCs w:val="21"/>
              </w:rPr>
              <w:alias w:val="不重要的合营企业和联营企业的汇总财务信息其他说明"/>
              <w:tag w:val="_GBC_78096995ca9848409e6780ab5f1386f8"/>
              <w:id w:val="-1323729228"/>
              <w:lock w:val="sdtLocked"/>
              <w:placeholder>
                <w:docPart w:val="GBC22222222222222222222222222222"/>
              </w:placeholder>
            </w:sdtPr>
            <w:sdtEndPr>
              <w:rPr>
                <w:szCs w:val="21"/>
              </w:rPr>
            </w:sdtEndPr>
            <w:sdtContent>
              <w:r>
                <w:rPr>
                  <w:rFonts w:hint="eastAsia"/>
                  <w:szCs w:val="21"/>
                </w:rPr>
                <w:t>无</w:t>
              </w:r>
            </w:sdtContent>
          </w:sdt>
        </w:p>
      </w:sdtContent>
    </w:sdt>
    <w:p>
      <w:pPr>
        <w:rPr>
          <w:rFonts w:cs="Arial"/>
          <w:szCs w:val="21"/>
        </w:rPr>
      </w:pPr>
    </w:p>
    <w:sdt>
      <w:sdtPr>
        <w:rPr>
          <w:rFonts w:hint="eastAsia" w:ascii="宋体" w:hAnsi="宋体" w:eastAsia="宋体" w:cs="宋体"/>
          <w:b w:val="0"/>
          <w:bCs w:val="0"/>
          <w:kern w:val="0"/>
          <w:szCs w:val="24"/>
        </w:rPr>
        <w:alias w:val="模块:合营企业或联营企业向公司转移资金的能力存在重大限制的说明"/>
        <w:tag w:val="_GBC_2874973c28b34357bf81a60947721baa"/>
        <w:id w:val="-1072035402"/>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115"/>
            <w:numPr>
              <w:ilvl w:val="3"/>
              <w:numId w:val="118"/>
            </w:numPr>
            <w:ind w:left="424" w:hanging="424" w:hangingChars="202"/>
          </w:pPr>
          <w:r>
            <w:rPr>
              <w:rFonts w:hint="eastAsia"/>
            </w:rPr>
            <w:t>合营企业或联营企业向本公司转移资金的能力存在重大限制的说明</w:t>
          </w:r>
        </w:p>
        <w:sdt>
          <w:sdtPr>
            <w:rPr>
              <w:rFonts w:hint="eastAsia" w:cs="Arial"/>
              <w:szCs w:val="21"/>
            </w:rPr>
            <w:alias w:val="是否适用：合营企业或联营企业向本公司转移资金的能力存在重大限制的说明[双击切换]"/>
            <w:tag w:val="_GBC_6adf336cbf6141a59d29de2be4c5a55b"/>
            <w:id w:val="-1257428893"/>
            <w:lock w:val="sdtLocked"/>
            <w:placeholder>
              <w:docPart w:val="GBC22222222222222222222222222222"/>
            </w:placeholder>
          </w:sdtPr>
          <w:sdtEndPr>
            <w:rPr>
              <w:rFonts w:hint="eastAsia" w:cs="Arial"/>
              <w:szCs w:val="21"/>
            </w:rPr>
          </w:sdtEndPr>
          <w:sdtContent>
            <w:p>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sdtContent>
    </w:sdt>
    <w:sdt>
      <w:sdtPr>
        <w:rPr>
          <w:rFonts w:hint="eastAsia" w:ascii="宋体" w:hAnsi="宋体" w:eastAsia="宋体" w:cs="宋体"/>
          <w:b w:val="0"/>
          <w:bCs w:val="0"/>
          <w:kern w:val="0"/>
          <w:szCs w:val="24"/>
        </w:rPr>
        <w:alias w:val="模块:合营企业或联营企业发生的超额亏损"/>
        <w:tag w:val="_GBC_a9980062c82d44acae24fae7368ea42f"/>
        <w:id w:val="2067606673"/>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115"/>
            <w:numPr>
              <w:ilvl w:val="3"/>
              <w:numId w:val="118"/>
            </w:numPr>
            <w:ind w:left="424" w:hanging="424" w:hangingChars="202"/>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568349685"/>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sdt>
      <w:sdtPr>
        <w:rPr>
          <w:rFonts w:hint="eastAsia" w:ascii="宋体" w:hAnsi="宋体" w:eastAsia="宋体" w:cs="宋体"/>
          <w:b w:val="0"/>
          <w:bCs w:val="0"/>
          <w:kern w:val="0"/>
          <w:szCs w:val="24"/>
        </w:rPr>
        <w:alias w:val="模块:与合营企业投资相关的未确认承诺"/>
        <w:tag w:val="_GBC_da055842bf8c4e9598b87bd760d969ec"/>
        <w:id w:val="1392225131"/>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115"/>
            <w:numPr>
              <w:ilvl w:val="3"/>
              <w:numId w:val="118"/>
            </w:numPr>
            <w:ind w:left="424" w:hanging="424" w:hangingChars="202"/>
          </w:pPr>
          <w:r>
            <w:rPr>
              <w:rFonts w:hint="eastAsia"/>
            </w:rPr>
            <w:t>与合营企业</w:t>
          </w:r>
          <w:r>
            <w:rPr>
              <w:rFonts w:hint="eastAsia" w:ascii="宋体" w:hAnsi="宋体"/>
            </w:rPr>
            <w:t>投资</w:t>
          </w:r>
          <w:r>
            <w:rPr>
              <w:rFonts w:hint="eastAsia"/>
            </w:rPr>
            <w:t>相关的未确认承诺</w:t>
          </w:r>
        </w:p>
        <w:sdt>
          <w:sdtPr>
            <w:rPr>
              <w:rFonts w:hint="eastAsia" w:cs="Arial"/>
              <w:szCs w:val="21"/>
            </w:rPr>
            <w:alias w:val="是否适用：与合营企业投资相关的未确认承诺[双击切换]"/>
            <w:tag w:val="_GBC_31e45f9d52434cea9a9a27d328e562ec"/>
            <w:id w:val="374746326"/>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pPr>
    </w:p>
    <w:sdt>
      <w:sdtPr>
        <w:rPr>
          <w:rFonts w:hint="eastAsia" w:ascii="宋体" w:hAnsi="宋体" w:eastAsia="宋体" w:cs="宋体"/>
          <w:b w:val="0"/>
          <w:bCs w:val="0"/>
          <w:kern w:val="0"/>
          <w:szCs w:val="24"/>
        </w:rPr>
        <w:alias w:val="模块:与合营企业或联营企业投资相关的或有负债"/>
        <w:tag w:val="_GBC_1f803def681a42ba91cdde709a067b3f"/>
        <w:id w:val="1070161337"/>
        <w:lock w:val="sdtLocked"/>
        <w:placeholder>
          <w:docPart w:val="GBC22222222222222222222222222222"/>
        </w:placeholder>
      </w:sdtPr>
      <w:sdtEndPr>
        <w:rPr>
          <w:rFonts w:hint="eastAsia" w:ascii="宋体" w:hAnsi="宋体" w:eastAsia="宋体" w:cs="Arial"/>
          <w:b w:val="0"/>
          <w:bCs w:val="0"/>
          <w:kern w:val="0"/>
          <w:szCs w:val="21"/>
        </w:rPr>
      </w:sdtEndPr>
      <w:sdtContent>
        <w:p>
          <w:pPr>
            <w:pStyle w:val="115"/>
            <w:numPr>
              <w:ilvl w:val="3"/>
              <w:numId w:val="118"/>
            </w:numPr>
            <w:ind w:left="424" w:hanging="424" w:hangingChars="202"/>
          </w:pPr>
          <w:r>
            <w:rPr>
              <w:rFonts w:hint="eastAsia"/>
            </w:rPr>
            <w:t>与合营企业或联营企业投资相关的或有负债</w:t>
          </w:r>
        </w:p>
        <w:sdt>
          <w:sdtPr>
            <w:rPr>
              <w:rFonts w:hint="eastAsia" w:cs="Arial"/>
              <w:szCs w:val="21"/>
            </w:rPr>
            <w:alias w:val="是否适用：与合营企业或联营企业投资相关的或有负债[双击切换]"/>
            <w:tag w:val="_GBC_d3c6dfcab3ab42afb854d4ea2e7c9b9f"/>
            <w:id w:val="2128804499"/>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sdtContent>
    </w:sdt>
    <w:p>
      <w:pPr>
        <w:rPr>
          <w:rFonts w:cs="Arial"/>
          <w:szCs w:val="21"/>
        </w:rPr>
      </w:pPr>
    </w:p>
    <w:sdt>
      <w:sdtPr>
        <w:rPr>
          <w:rFonts w:hint="eastAsia" w:ascii="宋体" w:hAnsi="宋体" w:cs="Arial"/>
          <w:b w:val="0"/>
          <w:bCs w:val="0"/>
          <w:kern w:val="0"/>
          <w:szCs w:val="21"/>
        </w:rPr>
        <w:alias w:val="模块:重要的共同经营"/>
        <w:tag w:val="_GBC_90d44eb1222944759107483908112493"/>
        <w:id w:val="-2101942701"/>
        <w:lock w:val="sdtLocked"/>
        <w:placeholder>
          <w:docPart w:val="GBC22222222222222222222222222222"/>
        </w:placeholder>
      </w:sdtPr>
      <w:sdtEndPr>
        <w:rPr>
          <w:rFonts w:hint="default" w:ascii="宋体" w:hAnsi="宋体" w:cstheme="minorBidi"/>
          <w:b w:val="0"/>
          <w:bCs w:val="0"/>
          <w:kern w:val="0"/>
          <w:szCs w:val="21"/>
        </w:rPr>
      </w:sdtEndPr>
      <w:sdtContent>
        <w:p>
          <w:pPr>
            <w:pStyle w:val="114"/>
            <w:numPr>
              <w:ilvl w:val="2"/>
              <w:numId w:val="115"/>
            </w:numPr>
            <w:rPr>
              <w:rFonts w:ascii="宋体" w:hAnsi="宋体" w:cs="Arial"/>
              <w:szCs w:val="21"/>
            </w:rPr>
          </w:pPr>
          <w:r>
            <w:rPr>
              <w:rFonts w:hint="eastAsia" w:ascii="宋体" w:hAnsi="宋体" w:cs="Arial"/>
              <w:szCs w:val="21"/>
            </w:rPr>
            <w:t>重要的共同经营</w:t>
          </w:r>
        </w:p>
        <w:sdt>
          <w:sdtPr>
            <w:alias w:val="是否适用：重要的共同经营[双击切换]"/>
            <w:tag w:val="_GBC_8a0341a844454c89848e95b9c64a8efb"/>
            <w:id w:val="-73139377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cs="Arial"/>
              <w:szCs w:val="21"/>
            </w:rPr>
          </w:pPr>
        </w:p>
      </w:sdtContent>
    </w:sdt>
    <w:sdt>
      <w:sdtPr>
        <w:rPr>
          <w:rFonts w:hint="eastAsia" w:ascii="宋体" w:hAnsi="宋体" w:cs="Arial"/>
          <w:b w:val="0"/>
          <w:bCs w:val="0"/>
          <w:kern w:val="0"/>
          <w:szCs w:val="21"/>
        </w:rPr>
        <w:alias w:val="模块:在未纳入合并财务报表范围的结构化主体中的权益"/>
        <w:tag w:val="_GBC_5cfea65e45c44f1b9fdec762be35880d"/>
        <w:id w:val="-1110431324"/>
        <w:lock w:val="sdtLocked"/>
        <w:placeholder>
          <w:docPart w:val="GBC22222222222222222222222222222"/>
        </w:placeholder>
      </w:sdtPr>
      <w:sdtEndPr>
        <w:rPr>
          <w:rFonts w:hint="eastAsia" w:ascii="宋体" w:hAnsi="宋体" w:cs="Arial"/>
          <w:b w:val="0"/>
          <w:bCs w:val="0"/>
          <w:kern w:val="0"/>
          <w:szCs w:val="21"/>
        </w:rPr>
      </w:sdtEndPr>
      <w:sdtContent>
        <w:p>
          <w:pPr>
            <w:pStyle w:val="114"/>
            <w:numPr>
              <w:ilvl w:val="2"/>
              <w:numId w:val="115"/>
            </w:numPr>
            <w:rPr>
              <w:rFonts w:ascii="宋体" w:hAnsi="宋体" w:cs="Arial"/>
              <w:szCs w:val="21"/>
            </w:rPr>
          </w:pPr>
          <w:r>
            <w:rPr>
              <w:rFonts w:hint="eastAsia" w:ascii="宋体" w:hAnsi="宋体" w:cs="Arial"/>
              <w:szCs w:val="21"/>
            </w:rPr>
            <w:t>在未纳入合并财务报表范围的结构化主体中的权益</w:t>
          </w:r>
        </w:p>
        <w:p>
          <w:pPr>
            <w:rPr>
              <w:rFonts w:cs="Arial"/>
              <w:szCs w:val="21"/>
            </w:rPr>
          </w:pPr>
          <w:r>
            <w:rPr>
              <w:rFonts w:hint="eastAsia" w:cs="Arial"/>
              <w:szCs w:val="21"/>
            </w:rPr>
            <w:t>未纳入合并财务报表范围的结构化主体的相关说明：</w:t>
          </w:r>
        </w:p>
        <w:sdt>
          <w:sdtPr>
            <w:rPr>
              <w:rFonts w:cs="Arial"/>
              <w:szCs w:val="21"/>
            </w:rPr>
            <w:alias w:val="是否适用：未纳入合并财务报表范围的结构化主体的相关说明[双击切换]"/>
            <w:tag w:val="_GBC_fec7f9a28e8b48edbad9948b50cb3cae"/>
            <w:id w:val="1643768656"/>
            <w:lock w:val="sdtLocked"/>
            <w:placeholder>
              <w:docPart w:val="GBC22222222222222222222222222222"/>
            </w:placeholder>
          </w:sdtPr>
          <w:sdtEndPr>
            <w:rPr>
              <w:rFonts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rPr>
              <w:rFonts w:cs="Arial"/>
              <w:szCs w:val="21"/>
            </w:rPr>
          </w:pPr>
        </w:p>
      </w:sdtContent>
    </w:sdt>
    <w:sdt>
      <w:sdtPr>
        <w:rPr>
          <w:rFonts w:hint="eastAsia" w:ascii="宋体" w:hAnsi="宋体" w:cs="Arial"/>
          <w:b w:val="0"/>
          <w:bCs w:val="0"/>
          <w:kern w:val="0"/>
          <w:szCs w:val="21"/>
        </w:rPr>
        <w:alias w:val="模块:在其他主体中的权益其他需要说明的事项"/>
        <w:tag w:val="_GBC_b24eb633f5244c748225389f3b3cedd1"/>
        <w:id w:val="1314298297"/>
        <w:lock w:val="sdtLocked"/>
        <w:placeholder>
          <w:docPart w:val="GBC22222222222222222222222222222"/>
        </w:placeholder>
      </w:sdtPr>
      <w:sdtEndPr>
        <w:rPr>
          <w:rFonts w:hint="eastAsia" w:ascii="宋体" w:hAnsi="宋体" w:cs="Arial"/>
          <w:b w:val="0"/>
          <w:bCs w:val="0"/>
          <w:kern w:val="0"/>
          <w:szCs w:val="21"/>
        </w:rPr>
      </w:sdtEndPr>
      <w:sdtContent>
        <w:p>
          <w:pPr>
            <w:pStyle w:val="114"/>
            <w:numPr>
              <w:ilvl w:val="2"/>
              <w:numId w:val="115"/>
            </w:numPr>
            <w:rPr>
              <w:rFonts w:ascii="宋体" w:hAnsi="宋体" w:cs="Arial"/>
              <w:szCs w:val="21"/>
            </w:rPr>
          </w:pPr>
          <w:r>
            <w:rPr>
              <w:rFonts w:hint="eastAsia" w:ascii="宋体" w:hAnsi="宋体" w:cs="Arial"/>
              <w:szCs w:val="21"/>
            </w:rPr>
            <w:t>其他</w:t>
          </w:r>
        </w:p>
        <w:sdt>
          <w:sdtPr>
            <w:rPr>
              <w:rFonts w:hint="eastAsia"/>
            </w:rPr>
            <w:alias w:val="是否适用：在其他主体中的权益其他需要说明的事项[双击切换]"/>
            <w:tag w:val="_GBC_f97a284e61d54ed588c46ec336af6ef8"/>
            <w:id w:val="-842084743"/>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sdt>
      <w:sdtPr>
        <w:rPr>
          <w:rFonts w:hint="eastAsia" w:ascii="宋体" w:hAnsi="宋体" w:cs="宋体"/>
          <w:b w:val="0"/>
          <w:bCs w:val="0"/>
          <w:kern w:val="0"/>
          <w:szCs w:val="24"/>
        </w:rPr>
        <w:alias w:val="模块:与金融工具相关的风险"/>
        <w:tag w:val="_GBC_815d628fea814e7191d23a3fcbe2783c"/>
        <w:id w:val="-1538353658"/>
        <w:lock w:val="sdtLocked"/>
        <w:placeholder>
          <w:docPart w:val="GBC22222222222222222222222222222"/>
        </w:placeholder>
      </w:sdtPr>
      <w:sdtEndPr>
        <w:rPr>
          <w:rFonts w:hint="eastAsia" w:ascii="宋体" w:hAnsi="宋体" w:cs="宋体"/>
          <w:b w:val="0"/>
          <w:bCs w:val="0"/>
          <w:kern w:val="0"/>
          <w:szCs w:val="24"/>
        </w:rPr>
      </w:sdtEndPr>
      <w:sdtContent>
        <w:p>
          <w:pPr>
            <w:pStyle w:val="113"/>
            <w:numPr>
              <w:ilvl w:val="0"/>
              <w:numId w:val="49"/>
            </w:numPr>
            <w:rPr>
              <w:rFonts w:ascii="宋体" w:hAnsi="宋体"/>
            </w:rPr>
          </w:pPr>
          <w:r>
            <w:rPr>
              <w:rFonts w:hint="eastAsia" w:ascii="宋体" w:hAnsi="宋体"/>
            </w:rPr>
            <w:t>与金融工具相关的风险</w:t>
          </w:r>
        </w:p>
        <w:sdt>
          <w:sdtPr>
            <w:alias w:val="是否适用：与金融工具相关的风险[双击切换]"/>
            <w:tag w:val="_GBC_2be38aac6aaa4945a48be2cdc11eaaf6"/>
            <w:id w:val="-132242551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szCs w:val="21"/>
            </w:rPr>
            <w:alias w:val="与金融工具相关的风险"/>
            <w:tag w:val="_GBC_f6714dfdbb554edeb7e7fde71c65346d"/>
            <w:id w:val="-694530827"/>
            <w:lock w:val="sdtLocked"/>
            <w:placeholder>
              <w:docPart w:val="GBC22222222222222222222222222222"/>
            </w:placeholder>
          </w:sdtPr>
          <w:sdtEndPr>
            <w:rPr>
              <w:b/>
              <w:szCs w:val="21"/>
            </w:rPr>
          </w:sdtEndPr>
          <w:sdtContent>
            <w:p>
              <w:pPr>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本公司的主要金融工具包括货币资金、股权投资、借款、应收款项、应付款项等。</w:t>
              </w:r>
            </w:p>
            <w:p>
              <w:pPr>
                <w:pStyle w:val="198"/>
                <w:widowControl w:val="0"/>
                <w:numPr>
                  <w:ilvl w:val="1"/>
                  <w:numId w:val="119"/>
                </w:numPr>
                <w:snapToGrid w:val="0"/>
                <w:spacing w:before="120" w:beforeLines="50" w:afterLines="0"/>
                <w:jc w:val="both"/>
                <w:outlineLvl w:val="2"/>
                <w:rPr>
                  <w:rFonts w:asciiTheme="minorEastAsia" w:hAnsiTheme="minorEastAsia" w:eastAsiaTheme="minorEastAsia"/>
                </w:rPr>
              </w:pPr>
              <w:r>
                <w:rPr>
                  <w:rFonts w:hint="eastAsia" w:asciiTheme="minorEastAsia" w:hAnsiTheme="minorEastAsia" w:eastAsiaTheme="minorEastAsia"/>
                </w:rPr>
                <w:t>信用风险</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信用风险是指</w:t>
              </w:r>
              <w:r>
                <w:rPr>
                  <w:rFonts w:hint="eastAsia" w:asciiTheme="minorEastAsia" w:hAnsiTheme="minorEastAsia" w:eastAsiaTheme="minorEastAsia"/>
                </w:rPr>
                <w:t>交易</w:t>
              </w:r>
              <w:r>
                <w:rPr>
                  <w:rFonts w:asciiTheme="minorEastAsia" w:hAnsiTheme="minorEastAsia" w:eastAsiaTheme="minorEastAsia"/>
                </w:rPr>
                <w:t>对手未能履行合同义务而导致本公司产生财务损失的风险，管理层已制定适当的信用政策，并且不断监察信用风险的敞口。</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本公司基于对客户的财务状况、从第三方获取担保的可能性、信用记录及其它因素诸如目前市场状况等评估客户的信用资质并设置相应信用期。本公司于每个资产负债表日审核金融资产的回收情况，以确保相关金融资产计提了充分的预期信用损失准备。</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本公司</w:t>
              </w:r>
              <w:r>
                <w:rPr>
                  <w:rFonts w:hint="eastAsia" w:asciiTheme="minorEastAsia" w:hAnsiTheme="minorEastAsia" w:eastAsiaTheme="minorEastAsia"/>
                </w:rPr>
                <w:t>金融资产</w:t>
              </w:r>
              <w:r>
                <w:rPr>
                  <w:rFonts w:asciiTheme="minorEastAsia" w:hAnsiTheme="minorEastAsia" w:eastAsiaTheme="minorEastAsia"/>
                </w:rPr>
                <w:t>的信用风险源自于交易对手违约，最大信用风险敞口为资产负债表中每项金融资产的账面金额。除</w:t>
              </w:r>
              <w:r>
                <w:rPr>
                  <w:rFonts w:hint="eastAsia" w:asciiTheme="minorEastAsia" w:hAnsiTheme="minorEastAsia" w:eastAsiaTheme="minorEastAsia"/>
                </w:rPr>
                <w:t>第十节财务报告</w:t>
              </w:r>
              <w:r>
                <w:rPr>
                  <w:rFonts w:asciiTheme="minorEastAsia" w:hAnsiTheme="minorEastAsia" w:eastAsiaTheme="minorEastAsia"/>
                </w:rPr>
                <w:t>十</w:t>
              </w:r>
              <w:r>
                <w:rPr>
                  <w:rFonts w:hint="eastAsia" w:asciiTheme="minorEastAsia" w:hAnsiTheme="minorEastAsia" w:eastAsiaTheme="minorEastAsia"/>
                </w:rPr>
                <w:t>四</w:t>
              </w:r>
              <w:r>
                <w:rPr>
                  <w:rFonts w:asciiTheme="minorEastAsia" w:hAnsiTheme="minorEastAsia" w:eastAsiaTheme="minorEastAsia"/>
                </w:rPr>
                <w:t>、</w:t>
              </w:r>
              <w:r>
                <w:rPr>
                  <w:rFonts w:hint="eastAsia" w:asciiTheme="minorEastAsia" w:hAnsiTheme="minorEastAsia" w:eastAsiaTheme="minorEastAsia"/>
                </w:rPr>
                <w:t>2</w:t>
              </w:r>
              <w:r>
                <w:rPr>
                  <w:rFonts w:asciiTheme="minorEastAsia" w:hAnsiTheme="minorEastAsia" w:eastAsiaTheme="minorEastAsia"/>
                </w:rPr>
                <w:t>、</w:t>
              </w:r>
              <w:r>
                <w:rPr>
                  <w:rFonts w:hint="eastAsia" w:asciiTheme="minorEastAsia" w:hAnsiTheme="minorEastAsia" w:eastAsiaTheme="minorEastAsia"/>
                </w:rPr>
                <w:t>b</w:t>
              </w:r>
              <w:r>
                <w:rPr>
                  <w:rFonts w:asciiTheme="minorEastAsia" w:hAnsiTheme="minorEastAsia" w:eastAsiaTheme="minorEastAsia"/>
                </w:rPr>
                <w:t>所载本公司作出的财务担保外，本公司没有提供任何其他可能令本公司承受信用风险的担保。</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本公司持有的货币资金主要存放于国有控股银行和其他大中型商业银行等金融机构，管理层认为这些商业银行具备较高信誉和资产状况，不存在重大的信用风险，不会产生因对方单位违约而导致的任何重大损失。</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作为</w:t>
              </w:r>
              <w:r>
                <w:rPr>
                  <w:rFonts w:hint="eastAsia" w:asciiTheme="minorEastAsia" w:hAnsiTheme="minorEastAsia" w:eastAsiaTheme="minorEastAsia"/>
                </w:rPr>
                <w:t>本公司</w:t>
              </w:r>
              <w:r>
                <w:rPr>
                  <w:rFonts w:asciiTheme="minorEastAsia" w:hAnsiTheme="minorEastAsia" w:eastAsiaTheme="minorEastAsia"/>
                </w:rPr>
                <w:t>信用风险资产管理的一部分，本公司利用账龄来评估应收账款和其他应收款的减值损失。本公司的应收账款和其他应收款涉及大量客户，账龄信息可以反映这些客户对于应收账款和其他应收款的偿付能力和坏账风险。本公司根据历史数据计算不同账龄期间的历史实际坏账率，并考虑了当前及未来经济状况的预测等前瞻性信息进行调整得出预期损失率。</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截至2021年12月31日，相关资产的账面余额与预期信用减值损失情况如下：</w:t>
              </w:r>
            </w:p>
            <w:p>
              <w:pPr>
                <w:widowControl w:val="0"/>
                <w:adjustRightInd w:val="0"/>
                <w:snapToGrid w:val="0"/>
                <w:jc w:val="right"/>
                <w:rPr>
                  <w:rFonts w:ascii="Arial Narrow" w:hAnsi="Arial Narrow"/>
                </w:rPr>
              </w:pPr>
              <w:r>
                <w:rPr>
                  <w:rFonts w:hint="eastAsia"/>
                </w:rPr>
                <w:t>单位：万元</w:t>
              </w:r>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2693"/>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2" w:type="pct"/>
                    <w:vAlign w:val="center"/>
                  </w:tcPr>
                  <w:p>
                    <w:pPr>
                      <w:pStyle w:val="199"/>
                      <w:widowControl w:val="0"/>
                      <w:spacing w:afterLines="0"/>
                      <w:ind w:firstLine="0" w:firstLineChars="0"/>
                      <w:jc w:val="center"/>
                      <w:rPr>
                        <w:rFonts w:ascii="宋体" w:hAnsi="宋体"/>
                        <w:bCs/>
                      </w:rPr>
                    </w:pPr>
                    <w:r>
                      <w:rPr>
                        <w:rFonts w:ascii="宋体" w:hAnsi="宋体"/>
                        <w:bCs/>
                      </w:rPr>
                      <w:t>账龄</w:t>
                    </w:r>
                  </w:p>
                </w:tc>
                <w:tc>
                  <w:tcPr>
                    <w:tcW w:w="1579" w:type="pct"/>
                    <w:vAlign w:val="center"/>
                  </w:tcPr>
                  <w:p>
                    <w:pPr>
                      <w:pStyle w:val="199"/>
                      <w:widowControl w:val="0"/>
                      <w:spacing w:afterLines="0"/>
                      <w:ind w:firstLine="0" w:firstLineChars="0"/>
                      <w:jc w:val="center"/>
                      <w:rPr>
                        <w:rFonts w:ascii="宋体" w:hAnsi="宋体"/>
                        <w:bCs/>
                      </w:rPr>
                    </w:pPr>
                    <w:r>
                      <w:rPr>
                        <w:rFonts w:ascii="宋体" w:hAnsi="宋体"/>
                        <w:bCs/>
                      </w:rPr>
                      <w:t>账面余额</w:t>
                    </w:r>
                  </w:p>
                </w:tc>
                <w:tc>
                  <w:tcPr>
                    <w:tcW w:w="1529" w:type="pct"/>
                    <w:vAlign w:val="center"/>
                  </w:tcPr>
                  <w:p>
                    <w:pPr>
                      <w:pStyle w:val="199"/>
                      <w:widowControl w:val="0"/>
                      <w:spacing w:afterLines="0"/>
                      <w:ind w:firstLine="0" w:firstLineChars="0"/>
                      <w:jc w:val="center"/>
                      <w:rPr>
                        <w:rFonts w:ascii="宋体" w:hAnsi="宋体"/>
                        <w:bCs/>
                      </w:rPr>
                    </w:pPr>
                    <w:r>
                      <w:rPr>
                        <w:rFonts w:ascii="宋体" w:hAnsi="宋体"/>
                        <w:bCs/>
                      </w:rPr>
                      <w:t>减值准备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2" w:type="pct"/>
                    <w:vAlign w:val="center"/>
                  </w:tcPr>
                  <w:p>
                    <w:pPr>
                      <w:pStyle w:val="199"/>
                      <w:widowControl w:val="0"/>
                      <w:spacing w:afterLines="0"/>
                      <w:ind w:firstLine="0" w:firstLineChars="0"/>
                      <w:jc w:val="center"/>
                      <w:rPr>
                        <w:rFonts w:ascii="宋体" w:hAnsi="宋体"/>
                        <w:bCs/>
                      </w:rPr>
                    </w:pPr>
                    <w:r>
                      <w:rPr>
                        <w:rFonts w:ascii="宋体" w:hAnsi="宋体"/>
                        <w:bCs/>
                      </w:rPr>
                      <w:t>应收票据</w:t>
                    </w:r>
                  </w:p>
                </w:tc>
                <w:tc>
                  <w:tcPr>
                    <w:tcW w:w="1579" w:type="pct"/>
                    <w:vAlign w:val="center"/>
                  </w:tcPr>
                  <w:p>
                    <w:pPr>
                      <w:snapToGrid w:val="0"/>
                      <w:jc w:val="right"/>
                      <w:rPr>
                        <w:kern w:val="2"/>
                        <w:szCs w:val="21"/>
                      </w:rPr>
                    </w:pPr>
                    <w:r>
                      <w:t xml:space="preserve"> 8,020.91 </w:t>
                    </w:r>
                  </w:p>
                </w:tc>
                <w:tc>
                  <w:tcPr>
                    <w:tcW w:w="1529" w:type="pct"/>
                    <w:vAlign w:val="center"/>
                  </w:tcPr>
                  <w:p>
                    <w:pPr>
                      <w:snapToGrid w:val="0"/>
                      <w:jc w:val="right"/>
                      <w:rPr>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2" w:type="pct"/>
                    <w:vAlign w:val="center"/>
                  </w:tcPr>
                  <w:p>
                    <w:pPr>
                      <w:pStyle w:val="199"/>
                      <w:widowControl w:val="0"/>
                      <w:spacing w:afterLines="0"/>
                      <w:ind w:firstLine="0" w:firstLineChars="0"/>
                      <w:jc w:val="center"/>
                      <w:rPr>
                        <w:rFonts w:ascii="宋体" w:hAnsi="宋体"/>
                        <w:bCs/>
                      </w:rPr>
                    </w:pPr>
                    <w:r>
                      <w:rPr>
                        <w:rFonts w:ascii="宋体" w:hAnsi="宋体"/>
                        <w:bCs/>
                      </w:rPr>
                      <w:t>应收账款</w:t>
                    </w:r>
                  </w:p>
                </w:tc>
                <w:tc>
                  <w:tcPr>
                    <w:tcW w:w="1579" w:type="pct"/>
                    <w:vAlign w:val="center"/>
                  </w:tcPr>
                  <w:p>
                    <w:pPr>
                      <w:snapToGrid w:val="0"/>
                      <w:jc w:val="right"/>
                      <w:rPr>
                        <w:kern w:val="2"/>
                        <w:szCs w:val="21"/>
                      </w:rPr>
                    </w:pPr>
                    <w:r>
                      <w:t xml:space="preserve"> 148,368.77 </w:t>
                    </w:r>
                  </w:p>
                </w:tc>
                <w:tc>
                  <w:tcPr>
                    <w:tcW w:w="1529" w:type="pct"/>
                    <w:vAlign w:val="center"/>
                  </w:tcPr>
                  <w:p>
                    <w:pPr>
                      <w:snapToGrid w:val="0"/>
                      <w:jc w:val="right"/>
                      <w:rPr>
                        <w:kern w:val="2"/>
                        <w:szCs w:val="21"/>
                      </w:rPr>
                    </w:pPr>
                    <w:r>
                      <w:t xml:space="preserve"> 79,637.78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2" w:type="pct"/>
                    <w:vAlign w:val="center"/>
                  </w:tcPr>
                  <w:p>
                    <w:pPr>
                      <w:pStyle w:val="199"/>
                      <w:widowControl w:val="0"/>
                      <w:spacing w:afterLines="0"/>
                      <w:ind w:firstLine="0" w:firstLineChars="0"/>
                      <w:jc w:val="center"/>
                      <w:rPr>
                        <w:rFonts w:ascii="宋体" w:hAnsi="宋体"/>
                        <w:bCs/>
                      </w:rPr>
                    </w:pPr>
                    <w:r>
                      <w:rPr>
                        <w:rFonts w:ascii="宋体" w:hAnsi="宋体"/>
                        <w:bCs/>
                      </w:rPr>
                      <w:t>其他应收款</w:t>
                    </w:r>
                  </w:p>
                </w:tc>
                <w:tc>
                  <w:tcPr>
                    <w:tcW w:w="1579" w:type="pct"/>
                    <w:vAlign w:val="center"/>
                  </w:tcPr>
                  <w:p>
                    <w:pPr>
                      <w:snapToGrid w:val="0"/>
                      <w:jc w:val="right"/>
                      <w:rPr>
                        <w:kern w:val="2"/>
                        <w:szCs w:val="21"/>
                      </w:rPr>
                    </w:pPr>
                    <w:r>
                      <w:t>72,042.16</w:t>
                    </w:r>
                  </w:p>
                </w:tc>
                <w:tc>
                  <w:tcPr>
                    <w:tcW w:w="1529" w:type="pct"/>
                    <w:vAlign w:val="center"/>
                  </w:tcPr>
                  <w:p>
                    <w:pPr>
                      <w:snapToGrid w:val="0"/>
                      <w:jc w:val="right"/>
                      <w:rPr>
                        <w:kern w:val="2"/>
                        <w:szCs w:val="21"/>
                      </w:rPr>
                    </w:pPr>
                    <w:r>
                      <w:t>30,149.26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92" w:type="pct"/>
                    <w:vAlign w:val="center"/>
                  </w:tcPr>
                  <w:p>
                    <w:pPr>
                      <w:pStyle w:val="199"/>
                      <w:widowControl w:val="0"/>
                      <w:spacing w:afterLines="0"/>
                      <w:ind w:firstLine="0" w:firstLineChars="0"/>
                      <w:jc w:val="center"/>
                      <w:rPr>
                        <w:rFonts w:ascii="宋体" w:hAnsi="宋体"/>
                        <w:bCs/>
                      </w:rPr>
                    </w:pPr>
                    <w:r>
                      <w:rPr>
                        <w:rFonts w:ascii="宋体" w:hAnsi="宋体"/>
                        <w:bCs/>
                      </w:rPr>
                      <w:t>合计</w:t>
                    </w:r>
                  </w:p>
                </w:tc>
                <w:tc>
                  <w:tcPr>
                    <w:tcW w:w="1579" w:type="pct"/>
                    <w:vAlign w:val="center"/>
                  </w:tcPr>
                  <w:p>
                    <w:pPr>
                      <w:snapToGrid w:val="0"/>
                      <w:jc w:val="right"/>
                      <w:rPr>
                        <w:kern w:val="2"/>
                        <w:szCs w:val="21"/>
                      </w:rPr>
                    </w:pPr>
                    <w:r>
                      <w:t>228,431.84</w:t>
                    </w:r>
                  </w:p>
                </w:tc>
                <w:tc>
                  <w:tcPr>
                    <w:tcW w:w="1529" w:type="pct"/>
                    <w:vAlign w:val="center"/>
                  </w:tcPr>
                  <w:p>
                    <w:pPr>
                      <w:snapToGrid w:val="0"/>
                      <w:jc w:val="right"/>
                      <w:rPr>
                        <w:kern w:val="2"/>
                        <w:szCs w:val="21"/>
                      </w:rPr>
                    </w:pPr>
                    <w:r>
                      <w:t>109,787.04</w:t>
                    </w:r>
                  </w:p>
                </w:tc>
              </w:tr>
            </w:tbl>
            <w:p/>
            <w:p>
              <w:pPr>
                <w:adjustRightInd w:val="0"/>
                <w:snapToGrid w:val="0"/>
                <w:spacing w:before="120" w:beforeLines="50" w:line="360" w:lineRule="auto"/>
                <w:ind w:firstLine="420" w:firstLineChars="200"/>
                <w:rPr>
                  <w:rFonts w:cs="Times New Roman" w:asciiTheme="minorEastAsia" w:hAnsiTheme="minorEastAsia" w:eastAsiaTheme="minorEastAsia"/>
                  <w:kern w:val="2"/>
                  <w:szCs w:val="21"/>
                </w:rPr>
              </w:pPr>
              <w:r>
                <w:rPr>
                  <w:rFonts w:asciiTheme="minorEastAsia" w:hAnsiTheme="minorEastAsia" w:eastAsiaTheme="minorEastAsia"/>
                </w:rPr>
                <w:t>2021年12月31日，本公司对外提供财务担保的金额为211,528.62万元，财务担保合同的具体情况参见</w:t>
              </w:r>
              <w:r>
                <w:rPr>
                  <w:rFonts w:hint="eastAsia" w:asciiTheme="minorEastAsia" w:hAnsiTheme="minorEastAsia" w:eastAsiaTheme="minorEastAsia"/>
                </w:rPr>
                <w:t>第十节财务报告十二、5、（4）.关联担保情况</w:t>
              </w:r>
              <w:r>
                <w:rPr>
                  <w:rFonts w:asciiTheme="minorEastAsia" w:hAnsiTheme="minorEastAsia" w:eastAsiaTheme="minorEastAsia"/>
                </w:rPr>
                <w:t>。</w:t>
              </w:r>
            </w:p>
            <w:p>
              <w:pPr>
                <w:adjustRightInd w:val="0"/>
                <w:snapToGrid w:val="0"/>
                <w:spacing w:line="360" w:lineRule="auto"/>
                <w:ind w:firstLine="420" w:firstLineChars="200"/>
                <w:rPr>
                  <w:rFonts w:asciiTheme="minorEastAsia" w:hAnsiTheme="minorEastAsia" w:eastAsiaTheme="minorEastAsia"/>
                </w:rPr>
              </w:pPr>
              <w:r>
                <w:rPr>
                  <w:rFonts w:hint="eastAsia" w:asciiTheme="minorEastAsia" w:hAnsiTheme="minorEastAsia" w:eastAsiaTheme="minorEastAsia"/>
                </w:rPr>
                <w:t>本公司管理层评估了担保项下相关借款的逾期情况、相关借款人的财务状况及其所处行业的经济形势，认为自该部分财务担保合同初始确认后，相关信用风险未显著增加。因此，本公司按照相当于上述财务担保合同未来12个月内预期信用损失的金额计量其减值准备。报告期内，根据本公司管理层的评估，相关财务担保无重大预期减值准备。</w:t>
              </w:r>
            </w:p>
            <w:p>
              <w:pPr>
                <w:pStyle w:val="198"/>
                <w:widowControl w:val="0"/>
                <w:numPr>
                  <w:ilvl w:val="1"/>
                  <w:numId w:val="119"/>
                </w:numPr>
                <w:snapToGrid w:val="0"/>
                <w:spacing w:beforeLines="0" w:afterLines="0"/>
                <w:ind w:left="845"/>
                <w:jc w:val="both"/>
                <w:outlineLvl w:val="2"/>
                <w:rPr>
                  <w:rFonts w:asciiTheme="minorEastAsia" w:hAnsiTheme="minorEastAsia" w:eastAsiaTheme="minorEastAsia"/>
                </w:rPr>
              </w:pPr>
              <w:r>
                <w:rPr>
                  <w:rFonts w:asciiTheme="minorEastAsia" w:hAnsiTheme="minorEastAsia" w:eastAsiaTheme="minorEastAsia"/>
                </w:rPr>
                <w:t>流动性风险</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流动性风险是指本公司在履行以交付现金或其他金融资产的方式结算的义务时发生资金短缺的风险。</w:t>
              </w:r>
            </w:p>
            <w:p>
              <w:pPr>
                <w:adjustRightInd w:val="0"/>
                <w:snapToGrid w:val="0"/>
                <w:spacing w:line="360" w:lineRule="auto"/>
                <w:ind w:firstLine="420" w:firstLineChars="200"/>
                <w:rPr>
                  <w:rFonts w:asciiTheme="minorEastAsia" w:hAnsiTheme="minorEastAsia" w:eastAsiaTheme="minorEastAsia"/>
                </w:rPr>
              </w:pPr>
              <w:r>
                <w:rPr>
                  <w:rFonts w:asciiTheme="minorEastAsia" w:hAnsiTheme="minorEastAsia" w:eastAsiaTheme="minorEastAsia"/>
                </w:rPr>
                <w:t>截至2021年12月31日，本公司金融负债和表外担保项目以未折现的合同现金流量按合同剩余期限列示如下：</w:t>
              </w:r>
            </w:p>
            <w:p>
              <w:pPr>
                <w:pStyle w:val="208"/>
                <w:widowControl w:val="0"/>
                <w:adjustRightInd w:val="0"/>
                <w:snapToGrid w:val="0"/>
                <w:ind w:left="480" w:firstLine="0" w:firstLineChars="0"/>
                <w:jc w:val="right"/>
                <w:rPr>
                  <w:rFonts w:ascii="Arial Narrow" w:hAnsi="Arial Narrow"/>
                </w:rPr>
              </w:pPr>
              <w:r>
                <w:rPr>
                  <w:rFonts w:hint="eastAsia" w:ascii="宋体" w:hAnsi="宋体"/>
                </w:rPr>
                <w:t>单位：万元</w:t>
              </w:r>
            </w:p>
            <w:tbl>
              <w:tblPr>
                <w:tblStyle w:val="1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700"/>
                <w:gridCol w:w="1562"/>
                <w:gridCol w:w="1939"/>
                <w:gridCol w:w="19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Merge w:val="restart"/>
                    <w:tcBorders>
                      <w:top w:val="single" w:color="auto" w:sz="12" w:space="0"/>
                      <w:left w:val="nil"/>
                      <w:bottom w:val="single" w:color="auto" w:sz="4" w:space="0"/>
                      <w:right w:val="single" w:color="auto" w:sz="4" w:space="0"/>
                    </w:tcBorders>
                    <w:vAlign w:val="center"/>
                  </w:tcPr>
                  <w:p>
                    <w:pPr>
                      <w:adjustRightInd w:val="0"/>
                      <w:snapToGrid w:val="0"/>
                      <w:jc w:val="center"/>
                      <w:rPr>
                        <w:rFonts w:ascii="Arial Narrow" w:hAnsi="Arial Narrow"/>
                        <w:kern w:val="2"/>
                        <w:szCs w:val="21"/>
                      </w:rPr>
                    </w:pPr>
                    <w:r>
                      <w:t>项目</w:t>
                    </w:r>
                  </w:p>
                </w:tc>
                <w:tc>
                  <w:tcPr>
                    <w:tcW w:w="7144" w:type="dxa"/>
                    <w:gridSpan w:val="4"/>
                    <w:tcBorders>
                      <w:top w:val="single" w:color="auto" w:sz="12" w:space="0"/>
                      <w:left w:val="single" w:color="auto" w:sz="4" w:space="0"/>
                      <w:bottom w:val="single" w:color="auto" w:sz="4" w:space="0"/>
                      <w:right w:val="nil"/>
                    </w:tcBorders>
                    <w:vAlign w:val="center"/>
                  </w:tcPr>
                  <w:p>
                    <w:pPr>
                      <w:adjustRightInd w:val="0"/>
                      <w:snapToGrid w:val="0"/>
                      <w:jc w:val="center"/>
                      <w:rPr>
                        <w:rFonts w:ascii="Arial Narrow" w:hAnsi="Arial Narrow"/>
                        <w:kern w:val="2"/>
                        <w:szCs w:val="21"/>
                      </w:rPr>
                    </w:pPr>
                    <w:r>
                      <w:t>期末余额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vMerge w:val="continue"/>
                    <w:tcBorders>
                      <w:top w:val="single" w:color="auto" w:sz="12" w:space="0"/>
                      <w:left w:val="nil"/>
                      <w:bottom w:val="single" w:color="auto" w:sz="4" w:space="0"/>
                      <w:right w:val="single" w:color="auto" w:sz="4" w:space="0"/>
                    </w:tcBorders>
                    <w:vAlign w:val="center"/>
                  </w:tcPr>
                  <w:p>
                    <w:pPr>
                      <w:rPr>
                        <w:rFonts w:ascii="Arial Narrow" w:hAnsi="Arial Narrow"/>
                        <w:kern w:val="2"/>
                        <w:szCs w:val="21"/>
                      </w:rPr>
                    </w:pPr>
                  </w:p>
                </w:tc>
                <w:tc>
                  <w:tcPr>
                    <w:tcW w:w="170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kern w:val="2"/>
                        <w:szCs w:val="21"/>
                      </w:rPr>
                    </w:pPr>
                    <w:r>
                      <w:rPr>
                        <w:rFonts w:ascii="Arial Narrow" w:hAnsi="Arial Narrow"/>
                      </w:rPr>
                      <w:t>1</w:t>
                    </w:r>
                    <w:r>
                      <w:t>年以内</w:t>
                    </w:r>
                  </w:p>
                </w:tc>
                <w:tc>
                  <w:tcPr>
                    <w:tcW w:w="156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kern w:val="2"/>
                        <w:szCs w:val="21"/>
                      </w:rPr>
                    </w:pPr>
                    <w:r>
                      <w:rPr>
                        <w:rFonts w:ascii="Arial Narrow" w:hAnsi="Arial Narrow"/>
                      </w:rPr>
                      <w:t>1-3</w:t>
                    </w:r>
                    <w:r>
                      <w:t>年</w:t>
                    </w:r>
                  </w:p>
                </w:tc>
                <w:tc>
                  <w:tcPr>
                    <w:tcW w:w="193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kern w:val="2"/>
                        <w:szCs w:val="21"/>
                      </w:rPr>
                    </w:pPr>
                    <w:r>
                      <w:rPr>
                        <w:rFonts w:ascii="Arial Narrow" w:hAnsi="Arial Narrow"/>
                      </w:rPr>
                      <w:t>3</w:t>
                    </w:r>
                    <w:r>
                      <w:t>年以上</w:t>
                    </w:r>
                  </w:p>
                </w:tc>
                <w:tc>
                  <w:tcPr>
                    <w:tcW w:w="1943" w:type="dxa"/>
                    <w:tcBorders>
                      <w:top w:val="single" w:color="auto" w:sz="4" w:space="0"/>
                      <w:left w:val="single" w:color="auto" w:sz="4" w:space="0"/>
                      <w:bottom w:val="single" w:color="auto" w:sz="4" w:space="0"/>
                      <w:right w:val="nil"/>
                    </w:tcBorders>
                    <w:vAlign w:val="center"/>
                  </w:tcPr>
                  <w:p>
                    <w:pPr>
                      <w:adjustRightInd w:val="0"/>
                      <w:snapToGrid w:val="0"/>
                      <w:jc w:val="center"/>
                      <w:rPr>
                        <w:rFonts w:ascii="Arial Narrow" w:hAnsi="Arial Narrow"/>
                        <w:kern w:val="2"/>
                        <w:szCs w:val="21"/>
                      </w:rPr>
                    </w:pPr>
                    <w:r>
                      <w:t>合计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4" w:space="0"/>
                      <w:right w:val="single" w:color="auto" w:sz="4" w:space="0"/>
                    </w:tcBorders>
                    <w:vAlign w:val="center"/>
                  </w:tcPr>
                  <w:p>
                    <w:pPr>
                      <w:adjustRightInd w:val="0"/>
                      <w:snapToGrid w:val="0"/>
                      <w:ind w:right="-63" w:rightChars="-30"/>
                      <w:rPr>
                        <w:rFonts w:asciiTheme="minorEastAsia" w:hAnsiTheme="minorEastAsia" w:eastAsiaTheme="minorEastAsia"/>
                        <w:kern w:val="2"/>
                        <w:szCs w:val="21"/>
                      </w:rPr>
                    </w:pPr>
                    <w:r>
                      <w:rPr>
                        <w:rFonts w:asciiTheme="minorEastAsia" w:hAnsiTheme="minorEastAsia" w:eastAsiaTheme="minorEastAsia"/>
                      </w:rPr>
                      <w:t>短期借款</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1,400.00</w:t>
                    </w:r>
                  </w:p>
                </w:tc>
                <w:tc>
                  <w:tcPr>
                    <w:tcW w:w="1562"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43" w:type="dxa"/>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1,400.00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4" w:space="0"/>
                      <w:right w:val="single" w:color="auto" w:sz="4" w:space="0"/>
                    </w:tcBorders>
                    <w:vAlign w:val="center"/>
                  </w:tcPr>
                  <w:p>
                    <w:pPr>
                      <w:adjustRightInd w:val="0"/>
                      <w:snapToGrid w:val="0"/>
                      <w:ind w:right="-63" w:rightChars="-30"/>
                      <w:rPr>
                        <w:rFonts w:asciiTheme="minorEastAsia" w:hAnsiTheme="minorEastAsia" w:eastAsiaTheme="minorEastAsia"/>
                        <w:kern w:val="2"/>
                        <w:szCs w:val="21"/>
                      </w:rPr>
                    </w:pPr>
                    <w:r>
                      <w:rPr>
                        <w:rFonts w:asciiTheme="minorEastAsia" w:hAnsiTheme="minorEastAsia" w:eastAsiaTheme="minorEastAsia"/>
                      </w:rPr>
                      <w:t>应付票据</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13,750.00</w:t>
                    </w:r>
                  </w:p>
                </w:tc>
                <w:tc>
                  <w:tcPr>
                    <w:tcW w:w="1562"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43" w:type="dxa"/>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13,750.00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4" w:space="0"/>
                      <w:right w:val="single" w:color="auto" w:sz="4" w:space="0"/>
                    </w:tcBorders>
                    <w:vAlign w:val="center"/>
                  </w:tcPr>
                  <w:p>
                    <w:pPr>
                      <w:adjustRightInd w:val="0"/>
                      <w:snapToGrid w:val="0"/>
                      <w:ind w:right="-63" w:rightChars="-30"/>
                      <w:rPr>
                        <w:rFonts w:asciiTheme="minorEastAsia" w:hAnsiTheme="minorEastAsia" w:eastAsiaTheme="minorEastAsia"/>
                        <w:kern w:val="2"/>
                        <w:szCs w:val="21"/>
                      </w:rPr>
                    </w:pPr>
                    <w:r>
                      <w:rPr>
                        <w:rFonts w:asciiTheme="minorEastAsia" w:hAnsiTheme="minorEastAsia" w:eastAsiaTheme="minorEastAsia"/>
                      </w:rPr>
                      <w:t>应付款项</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104,130.43</w:t>
                    </w:r>
                  </w:p>
                </w:tc>
                <w:tc>
                  <w:tcPr>
                    <w:tcW w:w="1562"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43" w:type="dxa"/>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104,130.43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4" w:space="0"/>
                      <w:right w:val="single" w:color="auto" w:sz="4" w:space="0"/>
                    </w:tcBorders>
                    <w:vAlign w:val="center"/>
                  </w:tcPr>
                  <w:p>
                    <w:pPr>
                      <w:adjustRightInd w:val="0"/>
                      <w:snapToGrid w:val="0"/>
                      <w:ind w:right="-63" w:rightChars="-30"/>
                      <w:rPr>
                        <w:rFonts w:asciiTheme="minorEastAsia" w:hAnsiTheme="minorEastAsia" w:eastAsiaTheme="minorEastAsia"/>
                        <w:kern w:val="2"/>
                        <w:szCs w:val="21"/>
                      </w:rPr>
                    </w:pPr>
                    <w:r>
                      <w:rPr>
                        <w:rFonts w:asciiTheme="minorEastAsia" w:hAnsiTheme="minorEastAsia" w:eastAsiaTheme="minorEastAsia"/>
                      </w:rPr>
                      <w:t>其他应付款</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65,132.16</w:t>
                    </w:r>
                  </w:p>
                </w:tc>
                <w:tc>
                  <w:tcPr>
                    <w:tcW w:w="1562"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p>
                </w:tc>
                <w:tc>
                  <w:tcPr>
                    <w:tcW w:w="1943" w:type="dxa"/>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65,132.16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4" w:space="0"/>
                      <w:right w:val="single" w:color="auto" w:sz="4" w:space="0"/>
                    </w:tcBorders>
                    <w:vAlign w:val="center"/>
                  </w:tcPr>
                  <w:p>
                    <w:pPr>
                      <w:adjustRightInd w:val="0"/>
                      <w:snapToGrid w:val="0"/>
                      <w:ind w:right="-63" w:rightChars="-30"/>
                      <w:rPr>
                        <w:rFonts w:asciiTheme="minorEastAsia" w:hAnsiTheme="minorEastAsia" w:eastAsiaTheme="minorEastAsia"/>
                      </w:rPr>
                    </w:pPr>
                    <w:r>
                      <w:rPr>
                        <w:rFonts w:asciiTheme="minorEastAsia" w:hAnsiTheme="minorEastAsia" w:eastAsiaTheme="minorEastAsia"/>
                      </w:rPr>
                      <w:t>租赁负债（含一年内到期）</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rPr>
                    </w:pPr>
                    <w:r>
                      <w:rPr>
                        <w:rFonts w:asciiTheme="minorEastAsia" w:hAnsiTheme="minorEastAsia" w:eastAsiaTheme="minorEastAsia"/>
                      </w:rPr>
                      <w:t>134.00</w:t>
                    </w:r>
                  </w:p>
                </w:tc>
                <w:tc>
                  <w:tcPr>
                    <w:tcW w:w="1562"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225.04</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58.15</w:t>
                    </w:r>
                  </w:p>
                </w:tc>
                <w:tc>
                  <w:tcPr>
                    <w:tcW w:w="1943" w:type="dxa"/>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rPr>
                    </w:pPr>
                    <w:r>
                      <w:rPr>
                        <w:rFonts w:asciiTheme="minorEastAsia" w:hAnsiTheme="minorEastAsia" w:eastAsiaTheme="minorEastAsia"/>
                      </w:rPr>
                      <w:t>417.19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4" w:space="0"/>
                      <w:right w:val="single" w:color="auto" w:sz="4" w:space="0"/>
                    </w:tcBorders>
                    <w:vAlign w:val="center"/>
                  </w:tcPr>
                  <w:p>
                    <w:pPr>
                      <w:adjustRightInd w:val="0"/>
                      <w:snapToGrid w:val="0"/>
                      <w:ind w:right="-63" w:rightChars="-30"/>
                      <w:rPr>
                        <w:rFonts w:asciiTheme="minorEastAsia" w:hAnsiTheme="minorEastAsia" w:eastAsiaTheme="minorEastAsia"/>
                        <w:kern w:val="2"/>
                        <w:szCs w:val="21"/>
                      </w:rPr>
                    </w:pPr>
                    <w:r>
                      <w:rPr>
                        <w:rFonts w:asciiTheme="minorEastAsia" w:hAnsiTheme="minorEastAsia" w:eastAsiaTheme="minorEastAsia"/>
                      </w:rPr>
                      <w:t>长期借款</w:t>
                    </w:r>
                  </w:p>
                </w:tc>
                <w:tc>
                  <w:tcPr>
                    <w:tcW w:w="1700"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44,112.89</w:t>
                    </w:r>
                  </w:p>
                </w:tc>
                <w:tc>
                  <w:tcPr>
                    <w:tcW w:w="1562"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141,718.46</w:t>
                    </w:r>
                  </w:p>
                </w:tc>
                <w:tc>
                  <w:tcPr>
                    <w:tcW w:w="1939" w:type="dxa"/>
                    <w:tcBorders>
                      <w:top w:val="single" w:color="auto" w:sz="4" w:space="0"/>
                      <w:left w:val="single" w:color="auto" w:sz="4" w:space="0"/>
                      <w:bottom w:val="single" w:color="auto" w:sz="4"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123,058.57</w:t>
                    </w:r>
                  </w:p>
                </w:tc>
                <w:tc>
                  <w:tcPr>
                    <w:tcW w:w="1943" w:type="dxa"/>
                    <w:tcBorders>
                      <w:top w:val="single" w:color="auto" w:sz="4" w:space="0"/>
                      <w:left w:val="single" w:color="auto" w:sz="4" w:space="0"/>
                      <w:bottom w:val="single" w:color="auto" w:sz="4"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308,889.92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12" w:space="0"/>
                      <w:right w:val="single" w:color="auto" w:sz="4" w:space="0"/>
                    </w:tcBorders>
                    <w:vAlign w:val="center"/>
                  </w:tcPr>
                  <w:p>
                    <w:pPr>
                      <w:adjustRightInd w:val="0"/>
                      <w:snapToGrid w:val="0"/>
                      <w:ind w:left="-63" w:leftChars="-30" w:right="-63" w:rightChars="-30"/>
                      <w:jc w:val="center"/>
                      <w:rPr>
                        <w:rFonts w:asciiTheme="minorEastAsia" w:hAnsiTheme="minorEastAsia" w:eastAsiaTheme="minorEastAsia"/>
                      </w:rPr>
                    </w:pPr>
                    <w:r>
                      <w:rPr>
                        <w:rFonts w:hint="eastAsia" w:asciiTheme="minorEastAsia" w:hAnsiTheme="minorEastAsia" w:eastAsiaTheme="minorEastAsia"/>
                      </w:rPr>
                      <w:t>关联方担保</w:t>
                    </w:r>
                  </w:p>
                </w:tc>
                <w:tc>
                  <w:tcPr>
                    <w:tcW w:w="1700" w:type="dxa"/>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rPr>
                    </w:pPr>
                  </w:p>
                </w:tc>
                <w:tc>
                  <w:tcPr>
                    <w:tcW w:w="1562" w:type="dxa"/>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rPr>
                    </w:pPr>
                  </w:p>
                </w:tc>
                <w:tc>
                  <w:tcPr>
                    <w:tcW w:w="1939" w:type="dxa"/>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rPr>
                    </w:pPr>
                    <w:r>
                      <w:rPr>
                        <w:rFonts w:hint="eastAsia" w:asciiTheme="minorEastAsia" w:hAnsiTheme="minorEastAsia" w:eastAsiaTheme="minorEastAsia"/>
                      </w:rPr>
                      <w:t>211,528.62</w:t>
                    </w:r>
                  </w:p>
                </w:tc>
                <w:tc>
                  <w:tcPr>
                    <w:tcW w:w="1943" w:type="dxa"/>
                    <w:tcBorders>
                      <w:top w:val="single" w:color="auto" w:sz="4" w:space="0"/>
                      <w:left w:val="single" w:color="auto" w:sz="4" w:space="0"/>
                      <w:bottom w:val="single" w:color="auto" w:sz="12" w:space="0"/>
                      <w:right w:val="nil"/>
                    </w:tcBorders>
                    <w:vAlign w:val="center"/>
                  </w:tcPr>
                  <w:p>
                    <w:pPr>
                      <w:snapToGrid w:val="0"/>
                      <w:jc w:val="right"/>
                      <w:rPr>
                        <w:rFonts w:asciiTheme="minorEastAsia" w:hAnsiTheme="minorEastAsia" w:eastAsiaTheme="minorEastAsia"/>
                      </w:rPr>
                    </w:pPr>
                    <w:r>
                      <w:rPr>
                        <w:rFonts w:asciiTheme="minorEastAsia" w:hAnsiTheme="minorEastAsia" w:eastAsiaTheme="minorEastAsia"/>
                      </w:rPr>
                      <w:t>211,528.62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4" w:type="dxa"/>
                    <w:tcBorders>
                      <w:top w:val="single" w:color="auto" w:sz="4" w:space="0"/>
                      <w:left w:val="nil"/>
                      <w:bottom w:val="single" w:color="auto" w:sz="12" w:space="0"/>
                      <w:right w:val="single" w:color="auto" w:sz="4" w:space="0"/>
                    </w:tcBorders>
                    <w:vAlign w:val="center"/>
                  </w:tcPr>
                  <w:p>
                    <w:pPr>
                      <w:adjustRightInd w:val="0"/>
                      <w:snapToGrid w:val="0"/>
                      <w:ind w:left="-63" w:leftChars="-30" w:right="-63" w:rightChars="-30"/>
                      <w:jc w:val="center"/>
                      <w:rPr>
                        <w:rFonts w:asciiTheme="minorEastAsia" w:hAnsiTheme="minorEastAsia" w:eastAsiaTheme="minorEastAsia"/>
                        <w:kern w:val="2"/>
                        <w:szCs w:val="21"/>
                      </w:rPr>
                    </w:pPr>
                    <w:r>
                      <w:rPr>
                        <w:rFonts w:asciiTheme="minorEastAsia" w:hAnsiTheme="minorEastAsia" w:eastAsiaTheme="minorEastAsia"/>
                      </w:rPr>
                      <w:t>合计</w:t>
                    </w:r>
                  </w:p>
                </w:tc>
                <w:tc>
                  <w:tcPr>
                    <w:tcW w:w="1700" w:type="dxa"/>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228,659.48</w:t>
                    </w:r>
                  </w:p>
                </w:tc>
                <w:tc>
                  <w:tcPr>
                    <w:tcW w:w="1562" w:type="dxa"/>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141,943.50</w:t>
                    </w:r>
                  </w:p>
                </w:tc>
                <w:tc>
                  <w:tcPr>
                    <w:tcW w:w="1939" w:type="dxa"/>
                    <w:tcBorders>
                      <w:top w:val="single" w:color="auto" w:sz="4" w:space="0"/>
                      <w:left w:val="single" w:color="auto" w:sz="4" w:space="0"/>
                      <w:bottom w:val="single" w:color="auto" w:sz="12" w:space="0"/>
                      <w:right w:val="single" w:color="auto" w:sz="4" w:space="0"/>
                    </w:tcBorders>
                    <w:vAlign w:val="center"/>
                  </w:tcPr>
                  <w:p>
                    <w:pPr>
                      <w:snapToGrid w:val="0"/>
                      <w:jc w:val="right"/>
                      <w:rPr>
                        <w:rFonts w:asciiTheme="minorEastAsia" w:hAnsiTheme="minorEastAsia" w:eastAsiaTheme="minorEastAsia"/>
                        <w:kern w:val="2"/>
                        <w:szCs w:val="21"/>
                      </w:rPr>
                    </w:pPr>
                    <w:r>
                      <w:rPr>
                        <w:rFonts w:hint="eastAsia" w:asciiTheme="minorEastAsia" w:hAnsiTheme="minorEastAsia" w:eastAsiaTheme="minorEastAsia"/>
                      </w:rPr>
                      <w:t>334,645.34</w:t>
                    </w:r>
                  </w:p>
                </w:tc>
                <w:tc>
                  <w:tcPr>
                    <w:tcW w:w="1943" w:type="dxa"/>
                    <w:tcBorders>
                      <w:top w:val="single" w:color="auto" w:sz="4" w:space="0"/>
                      <w:left w:val="single" w:color="auto" w:sz="4" w:space="0"/>
                      <w:bottom w:val="single" w:color="auto" w:sz="12" w:space="0"/>
                      <w:right w:val="nil"/>
                    </w:tcBorders>
                    <w:vAlign w:val="center"/>
                  </w:tcPr>
                  <w:p>
                    <w:pPr>
                      <w:snapToGrid w:val="0"/>
                      <w:jc w:val="right"/>
                      <w:rPr>
                        <w:rFonts w:asciiTheme="minorEastAsia" w:hAnsiTheme="minorEastAsia" w:eastAsiaTheme="minorEastAsia"/>
                        <w:kern w:val="2"/>
                        <w:szCs w:val="21"/>
                      </w:rPr>
                    </w:pPr>
                    <w:r>
                      <w:rPr>
                        <w:rFonts w:asciiTheme="minorEastAsia" w:hAnsiTheme="minorEastAsia" w:eastAsiaTheme="minorEastAsia"/>
                      </w:rPr>
                      <w:t>705,248.32</w:t>
                    </w:r>
                  </w:p>
                </w:tc>
              </w:tr>
            </w:tbl>
            <w:p/>
            <w:p>
              <w:pPr>
                <w:pStyle w:val="198"/>
                <w:widowControl w:val="0"/>
                <w:numPr>
                  <w:ilvl w:val="1"/>
                  <w:numId w:val="119"/>
                </w:numPr>
                <w:snapToGrid w:val="0"/>
                <w:spacing w:beforeLines="0" w:afterLines="0"/>
                <w:ind w:left="845"/>
                <w:jc w:val="both"/>
                <w:outlineLvl w:val="2"/>
              </w:pPr>
              <w:r>
                <w:rPr>
                  <w:rFonts w:hint="eastAsia" w:ascii="宋体" w:hAnsi="宋体"/>
                </w:rPr>
                <w:t>市场风险</w:t>
              </w:r>
            </w:p>
            <w:p>
              <w:pPr>
                <w:pStyle w:val="197"/>
                <w:widowControl w:val="0"/>
                <w:numPr>
                  <w:ilvl w:val="0"/>
                  <w:numId w:val="120"/>
                </w:numPr>
                <w:spacing w:before="0" w:beforeAutospacing="0" w:after="0" w:afterAutospacing="0" w:line="360" w:lineRule="auto"/>
                <w:ind w:leftChars="0"/>
                <w:jc w:val="both"/>
                <w:outlineLvl w:val="3"/>
                <w:rPr>
                  <w:rFonts w:cs="Arial" w:asciiTheme="minorEastAsia" w:hAnsiTheme="minorEastAsia" w:eastAsiaTheme="minorEastAsia"/>
                  <w:b/>
                </w:rPr>
              </w:pPr>
              <w:r>
                <w:rPr>
                  <w:rFonts w:cs="Arial" w:asciiTheme="minorEastAsia" w:hAnsiTheme="minorEastAsia" w:eastAsiaTheme="minorEastAsia"/>
                  <w:b/>
                </w:rPr>
                <w:t>汇率风险</w:t>
              </w:r>
            </w:p>
            <w:p>
              <w:pPr>
                <w:adjustRightInd w:val="0"/>
                <w:snapToGrid w:val="0"/>
                <w:spacing w:line="360" w:lineRule="auto"/>
                <w:ind w:firstLine="420" w:firstLineChars="200"/>
                <w:rPr>
                  <w:rFonts w:cs="Times New Roman" w:asciiTheme="minorEastAsia" w:hAnsiTheme="minorEastAsia" w:eastAsiaTheme="minorEastAsia"/>
                </w:rPr>
              </w:pPr>
              <w:r>
                <w:rPr>
                  <w:rFonts w:asciiTheme="minorEastAsia" w:hAnsiTheme="minorEastAsia" w:eastAsiaTheme="minorEastAsia"/>
                </w:rPr>
                <w:t>本公司的主要经营位于中国境内，主要业务以人民币结算。但本公司已确认的外币资产和负债及未来的外币交易（外币资产和负债及外币交易的计价货币主要为美元和卢布）依然存在汇率风险。</w:t>
              </w:r>
            </w:p>
            <w:p>
              <w:pPr>
                <w:widowControl w:val="0"/>
                <w:adjustRightInd w:val="0"/>
                <w:snapToGrid w:val="0"/>
                <w:spacing w:line="360" w:lineRule="auto"/>
                <w:ind w:firstLine="420" w:firstLineChars="200"/>
                <w:jc w:val="both"/>
                <w:rPr>
                  <w:rFonts w:asciiTheme="minorEastAsia" w:hAnsiTheme="minorEastAsia" w:eastAsiaTheme="minorEastAsia"/>
                </w:rPr>
              </w:pPr>
              <w:r>
                <w:rPr>
                  <w:rFonts w:asciiTheme="minorEastAsia" w:hAnsiTheme="minorEastAsia" w:eastAsiaTheme="minorEastAsia"/>
                </w:rPr>
                <w:t>截至2021年12月31日，公司期末外币货币性资产和负债情况见本财务报表</w:t>
              </w:r>
              <w:r>
                <w:rPr>
                  <w:rFonts w:hint="eastAsia" w:asciiTheme="minorEastAsia" w:hAnsiTheme="minorEastAsia" w:eastAsiaTheme="minorEastAsia"/>
                </w:rPr>
                <w:t>第十节财务报告七、82</w:t>
              </w:r>
              <w:r>
                <w:rPr>
                  <w:rFonts w:asciiTheme="minorEastAsia" w:hAnsiTheme="minorEastAsia" w:eastAsiaTheme="minorEastAsia"/>
                </w:rPr>
                <w:t>外币货币性项目。</w:t>
              </w:r>
            </w:p>
            <w:p>
              <w:pPr>
                <w:pStyle w:val="197"/>
                <w:widowControl w:val="0"/>
                <w:numPr>
                  <w:ilvl w:val="0"/>
                  <w:numId w:val="120"/>
                </w:numPr>
                <w:spacing w:before="0" w:beforeAutospacing="0" w:after="0" w:afterAutospacing="0" w:line="360" w:lineRule="auto"/>
                <w:ind w:left="0" w:leftChars="0" w:firstLine="420"/>
                <w:jc w:val="both"/>
                <w:outlineLvl w:val="3"/>
                <w:rPr>
                  <w:rFonts w:cs="Arial" w:asciiTheme="minorEastAsia" w:hAnsiTheme="minorEastAsia" w:eastAsiaTheme="minorEastAsia"/>
                  <w:b/>
                </w:rPr>
              </w:pPr>
              <w:r>
                <w:rPr>
                  <w:rFonts w:cs="Arial" w:asciiTheme="minorEastAsia" w:hAnsiTheme="minorEastAsia" w:eastAsiaTheme="minorEastAsia"/>
                  <w:b/>
                </w:rPr>
                <w:t>利率风险</w:t>
              </w:r>
            </w:p>
            <w:p>
              <w:pPr>
                <w:widowControl w:val="0"/>
                <w:adjustRightInd w:val="0"/>
                <w:snapToGrid w:val="0"/>
                <w:spacing w:line="360" w:lineRule="auto"/>
                <w:ind w:firstLine="420" w:firstLineChars="200"/>
                <w:jc w:val="both"/>
                <w:rPr>
                  <w:rFonts w:cs="Times New Roman" w:asciiTheme="minorEastAsia" w:hAnsiTheme="minorEastAsia" w:eastAsiaTheme="minorEastAsia"/>
                </w:rPr>
              </w:pPr>
              <w:r>
                <w:rPr>
                  <w:rFonts w:asciiTheme="minorEastAsia" w:hAnsiTheme="minorEastAsia" w:eastAsiaTheme="minorEastAsia"/>
                </w:rPr>
                <w:t>本公司的利率风险主要产生于银行借款等。浮动利率的金融负债使本公司面临现金流量利率风险，固定利率的金融负债使本公司面临公允价值利率风险。本公司认为公允价值变动风险并不重大，本公司目前并无利率对冲的政策。</w:t>
              </w:r>
            </w:p>
            <w:p>
              <w:pPr>
                <w:widowControl w:val="0"/>
                <w:adjustRightInd w:val="0"/>
                <w:snapToGrid w:val="0"/>
                <w:spacing w:line="360" w:lineRule="auto"/>
                <w:ind w:firstLine="420" w:firstLineChars="200"/>
                <w:jc w:val="both"/>
                <w:rPr>
                  <w:rFonts w:ascii="Arial Narrow" w:hAnsi="Arial Narrow"/>
                </w:rPr>
              </w:pPr>
              <w:r>
                <w:rPr>
                  <w:rFonts w:asciiTheme="minorEastAsia" w:hAnsiTheme="minorEastAsia" w:eastAsiaTheme="minorEastAsia"/>
                </w:rPr>
                <w:t>截至2021年12月31日，如果以浮动利率计算的借款利率上升或下降50个基点，而其他因素保持不变，本公司的净利润会减少或增加约1,551.45万元（2020年度约</w:t>
              </w:r>
              <w:r>
                <w:rPr>
                  <w:rFonts w:hint="eastAsia" w:asciiTheme="minorEastAsia" w:hAnsiTheme="minorEastAsia" w:eastAsiaTheme="minorEastAsia"/>
                </w:rPr>
                <w:t>1,935.37万元</w:t>
              </w:r>
              <w:r>
                <w:rPr>
                  <w:rFonts w:asciiTheme="minorEastAsia" w:hAnsiTheme="minorEastAsia" w:eastAsiaTheme="minorEastAsia"/>
                </w:rPr>
                <w:t>）</w:t>
              </w:r>
              <w:r>
                <w:t>。</w:t>
              </w:r>
            </w:p>
          </w:sdtContent>
        </w:sdt>
        <w:p>
          <w:pPr>
            <w:rPr>
              <w:color w:val="808080"/>
              <w:szCs w:val="21"/>
            </w:rPr>
          </w:pPr>
        </w:p>
      </w:sdtContent>
    </w:sdt>
    <w:p>
      <w:pPr>
        <w:pStyle w:val="113"/>
        <w:numPr>
          <w:ilvl w:val="0"/>
          <w:numId w:val="49"/>
        </w:numPr>
        <w:rPr>
          <w:rFonts w:ascii="宋体" w:hAnsi="宋体"/>
        </w:rPr>
      </w:pPr>
      <w:r>
        <w:rPr>
          <w:rFonts w:hint="eastAsia" w:ascii="宋体" w:hAnsi="宋体"/>
        </w:rPr>
        <w:t>公允价值的披露</w:t>
      </w:r>
    </w:p>
    <w:sdt>
      <w:sdtPr>
        <w:rPr>
          <w:rFonts w:ascii="宋体" w:hAnsi="宋体" w:cs="宋体"/>
          <w:b w:val="0"/>
          <w:bCs w:val="0"/>
          <w:kern w:val="0"/>
          <w:szCs w:val="24"/>
        </w:rPr>
        <w:alias w:val="模块:"/>
        <w:tag w:val="_SEC_c2e6f9f8026e4755b0d598a62dfd0d45"/>
        <w:id w:val="1220007292"/>
        <w:lock w:val="sdtLocked"/>
        <w:placeholder>
          <w:docPart w:val="GBC22222222222222222222222222222"/>
        </w:placeholder>
      </w:sdtPr>
      <w:sdtEndPr>
        <w:rPr>
          <w:rFonts w:ascii="宋体" w:hAnsi="宋体" w:cs="宋体"/>
          <w:b w:val="0"/>
          <w:bCs w:val="0"/>
          <w:kern w:val="0"/>
          <w:szCs w:val="24"/>
        </w:rPr>
      </w:sdtEndPr>
      <w:sdtContent>
        <w:p>
          <w:pPr>
            <w:pStyle w:val="114"/>
            <w:numPr>
              <w:ilvl w:val="0"/>
              <w:numId w:val="121"/>
            </w:numPr>
          </w:pPr>
          <w:bookmarkStart w:id="222" w:name="_Hlk24030209"/>
          <w:bookmarkStart w:id="223" w:name="_Hlk10539195"/>
          <w:r>
            <w:rPr>
              <w:rFonts w:hint="eastAsia" w:ascii="宋体" w:hAnsi="宋体" w:cs="宋体"/>
              <w:bCs w:val="0"/>
              <w:kern w:val="0"/>
              <w:szCs w:val="24"/>
            </w:rPr>
            <w:t>（1）</w:t>
          </w:r>
          <w:r>
            <w:rPr>
              <w:rFonts w:hint="eastAsia"/>
            </w:rPr>
            <w:t>以公允价值计量的资产和负债的期末公允价值</w:t>
          </w:r>
        </w:p>
        <w:sdt>
          <w:sdtPr>
            <w:alias w:val="是否适用：以公允价值计量的资产和负债的期末公允价值[双击切换]"/>
            <w:tag w:val="_GBC_6fbb4bafbfc548fdbb4a25b91f07bd6a"/>
            <w:id w:val="-114073240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以公允价值计量的资产和负债的期末公允价值"/>
              <w:tag w:val="_GBC_2c45ed0b719e4292b6389023b9ce1031"/>
              <w:id w:val="-16174474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以公允价值计量的资产和负债的期末公允价值"/>
              <w:tag w:val="_GBC_4c0658ced5d64a5f80dc11bb84ac9dbd"/>
              <w:id w:val="-4983493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8"/>
            <w:gridCol w:w="1366"/>
            <w:gridCol w:w="1329"/>
            <w:gridCol w:w="1897"/>
            <w:gridCol w:w="1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sdt>
              <w:sdtPr>
                <w:tag w:val="_PLD_163e93b7c897498dae37bc5c38a11afe"/>
                <w:id w:val="-1127610406"/>
                <w:lock w:val="sdtLocked"/>
              </w:sdtPr>
              <w:sdtContent>
                <w:tc>
                  <w:tcPr>
                    <w:tcW w:w="1195" w:type="pct"/>
                    <w:vMerge w:val="restart"/>
                    <w:tcBorders>
                      <w:top w:val="single" w:color="auto" w:sz="4" w:space="0"/>
                      <w:left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项目</w:t>
                    </w:r>
                  </w:p>
                </w:tc>
              </w:sdtContent>
            </w:sdt>
            <w:sdt>
              <w:sdtPr>
                <w:tag w:val="_PLD_b8bd62f651414617bea8612c55db30ce"/>
                <w:id w:val="-1985531915"/>
                <w:lock w:val="sdtLocked"/>
              </w:sdtPr>
              <w:sdtContent>
                <w:tc>
                  <w:tcPr>
                    <w:tcW w:w="380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期末公允价值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195" w:type="pct"/>
                <w:vMerge w:val="continue"/>
                <w:tcBorders>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p>
            </w:tc>
            <w:sdt>
              <w:sdtPr>
                <w:tag w:val="_PLD_8b204b4b1832494b8312fec08990548b"/>
                <w:id w:val="512039743"/>
                <w:lock w:val="sdtLocked"/>
              </w:sdtPr>
              <w:sdtContent>
                <w:tc>
                  <w:tcPr>
                    <w:tcW w:w="80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第一层次公允价值计量</w:t>
                    </w:r>
                  </w:p>
                </w:tc>
              </w:sdtContent>
            </w:sdt>
            <w:sdt>
              <w:sdtPr>
                <w:tag w:val="_PLD_de23a118a4e8435d9b0e1e2e2e494f30"/>
                <w:id w:val="-1756196829"/>
                <w:lock w:val="sdtLocked"/>
              </w:sdtPr>
              <w:sdtContent>
                <w:tc>
                  <w:tcPr>
                    <w:tcW w:w="7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第二层次公允价值计量</w:t>
                    </w:r>
                  </w:p>
                </w:tc>
              </w:sdtContent>
            </w:sdt>
            <w:sdt>
              <w:sdtPr>
                <w:tag w:val="_PLD_4cb787262d4b4096b0d321ac48721dd2"/>
                <w:id w:val="-84232107"/>
                <w:lock w:val="sdtLocked"/>
              </w:sdtPr>
              <w:sdtContent>
                <w:tc>
                  <w:tcPr>
                    <w:tcW w:w="111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第三层次公允价值计量</w:t>
                    </w:r>
                  </w:p>
                </w:tc>
              </w:sdtContent>
            </w:sdt>
            <w:sdt>
              <w:sdtPr>
                <w:tag w:val="_PLD_fb89c54d0c8e4fe2990587a96b78b5ca"/>
                <w:id w:val="215936052"/>
                <w:lock w:val="sdtLocked"/>
              </w:sdtPr>
              <w:sdtContent>
                <w:tc>
                  <w:tcPr>
                    <w:tcW w:w="111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outlineLvl w:val="2"/>
                      <w:rPr>
                        <w:rFonts w:cs="Cambria"/>
                        <w:szCs w:val="21"/>
                      </w:rPr>
                    </w:pPr>
                    <w:r>
                      <w:rPr>
                        <w:rFonts w:hint="eastAsia" w:cs="Cambria"/>
                        <w:szCs w:val="21"/>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sdt>
              <w:sdtPr>
                <w:tag w:val="_PLD_e49fdea230ef4b0da0cf964b389819eb"/>
                <w:id w:val="96983738"/>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一、持续的公允价值计量</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f82db915b16a4b2899a6b3bfdd4f9c38"/>
                  <w:id w:val="1971864224"/>
                  <w:lock w:val="sdtLocked"/>
                </w:sdtPr>
                <w:sdtEndPr>
                  <w:rPr>
                    <w:rFonts w:hint="eastAsia"/>
                    <w:shd w:val="solid" w:color="FFFFFF" w:fill="auto"/>
                  </w:rPr>
                </w:sdtEndPr>
                <w:sdtContent>
                  <w:p>
                    <w:pPr>
                      <w:outlineLvl w:val="2"/>
                    </w:pPr>
                    <w:r>
                      <w:rPr>
                        <w:rFonts w:hint="eastAsia"/>
                      </w:rPr>
                      <w:t>（一）</w:t>
                    </w:r>
                    <w:r>
                      <w:rPr>
                        <w:rFonts w:hint="eastAsia"/>
                        <w:shd w:val="solid" w:color="FFFFFF" w:fill="auto"/>
                      </w:rPr>
                      <w:t>交易性金融资产</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tag w:val="_PLD_8cc0c5e5643d48d2bba6cb5b17fb8d94"/>
                  <w:id w:val="1401015377"/>
                  <w:lock w:val="sdtLocked"/>
                </w:sdtPr>
                <w:sdtContent>
                  <w:p>
                    <w:pPr>
                      <w:outlineLvl w:val="2"/>
                    </w:pPr>
                    <w:r>
                      <w:t>1.以公允价值计量且变动计入当期损益的金融资产</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4d7769188dcd4c7c8df05e497b03295d"/>
                <w:id w:val="-1230760210"/>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1</w:t>
                    </w:r>
                    <w:r>
                      <w:rPr>
                        <w:rFonts w:hint="eastAsia" w:cs="Cambria"/>
                        <w:szCs w:val="21"/>
                      </w:rPr>
                      <w:t>）债务工具投资</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6d020123248541b497fe0c0712f8e722"/>
                <w:id w:val="-410397125"/>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2</w:t>
                    </w:r>
                    <w:r>
                      <w:rPr>
                        <w:rFonts w:hint="eastAsia" w:cs="Cambria"/>
                        <w:szCs w:val="21"/>
                      </w:rPr>
                      <w:t>）权益工具投资</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5c6de5dc139e4fa8b27c123299927fa0"/>
                <w:id w:val="293415639"/>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3</w:t>
                    </w:r>
                    <w:r>
                      <w:rPr>
                        <w:rFonts w:hint="eastAsia" w:cs="Cambria"/>
                        <w:szCs w:val="21"/>
                      </w:rPr>
                      <w:t>）衍生金融资产</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cs="Cambria"/>
                    <w:szCs w:val="21"/>
                  </w:rPr>
                  <w:tag w:val="_PLD_972e03bea0e746bba61543d32de4d4d9"/>
                  <w:id w:val="-664625658"/>
                  <w:lock w:val="sdtLocked"/>
                </w:sdtPr>
                <w:sdtEndPr>
                  <w:rPr>
                    <w:rFonts w:hint="eastAsia" w:cs="Cambria"/>
                    <w:szCs w:val="21"/>
                  </w:rPr>
                </w:sdtEndPr>
                <w:sdtContent>
                  <w:p>
                    <w:pPr>
                      <w:outlineLvl w:val="2"/>
                      <w:rPr>
                        <w:rFonts w:cs="Cambria"/>
                        <w:szCs w:val="21"/>
                      </w:rPr>
                    </w:pPr>
                    <w:r>
                      <w:rPr>
                        <w:rFonts w:cs="Cambria"/>
                        <w:szCs w:val="21"/>
                      </w:rPr>
                      <w:t xml:space="preserve">2. </w:t>
                    </w:r>
                    <w:r>
                      <w:rPr>
                        <w:rFonts w:hint="eastAsia" w:cs="Cambria"/>
                        <w:szCs w:val="21"/>
                      </w:rPr>
                      <w:t>指定以公允价值计量且其变动计入当期损益的金融资产</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ae29c63764c44046a189418dfeab18ec"/>
                <w:id w:val="-1324047310"/>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1</w:t>
                    </w:r>
                    <w:r>
                      <w:rPr>
                        <w:rFonts w:hint="eastAsia" w:cs="Cambria"/>
                        <w:szCs w:val="21"/>
                      </w:rPr>
                      <w:t>）债务工具投资</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f3278e5971c94432b7eded39bbc3b41c"/>
                <w:id w:val="2036070958"/>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w:t>
                    </w:r>
                    <w:r>
                      <w:rPr>
                        <w:rFonts w:cs="Cambria"/>
                        <w:szCs w:val="21"/>
                      </w:rPr>
                      <w:t>2</w:t>
                    </w:r>
                    <w:r>
                      <w:rPr>
                        <w:rFonts w:hint="eastAsia" w:cs="Cambria"/>
                        <w:szCs w:val="21"/>
                      </w:rPr>
                      <w:t>）权益工具投资</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266c2ca89c8741648af2e0617434a8f6"/>
                  <w:id w:val="425934088"/>
                  <w:lock w:val="sdtLocked"/>
                </w:sdtPr>
                <w:sdtEndPr>
                  <w:rPr>
                    <w:rFonts w:hint="eastAsia"/>
                    <w:shd w:val="solid" w:color="FFFFFF" w:fill="auto"/>
                  </w:rPr>
                </w:sdtEndPr>
                <w:sdtContent>
                  <w:p>
                    <w:pPr>
                      <w:outlineLvl w:val="2"/>
                    </w:pPr>
                    <w:r>
                      <w:rPr>
                        <w:rFonts w:hint="eastAsia"/>
                      </w:rPr>
                      <w:t>（二）</w:t>
                    </w:r>
                    <w:r>
                      <w:rPr>
                        <w:rFonts w:hint="eastAsia"/>
                        <w:shd w:val="solid" w:color="FFFFFF" w:fill="auto"/>
                      </w:rPr>
                      <w:t>其他债权投资</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rPr>
                  <w:tag w:val="_PLD_48dae83294284453b5b29803ac364c49"/>
                  <w:id w:val="-1436292607"/>
                  <w:lock w:val="sdtLocked"/>
                </w:sdtPr>
                <w:sdtEndPr>
                  <w:rPr>
                    <w:rFonts w:hint="eastAsia"/>
                    <w:shd w:val="solid" w:color="FFFFFF" w:fill="auto"/>
                  </w:rPr>
                </w:sdtEndPr>
                <w:sdtContent>
                  <w:p>
                    <w:pPr>
                      <w:outlineLvl w:val="2"/>
                    </w:pPr>
                    <w:r>
                      <w:rPr>
                        <w:rFonts w:hint="eastAsia"/>
                      </w:rPr>
                      <w:t>（三）</w:t>
                    </w:r>
                    <w:r>
                      <w:rPr>
                        <w:rFonts w:hint="eastAsia"/>
                        <w:shd w:val="solid" w:color="FFFFFF" w:fill="auto"/>
                      </w:rPr>
                      <w:t>其他权益工具投资</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5,967,097.69</w:t>
                </w:r>
              </w:p>
            </w:tc>
            <w:tc>
              <w:tcPr>
                <w:tcW w:w="111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5,967,097.69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s="Cambria"/>
                    <w:szCs w:val="21"/>
                  </w:rPr>
                  <w:tag w:val="_PLD_acb73a1ad42944619fe34047b4d651e8"/>
                  <w:id w:val="-1885092826"/>
                  <w:lock w:val="sdtLocked"/>
                </w:sdtPr>
                <w:sdtEndPr>
                  <w:rPr>
                    <w:rFonts w:hint="eastAsia" w:cs="Cambria"/>
                    <w:szCs w:val="21"/>
                    <w:shd w:val="solid" w:color="FFFFFF" w:fill="auto"/>
                  </w:rPr>
                </w:sdtEndPr>
                <w:sdtContent>
                  <w:p>
                    <w:pPr>
                      <w:outlineLvl w:val="2"/>
                      <w:rPr>
                        <w:rFonts w:cs="Cambria"/>
                        <w:szCs w:val="21"/>
                      </w:rPr>
                    </w:pPr>
                    <w:r>
                      <w:rPr>
                        <w:rFonts w:hint="eastAsia" w:cs="Cambria"/>
                        <w:szCs w:val="21"/>
                      </w:rPr>
                      <w:t>（四）</w:t>
                    </w:r>
                    <w:r>
                      <w:rPr>
                        <w:rFonts w:hint="eastAsia" w:cs="Cambria"/>
                        <w:szCs w:val="21"/>
                        <w:shd w:val="solid" w:color="FFFFFF" w:fill="auto"/>
                      </w:rPr>
                      <w:t>投资性房地产</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3,199,673,400.00</w:t>
                </w:r>
              </w:p>
            </w:tc>
            <w:tc>
              <w:tcPr>
                <w:tcW w:w="111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3,199,673,400.00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b66f736c06194bd98411f07092155516"/>
                <w:id w:val="1166209615"/>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1.</w:t>
                    </w:r>
                    <w:r>
                      <w:rPr>
                        <w:rFonts w:hint="eastAsia" w:cs="Cambria"/>
                        <w:szCs w:val="21"/>
                      </w:rPr>
                      <w:t>出租用的土地使用权</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bfcce1b42b274af2b3b32ebc29ea315b"/>
                <w:id w:val="789705657"/>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2.</w:t>
                    </w:r>
                    <w:r>
                      <w:rPr>
                        <w:rFonts w:hint="eastAsia" w:cs="Cambria"/>
                        <w:szCs w:val="21"/>
                      </w:rPr>
                      <w:t>出租的建筑物</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tag w:val="_PLD_a8730f331c814080932f692c9a71fecb"/>
                <w:id w:val="1792465739"/>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3.</w:t>
                    </w:r>
                    <w:r>
                      <w:rPr>
                        <w:rFonts w:hint="eastAsia" w:cs="Cambria"/>
                        <w:szCs w:val="21"/>
                      </w:rPr>
                      <w:t>持有并准备增值后转让的土地使用权</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s="Cambria"/>
                    <w:szCs w:val="21"/>
                  </w:rPr>
                  <w:tag w:val="_PLD_e9c4c9fa7647482182a0267ec9cc21bf"/>
                  <w:id w:val="832729925"/>
                  <w:lock w:val="sdtLocked"/>
                </w:sdtPr>
                <w:sdtEndPr>
                  <w:rPr>
                    <w:rFonts w:hint="eastAsia" w:cs="Cambria"/>
                    <w:szCs w:val="21"/>
                    <w:shd w:val="solid" w:color="FFFFFF" w:fill="auto"/>
                  </w:rPr>
                </w:sdtEndPr>
                <w:sdtContent>
                  <w:p>
                    <w:pPr>
                      <w:outlineLvl w:val="2"/>
                      <w:rPr>
                        <w:rFonts w:cs="Cambria"/>
                        <w:szCs w:val="21"/>
                      </w:rPr>
                    </w:pPr>
                    <w:r>
                      <w:rPr>
                        <w:rFonts w:hint="eastAsia" w:cs="Cambria"/>
                        <w:szCs w:val="21"/>
                      </w:rPr>
                      <w:t>（五）</w:t>
                    </w:r>
                    <w:r>
                      <w:rPr>
                        <w:rFonts w:hint="eastAsia" w:cs="Cambria"/>
                        <w:szCs w:val="21"/>
                        <w:shd w:val="solid" w:color="FFFFFF" w:fill="auto"/>
                      </w:rPr>
                      <w:t>生物资产</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5e685393939a40609058af0b583b7e1d"/>
                <w:id w:val="-1953158403"/>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1.</w:t>
                    </w:r>
                    <w:r>
                      <w:rPr>
                        <w:rFonts w:hint="eastAsia" w:cs="Cambria"/>
                        <w:szCs w:val="21"/>
                      </w:rPr>
                      <w:t>消耗性生物资产</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2834b6ebaefb4889beb6a38ba25ca38f"/>
                <w:id w:val="-2015214484"/>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cs="Cambria"/>
                        <w:szCs w:val="21"/>
                      </w:rPr>
                      <w:t>2.</w:t>
                    </w:r>
                    <w:r>
                      <w:rPr>
                        <w:rFonts w:hint="eastAsia" w:cs="Cambria"/>
                        <w:szCs w:val="21"/>
                      </w:rPr>
                      <w:t>生产性生物资产</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tag w:val="_PLD_4c7c69ac72c0449cb781fcf42a2b9e63"/>
                <w:id w:val="858546001"/>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持续以公允价值计量的资产总额</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3,205,640,497.69</w:t>
                </w:r>
              </w:p>
            </w:tc>
            <w:tc>
              <w:tcPr>
                <w:tcW w:w="1113"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Cs w:val="21"/>
                  </w:rPr>
                </w:pPr>
                <w:r>
                  <w:rPr>
                    <w:rFonts w:asciiTheme="minorEastAsia" w:hAnsiTheme="minorEastAsia" w:eastAsiaTheme="minorEastAsia"/>
                    <w:szCs w:val="21"/>
                  </w:rPr>
                  <w:t>3,205,640,497.69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hint="eastAsia" w:cs="Cambria"/>
                    <w:szCs w:val="21"/>
                  </w:rPr>
                  <w:tag w:val="_PLD_f3a68c183c2048ee9d182e3250db3dc1"/>
                  <w:id w:val="119356731"/>
                  <w:lock w:val="sdtLocked"/>
                </w:sdtPr>
                <w:sdtEndPr>
                  <w:rPr>
                    <w:rFonts w:hint="eastAsia" w:cs="Cambria"/>
                    <w:szCs w:val="21"/>
                    <w:shd w:val="solid" w:color="FFFFFF" w:fill="auto"/>
                  </w:rPr>
                </w:sdtEndPr>
                <w:sdtContent>
                  <w:p>
                    <w:pPr>
                      <w:outlineLvl w:val="2"/>
                      <w:rPr>
                        <w:rFonts w:cs="Cambria"/>
                        <w:szCs w:val="21"/>
                      </w:rPr>
                    </w:pPr>
                    <w:r>
                      <w:rPr>
                        <w:rFonts w:hint="eastAsia" w:cs="Cambria"/>
                        <w:szCs w:val="21"/>
                      </w:rPr>
                      <w:t>（六）</w:t>
                    </w:r>
                    <w:r>
                      <w:rPr>
                        <w:rFonts w:hint="eastAsia" w:cs="Cambria"/>
                        <w:szCs w:val="21"/>
                        <w:shd w:val="solid" w:color="FFFFFF" w:fill="auto"/>
                      </w:rPr>
                      <w:t>交易性金融负债</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sdt>
                <w:sdtPr>
                  <w:rPr>
                    <w:rFonts w:cs="Cambria"/>
                    <w:szCs w:val="21"/>
                  </w:rPr>
                  <w:tag w:val="_PLD_69b42d614c9c40bfb60714b8e1e9b78b"/>
                  <w:id w:val="1605758982"/>
                  <w:lock w:val="sdtLocked"/>
                </w:sdtPr>
                <w:sdtEndPr>
                  <w:rPr>
                    <w:rFonts w:cs="Cambria"/>
                    <w:szCs w:val="21"/>
                  </w:rPr>
                </w:sdtEndPr>
                <w:sdtContent>
                  <w:p>
                    <w:pPr>
                      <w:outlineLvl w:val="2"/>
                      <w:rPr>
                        <w:rFonts w:cs="Cambria"/>
                        <w:szCs w:val="21"/>
                      </w:rPr>
                    </w:pPr>
                    <w:r>
                      <w:rPr>
                        <w:rFonts w:cs="Cambria"/>
                        <w:szCs w:val="21"/>
                      </w:rPr>
                      <w:t>1.以公允价值计量且变动计入当期损益的金融负债</w:t>
                    </w:r>
                  </w:p>
                </w:sdtContent>
              </w:sdt>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437a55be492044b6bbc13cc4f7a3e1c8"/>
                <w:id w:val="1886515402"/>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其中：发行的交易性债券</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sdt>
              <w:sdtPr>
                <w:tag w:val="_PLD_fb7a31e6724f445da1ca76cad7164c6b"/>
                <w:id w:val="-327289400"/>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rPr>
                        <w:rFonts w:cs="Cambria"/>
                        <w:szCs w:val="21"/>
                      </w:rPr>
                    </w:pPr>
                    <w:r>
                      <w:rPr>
                        <w:rFonts w:hint="eastAsia" w:cs="Cambria"/>
                        <w:szCs w:val="21"/>
                      </w:rPr>
                      <w:t>衍生金融负债</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5cdaea850a7f43b4825235eb81a29e58"/>
                <w:id w:val="2047951868"/>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tabs>
                        <w:tab w:val="left" w:pos="432"/>
                        <w:tab w:val="center" w:pos="5630"/>
                        <w:tab w:val="center" w:pos="7430"/>
                      </w:tabs>
                      <w:rPr>
                        <w:rFonts w:cs="Cambria"/>
                        <w:szCs w:val="21"/>
                      </w:rPr>
                    </w:pPr>
                    <w:r>
                      <w:rPr>
                        <w:rFonts w:hint="eastAsia" w:cs="Cambria"/>
                        <w:szCs w:val="21"/>
                      </w:rPr>
                      <w:t>其他</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sdt>
                  <w:sdtPr>
                    <w:rPr>
                      <w:rFonts w:hint="eastAsia" w:cs="Cambria"/>
                      <w:szCs w:val="21"/>
                    </w:rPr>
                    <w:tag w:val="_PLD_71d29e00429842e89dcaae5044b2777e"/>
                    <w:id w:val="1656183935"/>
                    <w:lock w:val="sdtLocked"/>
                  </w:sdtPr>
                  <w:sdtEndPr>
                    <w:rPr>
                      <w:rFonts w:hint="eastAsia" w:cs="Cambria"/>
                      <w:szCs w:val="21"/>
                    </w:rPr>
                  </w:sdtEndPr>
                  <w:sdtContent>
                    <w:r>
                      <w:rPr>
                        <w:rFonts w:hint="eastAsia" w:cs="Cambria"/>
                        <w:szCs w:val="21"/>
                      </w:rPr>
                      <w:t>2.指定为以公允价值计量且变动计入当期损益的金融负债</w:t>
                    </w:r>
                  </w:sdtContent>
                </w:sdt>
              </w:p>
            </w:tc>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tag w:val="_PLD_dee064280d7f4ce987d1217b5a2d835e"/>
                <w:id w:val="1611774430"/>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持续以公允价值计量的负债总额</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tabs>
                    <w:tab w:val="center" w:pos="824"/>
                    <w:tab w:val="right" w:pos="1649"/>
                  </w:tabs>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3677c8ec547a41a18a813df278be4892"/>
                <w:id w:val="-664480496"/>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二、非持续的公允价值计量</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sdt>
              <w:sdtPr>
                <w:tag w:val="_PLD_962ee473798b4c4f90e0116bb1c13e3a"/>
                <w:id w:val="786322893"/>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szCs w:val="21"/>
                      </w:rPr>
                    </w:pPr>
                    <w:r>
                      <w:rPr>
                        <w:rFonts w:hint="eastAsia" w:cs="Cambria"/>
                        <w:szCs w:val="21"/>
                      </w:rPr>
                      <w:t>（一）持有待售资产</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sdt>
              <w:sdtPr>
                <w:tag w:val="_PLD_773dc57c83904359ba2f38528b8617fc"/>
                <w:id w:val="1471083614"/>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非持续以公允价值计量的资产总额</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p>
                <w:pPr>
                  <w:jc w:val="right"/>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sdt>
              <w:sdtPr>
                <w:tag w:val="_PLD_6184d0fd90c54a57b4462d57cdb614ce"/>
                <w:id w:val="1190489700"/>
                <w:lock w:val="sdtLocked"/>
              </w:sdtPr>
              <w:sdtContent>
                <w:tc>
                  <w:tcPr>
                    <w:tcW w:w="1195" w:type="pct"/>
                    <w:tcBorders>
                      <w:top w:val="single" w:color="auto" w:sz="4" w:space="0"/>
                      <w:left w:val="single" w:color="auto" w:sz="4" w:space="0"/>
                      <w:bottom w:val="single" w:color="auto" w:sz="4" w:space="0"/>
                      <w:right w:val="single" w:color="auto" w:sz="4" w:space="0"/>
                    </w:tcBorders>
                    <w:shd w:val="clear" w:color="auto" w:fill="auto"/>
                  </w:tcPr>
                  <w:p>
                    <w:pPr>
                      <w:outlineLvl w:val="2"/>
                      <w:rPr>
                        <w:rFonts w:cs="Cambria"/>
                        <w:b/>
                        <w:szCs w:val="21"/>
                      </w:rPr>
                    </w:pPr>
                    <w:r>
                      <w:rPr>
                        <w:rFonts w:hint="eastAsia" w:cs="Cambria"/>
                        <w:b/>
                        <w:szCs w:val="21"/>
                      </w:rPr>
                      <w:t>非持续以公允价值计量的负债总额</w:t>
                    </w:r>
                  </w:p>
                </w:tc>
              </w:sdtContent>
            </w:sdt>
            <w:tc>
              <w:tcPr>
                <w:tcW w:w="801"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779"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2"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c>
              <w:tcPr>
                <w:tcW w:w="1113" w:type="pct"/>
                <w:tcBorders>
                  <w:top w:val="single" w:color="auto" w:sz="4" w:space="0"/>
                  <w:left w:val="single" w:color="auto" w:sz="4" w:space="0"/>
                  <w:bottom w:val="single" w:color="auto" w:sz="4" w:space="0"/>
                  <w:right w:val="single" w:color="auto" w:sz="4" w:space="0"/>
                </w:tcBorders>
              </w:tcPr>
              <w:p>
                <w:pPr>
                  <w:jc w:val="right"/>
                  <w:outlineLvl w:val="2"/>
                  <w:rPr>
                    <w:rFonts w:cs="Cambria" w:asciiTheme="minorEastAsia" w:hAnsiTheme="minorEastAsia" w:eastAsiaTheme="minorEastAsia"/>
                    <w:szCs w:val="21"/>
                  </w:rPr>
                </w:pPr>
              </w:p>
            </w:tc>
          </w:tr>
        </w:tbl>
        <w:p>
          <w:pPr>
            <w:rPr>
              <w:b/>
            </w:rPr>
          </w:pPr>
          <w:r>
            <w:rPr>
              <w:rFonts w:hint="eastAsia"/>
              <w:b/>
            </w:rPr>
            <w:t>（2）以公允价值计量的金融工具</w:t>
          </w:r>
        </w:p>
        <w:p>
          <w:pPr>
            <w:widowControl w:val="0"/>
            <w:adjustRightInd w:val="0"/>
            <w:snapToGrid w:val="0"/>
            <w:spacing w:line="360" w:lineRule="auto"/>
            <w:ind w:firstLine="420" w:firstLineChars="200"/>
            <w:jc w:val="both"/>
          </w:pPr>
          <w:r>
            <w:rPr>
              <w:rFonts w:hint="eastAsia"/>
            </w:rPr>
            <w:t>本公司按公允价值三个层次列示了以公允价值计量的金融资产工具于2021年12月31日的账面价值。公允价值整体归类于三个层次时，依据的是公允价值计量时使用的各重要输入值所属三个层次中的最低层次。三个层次的定义如下：</w:t>
          </w:r>
        </w:p>
        <w:p>
          <w:pPr>
            <w:widowControl w:val="0"/>
            <w:adjustRightInd w:val="0"/>
            <w:snapToGrid w:val="0"/>
            <w:spacing w:line="360" w:lineRule="auto"/>
            <w:ind w:firstLine="420" w:firstLineChars="200"/>
            <w:jc w:val="both"/>
          </w:pPr>
          <w:r>
            <w:rPr>
              <w:rFonts w:hint="eastAsia"/>
            </w:rPr>
            <w:t>第1层次：是在计量日能够取得的相同资产或负债在活跃市场上未经调整的报价；</w:t>
          </w:r>
        </w:p>
        <w:p>
          <w:pPr>
            <w:widowControl w:val="0"/>
            <w:adjustRightInd w:val="0"/>
            <w:snapToGrid w:val="0"/>
            <w:spacing w:line="360" w:lineRule="auto"/>
            <w:ind w:firstLine="420" w:firstLineChars="200"/>
            <w:jc w:val="both"/>
          </w:pPr>
          <w:r>
            <w:rPr>
              <w:rFonts w:hint="eastAsia"/>
            </w:rPr>
            <w:t>第2层次：是除第一层次输入值外相关资产或负债直接或间接可观察的输入值；</w:t>
          </w:r>
        </w:p>
        <w:p>
          <w:pPr>
            <w:widowControl w:val="0"/>
            <w:adjustRightInd w:val="0"/>
            <w:snapToGrid w:val="0"/>
            <w:spacing w:line="360" w:lineRule="auto"/>
            <w:ind w:firstLine="420" w:firstLineChars="200"/>
            <w:jc w:val="both"/>
          </w:pPr>
          <w:r>
            <w:rPr>
              <w:rFonts w:hint="eastAsia"/>
            </w:rPr>
            <w:t>第二层次输入值包括：1）活跃市场中类似资产或负债的报价；2）非活跃市场中相同或类似资产或负债的报价；3）除报价以外的其他可观察输入值，包括在正常报价间隔期间可观察的利率和收益率曲线、隐含波动率和信用利差等；4）市场验证的输入值等。</w:t>
          </w:r>
        </w:p>
        <w:p>
          <w:pPr>
            <w:ind w:firstLine="420" w:firstLineChars="200"/>
          </w:pPr>
          <w:r>
            <w:rPr>
              <w:rFonts w:hint="eastAsia"/>
            </w:rPr>
            <w:t>第3层次：是相关资产或负债的不可观察输入值。</w:t>
          </w:r>
        </w:p>
        <w:p/>
      </w:sdtContent>
    </w:sdt>
    <w:bookmarkEnd w:id="222"/>
    <w:bookmarkEnd w:id="223"/>
    <w:sdt>
      <w:sdtPr>
        <w:rPr>
          <w:rFonts w:hint="eastAsia" w:ascii="宋体" w:hAnsi="宋体" w:cs="Arial"/>
          <w:b w:val="0"/>
          <w:bCs w:val="0"/>
          <w:kern w:val="0"/>
          <w:szCs w:val="21"/>
        </w:rPr>
        <w:alias w:val="模块:持续和非持续第一层次公允价值计量项目市价的确定依据"/>
        <w:tag w:val="_GBC_9cf59ced96b14247921100dffef5784f"/>
        <w:id w:val="-819424071"/>
        <w:lock w:val="sdtLocked"/>
        <w:placeholder>
          <w:docPart w:val="GBC22222222222222222222222222222"/>
        </w:placeholder>
      </w:sdtPr>
      <w:sdtEndPr>
        <w:rPr>
          <w:rFonts w:hint="eastAsia" w:ascii="宋体" w:hAnsi="宋体" w:cs="Cambria"/>
          <w:b/>
          <w:bCs w:val="0"/>
          <w:kern w:val="0"/>
          <w:szCs w:val="21"/>
        </w:rPr>
      </w:sdtEndPr>
      <w:sdtContent>
        <w:p>
          <w:pPr>
            <w:pStyle w:val="114"/>
            <w:numPr>
              <w:ilvl w:val="0"/>
              <w:numId w:val="121"/>
            </w:numPr>
            <w:rPr>
              <w:rFonts w:ascii="宋体" w:hAnsi="宋体" w:cs="Arial"/>
              <w:szCs w:val="21"/>
            </w:rPr>
          </w:pPr>
          <w:r>
            <w:rPr>
              <w:rFonts w:hint="eastAsia" w:ascii="宋体" w:hAnsi="宋体" w:cs="Arial"/>
              <w:szCs w:val="21"/>
            </w:rPr>
            <w:t>持续和非持续第一层次公允价值计量项目市价的确定依据</w:t>
          </w:r>
        </w:p>
        <w:sdt>
          <w:sdtPr>
            <w:rPr>
              <w:rFonts w:hint="eastAsia" w:cs="Arial"/>
              <w:szCs w:val="21"/>
            </w:rPr>
            <w:alias w:val="是否适用：持续和非持续第一层次公允价值计量项目市价的确定依据[双击切换]"/>
            <w:tag w:val="_GBC_fc42dd94906341819da0f825b0c88571"/>
            <w:id w:val="1631283852"/>
            <w:lock w:val="sdtLocked"/>
            <w:placeholder>
              <w:docPart w:val="GBC22222222222222222222222222222"/>
            </w:placeholder>
          </w:sdtPr>
          <w:sdtEndPr>
            <w:rPr>
              <w:rFonts w:hint="eastAsia" w:cs="Arial"/>
              <w:szCs w:val="21"/>
            </w:rPr>
          </w:sdtEndPr>
          <w:sdtContent>
            <w:p>
              <w:pPr>
                <w:rPr>
                  <w:rFonts w:cs="Arial"/>
                  <w:szCs w:val="21"/>
                </w:rPr>
              </w:pPr>
              <w:r>
                <w:rPr>
                  <w:rFonts w:cs="Arial"/>
                  <w:szCs w:val="21"/>
                </w:rPr>
                <w:fldChar w:fldCharType="begin"/>
              </w:r>
              <w:r>
                <w:rPr>
                  <w:rFonts w:cs="Arial"/>
                  <w:szCs w:val="21"/>
                </w:rPr>
                <w:instrText xml:space="preserve">MACROBUTTON  SnrToggleCheckbox □适用 </w:instrText>
              </w:r>
              <w:r>
                <w:rPr>
                  <w:rFonts w:cs="Arial"/>
                  <w:szCs w:val="21"/>
                </w:rPr>
                <w:fldChar w:fldCharType="end"/>
              </w:r>
              <w:r>
                <w:rPr>
                  <w:rFonts w:cs="Arial"/>
                  <w:szCs w:val="21"/>
                </w:rPr>
                <w:fldChar w:fldCharType="begin"/>
              </w:r>
              <w:r>
                <w:rPr>
                  <w:rFonts w:cs="Arial"/>
                  <w:szCs w:val="21"/>
                </w:rPr>
                <w:instrText xml:space="preserve"> MACROBUTTON  SnrToggleCheckbox √不适用 </w:instrText>
              </w:r>
              <w:r>
                <w:rPr>
                  <w:rFonts w:cs="Arial"/>
                  <w:szCs w:val="21"/>
                </w:rPr>
                <w:fldChar w:fldCharType="end"/>
              </w:r>
            </w:p>
          </w:sdtContent>
        </w:sdt>
        <w:p>
          <w:pPr>
            <w:tabs>
              <w:tab w:val="left" w:pos="1134"/>
            </w:tabs>
            <w:rPr>
              <w:rFonts w:cs="Cambria"/>
              <w:b/>
              <w:szCs w:val="21"/>
            </w:rPr>
          </w:pPr>
        </w:p>
      </w:sdtContent>
    </w:sdt>
    <w:sdt>
      <w:sdtPr>
        <w:rPr>
          <w:rFonts w:hint="eastAsia" w:ascii="宋体" w:hAnsi="宋体" w:cs="Arial"/>
          <w:b w:val="0"/>
          <w:bCs w:val="0"/>
          <w:kern w:val="0"/>
          <w:szCs w:val="21"/>
        </w:rPr>
        <w:alias w:val="模块:持续和非持续第二层次公允价值计量项目，采用的估值技术和重要参数的定性及定量信息"/>
        <w:tag w:val="_GBC_8e00be36ed6245f895b032b3059a4854"/>
        <w:id w:val="60681712"/>
        <w:lock w:val="sdtLocked"/>
        <w:placeholder>
          <w:docPart w:val="GBC22222222222222222222222222222"/>
        </w:placeholder>
      </w:sdtPr>
      <w:sdtEndPr>
        <w:rPr>
          <w:rFonts w:hint="default" w:ascii="宋体" w:hAnsi="宋体" w:cs="Cambria"/>
          <w:b w:val="0"/>
          <w:bCs w:val="0"/>
          <w:kern w:val="0"/>
          <w:szCs w:val="21"/>
        </w:rPr>
      </w:sdtEndPr>
      <w:sdtContent>
        <w:p>
          <w:pPr>
            <w:pStyle w:val="114"/>
            <w:numPr>
              <w:ilvl w:val="0"/>
              <w:numId w:val="121"/>
            </w:numPr>
          </w:pPr>
          <w:r>
            <w:rPr>
              <w:rFonts w:hint="eastAsia" w:ascii="宋体" w:hAnsi="宋体" w:cs="Arial"/>
              <w:szCs w:val="21"/>
            </w:rPr>
            <w:t>持续和非持续第二层次公允价值计量项目，采用的估值技术和重要参数的定性及定量信息</w:t>
          </w:r>
        </w:p>
        <w:sdt>
          <w:sdtPr>
            <w:rPr>
              <w:rFonts w:hint="eastAsia" w:cs="Cambria"/>
              <w:szCs w:val="21"/>
            </w:rPr>
            <w:alias w:val="是否适用：持续和非持续第二层次公允价值计量项目，采用的估值技术和重要参数的定性及定量信息[双击切换]"/>
            <w:tag w:val="_GBC_524db4de656b4bccac2fc473643fe7a6"/>
            <w:id w:val="-667086448"/>
            <w:lock w:val="sdtLocked"/>
            <w:placeholder>
              <w:docPart w:val="GBC22222222222222222222222222222"/>
            </w:placeholder>
          </w:sdtPr>
          <w:sdtEndPr>
            <w:rPr>
              <w:rFonts w:hint="eastAsia" w:cs="Cambria"/>
              <w:szCs w:val="21"/>
            </w:rPr>
          </w:sdtEndPr>
          <w:sdtContent>
            <w:p>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Content>
    </w:sdt>
    <w:p>
      <w:pPr>
        <w:rPr>
          <w:szCs w:val="21"/>
        </w:rPr>
      </w:pPr>
    </w:p>
    <w:sdt>
      <w:sdtPr>
        <w:rPr>
          <w:rFonts w:hint="eastAsia" w:ascii="宋体" w:hAnsi="宋体" w:cs="Arial"/>
          <w:b w:val="0"/>
          <w:bCs w:val="0"/>
          <w:kern w:val="0"/>
          <w:szCs w:val="21"/>
        </w:rPr>
        <w:alias w:val="模块:持续和非持续第三层次公允价值计量项目，采用的估值技术和重要参数的定性及定量信息"/>
        <w:tag w:val="_GBC_5d389bac3ad747a292eb45fd87ce5896"/>
        <w:id w:val="-1134093403"/>
        <w:lock w:val="sdtLocked"/>
        <w:placeholder>
          <w:docPart w:val="GBC22222222222222222222222222222"/>
        </w:placeholder>
      </w:sdtPr>
      <w:sdtEndPr>
        <w:rPr>
          <w:rFonts w:hint="eastAsia" w:ascii="宋体" w:hAnsi="宋体" w:cs="Cambria"/>
          <w:b w:val="0"/>
          <w:bCs w:val="0"/>
          <w:color w:val="808080"/>
          <w:kern w:val="0"/>
          <w:szCs w:val="21"/>
        </w:rPr>
      </w:sdtEndPr>
      <w:sdtContent>
        <w:p>
          <w:pPr>
            <w:pStyle w:val="114"/>
            <w:numPr>
              <w:ilvl w:val="0"/>
              <w:numId w:val="121"/>
            </w:numPr>
          </w:pPr>
          <w:r>
            <w:rPr>
              <w:rFonts w:hint="eastAsia" w:ascii="宋体" w:hAnsi="宋体" w:cs="Arial"/>
              <w:szCs w:val="21"/>
            </w:rPr>
            <w:t>持续和非持续第三层次公允价值计量项目，采用的估值技术和重要参数的定性及定量信息</w:t>
          </w:r>
        </w:p>
        <w:sdt>
          <w:sdtPr>
            <w:rPr>
              <w:rFonts w:hint="eastAsia"/>
              <w:szCs w:val="21"/>
            </w:rPr>
            <w:alias w:val="是否适用：持续和非持续第三层次公允价值计量项目，采用的估值技术和重要参数的定性及定量信息[双击切换]"/>
            <w:tag w:val="_GBC_2fc8e5a18cee4309a229e736040a7cfd"/>
            <w:id w:val="-196926822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持续和非持续第三层次公允价值计量项目，采用的估值技术和重要参数的定性及定量信息"/>
            <w:tag w:val="_GBC_db2fdcfb26ce4ca9ac1e8da23b16aaaa"/>
            <w:id w:val="1315913242"/>
            <w:lock w:val="sdtLocked"/>
            <w:placeholder>
              <w:docPart w:val="GBC22222222222222222222222222222"/>
            </w:placeholder>
          </w:sdtPr>
          <w:sdtEndPr>
            <w:rPr>
              <w:rFonts w:hint="eastAsia"/>
              <w:szCs w:val="21"/>
            </w:rPr>
          </w:sdtEndPr>
          <w:sdtContent>
            <w:p>
              <w:pPr>
                <w:widowControl w:val="0"/>
                <w:adjustRightInd w:val="0"/>
                <w:snapToGrid w:val="0"/>
                <w:spacing w:line="360" w:lineRule="auto"/>
                <w:ind w:firstLine="420" w:firstLineChars="200"/>
                <w:rPr>
                  <w:rFonts w:ascii="Arial Narrow" w:hAnsi="Arial Narrow"/>
                </w:rPr>
              </w:pPr>
              <w:r>
                <w:t>本公司其他权益工具投资主要为非上市股权，本公司采用估值技术确定其公允价值，估值技术的输入值包括被投资单位的经营情况、投资成本等。</w:t>
              </w:r>
            </w:p>
            <w:p>
              <w:pPr>
                <w:widowControl w:val="0"/>
                <w:adjustRightInd w:val="0"/>
                <w:snapToGrid w:val="0"/>
                <w:spacing w:line="360" w:lineRule="auto"/>
                <w:ind w:firstLine="420" w:firstLineChars="200"/>
                <w:jc w:val="both"/>
                <w:rPr>
                  <w:rFonts w:ascii="Arial Narrow" w:hAnsi="Arial Narrow"/>
                </w:rPr>
              </w:pPr>
              <w:r>
                <w:t>投资性房地产公允价值计量以资产负债表日，根据评估得出的市场价值作为确定公允价值的依据。本公司采用的估值技术主要为市场法、收益法。</w:t>
              </w:r>
            </w:p>
          </w:sdtContent>
        </w:sdt>
        <w:p>
          <w:pPr>
            <w:tabs>
              <w:tab w:val="left" w:pos="1134"/>
            </w:tabs>
            <w:rPr>
              <w:rFonts w:cs="Cambria"/>
              <w:b/>
              <w:szCs w:val="21"/>
            </w:rPr>
          </w:pPr>
        </w:p>
      </w:sdtContent>
    </w:sdt>
    <w:sdt>
      <w:sdtPr>
        <w:rPr>
          <w:rFonts w:hint="eastAsia" w:ascii="宋体" w:hAnsi="宋体" w:cs="宋体"/>
          <w:b w:val="0"/>
          <w:bCs w:val="0"/>
          <w:kern w:val="0"/>
          <w:szCs w:val="24"/>
        </w:rPr>
        <w:alias w:val="模块:持续的第三层次公允价值计量的项目期初与期末账面价值之间的调节信息及不可观察参数的敏感性分析"/>
        <w:tag w:val="_GBC_353ab3e0cb19455ab2c2c2a397421afe"/>
        <w:id w:val="-280264075"/>
        <w:lock w:val="sdtLocked"/>
        <w:placeholder>
          <w:docPart w:val="GBC22222222222222222222222222222"/>
        </w:placeholder>
      </w:sdtPr>
      <w:sdtEndPr>
        <w:rPr>
          <w:rFonts w:hint="eastAsia" w:ascii="宋体" w:hAnsi="宋体" w:cs="Cambria"/>
          <w:b w:val="0"/>
          <w:bCs w:val="0"/>
          <w:color w:val="808080"/>
          <w:kern w:val="0"/>
          <w:szCs w:val="21"/>
        </w:rPr>
      </w:sdtEndPr>
      <w:sdtContent>
        <w:p>
          <w:pPr>
            <w:pStyle w:val="114"/>
            <w:numPr>
              <w:ilvl w:val="0"/>
              <w:numId w:val="121"/>
            </w:numPr>
          </w:pPr>
          <w:r>
            <w:rPr>
              <w:rFonts w:hint="eastAsia"/>
            </w:rPr>
            <w:t>持续的第三层次公允价值计量项目，期初与期末账面价值间的调节信息及不可观察参数敏感性分析</w:t>
          </w:r>
        </w:p>
        <w:sdt>
          <w:sdtPr>
            <w:rPr>
              <w:rFonts w:hint="eastAsia"/>
              <w:szCs w:val="21"/>
            </w:rPr>
            <w:alias w:val="是否适用：持续的第三层次公允价值计量项目，期初与期末账面价值间的调节信息及不可观察参数敏感性分析[双击切换]"/>
            <w:tag w:val="_GBC_71e79e015e97438a812cfd612b604172"/>
            <w:id w:val="-53465763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4"/>
        </w:rPr>
        <w:alias w:val="模块:持续的公允价值计量项目，本期内发生各层级之间转换的，转换的原因及确定转换时点的政策"/>
        <w:tag w:val="_GBC_a9200ec73b8d485e80b76f1a9ee34c49"/>
        <w:id w:val="-1765759608"/>
        <w:lock w:val="sdtLocked"/>
        <w:placeholder>
          <w:docPart w:val="GBC22222222222222222222222222222"/>
        </w:placeholder>
      </w:sdtPr>
      <w:sdtEndPr>
        <w:rPr>
          <w:rFonts w:hint="eastAsia" w:ascii="宋体" w:hAnsi="宋体" w:cs="Cambria"/>
          <w:b w:val="0"/>
          <w:bCs w:val="0"/>
          <w:kern w:val="0"/>
          <w:szCs w:val="21"/>
        </w:rPr>
      </w:sdtEndPr>
      <w:sdtContent>
        <w:p>
          <w:pPr>
            <w:pStyle w:val="114"/>
            <w:numPr>
              <w:ilvl w:val="0"/>
              <w:numId w:val="121"/>
            </w:numPr>
          </w:pPr>
          <w:r>
            <w:rPr>
              <w:rFonts w:hint="eastAsia"/>
            </w:rPr>
            <w:t>持续的公允价值计量项目，本期内发生各层级之间转换的，转换的原因及确定转换时点的政策</w:t>
          </w:r>
        </w:p>
        <w:sdt>
          <w:sdtPr>
            <w:rPr>
              <w:rFonts w:hint="eastAsia"/>
              <w:szCs w:val="21"/>
            </w:rPr>
            <w:alias w:val="是否适用：持续的公允价值计量项目，本期内发生各层级之间转换的，转换的原因及确定转换时点的政策[双击切换]"/>
            <w:tag w:val="_GBC_eebf98ea60f047d9917b79bbe8e1b6a3"/>
            <w:id w:val="64023472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cs="Cambria"/>
              <w:b/>
              <w:szCs w:val="21"/>
            </w:rPr>
          </w:pPr>
        </w:p>
      </w:sdtContent>
    </w:sdt>
    <w:sdt>
      <w:sdtPr>
        <w:rPr>
          <w:rFonts w:hint="eastAsia" w:ascii="宋体" w:hAnsi="宋体" w:cs="宋体"/>
          <w:b w:val="0"/>
          <w:bCs w:val="0"/>
          <w:kern w:val="0"/>
          <w:szCs w:val="24"/>
        </w:rPr>
        <w:alias w:val="模块:本期内发生的估值技术变更及变更原因"/>
        <w:tag w:val="_GBC_8e563310a4b84a5d9dfe74fdbc178926"/>
        <w:id w:val="2003007492"/>
        <w:lock w:val="sdtLocked"/>
        <w:placeholder>
          <w:docPart w:val="GBC22222222222222222222222222222"/>
        </w:placeholder>
      </w:sdtPr>
      <w:sdtEndPr>
        <w:rPr>
          <w:rFonts w:hint="eastAsia" w:ascii="宋体" w:hAnsi="宋体" w:cstheme="minorBidi"/>
          <w:b w:val="0"/>
          <w:bCs w:val="0"/>
          <w:kern w:val="0"/>
          <w:szCs w:val="21"/>
        </w:rPr>
      </w:sdtEndPr>
      <w:sdtContent>
        <w:p>
          <w:pPr>
            <w:pStyle w:val="114"/>
            <w:numPr>
              <w:ilvl w:val="0"/>
              <w:numId w:val="121"/>
            </w:numPr>
          </w:pPr>
          <w:r>
            <w:rPr>
              <w:rFonts w:hint="eastAsia"/>
            </w:rPr>
            <w:t>本期内发生的估值技术变更及变更原因</w:t>
          </w:r>
        </w:p>
        <w:sdt>
          <w:sdtPr>
            <w:rPr>
              <w:rFonts w:hint="eastAsia"/>
              <w:szCs w:val="21"/>
            </w:rPr>
            <w:alias w:val="是否适用：本期内发生的估值技术变更及变更原因[双击切换]"/>
            <w:tag w:val="_GBC_c8355b64faff425ebd05215313c85419"/>
            <w:id w:val="-132088715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rFonts w:cstheme="minorBidi"/>
              <w:szCs w:val="21"/>
            </w:rPr>
          </w:pPr>
        </w:p>
      </w:sdtContent>
    </w:sdt>
    <w:sdt>
      <w:sdtPr>
        <w:rPr>
          <w:rFonts w:hint="eastAsia" w:ascii="宋体" w:hAnsi="宋体" w:cstheme="minorBidi"/>
          <w:b w:val="0"/>
          <w:bCs w:val="0"/>
          <w:kern w:val="0"/>
          <w:szCs w:val="21"/>
        </w:rPr>
        <w:alias w:val="模块:不以公允价值计量的金融资产和金融负债的公允价值情况"/>
        <w:tag w:val="_GBC_e354e1f41f824854b8f3345d52a9cfab"/>
        <w:id w:val="1913587716"/>
        <w:lock w:val="sdtLocked"/>
        <w:placeholder>
          <w:docPart w:val="GBC22222222222222222222222222222"/>
        </w:placeholder>
      </w:sdtPr>
      <w:sdtEndPr>
        <w:rPr>
          <w:rFonts w:hint="eastAsia" w:ascii="宋体" w:hAnsi="宋体" w:cstheme="minorBidi"/>
          <w:b w:val="0"/>
          <w:bCs w:val="0"/>
          <w:kern w:val="0"/>
          <w:szCs w:val="21"/>
        </w:rPr>
      </w:sdtEndPr>
      <w:sdtContent>
        <w:p>
          <w:pPr>
            <w:pStyle w:val="114"/>
            <w:numPr>
              <w:ilvl w:val="0"/>
              <w:numId w:val="121"/>
            </w:numPr>
            <w:rPr>
              <w:rFonts w:cstheme="minorBidi"/>
              <w:szCs w:val="21"/>
            </w:rPr>
          </w:pPr>
          <w:r>
            <w:rPr>
              <w:rFonts w:hint="eastAsia" w:cstheme="minorBidi"/>
              <w:szCs w:val="21"/>
            </w:rPr>
            <w:t>不以公允价值计量的</w:t>
          </w:r>
          <w:r>
            <w:rPr>
              <w:rFonts w:hint="eastAsia"/>
            </w:rPr>
            <w:t>金融资产</w:t>
          </w:r>
          <w:r>
            <w:rPr>
              <w:rFonts w:hint="eastAsia" w:cstheme="minorBidi"/>
              <w:szCs w:val="21"/>
            </w:rPr>
            <w:t>和金融负债的公允价值情况</w:t>
          </w:r>
        </w:p>
        <w:sdt>
          <w:sdtPr>
            <w:rPr>
              <w:rFonts w:hint="eastAsia" w:cstheme="minorBidi"/>
              <w:szCs w:val="21"/>
            </w:rPr>
            <w:alias w:val="是否适用：不以公允价值计量的金融资产和金融负债的公允价值情况[双击切换]"/>
            <w:tag w:val="_GBC_734377ec924449c3ae79732fec24b52d"/>
            <w:id w:val="-1619059085"/>
            <w:lock w:val="sdtLocked"/>
            <w:placeholder>
              <w:docPart w:val="GBC22222222222222222222222222222"/>
            </w:placeholder>
          </w:sdtPr>
          <w:sdtEndPr>
            <w:rPr>
              <w:rFonts w:hint="eastAsia" w:cstheme="minorBidi"/>
              <w:szCs w:val="21"/>
            </w:rPr>
          </w:sdtEndPr>
          <w:sdtContent>
            <w:p>
              <w:pPr>
                <w:rPr>
                  <w:rFonts w:cstheme="minorBidi"/>
                  <w:szCs w:val="21"/>
                </w:rPr>
              </w:pPr>
              <w:r>
                <w:rPr>
                  <w:rFonts w:cstheme="minorBidi"/>
                  <w:szCs w:val="21"/>
                </w:rPr>
                <w:fldChar w:fldCharType="begin"/>
              </w:r>
              <w:r>
                <w:rPr>
                  <w:rFonts w:cstheme="minorBidi"/>
                  <w:szCs w:val="21"/>
                </w:rPr>
                <w:instrText xml:space="preserve">MACROBUTTON  SnrToggleCheckbox □适用 </w:instrText>
              </w:r>
              <w:r>
                <w:rPr>
                  <w:rFonts w:cstheme="minorBidi"/>
                  <w:szCs w:val="21"/>
                </w:rPr>
                <w:fldChar w:fldCharType="end"/>
              </w:r>
              <w:r>
                <w:rPr>
                  <w:rFonts w:cstheme="minorBidi"/>
                  <w:szCs w:val="21"/>
                </w:rPr>
                <w:fldChar w:fldCharType="begin"/>
              </w:r>
              <w:r>
                <w:rPr>
                  <w:rFonts w:cstheme="minorBidi"/>
                  <w:szCs w:val="21"/>
                </w:rPr>
                <w:instrText xml:space="preserve"> MACROBUTTON  SnrToggleCheckbox √不适用 </w:instrText>
              </w:r>
              <w:r>
                <w:rPr>
                  <w:rFonts w:cstheme="minorBidi"/>
                  <w:szCs w:val="21"/>
                </w:rPr>
                <w:fldChar w:fldCharType="end"/>
              </w:r>
            </w:p>
          </w:sdtContent>
        </w:sdt>
      </w:sdtContent>
    </w:sdt>
    <w:p>
      <w:pPr>
        <w:rPr>
          <w:rFonts w:cstheme="minorBidi"/>
          <w:szCs w:val="21"/>
        </w:rPr>
      </w:pPr>
    </w:p>
    <w:sdt>
      <w:sdtPr>
        <w:rPr>
          <w:rFonts w:ascii="宋体" w:hAnsi="宋体" w:cs="宋体"/>
          <w:b w:val="0"/>
          <w:bCs w:val="0"/>
          <w:kern w:val="0"/>
          <w:szCs w:val="21"/>
        </w:rPr>
        <w:alias w:val="模块:公允价值其他需要披露的事项"/>
        <w:tag w:val="_GBC_1551c1b4fedc4ac0ae859b67b4b79904"/>
        <w:id w:val="1179161427"/>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121"/>
            </w:numPr>
            <w:rPr>
              <w:szCs w:val="21"/>
            </w:rPr>
          </w:pPr>
          <w:r>
            <w:rPr>
              <w:rFonts w:hint="eastAsia"/>
              <w:szCs w:val="21"/>
            </w:rPr>
            <w:t>其他</w:t>
          </w:r>
        </w:p>
        <w:sdt>
          <w:sdtPr>
            <w:rPr>
              <w:rFonts w:hint="eastAsia"/>
              <w:szCs w:val="21"/>
            </w:rPr>
            <w:alias w:val="是否适用：公允价值其他需要披露的事项[双击切换]"/>
            <w:tag w:val="_GBC_face0919374341aba02b14f2247ac908"/>
            <w:id w:val="-119315269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pStyle w:val="113"/>
        <w:numPr>
          <w:ilvl w:val="0"/>
          <w:numId w:val="49"/>
        </w:numPr>
        <w:rPr>
          <w:rFonts w:ascii="宋体" w:hAnsi="宋体"/>
        </w:rPr>
      </w:pPr>
      <w:r>
        <w:rPr>
          <w:rFonts w:hint="eastAsia" w:ascii="宋体" w:hAnsi="宋体"/>
        </w:rPr>
        <w:t>关联方及关联交易</w:t>
      </w:r>
    </w:p>
    <w:sdt>
      <w:sdtPr>
        <w:rPr>
          <w:rFonts w:hint="eastAsia" w:ascii="宋体" w:hAnsi="宋体" w:cs="宋体"/>
          <w:b w:val="0"/>
          <w:bCs w:val="0"/>
          <w:kern w:val="0"/>
          <w:szCs w:val="24"/>
        </w:rPr>
        <w:alias w:val="模块:本企业的母公司情况"/>
        <w:tag w:val="_GBC_29e1f7491caa4c3e96eef8c84532de84"/>
        <w:id w:val="442268085"/>
        <w:lock w:val="sdtLocked"/>
        <w:placeholder>
          <w:docPart w:val="GBC22222222222222222222222222222"/>
        </w:placeholder>
      </w:sdtPr>
      <w:sdtEndPr>
        <w:rPr>
          <w:rFonts w:hint="eastAsia" w:ascii="宋体" w:hAnsi="宋体" w:cs="Cambria"/>
          <w:b w:val="0"/>
          <w:bCs w:val="0"/>
          <w:kern w:val="0"/>
          <w:szCs w:val="21"/>
        </w:rPr>
      </w:sdtEndPr>
      <w:sdtContent>
        <w:p>
          <w:pPr>
            <w:pStyle w:val="114"/>
            <w:numPr>
              <w:ilvl w:val="0"/>
              <w:numId w:val="122"/>
            </w:numPr>
          </w:pPr>
          <w:r>
            <w:rPr>
              <w:rFonts w:hint="eastAsia"/>
            </w:rPr>
            <w:t>本企业的母公司情况</w:t>
          </w:r>
        </w:p>
        <w:sdt>
          <w:sdtPr>
            <w:rPr>
              <w:rFonts w:hint="eastAsia"/>
            </w:rPr>
            <w:alias w:val="是否适用：本企业的母公司情况[双击切换]"/>
            <w:tag w:val="_GBC_fe5dd4a2c9ad405db72189e05b735e0c"/>
            <w:id w:val="963228053"/>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财务附注：本企业的母公司情况"/>
              <w:tag w:val="_GBC_4bdd8b08e4ce41af93512866e6012a92"/>
              <w:id w:val="19103433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万元</w:t>
              </w:r>
            </w:sdtContent>
          </w:sdt>
          <w:r>
            <w:rPr>
              <w:rFonts w:hint="eastAsia"/>
            </w:rPr>
            <w:t xml:space="preserve">  币种：</w:t>
          </w:r>
          <w:sdt>
            <w:sdtPr>
              <w:rPr>
                <w:rFonts w:hint="eastAsia"/>
              </w:rPr>
              <w:alias w:val="币种：财务附注：本企业的母公司情况"/>
              <w:tag w:val="_GBC_8b4816800b024cd884a92208e149b0bf"/>
              <w:id w:val="18707271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0"/>
            <w:gridCol w:w="1149"/>
            <w:gridCol w:w="987"/>
            <w:gridCol w:w="1204"/>
            <w:gridCol w:w="1266"/>
            <w:gridCol w:w="1410"/>
            <w:gridCol w:w="1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sdt>
              <w:sdtPr>
                <w:tag w:val="_PLD_78501cc34b694302b18c1ea75399510e"/>
                <w:id w:val="1150715750"/>
                <w:lock w:val="sdtLocked"/>
              </w:sdtPr>
              <w:sdtContent>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母公司名称</w:t>
                    </w:r>
                  </w:p>
                </w:tc>
              </w:sdtContent>
            </w:sdt>
            <w:tc>
              <w:tcPr>
                <w:tcW w:w="6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企业类型</w:t>
                </w:r>
              </w:p>
            </w:tc>
            <w:sdt>
              <w:sdtPr>
                <w:tag w:val="_PLD_9cf29fdb6dc54a2ca1191c007bb19ceb"/>
                <w:id w:val="1693493292"/>
                <w:lock w:val="sdtLocked"/>
              </w:sdtPr>
              <w:sdtContent>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注册地</w:t>
                    </w:r>
                  </w:p>
                </w:tc>
              </w:sdtContent>
            </w:sdt>
            <w:sdt>
              <w:sdtPr>
                <w:tag w:val="_PLD_738e924675434f8ea1a19e9f01f12c6a"/>
                <w:id w:val="172625517"/>
                <w:lock w:val="sdtLocked"/>
              </w:sdtPr>
              <w:sdtContent>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业务性质</w:t>
                    </w:r>
                  </w:p>
                </w:tc>
              </w:sdtContent>
            </w:sdt>
            <w:sdt>
              <w:sdtPr>
                <w:tag w:val="_PLD_8f8ae05947724183906b020ada85e914"/>
                <w:id w:val="-1350567366"/>
                <w:lock w:val="sdtLocked"/>
              </w:sdtPr>
              <w:sdtContent>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注册资本</w:t>
                    </w:r>
                  </w:p>
                </w:tc>
              </w:sdtContent>
            </w:sdt>
            <w:sdt>
              <w:sdtPr>
                <w:tag w:val="_PLD_41f7f469dbcc4ee39514954cb008b0a4"/>
                <w:id w:val="-276956490"/>
                <w:lock w:val="sdtLocked"/>
              </w:sdtPr>
              <w:sdtContent>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母公司对本企业的持股比例</w:t>
                    </w:r>
                    <w:r>
                      <w:rPr>
                        <w:rFonts w:cs="Cambria"/>
                        <w:szCs w:val="21"/>
                      </w:rPr>
                      <w:t>(%)</w:t>
                    </w:r>
                  </w:p>
                </w:tc>
              </w:sdtContent>
            </w:sdt>
            <w:sdt>
              <w:sdtPr>
                <w:tag w:val="_PLD_dab7bc4321ca44eb9d8565239cbf42f7"/>
                <w:id w:val="-1970813420"/>
                <w:lock w:val="sdtLocked"/>
              </w:sdtPr>
              <w:sdtContent>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母公司对本企业的表决权比例</w:t>
                    </w:r>
                    <w:r>
                      <w:rPr>
                        <w:rFonts w:cs="Cambria"/>
                        <w:szCs w:val="21"/>
                      </w:rPr>
                      <w:t>(%)</w:t>
                    </w:r>
                  </w:p>
                </w:tc>
              </w:sdtContent>
            </w:sdt>
          </w:tr>
          <w:sdt>
            <w:sdtPr>
              <w:rPr>
                <w:rFonts w:cs="Cambria" w:asciiTheme="minorHAnsi" w:hAnsiTheme="minorHAnsi" w:eastAsiaTheme="minorEastAsia"/>
                <w:kern w:val="2"/>
                <w:szCs w:val="21"/>
              </w:rPr>
              <w:alias w:val="本企业的母公司情况明细"/>
              <w:tag w:val="_GBC_e3a0ec4880544cc4ad472a056e28a2a2"/>
              <w:id w:val="-256285131"/>
              <w:lock w:val="sdtLocked"/>
            </w:sdtPr>
            <w:sdtEndPr>
              <w:rPr>
                <w:rFonts w:cs="Cambria" w:asciiTheme="minorHAnsi" w:hAnsiTheme="minorHAnsi" w:eastAsiaTheme="minorEastAsia"/>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cs="Cambria"/>
                        <w:szCs w:val="21"/>
                      </w:rPr>
                    </w:pPr>
                    <w:r>
                      <w:t>重庆满江红股权投资基金合伙企业（有限合伙）</w:t>
                    </w:r>
                  </w:p>
                </w:tc>
                <w:sdt>
                  <w:sdtPr>
                    <w:alias w:val="企业类型"/>
                    <w:tag w:val="_GBC_19b7ab95d6654c5387468951315ae3be"/>
                    <w:id w:val="-937287746"/>
                    <w:lock w:val="sdtLocked"/>
                  </w:sdtPr>
                  <w:sdtContent>
                    <w:tc>
                      <w:tcPr>
                        <w:tcW w:w="6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rPr>
                          <w:t>有限合伙企业</w:t>
                        </w:r>
                      </w:p>
                    </w:tc>
                  </w:sdtContent>
                </w:sdt>
                <w:tc>
                  <w:tcPr>
                    <w:tcW w:w="5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rPr>
                      <w:t>重庆</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rPr>
                      <w:t>股权投资</w:t>
                    </w:r>
                  </w:p>
                </w:tc>
                <w:tc>
                  <w:tcPr>
                    <w:tcW w:w="7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t>302,000.00</w:t>
                    </w:r>
                  </w:p>
                </w:tc>
                <w:tc>
                  <w:tcPr>
                    <w:tcW w:w="8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cs="Cambria"/>
                        <w:szCs w:val="21"/>
                      </w:rPr>
                      <w:t>29.99</w:t>
                    </w:r>
                  </w:p>
                </w:tc>
                <w:tc>
                  <w:tcPr>
                    <w:tcW w:w="90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t>29.99</w:t>
                    </w:r>
                  </w:p>
                </w:tc>
              </w:tr>
            </w:sdtContent>
          </w:sdt>
        </w:tbl>
        <w:p/>
        <w:p>
          <w:pPr>
            <w:tabs>
              <w:tab w:val="left" w:pos="1134"/>
            </w:tabs>
            <w:spacing w:line="360" w:lineRule="auto"/>
            <w:rPr>
              <w:rFonts w:cs="Cambria"/>
              <w:szCs w:val="21"/>
            </w:rPr>
          </w:pPr>
          <w:r>
            <w:rPr>
              <w:rFonts w:hint="eastAsia" w:cs="Cambria"/>
              <w:szCs w:val="21"/>
            </w:rPr>
            <w:t>本企业的母公司情况的说明</w:t>
          </w:r>
        </w:p>
        <w:sdt>
          <w:sdtPr>
            <w:rPr>
              <w:rFonts w:cs="Cambria"/>
              <w:szCs w:val="21"/>
            </w:rPr>
            <w:alias w:val="本企业的母公司情况的说明"/>
            <w:tag w:val="_GBC_23f67537c1df4d9d9ede9fbc78ad06a4"/>
            <w:id w:val="868020774"/>
            <w:lock w:val="sdtLocked"/>
            <w:placeholder>
              <w:docPart w:val="GBC22222222222222222222222222222"/>
            </w:placeholder>
          </w:sdtPr>
          <w:sdtEndPr>
            <w:rPr>
              <w:rFonts w:cs="Cambria"/>
              <w:szCs w:val="21"/>
            </w:rPr>
          </w:sdtEndPr>
          <w:sdtContent>
            <w:p>
              <w:pPr>
                <w:spacing w:line="360" w:lineRule="auto"/>
              </w:pPr>
              <w:r>
                <w:rPr>
                  <w:rFonts w:hint="eastAsia"/>
                </w:rPr>
                <w:t>重庆满江红股权投资基金合伙企业（有限合伙）成立于2020年12月14日，统一社会信用代码：91500000MA61A2CD1G，认缴出资额：302,000万元人民币，执行事务合伙人：重庆满江红企业管理有限公司。</w:t>
              </w:r>
            </w:p>
            <w:p>
              <w:pPr>
                <w:tabs>
                  <w:tab w:val="left" w:pos="1134"/>
                </w:tabs>
                <w:spacing w:line="360" w:lineRule="auto"/>
                <w:rPr>
                  <w:rFonts w:cs="Cambria"/>
                  <w:szCs w:val="21"/>
                </w:rPr>
              </w:pPr>
            </w:p>
          </w:sdtContent>
        </w:sdt>
        <w:p>
          <w:pPr>
            <w:spacing w:line="360" w:lineRule="auto"/>
          </w:pPr>
          <w:r>
            <w:rPr>
              <w:rFonts w:hint="eastAsia"/>
              <w:szCs w:val="21"/>
            </w:rPr>
            <w:t>本企业最终控制方是</w:t>
          </w:r>
          <w:sdt>
            <w:sdtPr>
              <w:rPr>
                <w:rFonts w:hint="eastAsia"/>
                <w:szCs w:val="21"/>
              </w:rPr>
              <w:alias w:val="本企业最终控制方"/>
              <w:tag w:val="_GBC_951a676520994ab7a3822c5f58c20b7d"/>
              <w:id w:val="233896756"/>
              <w:lock w:val="sdtLocked"/>
              <w:placeholder>
                <w:docPart w:val="GBC22222222222222222222222222222"/>
              </w:placeholder>
            </w:sdtPr>
            <w:sdtEndPr>
              <w:rPr>
                <w:rFonts w:hint="eastAsia"/>
                <w:szCs w:val="21"/>
              </w:rPr>
            </w:sdtEndPr>
            <w:sdtContent>
              <w:r>
                <w:rPr>
                  <w:rFonts w:hint="eastAsia"/>
                  <w:b/>
                </w:rPr>
                <w:t>重庆满江红企业管理有限公司。</w:t>
              </w:r>
            </w:sdtContent>
          </w:sdt>
        </w:p>
        <w:p>
          <w:pPr>
            <w:rPr>
              <w:szCs w:val="21"/>
            </w:rPr>
          </w:pPr>
        </w:p>
        <w:p>
          <w:pPr>
            <w:rPr>
              <w:szCs w:val="21"/>
            </w:rPr>
          </w:pPr>
          <w:r>
            <w:rPr>
              <w:rFonts w:hint="eastAsia"/>
              <w:szCs w:val="21"/>
            </w:rPr>
            <w:t>其他说明：</w:t>
          </w:r>
        </w:p>
        <w:sdt>
          <w:sdtPr>
            <w:rPr>
              <w:szCs w:val="21"/>
            </w:rPr>
            <w:alias w:val="本企业的母公司情况的其他说明"/>
            <w:tag w:val="_GBC_72b4ca7a02944263a74be4174baff4cf"/>
            <w:id w:val="1892305761"/>
            <w:lock w:val="sdtLocked"/>
            <w:placeholder>
              <w:docPart w:val="GBC22222222222222222222222222222"/>
            </w:placeholder>
          </w:sdtPr>
          <w:sdtEndPr>
            <w:rPr>
              <w:szCs w:val="21"/>
            </w:rPr>
          </w:sdtEndPr>
          <w:sdtContent>
            <w:p>
              <w:pPr>
                <w:rPr>
                  <w:szCs w:val="21"/>
                </w:rPr>
              </w:pPr>
              <w:r>
                <w:rPr>
                  <w:rFonts w:hint="eastAsia"/>
                  <w:szCs w:val="21"/>
                </w:rPr>
                <w:t>无</w:t>
              </w:r>
            </w:p>
          </w:sdtContent>
        </w:sdt>
      </w:sdtContent>
    </w:sdt>
    <w:sdt>
      <w:sdtPr>
        <w:rPr>
          <w:rFonts w:hint="eastAsia" w:ascii="宋体" w:hAnsi="宋体" w:cs="Arial"/>
          <w:b w:val="0"/>
          <w:bCs w:val="0"/>
          <w:kern w:val="0"/>
          <w:szCs w:val="21"/>
        </w:rPr>
        <w:alias w:val="模块:本企业的子公司情况"/>
        <w:tag w:val="_GBC_244a434a920446c1838410fee0ac8ba8"/>
        <w:id w:val="274913888"/>
        <w:lock w:val="sdtLocked"/>
        <w:placeholder>
          <w:docPart w:val="GBC22222222222222222222222222222"/>
        </w:placeholder>
      </w:sdtPr>
      <w:sdtEndPr>
        <w:rPr>
          <w:rFonts w:hint="eastAsia" w:ascii="宋体" w:hAnsi="宋体" w:cs="Cambria"/>
          <w:b w:val="0"/>
          <w:bCs w:val="0"/>
          <w:kern w:val="0"/>
          <w:szCs w:val="21"/>
        </w:rPr>
      </w:sdtEndPr>
      <w:sdtContent>
        <w:p>
          <w:pPr>
            <w:pStyle w:val="114"/>
            <w:numPr>
              <w:ilvl w:val="0"/>
              <w:numId w:val="122"/>
            </w:numPr>
            <w:rPr>
              <w:rFonts w:ascii="宋体" w:hAnsi="宋体" w:cs="Arial"/>
              <w:szCs w:val="21"/>
            </w:rPr>
          </w:pPr>
          <w:r>
            <w:rPr>
              <w:rFonts w:hint="eastAsia" w:ascii="宋体" w:hAnsi="宋体" w:cs="Arial"/>
              <w:szCs w:val="21"/>
            </w:rPr>
            <w:t>本企业的子公司情况</w:t>
          </w:r>
        </w:p>
        <w:p>
          <w:pPr>
            <w:rPr>
              <w:szCs w:val="21"/>
            </w:rPr>
          </w:pPr>
          <w:r>
            <w:rPr>
              <w:rFonts w:hint="eastAsia"/>
              <w:szCs w:val="21"/>
            </w:rPr>
            <w:t>本企业子公司的情况详见附注</w:t>
          </w:r>
        </w:p>
        <w:sdt>
          <w:sdtPr>
            <w:rPr>
              <w:rFonts w:hint="eastAsia"/>
              <w:szCs w:val="21"/>
            </w:rPr>
            <w:alias w:val="是否适用：本公司的子公司情况详见附注[双击切换]"/>
            <w:tag w:val="_GBC_b3fd954877e04ee589f6c4ce95e1384a"/>
            <w:id w:val="160538439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rFonts w:hint="eastAsia"/>
              <w:szCs w:val="21"/>
            </w:rPr>
            <w:alias w:val="本公司的子公司情况详见附注"/>
            <w:tag w:val="_GBC_bb3e2669c3cc45d0a6637b1809087708"/>
            <w:id w:val="-1300293071"/>
            <w:lock w:val="sdtLocked"/>
            <w:placeholder>
              <w:docPart w:val="GBC22222222222222222222222222222"/>
            </w:placeholder>
          </w:sdtPr>
          <w:sdtEndPr>
            <w:rPr>
              <w:rFonts w:hint="eastAsia"/>
              <w:szCs w:val="21"/>
            </w:rPr>
          </w:sdtEndPr>
          <w:sdtContent>
            <w:p>
              <w:r>
                <w:rPr>
                  <w:szCs w:val="21"/>
                </w:rPr>
                <w:t>本公司的子公司情况详见</w:t>
              </w:r>
              <w:r>
                <w:rPr>
                  <w:rFonts w:hint="eastAsia"/>
                  <w:szCs w:val="21"/>
                </w:rPr>
                <w:t>“第十节财务报告九、1</w:t>
              </w:r>
              <w:r>
                <w:rPr>
                  <w:szCs w:val="21"/>
                </w:rPr>
                <w:t>在子公司中的权益</w:t>
              </w:r>
              <w:r>
                <w:rPr>
                  <w:rFonts w:hint="eastAsia"/>
                  <w:szCs w:val="21"/>
                </w:rPr>
                <w:t>”。</w:t>
              </w:r>
            </w:p>
          </w:sdtContent>
        </w:sdt>
        <w:p>
          <w:pPr>
            <w:tabs>
              <w:tab w:val="left" w:pos="1134"/>
            </w:tabs>
            <w:rPr>
              <w:rFonts w:cs="Cambria"/>
              <w:szCs w:val="21"/>
            </w:rPr>
          </w:pPr>
        </w:p>
      </w:sdtContent>
    </w:sdt>
    <w:sdt>
      <w:sdtPr>
        <w:rPr>
          <w:rFonts w:hint="eastAsia" w:ascii="宋体" w:hAnsi="宋体" w:cs="宋体"/>
          <w:b w:val="0"/>
          <w:bCs w:val="0"/>
          <w:kern w:val="0"/>
          <w:szCs w:val="24"/>
        </w:rPr>
        <w:alias w:val="模块:存在关联方交易或余额的合营和联营企业情况"/>
        <w:tag w:val="_GBC_a5638b7fd6a848a19564209060b6909a"/>
        <w:id w:val="-842462920"/>
        <w:lock w:val="sdtLocked"/>
        <w:placeholder>
          <w:docPart w:val="GBC22222222222222222222222222222"/>
        </w:placeholder>
      </w:sdtPr>
      <w:sdtEndPr>
        <w:rPr>
          <w:rFonts w:hint="eastAsia" w:ascii="宋体" w:hAnsi="宋体" w:cs="Cambria"/>
          <w:b w:val="0"/>
          <w:bCs w:val="0"/>
          <w:kern w:val="0"/>
          <w:szCs w:val="21"/>
        </w:rPr>
      </w:sdtEndPr>
      <w:sdtContent>
        <w:p>
          <w:pPr>
            <w:pStyle w:val="114"/>
            <w:numPr>
              <w:ilvl w:val="0"/>
              <w:numId w:val="122"/>
            </w:numPr>
          </w:pPr>
          <w:r>
            <w:rPr>
              <w:rFonts w:hint="eastAsia"/>
            </w:rPr>
            <w:t>本企业合营和联营企业情况</w:t>
          </w:r>
        </w:p>
        <w:p>
          <w:r>
            <w:rPr>
              <w:rFonts w:hint="eastAsia"/>
            </w:rPr>
            <w:t>本企业重要的合营或联营企业详见附注</w:t>
          </w:r>
        </w:p>
        <w:sdt>
          <w:sdtPr>
            <w:alias w:val="是否适用：本企业重要的合营或联营企业详见附注[双击切换]"/>
            <w:tag w:val="_GBC_a44d5ddc347344bcaadf8652bc7a927c"/>
            <w:id w:val="-1979239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rPr>
            <w:alias w:val="本企业重要的合营或联营企业详见附注"/>
            <w:tag w:val="_GBC_3c58c586b3d3412d9989e9dff0b9f4cf"/>
            <w:id w:val="-1580206513"/>
            <w:lock w:val="sdtLocked"/>
            <w:placeholder>
              <w:docPart w:val="GBC22222222222222222222222222222"/>
            </w:placeholder>
          </w:sdtPr>
          <w:sdtEndPr>
            <w:rPr>
              <w:rFonts w:hint="eastAsia"/>
            </w:rPr>
          </w:sdtEndPr>
          <w:sdtContent>
            <w:p/>
            <w:p>
              <w:pPr>
                <w:spacing w:line="360" w:lineRule="auto"/>
              </w:pPr>
              <w:r>
                <w:rPr>
                  <w:rFonts w:hint="eastAsia"/>
                </w:rPr>
                <w:t>　　本公司重要的合营或联营企业详见第十节财务报告九、</w:t>
              </w:r>
              <w:r>
                <w:t>3 “在合营企业或联营企业中的权益”。</w:t>
              </w:r>
            </w:p>
            <w:p/>
          </w:sdtContent>
        </w:sdt>
        <w:p>
          <w:r>
            <w:rPr>
              <w:rFonts w:hint="eastAsia"/>
            </w:rPr>
            <w:t>本期与本公司发生关联方交易，或前期与本公司发生关联方交易形成余额的其他合营或联营企业情况如下</w:t>
          </w:r>
        </w:p>
        <w:p/>
        <w:sdt>
          <w:sdtPr>
            <w:alias w:val="是否适用：本期与本公司发生关联方交易，或前期与本公司发生关联方交易形成余额的其他合营或联营企业情况如下[双击切换]"/>
            <w:tag w:val="_GBC_3340148c9e9e4091aa65b3b3355a3a37"/>
            <w:id w:val="-181980458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6"/>
            <w:gridCol w:w="4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sdt>
              <w:sdtPr>
                <w:tag w:val="_PLD_0e6d2a60380d424fbe39edbe16e876ad"/>
                <w:id w:val="166058475"/>
                <w:lock w:val="sdtLocked"/>
              </w:sdtPr>
              <w:sdtContent>
                <w:tc>
                  <w:tcPr>
                    <w:tcW w:w="22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合营或联营企业名称</w:t>
                    </w:r>
                  </w:p>
                </w:tc>
              </w:sdtContent>
            </w:sdt>
            <w:sdt>
              <w:sdtPr>
                <w:tag w:val="_PLD_7a4c0374bc514021b6a270655cb81e9e"/>
                <w:id w:val="1770590405"/>
                <w:lock w:val="sdtLocked"/>
              </w:sdtPr>
              <w:sdtContent>
                <w:tc>
                  <w:tcPr>
                    <w:tcW w:w="27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与本企业关系</w:t>
                    </w:r>
                  </w:p>
                </w:tc>
              </w:sdtContent>
            </w:sdt>
          </w:tr>
          <w:sdt>
            <w:sdtPr>
              <w:rPr>
                <w:szCs w:val="21"/>
              </w:rPr>
              <w:alias w:val="存在关联方交易或余额的合营和联营企业情况明细"/>
              <w:tag w:val="_GBC_ef970ecfd5a24d47a5d96098bbd65e25"/>
              <w:id w:val="-165652495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jc w:val="center"/>
                      <w:rPr>
                        <w:szCs w:val="21"/>
                      </w:rPr>
                    </w:pPr>
                    <w:r>
                      <w:t>张家港保税区国际汽车城有限公司</w:t>
                    </w:r>
                  </w:p>
                </w:tc>
                <w:tc>
                  <w:tcPr>
                    <w:tcW w:w="2798" w:type="pct"/>
                    <w:tcBorders>
                      <w:top w:val="single" w:color="auto" w:sz="4" w:space="0"/>
                      <w:left w:val="single" w:color="auto" w:sz="4" w:space="0"/>
                      <w:bottom w:val="single" w:color="auto" w:sz="4" w:space="0"/>
                      <w:right w:val="single" w:color="auto" w:sz="4" w:space="0"/>
                    </w:tcBorders>
                  </w:tcPr>
                  <w:p>
                    <w:pPr>
                      <w:rPr>
                        <w:szCs w:val="21"/>
                      </w:rPr>
                    </w:pPr>
                    <w:r>
                      <w:t>持有其30%的股份</w:t>
                    </w:r>
                  </w:p>
                </w:tc>
              </w:tr>
            </w:sdtContent>
          </w:sdt>
          <w:sdt>
            <w:sdtPr>
              <w:rPr>
                <w:szCs w:val="21"/>
              </w:rPr>
              <w:alias w:val="存在关联方交易或余额的合营和联营企业情况明细"/>
              <w:tag w:val="_GBC_ef970ecfd5a24d47a5d96098bbd65e25"/>
              <w:id w:val="152135744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jc w:val="center"/>
                      <w:rPr>
                        <w:szCs w:val="21"/>
                      </w:rPr>
                    </w:pPr>
                    <w:r>
                      <w:t>重庆银行股份有限公司</w:t>
                    </w:r>
                  </w:p>
                </w:tc>
                <w:tc>
                  <w:tcPr>
                    <w:tcW w:w="2798" w:type="pct"/>
                    <w:tcBorders>
                      <w:top w:val="single" w:color="auto" w:sz="4" w:space="0"/>
                      <w:left w:val="single" w:color="auto" w:sz="4" w:space="0"/>
                      <w:bottom w:val="single" w:color="auto" w:sz="4" w:space="0"/>
                      <w:right w:val="single" w:color="auto" w:sz="4" w:space="0"/>
                    </w:tcBorders>
                  </w:tcPr>
                  <w:p>
                    <w:pPr>
                      <w:rPr>
                        <w:szCs w:val="21"/>
                      </w:rPr>
                    </w:pPr>
                    <w:r>
                      <w:t>持有其8.49%的股份，且派驻董事一名</w:t>
                    </w:r>
                  </w:p>
                </w:tc>
              </w:tr>
            </w:sdtContent>
          </w:sdt>
          <w:sdt>
            <w:sdtPr>
              <w:rPr>
                <w:szCs w:val="21"/>
              </w:rPr>
              <w:alias w:val="存在关联方交易或余额的合营和联营企业情况明细"/>
              <w:tag w:val="_GBC_ef970ecfd5a24d47a5d96098bbd65e25"/>
              <w:id w:val="49661640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jc w:val="center"/>
                      <w:rPr>
                        <w:szCs w:val="21"/>
                      </w:rPr>
                    </w:pPr>
                    <w:r>
                      <w:t>重庆新能源汽车融资租赁有限公司</w:t>
                    </w:r>
                  </w:p>
                </w:tc>
                <w:tc>
                  <w:tcPr>
                    <w:tcW w:w="2798" w:type="pct"/>
                    <w:tcBorders>
                      <w:top w:val="single" w:color="auto" w:sz="4" w:space="0"/>
                      <w:left w:val="single" w:color="auto" w:sz="4" w:space="0"/>
                      <w:bottom w:val="single" w:color="auto" w:sz="4" w:space="0"/>
                      <w:right w:val="single" w:color="auto" w:sz="4" w:space="0"/>
                    </w:tcBorders>
                  </w:tcPr>
                  <w:p>
                    <w:pPr>
                      <w:rPr>
                        <w:szCs w:val="21"/>
                      </w:rPr>
                    </w:pPr>
                    <w:r>
                      <w:t>持有其33%的股份</w:t>
                    </w:r>
                  </w:p>
                </w:tc>
              </w:tr>
            </w:sdtContent>
          </w:sdt>
          <w:sdt>
            <w:sdtPr>
              <w:rPr>
                <w:szCs w:val="21"/>
              </w:rPr>
              <w:alias w:val="存在关联方交易或余额的合营和联营企业情况明细"/>
              <w:tag w:val="_GBC_ef970ecfd5a24d47a5d96098bbd65e25"/>
              <w:id w:val="-206656396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jc w:val="center"/>
                      <w:rPr>
                        <w:szCs w:val="21"/>
                      </w:rPr>
                    </w:pPr>
                    <w:r>
                      <w:t>力帆融资租赁(上海)有限公司</w:t>
                    </w:r>
                  </w:p>
                </w:tc>
                <w:tc>
                  <w:tcPr>
                    <w:tcW w:w="2798" w:type="pct"/>
                    <w:tcBorders>
                      <w:top w:val="single" w:color="auto" w:sz="4" w:space="0"/>
                      <w:left w:val="single" w:color="auto" w:sz="4" w:space="0"/>
                      <w:bottom w:val="single" w:color="auto" w:sz="4" w:space="0"/>
                      <w:right w:val="single" w:color="auto" w:sz="4" w:space="0"/>
                    </w:tcBorders>
                  </w:tcPr>
                  <w:p>
                    <w:pPr>
                      <w:rPr>
                        <w:szCs w:val="21"/>
                      </w:rPr>
                    </w:pPr>
                    <w:r>
                      <w:t>持有其49%的股份</w:t>
                    </w:r>
                  </w:p>
                </w:tc>
              </w:tr>
            </w:sdtContent>
          </w:sdt>
          <w:sdt>
            <w:sdtPr>
              <w:rPr>
                <w:szCs w:val="21"/>
              </w:rPr>
              <w:alias w:val="存在关联方交易或余额的合营和联营企业情况明细"/>
              <w:tag w:val="_GBC_ef970ecfd5a24d47a5d96098bbd65e25"/>
              <w:id w:val="175440401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2202" w:type="pct"/>
                    <w:tcBorders>
                      <w:top w:val="single" w:color="auto" w:sz="4" w:space="0"/>
                      <w:left w:val="single" w:color="auto" w:sz="4" w:space="0"/>
                      <w:bottom w:val="single" w:color="auto" w:sz="4" w:space="0"/>
                      <w:right w:val="single" w:color="auto" w:sz="4" w:space="0"/>
                    </w:tcBorders>
                  </w:tcPr>
                  <w:p>
                    <w:pPr>
                      <w:jc w:val="center"/>
                      <w:rPr>
                        <w:szCs w:val="21"/>
                      </w:rPr>
                    </w:pPr>
                    <w:r>
                      <w:t>济源济康新能源汽车有限公司</w:t>
                    </w:r>
                  </w:p>
                </w:tc>
                <w:tc>
                  <w:tcPr>
                    <w:tcW w:w="2798" w:type="pct"/>
                    <w:tcBorders>
                      <w:top w:val="single" w:color="auto" w:sz="4" w:space="0"/>
                      <w:left w:val="single" w:color="auto" w:sz="4" w:space="0"/>
                      <w:bottom w:val="single" w:color="auto" w:sz="4" w:space="0"/>
                      <w:right w:val="single" w:color="auto" w:sz="4" w:space="0"/>
                    </w:tcBorders>
                  </w:tcPr>
                  <w:p>
                    <w:pPr>
                      <w:rPr>
                        <w:szCs w:val="21"/>
                      </w:rPr>
                    </w:pPr>
                    <w:r>
                      <w:t>持有其34%的股份，本期已处置</w:t>
                    </w:r>
                  </w:p>
                </w:tc>
              </w:tr>
            </w:sdtContent>
          </w:sdt>
        </w:tbl>
        <w:p/>
        <w:p>
          <w:pPr>
            <w:tabs>
              <w:tab w:val="left" w:pos="1134"/>
            </w:tabs>
            <w:rPr>
              <w:rFonts w:cs="Cambria"/>
              <w:szCs w:val="21"/>
            </w:rPr>
          </w:pPr>
          <w:r>
            <w:rPr>
              <w:rFonts w:hint="eastAsia" w:cs="Cambria"/>
              <w:szCs w:val="21"/>
            </w:rPr>
            <w:t>其他说明</w:t>
          </w:r>
        </w:p>
        <w:sdt>
          <w:sdtPr>
            <w:rPr>
              <w:rFonts w:cs="Cambria"/>
              <w:szCs w:val="21"/>
            </w:rPr>
            <w:alias w:val="是否适用：存在关联方交易或余额的合营和联营企业情况说明[双击切换]"/>
            <w:tag w:val="_GBC_491f62bb76ba49c482a64272865cc4a1"/>
            <w:id w:val="387083105"/>
            <w:lock w:val="sdtLocked"/>
            <w:placeholder>
              <w:docPart w:val="GBC22222222222222222222222222222"/>
            </w:placeholder>
          </w:sdtPr>
          <w:sdtEndPr>
            <w:rPr>
              <w:rFonts w:cs="Cambria"/>
              <w:szCs w:val="21"/>
            </w:rPr>
          </w:sdtEndPr>
          <w:sdtContent>
            <w:p>
              <w:pPr>
                <w:tabs>
                  <w:tab w:val="left" w:pos="1134"/>
                </w:tabs>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tabs>
              <w:tab w:val="left" w:pos="1134"/>
            </w:tabs>
            <w:rPr>
              <w:rFonts w:cs="Cambria"/>
              <w:szCs w:val="21"/>
            </w:rPr>
          </w:pPr>
        </w:p>
      </w:sdtContent>
    </w:sdt>
    <w:sdt>
      <w:sdtPr>
        <w:rPr>
          <w:rFonts w:hint="eastAsia" w:ascii="宋体" w:hAnsi="宋体" w:cs="宋体"/>
          <w:b w:val="0"/>
          <w:bCs w:val="0"/>
          <w:kern w:val="0"/>
          <w:szCs w:val="24"/>
        </w:rPr>
        <w:alias w:val="模块:其他关联方情况"/>
        <w:tag w:val="_SEC_4da82436ee754a98b1f572e1fb4440db"/>
        <w:id w:val="-1427730433"/>
        <w:lock w:val="sdtLocked"/>
        <w:placeholder>
          <w:docPart w:val="GBC22222222222222222222222222222"/>
        </w:placeholder>
      </w:sdtPr>
      <w:sdtEndPr>
        <w:rPr>
          <w:rFonts w:hint="eastAsia" w:ascii="宋体" w:hAnsi="宋体" w:cs="Cambria"/>
          <w:b w:val="0"/>
          <w:bCs w:val="0"/>
          <w:kern w:val="0"/>
          <w:szCs w:val="21"/>
        </w:rPr>
      </w:sdtEndPr>
      <w:sdtContent>
        <w:p>
          <w:pPr>
            <w:pStyle w:val="114"/>
            <w:numPr>
              <w:ilvl w:val="0"/>
              <w:numId w:val="122"/>
            </w:numPr>
          </w:pPr>
          <w:r>
            <w:rPr>
              <w:rFonts w:hint="eastAsia"/>
            </w:rPr>
            <w:t>其他关联方情况</w:t>
          </w:r>
        </w:p>
        <w:sdt>
          <w:sdtPr>
            <w:alias w:val="是否适用：其他关联方情况[双击切换]"/>
            <w:tag w:val="_GBC_42246b4c04fc4462b5fb05a5db67f4d0"/>
            <w:id w:val="18678712"/>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49"/>
            <w:gridCol w:w="47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sdt>
              <w:sdtPr>
                <w:tag w:val="_PLD_36db3e8c12e04d279b0c2956ad69d8a6"/>
                <w:id w:val="-191223569"/>
                <w:lock w:val="sdtLocked"/>
              </w:sdtPr>
              <w:sdtContent>
                <w:tc>
                  <w:tcPr>
                    <w:tcW w:w="2198"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其他关联方名称</w:t>
                    </w:r>
                  </w:p>
                </w:tc>
              </w:sdtContent>
            </w:sdt>
            <w:sdt>
              <w:sdtPr>
                <w:tag w:val="_PLD_b851a2cc9280416290b9ebf815c49236"/>
                <w:id w:val="-1348169905"/>
                <w:lock w:val="sdtLocked"/>
              </w:sdtPr>
              <w:sdtContent>
                <w:tc>
                  <w:tcPr>
                    <w:tcW w:w="280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szCs w:val="21"/>
                      </w:rPr>
                    </w:pPr>
                    <w:r>
                      <w:rPr>
                        <w:rFonts w:hint="eastAsia" w:cs="Cambria"/>
                        <w:szCs w:val="21"/>
                      </w:rPr>
                      <w:t>其他关联方与本企业关系</w:t>
                    </w:r>
                  </w:p>
                </w:tc>
              </w:sdtContent>
            </w:sdt>
          </w:tr>
          <w:sdt>
            <w:sdtPr>
              <w:rPr>
                <w:rFonts w:cs="Cambria"/>
                <w:szCs w:val="21"/>
              </w:rPr>
              <w:alias w:val="本企业的其他关联方情况明细"/>
              <w:tag w:val="_TUP_a783e3455e3448cbb8198b1265f2df23"/>
              <w:id w:val="-8330843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重庆力帆控股有限公司</w:t>
                    </w:r>
                  </w:p>
                </w:tc>
                <w:sdt>
                  <w:sdtPr>
                    <w:rPr>
                      <w:rFonts w:cs="Cambria"/>
                      <w:szCs w:val="21"/>
                    </w:rPr>
                    <w:alias w:val="本企业的其他关联方情况明细－其他关联方与本公司关系"/>
                    <w:tag w:val="_GBC_58cfdd73098648d8af76645c4007a3fa"/>
                    <w:id w:val="79279282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w:t>
                        </w:r>
                      </w:p>
                    </w:tc>
                  </w:sdtContent>
                </w:sdt>
              </w:tr>
            </w:sdtContent>
          </w:sdt>
          <w:sdt>
            <w:sdtPr>
              <w:rPr>
                <w:rFonts w:cs="Cambria"/>
                <w:szCs w:val="21"/>
              </w:rPr>
              <w:alias w:val="本企业的其他关联方情况明细"/>
              <w:tag w:val="_TUP_a783e3455e3448cbb8198b1265f2df23"/>
              <w:id w:val="-104622396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重庆盼达汽车租赁有限公司</w:t>
                    </w:r>
                  </w:p>
                </w:tc>
                <w:sdt>
                  <w:sdtPr>
                    <w:rPr>
                      <w:rFonts w:cs="Cambria"/>
                      <w:szCs w:val="21"/>
                    </w:rPr>
                    <w:alias w:val="本企业的其他关联方情况明细－其他关联方与本公司关系"/>
                    <w:tag w:val="_GBC_58cfdd73098648d8af76645c4007a3fa"/>
                    <w:id w:val="-12622099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52837884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重庆力帆红星商业管理有限公司</w:t>
                    </w:r>
                  </w:p>
                </w:tc>
                <w:sdt>
                  <w:sdtPr>
                    <w:rPr>
                      <w:rFonts w:cs="Cambria"/>
                      <w:szCs w:val="21"/>
                    </w:rPr>
                    <w:alias w:val="本企业的其他关联方情况明细－其他关联方与本公司关系"/>
                    <w:tag w:val="_GBC_58cfdd73098648d8af76645c4007a3fa"/>
                    <w:id w:val="42547055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96510965"/>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重庆裕弘昇物业管理有限公司</w:t>
                    </w:r>
                  </w:p>
                </w:tc>
                <w:sdt>
                  <w:sdtPr>
                    <w:rPr>
                      <w:rFonts w:cs="Cambria"/>
                      <w:szCs w:val="21"/>
                    </w:rPr>
                    <w:alias w:val="本企业的其他关联方情况明细－其他关联方与本公司关系"/>
                    <w:tag w:val="_GBC_58cfdd73098648d8af76645c4007a3fa"/>
                    <w:id w:val="188058445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778136129"/>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重庆易易新能源科技有限公司</w:t>
                    </w:r>
                  </w:p>
                </w:tc>
                <w:sdt>
                  <w:sdtPr>
                    <w:rPr>
                      <w:rFonts w:cs="Cambria"/>
                      <w:szCs w:val="21"/>
                    </w:rPr>
                    <w:alias w:val="本企业的其他关联方情况明细－其他关联方与本公司关系"/>
                    <w:tag w:val="_GBC_58cfdd73098648d8af76645c4007a3fa"/>
                    <w:id w:val="1208099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766458015"/>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浙江美可达摩托车有限公司</w:t>
                    </w:r>
                  </w:p>
                </w:tc>
                <w:sdt>
                  <w:sdtPr>
                    <w:rPr>
                      <w:rFonts w:cs="Cambria"/>
                      <w:szCs w:val="21"/>
                    </w:rPr>
                    <w:alias w:val="本企业的其他关联方情况明细－其他关联方与本公司关系"/>
                    <w:tag w:val="_GBC_58cfdd73098648d8af76645c4007a3fa"/>
                    <w:id w:val="-9255544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256356027"/>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浙江巨科新材料股份有限公司</w:t>
                    </w:r>
                  </w:p>
                </w:tc>
                <w:sdt>
                  <w:sdtPr>
                    <w:rPr>
                      <w:rFonts w:cs="Cambria"/>
                      <w:szCs w:val="21"/>
                    </w:rPr>
                    <w:alias w:val="本企业的其他关联方情况明细－其他关联方与本公司关系"/>
                    <w:tag w:val="_GBC_58cfdd73098648d8af76645c4007a3fa"/>
                    <w:id w:val="-31981109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148484343"/>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浙江吉速物流有限公司</w:t>
                    </w:r>
                  </w:p>
                </w:tc>
                <w:sdt>
                  <w:sdtPr>
                    <w:rPr>
                      <w:rFonts w:cs="Cambria"/>
                      <w:szCs w:val="21"/>
                    </w:rPr>
                    <w:alias w:val="本企业的其他关联方情况明细－其他关联方与本公司关系"/>
                    <w:tag w:val="_GBC_58cfdd73098648d8af76645c4007a3fa"/>
                    <w:id w:val="-11404988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425302359"/>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浙江吉利商务服务有限公司</w:t>
                    </w:r>
                  </w:p>
                </w:tc>
                <w:sdt>
                  <w:sdtPr>
                    <w:rPr>
                      <w:rFonts w:cs="Cambria"/>
                      <w:szCs w:val="21"/>
                    </w:rPr>
                    <w:alias w:val="本企业的其他关联方情况明细－其他关联方与本公司关系"/>
                    <w:tag w:val="_GBC_58cfdd73098648d8af76645c4007a3fa"/>
                    <w:id w:val="-1198005748"/>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10591760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浙江吉利汽车有限公司杭州分公司</w:t>
                    </w:r>
                  </w:p>
                </w:tc>
                <w:sdt>
                  <w:sdtPr>
                    <w:rPr>
                      <w:rFonts w:cs="Cambria"/>
                      <w:szCs w:val="21"/>
                    </w:rPr>
                    <w:alias w:val="本企业的其他关联方情况明细－其他关联方与本公司关系"/>
                    <w:tag w:val="_GBC_58cfdd73098648d8af76645c4007a3fa"/>
                    <w:id w:val="1738587900"/>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327326473"/>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浙江吉利汽车有限公司贵阳分公司</w:t>
                    </w:r>
                  </w:p>
                </w:tc>
                <w:sdt>
                  <w:sdtPr>
                    <w:rPr>
                      <w:rFonts w:cs="Cambria"/>
                      <w:szCs w:val="21"/>
                    </w:rPr>
                    <w:alias w:val="本企业的其他关联方情况明细－其他关联方与本公司关系"/>
                    <w:tag w:val="_GBC_58cfdd73098648d8af76645c4007a3fa"/>
                    <w:id w:val="186100927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441954027"/>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浙江豪情汽车制造有限公司</w:t>
                    </w:r>
                  </w:p>
                </w:tc>
                <w:sdt>
                  <w:sdtPr>
                    <w:rPr>
                      <w:rFonts w:cs="Cambria"/>
                      <w:szCs w:val="21"/>
                    </w:rPr>
                    <w:alias w:val="本企业的其他关联方情况明细－其他关联方与本公司关系"/>
                    <w:tag w:val="_GBC_58cfdd73098648d8af76645c4007a3fa"/>
                    <w:id w:val="185776838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959532791"/>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浙江福林国润汽车零部件有限公司</w:t>
                    </w:r>
                  </w:p>
                </w:tc>
                <w:sdt>
                  <w:sdtPr>
                    <w:rPr>
                      <w:rFonts w:cs="Cambria"/>
                      <w:szCs w:val="21"/>
                    </w:rPr>
                    <w:alias w:val="本企业的其他关联方情况明细－其他关联方与本公司关系"/>
                    <w:tag w:val="_GBC_58cfdd73098648d8af76645c4007a3fa"/>
                    <w:id w:val="49530141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167436263"/>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浙江枫盛汽车销售有限公司</w:t>
                    </w:r>
                  </w:p>
                </w:tc>
                <w:sdt>
                  <w:sdtPr>
                    <w:rPr>
                      <w:rFonts w:cs="Cambria"/>
                      <w:szCs w:val="21"/>
                    </w:rPr>
                    <w:alias w:val="本企业的其他关联方情况明细－其他关联方与本公司关系"/>
                    <w:tag w:val="_GBC_58cfdd73098648d8af76645c4007a3fa"/>
                    <w:id w:val="-789138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66844676"/>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易易互联科技有限公司</w:t>
                    </w:r>
                  </w:p>
                </w:tc>
                <w:sdt>
                  <w:sdtPr>
                    <w:rPr>
                      <w:rFonts w:cs="Cambria"/>
                      <w:szCs w:val="21"/>
                    </w:rPr>
                    <w:alias w:val="本企业的其他关联方情况明细－其他关联方与本公司关系"/>
                    <w:tag w:val="_GBC_58cfdd73098648d8af76645c4007a3fa"/>
                    <w:id w:val="199768332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31031941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苏州市吉利优行电子科技有限公司</w:t>
                    </w:r>
                  </w:p>
                </w:tc>
                <w:sdt>
                  <w:sdtPr>
                    <w:rPr>
                      <w:rFonts w:cs="Cambria"/>
                      <w:szCs w:val="21"/>
                    </w:rPr>
                    <w:alias w:val="本企业的其他关联方情况明细－其他关联方与本公司关系"/>
                    <w:tag w:val="_GBC_58cfdd73098648d8af76645c4007a3fa"/>
                    <w:id w:val="-190612645"/>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571623879"/>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苏州铭拾汽车销售服务有限公司</w:t>
                    </w:r>
                  </w:p>
                </w:tc>
                <w:sdt>
                  <w:sdtPr>
                    <w:rPr>
                      <w:rFonts w:cs="Cambria"/>
                      <w:szCs w:val="21"/>
                    </w:rPr>
                    <w:alias w:val="本企业的其他关联方情况明细－其他关联方与本公司关系"/>
                    <w:tag w:val="_GBC_58cfdd73098648d8af76645c4007a3fa"/>
                    <w:id w:val="51265684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483120041"/>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吉智（杭州）文化创意有限公司</w:t>
                    </w:r>
                  </w:p>
                </w:tc>
                <w:sdt>
                  <w:sdtPr>
                    <w:rPr>
                      <w:rFonts w:cs="Cambria"/>
                      <w:szCs w:val="21"/>
                    </w:rPr>
                    <w:alias w:val="本企业的其他关联方情况明细－其他关联方与本公司关系"/>
                    <w:tag w:val="_GBC_58cfdd73098648d8af76645c4007a3fa"/>
                    <w:id w:val="-1699305701"/>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30900812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吉利汽车集团有限公司</w:t>
                    </w:r>
                  </w:p>
                </w:tc>
                <w:sdt>
                  <w:sdtPr>
                    <w:rPr>
                      <w:rFonts w:cs="Cambria"/>
                      <w:szCs w:val="21"/>
                    </w:rPr>
                    <w:alias w:val="本企业的其他关联方情况明细－其他关联方与本公司关系"/>
                    <w:tag w:val="_GBC_58cfdd73098648d8af76645c4007a3fa"/>
                    <w:id w:val="1916361287"/>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2061240872"/>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吉利迈捷投资有限公司</w:t>
                    </w:r>
                  </w:p>
                </w:tc>
                <w:sdt>
                  <w:sdtPr>
                    <w:rPr>
                      <w:rFonts w:cs="Cambria"/>
                      <w:szCs w:val="21"/>
                    </w:rPr>
                    <w:alias w:val="本企业的其他关联方情况明细－其他关联方与本公司关系"/>
                    <w:tag w:val="_GBC_58cfdd73098648d8af76645c4007a3fa"/>
                    <w:id w:val="213150778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640112729"/>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吉利百矿集团有限公司</w:t>
                    </w:r>
                  </w:p>
                </w:tc>
                <w:sdt>
                  <w:sdtPr>
                    <w:rPr>
                      <w:rFonts w:cs="Cambria"/>
                      <w:szCs w:val="21"/>
                    </w:rPr>
                    <w:alias w:val="本企业的其他关联方情况明细－其他关联方与本公司关系"/>
                    <w:tag w:val="_GBC_58cfdd73098648d8af76645c4007a3fa"/>
                    <w:id w:val="-969201519"/>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5023451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杭州闪步科技有限公司</w:t>
                    </w:r>
                  </w:p>
                </w:tc>
                <w:sdt>
                  <w:sdtPr>
                    <w:rPr>
                      <w:rFonts w:cs="Cambria"/>
                      <w:szCs w:val="21"/>
                    </w:rPr>
                    <w:alias w:val="本企业的其他关联方情况明细－其他关联方与本公司关系"/>
                    <w:tag w:val="_GBC_58cfdd73098648d8af76645c4007a3fa"/>
                    <w:id w:val="-117657369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652408203"/>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杭州枫华文化创意有限公司</w:t>
                    </w:r>
                  </w:p>
                </w:tc>
                <w:sdt>
                  <w:sdtPr>
                    <w:rPr>
                      <w:rFonts w:cs="Cambria"/>
                      <w:szCs w:val="21"/>
                    </w:rPr>
                    <w:alias w:val="本企业的其他关联方情况明细－其他关联方与本公司关系"/>
                    <w:tag w:val="_GBC_58cfdd73098648d8af76645c4007a3fa"/>
                    <w:id w:val="-36059626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72996253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福建常青新能源科技有限公司</w:t>
                    </w:r>
                  </w:p>
                </w:tc>
                <w:sdt>
                  <w:sdtPr>
                    <w:rPr>
                      <w:rFonts w:cs="Cambria"/>
                      <w:szCs w:val="21"/>
                    </w:rPr>
                    <w:alias w:val="本企业的其他关联方情况明细－其他关联方与本公司关系"/>
                    <w:tag w:val="_GBC_58cfdd73098648d8af76645c4007a3fa"/>
                    <w:id w:val="-1486701672"/>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899106124"/>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枫盛汽车（江苏）有限公司</w:t>
                    </w:r>
                  </w:p>
                </w:tc>
                <w:sdt>
                  <w:sdtPr>
                    <w:rPr>
                      <w:rFonts w:cs="Cambria"/>
                      <w:szCs w:val="21"/>
                    </w:rPr>
                    <w:alias w:val="本企业的其他关联方情况明细－其他关联方与本公司关系"/>
                    <w:tag w:val="_GBC_58cfdd73098648d8af76645c4007a3fa"/>
                    <w:id w:val="-182588031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243345828"/>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锦华出行科技有限公司</w:t>
                    </w:r>
                  </w:p>
                </w:tc>
                <w:sdt>
                  <w:sdtPr>
                    <w:rPr>
                      <w:rFonts w:cs="Cambria"/>
                      <w:szCs w:val="21"/>
                    </w:rPr>
                    <w:alias w:val="本企业的其他关联方情况明细－其他关联方与本公司关系"/>
                    <w:tag w:val="_GBC_58cfdd73098648d8af76645c4007a3fa"/>
                    <w:id w:val="-1007668526"/>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153557567"/>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重庆力帆置业有限公司</w:t>
                    </w:r>
                  </w:p>
                </w:tc>
                <w:sdt>
                  <w:sdtPr>
                    <w:rPr>
                      <w:rFonts w:cs="Cambria"/>
                      <w:szCs w:val="21"/>
                    </w:rPr>
                    <w:alias w:val="本企业的其他关联方情况明细－其他关联方与本公司关系"/>
                    <w:tag w:val="_GBC_58cfdd73098648d8af76645c4007a3fa"/>
                    <w:id w:val="-308705864"/>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sdt>
            <w:sdtPr>
              <w:rPr>
                <w:rFonts w:cs="Cambria"/>
                <w:szCs w:val="21"/>
              </w:rPr>
              <w:alias w:val="本企业的其他关联方情况明细"/>
              <w:tag w:val="_TUP_a783e3455e3448cbb8198b1265f2df23"/>
              <w:id w:val="1002401630"/>
              <w:lock w:val="sdtLocked"/>
            </w:sdtPr>
            <w:sdtEndPr>
              <w:rPr>
                <w:rFonts w:cs="Cambr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98" w:type="pct"/>
                    <w:tcBorders>
                      <w:top w:val="single" w:color="auto" w:sz="4" w:space="0"/>
                      <w:left w:val="single" w:color="auto" w:sz="4" w:space="0"/>
                      <w:bottom w:val="single" w:color="auto" w:sz="4" w:space="0"/>
                      <w:right w:val="single" w:color="auto" w:sz="4" w:space="0"/>
                    </w:tcBorders>
                    <w:vAlign w:val="center"/>
                  </w:tcPr>
                  <w:p>
                    <w:pPr>
                      <w:jc w:val="center"/>
                      <w:rPr>
                        <w:rFonts w:cs="Cambria"/>
                        <w:szCs w:val="21"/>
                      </w:rPr>
                    </w:pPr>
                    <w:r>
                      <w:t>重庆润鹏房地产开发有限公司</w:t>
                    </w:r>
                  </w:p>
                </w:tc>
                <w:sdt>
                  <w:sdtPr>
                    <w:rPr>
                      <w:rFonts w:cs="Cambria"/>
                      <w:szCs w:val="21"/>
                    </w:rPr>
                    <w:alias w:val="本企业的其他关联方情况明细－其他关联方与本公司关系"/>
                    <w:tag w:val="_GBC_58cfdd73098648d8af76645c4007a3fa"/>
                    <w:id w:val="-1323044273"/>
                    <w:lock w:val="sdtLocked"/>
                    <w:comboBox>
                      <w:listItem w:displayText="参股股东" w:value="参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comboBox>
                  </w:sdtPr>
                  <w:sdtEndPr>
                    <w:rPr>
                      <w:rFonts w:cs="Cambria"/>
                      <w:szCs w:val="21"/>
                    </w:rPr>
                  </w:sdtEndPr>
                  <w:sdtContent>
                    <w:tc>
                      <w:tcPr>
                        <w:tcW w:w="2802" w:type="pct"/>
                        <w:tcBorders>
                          <w:top w:val="single" w:color="auto" w:sz="4" w:space="0"/>
                          <w:left w:val="single" w:color="auto" w:sz="4" w:space="0"/>
                          <w:bottom w:val="single" w:color="auto" w:sz="4" w:space="0"/>
                          <w:right w:val="single" w:color="auto" w:sz="4" w:space="0"/>
                        </w:tcBorders>
                      </w:tcPr>
                      <w:p>
                        <w:pPr>
                          <w:jc w:val="center"/>
                          <w:rPr>
                            <w:rFonts w:cs="Cambria"/>
                            <w:szCs w:val="21"/>
                          </w:rPr>
                        </w:pPr>
                        <w:r>
                          <w:rPr>
                            <w:rFonts w:cs="Cambria"/>
                            <w:szCs w:val="21"/>
                          </w:rPr>
                          <w:t>持有公司5%以上股份股东的关联方</w:t>
                        </w:r>
                      </w:p>
                    </w:tc>
                  </w:sdtContent>
                </w:sdt>
              </w:tr>
            </w:sdtContent>
          </w:sdt>
        </w:tbl>
        <w:p/>
        <w:p>
          <w:pPr>
            <w:tabs>
              <w:tab w:val="left" w:pos="1134"/>
            </w:tabs>
            <w:rPr>
              <w:rFonts w:cs="Cambria"/>
              <w:szCs w:val="21"/>
            </w:rPr>
          </w:pPr>
          <w:r>
            <w:rPr>
              <w:rFonts w:hint="eastAsia" w:cs="Cambria"/>
              <w:szCs w:val="21"/>
            </w:rPr>
            <w:t>其他说明</w:t>
          </w:r>
        </w:p>
        <w:sdt>
          <w:sdtPr>
            <w:rPr>
              <w:rFonts w:cs="Cambria"/>
              <w:szCs w:val="21"/>
            </w:rPr>
            <w:alias w:val="本企业的其他关联方情况的说明"/>
            <w:tag w:val="_GBC_117952daaba845fa964eb3e2e22e8fc5"/>
            <w:id w:val="-832145944"/>
            <w:lock w:val="sdtLocked"/>
            <w:placeholder>
              <w:docPart w:val="GBC22222222222222222222222222222"/>
            </w:placeholder>
          </w:sdtPr>
          <w:sdtEndPr>
            <w:rPr>
              <w:rFonts w:cs="Cambria"/>
              <w:szCs w:val="21"/>
            </w:rPr>
          </w:sdtEndPr>
          <w:sdtContent>
            <w:p>
              <w:pPr>
                <w:tabs>
                  <w:tab w:val="left" w:pos="1134"/>
                </w:tabs>
                <w:rPr>
                  <w:rFonts w:cs="Cambria"/>
                  <w:szCs w:val="21"/>
                </w:rPr>
              </w:pPr>
              <w:r>
                <w:rPr>
                  <w:rFonts w:hint="eastAsia" w:cs="Cambria"/>
                  <w:szCs w:val="21"/>
                </w:rPr>
                <w:t>无</w:t>
              </w:r>
            </w:p>
          </w:sdtContent>
        </w:sdt>
        <w:p>
          <w:pPr>
            <w:tabs>
              <w:tab w:val="left" w:pos="1134"/>
            </w:tabs>
            <w:rPr>
              <w:rFonts w:cs="Cambria"/>
              <w:b/>
              <w:szCs w:val="21"/>
            </w:rPr>
          </w:pPr>
        </w:p>
      </w:sdtContent>
    </w:sdt>
    <w:p>
      <w:pPr>
        <w:pStyle w:val="114"/>
        <w:numPr>
          <w:ilvl w:val="0"/>
          <w:numId w:val="122"/>
        </w:numPr>
      </w:pPr>
      <w:r>
        <w:rPr>
          <w:rFonts w:hint="eastAsia"/>
        </w:rPr>
        <w:t>关联交易情况</w:t>
      </w:r>
    </w:p>
    <w:p>
      <w:pPr>
        <w:pStyle w:val="115"/>
        <w:numPr>
          <w:ilvl w:val="3"/>
          <w:numId w:val="123"/>
        </w:numPr>
        <w:ind w:left="424" w:hanging="424" w:hangingChars="201"/>
      </w:pPr>
      <w:r>
        <w:rPr>
          <w:rFonts w:hint="eastAsia"/>
        </w:rPr>
        <w:t>购销商品、提供和接受劳务的关联交易</w:t>
      </w:r>
    </w:p>
    <w:sdt>
      <w:sdtPr>
        <w:rPr>
          <w:rFonts w:hint="eastAsia"/>
        </w:rPr>
        <w:alias w:val="模块:采购商品/接受劳务情况表"/>
        <w:tag w:val="_SEC_b6443abb06dd41c7944d441c27c48f7d"/>
        <w:id w:val="-1179184064"/>
        <w:lock w:val="sdtLocked"/>
        <w:placeholder>
          <w:docPart w:val="GBC22222222222222222222222222222"/>
        </w:placeholder>
      </w:sdtPr>
      <w:sdtEndPr>
        <w:rPr>
          <w:rFonts w:hint="default"/>
        </w:rPr>
      </w:sdtEndPr>
      <w:sdtContent>
        <w:p>
          <w:r>
            <w:rPr>
              <w:rFonts w:hint="eastAsia"/>
            </w:rPr>
            <w:t>采购商品/接受劳务情况表</w:t>
          </w:r>
        </w:p>
        <w:sdt>
          <w:sdtPr>
            <w:alias w:val="是否适用：采购商品或接受劳务情况表[双击切换]"/>
            <w:tag w:val="_GBC_c080653feddc4cf2a468adfbb755dff3"/>
            <w:id w:val="-171464925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cs="Cambria"/>
              <w:b/>
              <w:bCs/>
              <w:szCs w:val="21"/>
            </w:rPr>
          </w:pPr>
          <w:r>
            <w:rPr>
              <w:rFonts w:hint="eastAsia" w:cs="Cambria"/>
              <w:szCs w:val="21"/>
            </w:rPr>
            <w:t>单位：</w:t>
          </w:r>
          <w:sdt>
            <w:sdtPr>
              <w:rPr>
                <w:rFonts w:hint="eastAsia" w:cs="Cambria"/>
                <w:szCs w:val="21"/>
              </w:rPr>
              <w:alias w:val="单位：采购商品接受劳务情况表"/>
              <w:tag w:val="_GBC_60c7e55aaf24447a8a860810d4064a69"/>
              <w:id w:val="19689304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cs="Cambria"/>
                <w:szCs w:val="21"/>
              </w:rPr>
            </w:sdtEndPr>
            <w:sdtContent>
              <w:r>
                <w:rPr>
                  <w:rFonts w:hint="eastAsia" w:cs="Cambria"/>
                  <w:szCs w:val="21"/>
                </w:rPr>
                <w:t>元</w:t>
              </w:r>
            </w:sdtContent>
          </w:sdt>
          <w:r>
            <w:rPr>
              <w:rFonts w:hint="eastAsia" w:cs="Cambria"/>
              <w:szCs w:val="21"/>
            </w:rPr>
            <w:t xml:space="preserve">  币种：</w:t>
          </w:r>
          <w:sdt>
            <w:sdtPr>
              <w:rPr>
                <w:rFonts w:hint="eastAsia" w:cs="Cambria"/>
                <w:szCs w:val="21"/>
              </w:rPr>
              <w:alias w:val="币种：采购商品接受劳务情况表"/>
              <w:tag w:val="_GBC_18feeecfa5c34459a62da7de5d6b5a90"/>
              <w:id w:val="1309288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cs="Cambria"/>
                <w:szCs w:val="21"/>
              </w:rPr>
            </w:sdtEndPr>
            <w:sdtContent>
              <w:r>
                <w:rPr>
                  <w:rFonts w:hint="eastAsia" w:cs="Cambr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10"/>
            <w:gridCol w:w="1700"/>
            <w:gridCol w:w="1702"/>
            <w:gridCol w:w="1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95" w:hRule="atLeast"/>
            </w:trPr>
            <w:sdt>
              <w:sdtPr>
                <w:tag w:val="_PLD_ed4fd195f176464f83eb8db1dbcbc443"/>
                <w:id w:val="22839433"/>
                <w:lock w:val="sdtLocked"/>
              </w:sdtPr>
              <w:sdtContent>
                <w:tc>
                  <w:tcPr>
                    <w:tcW w:w="20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关联方</w:t>
                    </w:r>
                  </w:p>
                </w:tc>
              </w:sdtContent>
            </w:sdt>
            <w:sdt>
              <w:sdtPr>
                <w:tag w:val="_PLD_013e7578c973447da6bccdb1a3924d96"/>
                <w:id w:val="1734038484"/>
                <w:lock w:val="sdtLocked"/>
              </w:sdtPr>
              <w:sdtContent>
                <w:tc>
                  <w:tcPr>
                    <w:tcW w:w="99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关联交易内容</w:t>
                    </w:r>
                  </w:p>
                </w:tc>
              </w:sdtContent>
            </w:sdt>
            <w:sdt>
              <w:sdtPr>
                <w:tag w:val="_PLD_6b54e09a146a4c34bba286909831c05b"/>
                <w:id w:val="1080873281"/>
                <w:lock w:val="sdtLocked"/>
              </w:sdtPr>
              <w:sdtContent>
                <w:tc>
                  <w:tcPr>
                    <w:tcW w:w="998" w:type="pct"/>
                    <w:tcBorders>
                      <w:top w:val="single" w:color="auto" w:sz="4" w:space="0"/>
                      <w:left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本期发生额</w:t>
                    </w:r>
                  </w:p>
                </w:tc>
              </w:sdtContent>
            </w:sdt>
            <w:sdt>
              <w:sdtPr>
                <w:tag w:val="_PLD_9f856a67de3d45acbef7ccb12b35985d"/>
                <w:id w:val="426323940"/>
                <w:lock w:val="sdtLocked"/>
              </w:sdtPr>
              <w:sdtContent>
                <w:tc>
                  <w:tcPr>
                    <w:tcW w:w="947" w:type="pct"/>
                    <w:tcBorders>
                      <w:top w:val="single" w:color="auto" w:sz="4" w:space="0"/>
                      <w:left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上期发生额</w:t>
                    </w:r>
                  </w:p>
                </w:tc>
              </w:sdtContent>
            </w:sdt>
          </w:tr>
          <w:sdt>
            <w:sdtPr>
              <w:rPr>
                <w:szCs w:val="21"/>
              </w:rPr>
              <w:alias w:val="采购商品接受劳务情况明细"/>
              <w:tag w:val="_TUP_21b06c19d7ae4c2ea8596d9fcb57283b"/>
              <w:id w:val="213875272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枫盛汽车（江苏）有限公司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原材料</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349,958.91</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67055120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枫盛汽车（江苏）有限公司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研发支出</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57,154.19</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45724931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枫盛汽车（江苏）有限公司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固定资产</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3,621,000.00</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15707022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杭州枫华文化创意有限公司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办公用品</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177,861.73</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91250934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杭州枫华文化创意有限公司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固定资产</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77,097.00</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75980150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杭州闪步科技有限公司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购买服务</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298,000.00</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90730148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吉利汽车集团有限公司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研发支出</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996,716.65</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59243529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吉智（杭州）文化创意有限公司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购买服务</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1,120,499.14</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54051226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浙江枫盛汽车销售有限公司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购买服务</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5,272,669.81</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2020230377"/>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浙江福林国润汽车零部件有限公司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研发支出</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83,474.97</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94300285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浙江吉利汽车有限公司贵阳分公司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原材料</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474,526,710.6</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202130575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浙江吉利汽车有限公司杭州分公司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库存商品</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28,474,703.36</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62766379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浙江吉利商务服务有限公司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购买服务</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43,414.46</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61567341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浙江吉速物流有限公司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购买服务</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6,557,442.97</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36312710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浙江巨科新材料股份有限公司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原材料</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12,540.00</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31568224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重庆盼达汽车租赁有限公司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购买服务</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55,435.78</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23686512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浙江美可达摩托车有限公司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固定资产</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400,000.00</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79710125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浙江美可达摩托车有限公司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原材料</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5,053.33</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204771156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重庆裕弘昇物业管理有限公司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物业费</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109,372.19</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99919703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重庆裕弘昇物业管理有限公司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水电费</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43,182.08</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19221290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重庆裕弘昇物业管理有限公司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车库租金</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820,464.29</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采购商品接受劳务情况明细"/>
              <w:tag w:val="_TUP_21b06c19d7ae4c2ea8596d9fcb57283b"/>
              <w:id w:val="-105260946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张家港保税区国际汽车城有限公司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采购平行进口车</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77,424,922.33</w:t>
                    </w:r>
                  </w:p>
                </w:tc>
              </w:tr>
            </w:sdtContent>
          </w:sdt>
          <w:sdt>
            <w:sdtPr>
              <w:rPr>
                <w:szCs w:val="21"/>
              </w:rPr>
              <w:alias w:val="采购商品接受劳务情况明细"/>
              <w:tag w:val="_TUP_21b06c19d7ae4c2ea8596d9fcb57283b"/>
              <w:id w:val="-23385563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张家港保税区国际汽车城有限公司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代理服务费</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1,211,515.50</w:t>
                    </w:r>
                  </w:p>
                </w:tc>
              </w:tr>
            </w:sdtContent>
          </w:sdt>
          <w:sdt>
            <w:sdtPr>
              <w:rPr>
                <w:szCs w:val="21"/>
              </w:rPr>
              <w:alias w:val="采购商品接受劳务情况明细"/>
              <w:tag w:val="_TUP_21b06c19d7ae4c2ea8596d9fcb57283b"/>
              <w:id w:val="-26029390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重庆盼达汽车租赁有限公司</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检测费</w:t>
                    </w: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109,084.00</w:t>
                    </w:r>
                  </w:p>
                </w:tc>
              </w:tr>
            </w:sdtContent>
          </w:sdt>
          <w:sdt>
            <w:sdtPr>
              <w:rPr>
                <w:szCs w:val="21"/>
              </w:rPr>
              <w:alias w:val="采购商品接受劳务情况明细"/>
              <w:tag w:val="_TUP_21b06c19d7ae4c2ea8596d9fcb57283b"/>
              <w:id w:val="-57635636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合计</w:t>
                    </w:r>
                  </w:p>
                </w:tc>
                <w:tc>
                  <w:tcPr>
                    <w:tcW w:w="997"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p>
                </w:tc>
                <w:tc>
                  <w:tcPr>
                    <w:tcW w:w="99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523,102,751.46</w:t>
                    </w:r>
                  </w:p>
                </w:tc>
                <w:tc>
                  <w:tcPr>
                    <w:tcW w:w="947"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78,745,521.83</w:t>
                    </w:r>
                  </w:p>
                </w:tc>
              </w:tr>
            </w:sdtContent>
          </w:sdt>
        </w:tbl>
        <w:p/>
      </w:sdtContent>
    </w:sdt>
    <w:sdt>
      <w:sdtPr>
        <w:rPr>
          <w:rFonts w:hint="eastAsia" w:cs="Times New Roman"/>
          <w:b/>
          <w:bCs/>
          <w:kern w:val="2"/>
          <w:szCs w:val="21"/>
        </w:rPr>
        <w:alias w:val="模块:出售商品/提供劳务情况"/>
        <w:tag w:val="_SEC_0bdaba437cb6402f9ab2a655956dbb9b"/>
        <w:id w:val="-600728022"/>
        <w:lock w:val="sdtLocked"/>
        <w:placeholder>
          <w:docPart w:val="GBC22222222222222222222222222222"/>
        </w:placeholder>
      </w:sdtPr>
      <w:sdtEndPr>
        <w:rPr>
          <w:rFonts w:hint="eastAsia" w:cs="Cambria"/>
          <w:b w:val="0"/>
          <w:bCs w:val="0"/>
          <w:kern w:val="0"/>
          <w:szCs w:val="24"/>
        </w:rPr>
      </w:sdtEndPr>
      <w:sdtContent>
        <w:p>
          <w:pPr>
            <w:ind w:right="-775" w:rightChars="-369"/>
            <w:rPr>
              <w:szCs w:val="21"/>
            </w:rPr>
          </w:pPr>
          <w:r>
            <w:rPr>
              <w:rFonts w:hint="eastAsia"/>
              <w:szCs w:val="21"/>
            </w:rPr>
            <w:t>出售商品/提供劳务情况表</w:t>
          </w:r>
        </w:p>
        <w:sdt>
          <w:sdtPr>
            <w:rPr>
              <w:szCs w:val="21"/>
            </w:rPr>
            <w:alias w:val="是否适用：出售商品或提供劳务情况表[双击切换]"/>
            <w:tag w:val="_GBC_38804595ac014174a1f7bfa274a356d2"/>
            <w:id w:val="606317862"/>
            <w:lock w:val="sdtLocked"/>
            <w:placeholder>
              <w:docPart w:val="GBC22222222222222222222222222222"/>
            </w:placeholder>
          </w:sdtPr>
          <w:sdtEndPr>
            <w:rPr>
              <w:szCs w:val="21"/>
            </w:rPr>
          </w:sdtEndPr>
          <w:sdtContent>
            <w:p>
              <w:pPr>
                <w:ind w:right="-775" w:rightChars="-369"/>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7420876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szCs w:val="21"/>
              </w:rPr>
            </w:sdtEndPr>
            <w:sdtContent>
              <w:r>
                <w:rPr>
                  <w:szCs w:val="21"/>
                </w:rPr>
                <w:t>元</w:t>
              </w:r>
            </w:sdtContent>
          </w:sdt>
          <w:r>
            <w:rPr>
              <w:szCs w:val="21"/>
            </w:rPr>
            <w:t xml:space="preserve">  币种：</w:t>
          </w:r>
          <w:sdt>
            <w:sdtPr>
              <w:rPr>
                <w:szCs w:val="21"/>
              </w:rPr>
              <w:alias w:val="币种：出售商品提供劳务情况表"/>
              <w:tag w:val="_GBC_4fc61a58f8e34c3c8024ea0b63c2bd2f"/>
              <w:id w:val="-8975916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szCs w:val="21"/>
              </w:rPr>
            </w:sdtEndPr>
            <w:sdtContent>
              <w:r>
                <w:rPr>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3510"/>
            <w:gridCol w:w="1561"/>
            <w:gridCol w:w="1844"/>
            <w:gridCol w:w="16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73" w:hRule="atLeast"/>
            </w:trPr>
            <w:sdt>
              <w:sdtPr>
                <w:tag w:val="_PLD_8f46d61b556c4e7e9874d48274581d06"/>
                <w:id w:val="-2039811412"/>
                <w:lock w:val="sdtLocked"/>
              </w:sdtPr>
              <w:sdtContent>
                <w:tc>
                  <w:tcPr>
                    <w:tcW w:w="20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关联方</w:t>
                    </w:r>
                  </w:p>
                </w:tc>
              </w:sdtContent>
            </w:sdt>
            <w:sdt>
              <w:sdtPr>
                <w:tag w:val="_PLD_86c6996d2c00443589b89411b2b4bde3"/>
                <w:id w:val="508962132"/>
                <w:lock w:val="sdtLocked"/>
              </w:sdtPr>
              <w:sdtContent>
                <w:tc>
                  <w:tcPr>
                    <w:tcW w:w="91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关联交易内容</w:t>
                    </w:r>
                  </w:p>
                </w:tc>
              </w:sdtContent>
            </w:sdt>
            <w:sdt>
              <w:sdtPr>
                <w:tag w:val="_PLD_52688fb5000a4ccb8c43276d58764eb4"/>
                <w:id w:val="1588200031"/>
                <w:lock w:val="sdtLocked"/>
              </w:sdtPr>
              <w:sdtContent>
                <w:tc>
                  <w:tcPr>
                    <w:tcW w:w="1081" w:type="pct"/>
                    <w:tcBorders>
                      <w:top w:val="single" w:color="auto" w:sz="4" w:space="0"/>
                      <w:left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本期发生额</w:t>
                    </w:r>
                  </w:p>
                </w:tc>
              </w:sdtContent>
            </w:sdt>
            <w:sdt>
              <w:sdtPr>
                <w:tag w:val="_PLD_e0158fcec29a443ca9e08a44a2489407"/>
                <w:id w:val="1104160549"/>
                <w:lock w:val="sdtLocked"/>
              </w:sdtPr>
              <w:sdtContent>
                <w:tc>
                  <w:tcPr>
                    <w:tcW w:w="946" w:type="pct"/>
                    <w:tcBorders>
                      <w:top w:val="single" w:color="auto" w:sz="4" w:space="0"/>
                      <w:left w:val="single" w:color="auto" w:sz="4" w:space="0"/>
                      <w:right w:val="single" w:color="auto" w:sz="4" w:space="0"/>
                    </w:tcBorders>
                    <w:shd w:val="clear" w:color="auto" w:fill="auto"/>
                    <w:vAlign w:val="center"/>
                  </w:tcPr>
                  <w:p>
                    <w:pPr>
                      <w:jc w:val="center"/>
                      <w:rPr>
                        <w:rFonts w:cs="Cambria"/>
                        <w:szCs w:val="21"/>
                      </w:rPr>
                    </w:pPr>
                    <w:r>
                      <w:rPr>
                        <w:rFonts w:hint="eastAsia" w:cs="Cambria"/>
                        <w:szCs w:val="21"/>
                      </w:rPr>
                      <w:t>上期发生额</w:t>
                    </w:r>
                  </w:p>
                </w:tc>
              </w:sdtContent>
            </w:sdt>
          </w:tr>
          <w:sdt>
            <w:sdtPr>
              <w:rPr>
                <w:szCs w:val="21"/>
              </w:rPr>
              <w:alias w:val="出售商品提供劳务情况明细"/>
              <w:tag w:val="_TUP_c080581d6b634c7bacd27d6542159620"/>
              <w:id w:val="67407861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福建常青新能源科技有限公司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3,517,895.00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2844602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吉利百矿集团有限公司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425,658.32</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75258661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苏州铭拾汽车销售服务有限公司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9,004,200.00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03892971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苏州市吉利优行电子科技有限公司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66,132,600.00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78152151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易易互联科技有限公司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170,100,000.00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784253613"/>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浙江枫盛汽车销售有限公司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13,640,000.00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55839783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浙江豪情汽车制造有限公司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碳排放积分</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346,500.00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195835189"/>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浙江美可达摩托车有限公司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摩托车发动机及配件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8,501.26</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12707714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浙江美可达摩托车有限公司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摩托车及配件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7,100.00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16131126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重庆盼达汽车租赁有限公司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车辆维修费</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144,872.96</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788396945"/>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重庆易易新能源科技有限公司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汽车及配件</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2,037,018.40</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sdtContent>
          </w:sdt>
          <w:sdt>
            <w:sdtPr>
              <w:rPr>
                <w:szCs w:val="21"/>
              </w:rPr>
              <w:alias w:val="出售商品提供劳务情况明细"/>
              <w:tag w:val="_TUP_c080581d6b634c7bacd27d6542159620"/>
              <w:id w:val="175793257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重庆盼达汽车租赁有限公司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维修费</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779,782.52</w:t>
                    </w:r>
                  </w:p>
                </w:tc>
              </w:tr>
            </w:sdtContent>
          </w:sdt>
          <w:sdt>
            <w:sdtPr>
              <w:rPr>
                <w:szCs w:val="21"/>
              </w:rPr>
              <w:alias w:val="出售商品提供劳务情况明细"/>
              <w:tag w:val="_TUP_c080581d6b634c7bacd27d6542159620"/>
              <w:id w:val="17639292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张家港保税区国际汽车城有限公司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平行进口车销售</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46,844,512.42</w:t>
                    </w:r>
                  </w:p>
                </w:tc>
              </w:tr>
            </w:sdtContent>
          </w:sdt>
          <w:sdt>
            <w:sdtPr>
              <w:rPr>
                <w:szCs w:val="21"/>
              </w:rPr>
              <w:alias w:val="出售商品提供劳务情况明细"/>
              <w:tag w:val="_TUP_c080581d6b634c7bacd27d6542159620"/>
              <w:id w:val="3586472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张家港保税区国际汽车城有限公司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代理服务费</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3,717,477.24</w:t>
                    </w:r>
                  </w:p>
                </w:tc>
              </w:tr>
            </w:sdtContent>
          </w:sdt>
          <w:sdt>
            <w:sdtPr>
              <w:rPr>
                <w:szCs w:val="21"/>
              </w:rPr>
              <w:alias w:val="出售商品提供劳务情况明细"/>
              <w:tag w:val="_TUP_c080581d6b634c7bacd27d6542159620"/>
              <w:id w:val="1763491310"/>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重庆力帆控股有限公司</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商标使用权费</w:t>
                    </w: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1,000,000.00</w:t>
                    </w:r>
                  </w:p>
                </w:tc>
              </w:tr>
            </w:sdtContent>
          </w:sdt>
          <w:sdt>
            <w:sdtPr>
              <w:rPr>
                <w:szCs w:val="21"/>
              </w:rPr>
              <w:alias w:val="出售商品提供劳务情况明细"/>
              <w:tag w:val="_TUP_c080581d6b634c7bacd27d6542159620"/>
              <w:id w:val="-115174776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2058"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t>合计</w:t>
                    </w:r>
                  </w:p>
                </w:tc>
                <w:tc>
                  <w:tcPr>
                    <w:tcW w:w="915"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p>
                </w:tc>
                <w:tc>
                  <w:tcPr>
                    <w:tcW w:w="1081"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265,364,345.94</w:t>
                    </w:r>
                  </w:p>
                </w:tc>
                <w:tc>
                  <w:tcPr>
                    <w:tcW w:w="94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r>
                      <w:t>52,341,772.18</w:t>
                    </w:r>
                  </w:p>
                </w:tc>
              </w:tr>
            </w:sdtContent>
          </w:sdt>
        </w:tbl>
        <w:p/>
        <w:p>
          <w:pPr>
            <w:rPr>
              <w:rFonts w:cs="Cambria"/>
              <w:szCs w:val="21"/>
            </w:rPr>
          </w:pPr>
          <w:r>
            <w:rPr>
              <w:rFonts w:hint="eastAsia" w:cs="Cambria"/>
              <w:szCs w:val="21"/>
            </w:rPr>
            <w:t>购销商品、提供和接受劳务的关联交易说明</w:t>
          </w:r>
        </w:p>
        <w:sdt>
          <w:sdtPr>
            <w:rPr>
              <w:rFonts w:cs="Cambria"/>
              <w:szCs w:val="21"/>
            </w:rPr>
            <w:alias w:val="是否适用：购销商品、提供和接受劳务的关联交易说明[双击切换]"/>
            <w:tag w:val="_GBC_bfac708300bd4f9886d4b6bc97c99022"/>
            <w:id w:val="1751542910"/>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sdt>
          <w:sdtPr>
            <w:alias w:val="购销商品、提供和接受劳务的关联交易说明"/>
            <w:tag w:val="_GBC_2e3d658b1c454acb945f621162cfd0e7"/>
            <w:id w:val="1720091124"/>
            <w:lock w:val="sdtLocked"/>
            <w:placeholder>
              <w:docPart w:val="GBC22222222222222222222222222222"/>
            </w:placeholder>
          </w:sdtPr>
          <w:sdtEndPr>
            <w:rPr>
              <w:rFonts w:cs="Cambria"/>
            </w:rPr>
          </w:sdtEndPr>
          <w:sdtContent>
            <w:p>
              <w:pPr>
                <w:ind w:firstLine="420" w:firstLineChars="200"/>
                <w:rPr>
                  <w:rFonts w:cs="Cambria"/>
                  <w:b/>
                  <w:bCs/>
                  <w:szCs w:val="21"/>
                </w:rPr>
              </w:pPr>
              <w:r>
                <w:rPr>
                  <w:rFonts w:hint="eastAsia" w:cs="Cambria"/>
                  <w:bCs/>
                  <w:szCs w:val="21"/>
                </w:rPr>
                <w:t>存在控制关系且已纳入本公司合并财务报表范围的子公司，其相互间交易及母子公司交易已作抵销</w:t>
              </w:r>
              <w:r>
                <w:rPr>
                  <w:rFonts w:hint="eastAsia" w:cs="Cambria"/>
                  <w:b/>
                  <w:bCs/>
                  <w:szCs w:val="21"/>
                </w:rPr>
                <w:t>。</w:t>
              </w:r>
            </w:p>
          </w:sdtContent>
        </w:sdt>
      </w:sdtContent>
    </w:sdt>
    <w:sdt>
      <w:sdtPr>
        <w:rPr>
          <w:rFonts w:hint="eastAsia" w:ascii="宋体" w:hAnsi="宋体" w:eastAsia="宋体" w:cs="宋体"/>
          <w:b w:val="0"/>
          <w:bCs w:val="0"/>
          <w:kern w:val="0"/>
          <w:szCs w:val="24"/>
        </w:rPr>
        <w:alias w:val="模块:关联受托管理/承包及委托管理/出包情况"/>
        <w:tag w:val="_SEC_2cd4d729a4f5443b98e8d2f79dcdd221"/>
        <w:id w:val="-1894188299"/>
        <w:lock w:val="sdtLocked"/>
        <w:placeholder>
          <w:docPart w:val="GBC22222222222222222222222222222"/>
        </w:placeholder>
      </w:sdtPr>
      <w:sdtEndPr>
        <w:rPr>
          <w:rFonts w:hint="default" w:ascii="宋体" w:hAnsi="宋体" w:eastAsia="宋体" w:cs="Cambria"/>
          <w:b w:val="0"/>
          <w:bCs w:val="0"/>
          <w:kern w:val="0"/>
          <w:szCs w:val="21"/>
        </w:rPr>
      </w:sdtEndPr>
      <w:sdtContent>
        <w:p>
          <w:pPr>
            <w:pStyle w:val="115"/>
            <w:numPr>
              <w:ilvl w:val="3"/>
              <w:numId w:val="123"/>
            </w:numPr>
            <w:ind w:left="424" w:hanging="424" w:hangingChars="202"/>
          </w:pPr>
          <w:r>
            <w:rPr>
              <w:rFonts w:hint="eastAsia"/>
            </w:rPr>
            <w:t>关联受托管理/承包及委托管理/出包情况</w:t>
          </w:r>
        </w:p>
        <w:p>
          <w:pPr>
            <w:rPr>
              <w:szCs w:val="21"/>
            </w:rPr>
          </w:pPr>
          <w:r>
            <w:rPr>
              <w:rFonts w:hint="eastAsia"/>
              <w:szCs w:val="21"/>
            </w:rPr>
            <w:t>本公司受托管理/承包情况表：</w:t>
          </w:r>
        </w:p>
        <w:sdt>
          <w:sdtPr>
            <w:rPr>
              <w:rFonts w:cs="Cambria"/>
              <w:szCs w:val="21"/>
            </w:rPr>
            <w:alias w:val="是否适用：本公司受托管理或承包情况表[双击切换]"/>
            <w:tag w:val="_GBC_30440fae2d7246f59be82c31d907217a"/>
            <w:id w:val="60291358"/>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rFonts w:cs="Cambria"/>
              <w:szCs w:val="21"/>
            </w:rPr>
          </w:pPr>
          <w:r>
            <w:rPr>
              <w:rFonts w:hint="eastAsia" w:cs="Cambria"/>
              <w:szCs w:val="21"/>
            </w:rPr>
            <w:t>关联托管/承包情况说明</w:t>
          </w:r>
        </w:p>
        <w:sdt>
          <w:sdtPr>
            <w:rPr>
              <w:rFonts w:cs="Cambria"/>
              <w:szCs w:val="21"/>
            </w:rPr>
            <w:alias w:val="是否适用：关联托管或承包情况说明[双击切换]"/>
            <w:tag w:val="_GBC_60aca51a92e545e9bbad9ba5228083c8"/>
            <w:id w:val="1963000125"/>
            <w:lock w:val="sdtLocked"/>
            <w:placeholder>
              <w:docPart w:val="GBC22222222222222222222222222222"/>
            </w:placeholder>
          </w:sdtPr>
          <w:sdtEndPr>
            <w:rPr>
              <w:rFonts w:cs="Cambria"/>
              <w:szCs w:val="21"/>
            </w:rPr>
          </w:sdtEndPr>
          <w:sdtContent>
            <w:p>
              <w:pPr>
                <w:rPr>
                  <w:rFonts w:cs="Cambria"/>
                  <w:szCs w:val="21"/>
                </w:rPr>
              </w:pPr>
              <w:r>
                <w:rPr>
                  <w:rFonts w:cs="Cambria"/>
                  <w:szCs w:val="21"/>
                </w:rPr>
                <w:fldChar w:fldCharType="begin"/>
              </w:r>
              <w:r>
                <w:rPr>
                  <w:rFonts w:cs="Cambria"/>
                  <w:szCs w:val="21"/>
                </w:rPr>
                <w:instrText xml:space="preserve">MACROBUTTON  SnrToggleCheckbox □适用 </w:instrText>
              </w:r>
              <w:r>
                <w:rPr>
                  <w:rFonts w:cs="Cambria"/>
                  <w:szCs w:val="21"/>
                </w:rPr>
                <w:fldChar w:fldCharType="end"/>
              </w:r>
              <w:r>
                <w:rPr>
                  <w:rFonts w:cs="Cambria"/>
                  <w:szCs w:val="21"/>
                </w:rPr>
                <w:fldChar w:fldCharType="begin"/>
              </w:r>
              <w:r>
                <w:rPr>
                  <w:rFonts w:cs="Cambria"/>
                  <w:szCs w:val="21"/>
                </w:rPr>
                <w:instrText xml:space="preserve"> MACROBUTTON  SnrToggleCheckbox √不适用 </w:instrText>
              </w:r>
              <w:r>
                <w:rPr>
                  <w:rFonts w:cs="Cambria"/>
                  <w:szCs w:val="21"/>
                </w:rPr>
                <w:fldChar w:fldCharType="end"/>
              </w:r>
            </w:p>
          </w:sdtContent>
        </w:sdt>
        <w:p>
          <w:pPr>
            <w:rPr>
              <w:rFonts w:cs="Cambria"/>
              <w:szCs w:val="21"/>
            </w:rPr>
          </w:pPr>
        </w:p>
        <w:p>
          <w:pPr>
            <w:rPr>
              <w:rFonts w:cs="Cambria"/>
              <w:bCs/>
              <w:szCs w:val="21"/>
            </w:rPr>
          </w:pPr>
          <w:r>
            <w:rPr>
              <w:rFonts w:hint="eastAsia"/>
              <w:szCs w:val="21"/>
            </w:rPr>
            <w:t>本公司</w:t>
          </w:r>
          <w:r>
            <w:rPr>
              <w:rFonts w:hint="eastAsia" w:cs="Cambria"/>
              <w:bCs/>
              <w:szCs w:val="21"/>
            </w:rPr>
            <w:t>委托管理/出包情况表</w:t>
          </w:r>
        </w:p>
        <w:sdt>
          <w:sdtPr>
            <w:rPr>
              <w:rFonts w:cs="Cambria"/>
              <w:bCs/>
              <w:szCs w:val="21"/>
            </w:rPr>
            <w:alias w:val="是否适用：本公司委托管理或出包情况表[双击切换]"/>
            <w:tag w:val="_GBC_4655dfffa9a7464b8715035e819d5968"/>
            <w:id w:val="-924411537"/>
            <w:lock w:val="sdtLocked"/>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bCs/>
              <w:szCs w:val="21"/>
            </w:rPr>
          </w:pPr>
          <w:r>
            <w:rPr>
              <w:rFonts w:hint="eastAsia" w:cs="Cambria"/>
              <w:bCs/>
              <w:szCs w:val="21"/>
            </w:rPr>
            <w:t>关联管理/出包情况说明</w:t>
          </w:r>
        </w:p>
        <w:sdt>
          <w:sdtPr>
            <w:rPr>
              <w:rFonts w:cs="Cambria"/>
              <w:bCs/>
              <w:szCs w:val="21"/>
            </w:rPr>
            <w:alias w:val="是否适用：关联管理或出包情况说明[双击切换]"/>
            <w:tag w:val="_GBC_a21df8e7013c4b70bab4125cabda8c46"/>
            <w:id w:val="-1456858265"/>
            <w:lock w:val="sdtLocked"/>
            <w:placeholder>
              <w:docPart w:val="GBC22222222222222222222222222222"/>
            </w:placeholder>
          </w:sdtPr>
          <w:sdtEndPr>
            <w:rPr>
              <w:rFonts w:cs="Cambria"/>
              <w:bCs/>
              <w:szCs w:val="21"/>
            </w:rPr>
          </w:sdtEndPr>
          <w:sdtContent>
            <w:p>
              <w:pPr>
                <w:rPr>
                  <w:rFonts w:cs="Cambria"/>
                  <w:bCs/>
                  <w:szCs w:val="21"/>
                </w:rPr>
              </w:pPr>
              <w:r>
                <w:rPr>
                  <w:rFonts w:cs="Cambria"/>
                  <w:bCs/>
                  <w:szCs w:val="21"/>
                </w:rPr>
                <w:fldChar w:fldCharType="begin"/>
              </w:r>
              <w:r>
                <w:rPr>
                  <w:rFonts w:cs="Cambria"/>
                  <w:bCs/>
                  <w:szCs w:val="21"/>
                </w:rPr>
                <w:instrText xml:space="preserve">MACROBUTTON  SnrToggleCheckbox □适用 </w:instrText>
              </w:r>
              <w:r>
                <w:rPr>
                  <w:rFonts w:cs="Cambria"/>
                  <w:bCs/>
                  <w:szCs w:val="21"/>
                </w:rPr>
                <w:fldChar w:fldCharType="end"/>
              </w:r>
              <w:r>
                <w:rPr>
                  <w:rFonts w:cs="Cambria"/>
                  <w:bCs/>
                  <w:szCs w:val="21"/>
                </w:rPr>
                <w:fldChar w:fldCharType="begin"/>
              </w:r>
              <w:r>
                <w:rPr>
                  <w:rFonts w:cs="Cambria"/>
                  <w:bCs/>
                  <w:szCs w:val="21"/>
                </w:rPr>
                <w:instrText xml:space="preserve"> MACROBUTTON  SnrToggleCheckbox √不适用 </w:instrText>
              </w:r>
              <w:r>
                <w:rPr>
                  <w:rFonts w:cs="Cambria"/>
                  <w:bCs/>
                  <w:szCs w:val="21"/>
                </w:rPr>
                <w:fldChar w:fldCharType="end"/>
              </w:r>
            </w:p>
          </w:sdtContent>
        </w:sdt>
        <w:p>
          <w:pPr>
            <w:rPr>
              <w:rFonts w:cs="Cambria"/>
              <w:szCs w:val="21"/>
            </w:rPr>
          </w:pPr>
        </w:p>
      </w:sdtContent>
    </w:sdt>
    <w:sdt>
      <w:sdtPr>
        <w:rPr>
          <w:rFonts w:hint="eastAsia" w:ascii="宋体" w:hAnsi="宋体" w:eastAsia="宋体" w:cs="宋体"/>
          <w:b w:val="0"/>
          <w:bCs w:val="0"/>
          <w:kern w:val="0"/>
          <w:szCs w:val="24"/>
        </w:rPr>
        <w:alias w:val="模块:关联租赁情况"/>
        <w:tag w:val="_SEC_5900c0566dab441987567990bccbe124"/>
        <w:id w:val="692110629"/>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115"/>
            <w:numPr>
              <w:ilvl w:val="3"/>
              <w:numId w:val="123"/>
            </w:numPr>
            <w:ind w:left="424" w:hanging="424" w:hangingChars="202"/>
          </w:pPr>
          <w:r>
            <w:rPr>
              <w:rFonts w:hint="eastAsia"/>
            </w:rPr>
            <w:t>关联租赁情况</w:t>
          </w:r>
        </w:p>
        <w:p>
          <w:pPr>
            <w:rPr>
              <w:szCs w:val="21"/>
            </w:rPr>
          </w:pPr>
          <w:r>
            <w:rPr>
              <w:rFonts w:hint="eastAsia"/>
              <w:szCs w:val="21"/>
            </w:rPr>
            <w:t>本公司作为出租方：</w:t>
          </w:r>
        </w:p>
        <w:sdt>
          <w:sdtPr>
            <w:rPr>
              <w:szCs w:val="21"/>
            </w:rPr>
            <w:alias w:val="是否适用：本公司作为出租方的租赁情况表[双击切换]"/>
            <w:tag w:val="_GBC_b67e8ccf7ec147d698f9f192968e98bf"/>
            <w:id w:val="1103928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关联租赁情况"/>
              <w:tag w:val="_GBC_d95d648c603a49478a4e0e7a1274bc6b"/>
              <w:id w:val="-113510174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1002264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902"/>
            <w:gridCol w:w="2361"/>
            <w:gridCol w:w="2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rPr>
            <w:sdt>
              <w:sdtPr>
                <w:tag w:val="_PLD_cc1d9e6700c8464abef135c18dae1347"/>
                <w:id w:val="1434776862"/>
                <w:lock w:val="sdtLocked"/>
              </w:sdtPr>
              <w:sdtContent>
                <w:tc>
                  <w:tcPr>
                    <w:tcW w:w="998"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承租方名称</w:t>
                    </w:r>
                  </w:p>
                </w:tc>
              </w:sdtContent>
            </w:sdt>
            <w:sdt>
              <w:sdtPr>
                <w:tag w:val="_PLD_7c70ec7c258c47ab93562d23df95ba25"/>
                <w:id w:val="-16621540"/>
                <w:lock w:val="sdtLocked"/>
              </w:sdtPr>
              <w:sdtContent>
                <w:tc>
                  <w:tcPr>
                    <w:tcW w:w="1115"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租赁资产种类</w:t>
                    </w:r>
                  </w:p>
                </w:tc>
              </w:sdtContent>
            </w:sdt>
            <w:sdt>
              <w:sdtPr>
                <w:tag w:val="_PLD_b73b5bf2ad5b438bac8401815956bbdb"/>
                <w:id w:val="-231460576"/>
                <w:lock w:val="sdtLocked"/>
              </w:sdtPr>
              <w:sdtContent>
                <w:tc>
                  <w:tcPr>
                    <w:tcW w:w="1384"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本期确认的租赁收入</w:t>
                    </w:r>
                  </w:p>
                </w:tc>
              </w:sdtContent>
            </w:sdt>
            <w:sdt>
              <w:sdtPr>
                <w:tag w:val="_PLD_08d45094bbb64f479287ecd678beea52"/>
                <w:id w:val="-276557629"/>
                <w:lock w:val="sdtLocked"/>
              </w:sdtPr>
              <w:sdtContent>
                <w:tc>
                  <w:tcPr>
                    <w:tcW w:w="1503"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上期确认的租赁收入</w:t>
                    </w:r>
                  </w:p>
                </w:tc>
              </w:sdtContent>
            </w:sdt>
          </w:tr>
          <w:sdt>
            <w:sdtPr>
              <w:rPr>
                <w:szCs w:val="21"/>
              </w:rPr>
              <w:alias w:val="关联租赁情况"/>
              <w:tag w:val="_TUP_0737c0b729354e1aa40e6636ee6d6f9b"/>
              <w:id w:val="1606076506"/>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op w:val="single" w:color="auto" w:sz="4" w:space="0"/>
                      <w:left w:val="single" w:color="auto" w:sz="4" w:space="0"/>
                      <w:bottom w:val="single" w:color="auto" w:sz="4" w:space="0"/>
                      <w:right w:val="single" w:color="auto" w:sz="4" w:space="0"/>
                    </w:tcBorders>
                  </w:tcPr>
                  <w:p>
                    <w:pPr>
                      <w:rPr>
                        <w:szCs w:val="21"/>
                      </w:rPr>
                    </w:pPr>
                    <w:r>
                      <w:t>重庆易易新能源科技有限公司</w:t>
                    </w:r>
                  </w:p>
                </w:tc>
                <w:tc>
                  <w:tcPr>
                    <w:tcW w:w="1115" w:type="pct"/>
                    <w:tcBorders>
                      <w:top w:val="single" w:color="auto" w:sz="4" w:space="0"/>
                      <w:left w:val="single" w:color="auto" w:sz="4" w:space="0"/>
                      <w:bottom w:val="single" w:color="auto" w:sz="4" w:space="0"/>
                      <w:right w:val="single" w:color="auto" w:sz="4" w:space="0"/>
                    </w:tcBorders>
                    <w:vAlign w:val="center"/>
                  </w:tcPr>
                  <w:p>
                    <w:pPr>
                      <w:jc w:val="center"/>
                      <w:rPr>
                        <w:szCs w:val="21"/>
                      </w:rPr>
                    </w:pPr>
                    <w:r>
                      <w:t>场地租赁</w:t>
                    </w:r>
                  </w:p>
                </w:tc>
                <w:tc>
                  <w:tcPr>
                    <w:tcW w:w="1384" w:type="pct"/>
                    <w:tcBorders>
                      <w:top w:val="single" w:color="auto" w:sz="4" w:space="0"/>
                      <w:left w:val="single" w:color="auto" w:sz="4" w:space="0"/>
                      <w:bottom w:val="single" w:color="auto" w:sz="4" w:space="0"/>
                      <w:right w:val="single" w:color="auto" w:sz="4" w:space="0"/>
                    </w:tcBorders>
                    <w:vAlign w:val="center"/>
                  </w:tcPr>
                  <w:p>
                    <w:pPr>
                      <w:jc w:val="right"/>
                      <w:rPr>
                        <w:szCs w:val="21"/>
                      </w:rPr>
                    </w:pPr>
                    <w:r>
                      <w:t>23,472.00</w:t>
                    </w:r>
                  </w:p>
                </w:tc>
                <w:tc>
                  <w:tcPr>
                    <w:tcW w:w="1503"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r>
            </w:sdtContent>
          </w:sdt>
          <w:sdt>
            <w:sdtPr>
              <w:rPr>
                <w:szCs w:val="21"/>
              </w:rPr>
              <w:alias w:val="关联租赁情况"/>
              <w:tag w:val="_TUP_0737c0b729354e1aa40e6636ee6d6f9b"/>
              <w:id w:val="2039384431"/>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op w:val="single" w:color="auto" w:sz="4" w:space="0"/>
                      <w:left w:val="single" w:color="auto" w:sz="4" w:space="0"/>
                      <w:bottom w:val="single" w:color="auto" w:sz="4" w:space="0"/>
                      <w:right w:val="single" w:color="auto" w:sz="4" w:space="0"/>
                    </w:tcBorders>
                  </w:tcPr>
                  <w:p>
                    <w:pPr>
                      <w:rPr>
                        <w:szCs w:val="21"/>
                      </w:rPr>
                    </w:pPr>
                    <w:r>
                      <w:t>重庆裕弘昇物业管理有限公司</w:t>
                    </w:r>
                  </w:p>
                </w:tc>
                <w:tc>
                  <w:tcPr>
                    <w:tcW w:w="1115" w:type="pct"/>
                    <w:tcBorders>
                      <w:top w:val="single" w:color="auto" w:sz="4" w:space="0"/>
                      <w:left w:val="single" w:color="auto" w:sz="4" w:space="0"/>
                      <w:bottom w:val="single" w:color="auto" w:sz="4" w:space="0"/>
                      <w:right w:val="single" w:color="auto" w:sz="4" w:space="0"/>
                    </w:tcBorders>
                    <w:vAlign w:val="center"/>
                  </w:tcPr>
                  <w:p>
                    <w:pPr>
                      <w:jc w:val="center"/>
                      <w:rPr>
                        <w:szCs w:val="21"/>
                      </w:rPr>
                    </w:pPr>
                    <w:r>
                      <w:t>车库租金</w:t>
                    </w:r>
                  </w:p>
                </w:tc>
                <w:tc>
                  <w:tcPr>
                    <w:tcW w:w="1384" w:type="pct"/>
                    <w:tcBorders>
                      <w:top w:val="single" w:color="auto" w:sz="4" w:space="0"/>
                      <w:left w:val="single" w:color="auto" w:sz="4" w:space="0"/>
                      <w:bottom w:val="single" w:color="auto" w:sz="4" w:space="0"/>
                      <w:right w:val="single" w:color="auto" w:sz="4" w:space="0"/>
                    </w:tcBorders>
                    <w:vAlign w:val="center"/>
                  </w:tcPr>
                  <w:p>
                    <w:pPr>
                      <w:jc w:val="right"/>
                      <w:rPr>
                        <w:szCs w:val="21"/>
                      </w:rPr>
                    </w:pPr>
                    <w:r>
                      <w:t>225,000.00</w:t>
                    </w:r>
                  </w:p>
                </w:tc>
                <w:tc>
                  <w:tcPr>
                    <w:tcW w:w="1503"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r>
            </w:sdtContent>
          </w:sdt>
          <w:sdt>
            <w:sdtPr>
              <w:rPr>
                <w:szCs w:val="21"/>
              </w:rPr>
              <w:alias w:val="关联租赁情况"/>
              <w:tag w:val="_TUP_0737c0b729354e1aa40e6636ee6d6f9b"/>
              <w:id w:val="-871767712"/>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8" w:type="pct"/>
                    <w:tcBorders>
                      <w:top w:val="single" w:color="auto" w:sz="4" w:space="0"/>
                      <w:left w:val="single" w:color="auto" w:sz="4" w:space="0"/>
                      <w:bottom w:val="single" w:color="auto" w:sz="4" w:space="0"/>
                      <w:right w:val="single" w:color="auto" w:sz="4" w:space="0"/>
                    </w:tcBorders>
                  </w:tcPr>
                  <w:p>
                    <w:pPr>
                      <w:rPr>
                        <w:szCs w:val="21"/>
                      </w:rPr>
                    </w:pPr>
                    <w:r>
                      <w:t>合计</w:t>
                    </w:r>
                  </w:p>
                </w:tc>
                <w:tc>
                  <w:tcPr>
                    <w:tcW w:w="1115" w:type="pct"/>
                    <w:tcBorders>
                      <w:top w:val="single" w:color="auto" w:sz="4" w:space="0"/>
                      <w:left w:val="single" w:color="auto" w:sz="4" w:space="0"/>
                      <w:bottom w:val="single" w:color="auto" w:sz="4" w:space="0"/>
                      <w:right w:val="single" w:color="auto" w:sz="4" w:space="0"/>
                    </w:tcBorders>
                    <w:vAlign w:val="center"/>
                  </w:tcPr>
                  <w:p>
                    <w:pPr>
                      <w:jc w:val="right"/>
                      <w:rPr>
                        <w:szCs w:val="21"/>
                      </w:rPr>
                    </w:pPr>
                    <w:r>
                      <w:t> </w:t>
                    </w:r>
                  </w:p>
                </w:tc>
                <w:tc>
                  <w:tcPr>
                    <w:tcW w:w="1384" w:type="pct"/>
                    <w:tcBorders>
                      <w:top w:val="single" w:color="auto" w:sz="4" w:space="0"/>
                      <w:left w:val="single" w:color="auto" w:sz="4" w:space="0"/>
                      <w:bottom w:val="single" w:color="auto" w:sz="4" w:space="0"/>
                      <w:right w:val="single" w:color="auto" w:sz="4" w:space="0"/>
                    </w:tcBorders>
                    <w:vAlign w:val="center"/>
                  </w:tcPr>
                  <w:p>
                    <w:pPr>
                      <w:jc w:val="right"/>
                      <w:rPr>
                        <w:szCs w:val="21"/>
                      </w:rPr>
                    </w:pPr>
                    <w:r>
                      <w:t>248,472.00</w:t>
                    </w:r>
                  </w:p>
                </w:tc>
                <w:tc>
                  <w:tcPr>
                    <w:tcW w:w="1503"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r>
            </w:sdtContent>
          </w:sdt>
        </w:tbl>
        <w:p/>
        <w:p>
          <w:pPr>
            <w:rPr>
              <w:szCs w:val="21"/>
            </w:rPr>
          </w:pPr>
          <w:r>
            <w:rPr>
              <w:rFonts w:hint="eastAsia"/>
              <w:szCs w:val="21"/>
            </w:rPr>
            <w:t>本公司作为承租方：</w:t>
          </w:r>
        </w:p>
        <w:sdt>
          <w:sdtPr>
            <w:rPr>
              <w:szCs w:val="21"/>
            </w:rPr>
            <w:alias w:val="是否适用：本公司作为承租方的租赁情况表[双击切换]"/>
            <w:tag w:val="_GBC_f8542afd84e2430aad299d7024543330"/>
            <w:id w:val="-206747999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公司承租情况表"/>
              <w:tag w:val="_GBC_8ac97dab93ef410a9d23b3aefc024986"/>
              <w:id w:val="-21209050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公司承租情况表"/>
              <w:tag w:val="_GBC_634ba3e46c2f477ca3c544a6d05a7b33"/>
              <w:id w:val="691680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1985"/>
            <w:gridCol w:w="2127"/>
            <w:gridCol w:w="1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sdt>
              <w:sdtPr>
                <w:tag w:val="_PLD_a242a025a1d74e0da5628852dd65d32e"/>
                <w:id w:val="951983877"/>
                <w:lock w:val="sdtLocked"/>
              </w:sdtPr>
              <w:sdtContent>
                <w:tc>
                  <w:tcPr>
                    <w:tcW w:w="1476"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出租方名称</w:t>
                    </w:r>
                  </w:p>
                </w:tc>
              </w:sdtContent>
            </w:sdt>
            <w:sdt>
              <w:sdtPr>
                <w:tag w:val="_PLD_37258e91d19f49b081d9b3699db80b8d"/>
                <w:id w:val="1431635259"/>
                <w:lock w:val="sdtLocked"/>
              </w:sdtPr>
              <w:sdtContent>
                <w:tc>
                  <w:tcPr>
                    <w:tcW w:w="1164"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租赁资产种类</w:t>
                    </w:r>
                  </w:p>
                </w:tc>
              </w:sdtContent>
            </w:sdt>
            <w:sdt>
              <w:sdtPr>
                <w:tag w:val="_PLD_20d2f9a614b34f3b83c7c45426ebf12f"/>
                <w:id w:val="-162476830"/>
                <w:lock w:val="sdtLocked"/>
              </w:sdtPr>
              <w:sdtContent>
                <w:tc>
                  <w:tcPr>
                    <w:tcW w:w="1247"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本期确认的租赁费</w:t>
                    </w:r>
                  </w:p>
                </w:tc>
              </w:sdtContent>
            </w:sdt>
            <w:sdt>
              <w:sdtPr>
                <w:tag w:val="_PLD_cb4bafb13beb4e0e96c161b275b3c656"/>
                <w:id w:val="1713153242"/>
                <w:lock w:val="sdtLocked"/>
              </w:sdtPr>
              <w:sdtContent>
                <w:tc>
                  <w:tcPr>
                    <w:tcW w:w="1113" w:type="pc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上期确认的租赁费</w:t>
                    </w:r>
                  </w:p>
                </w:tc>
              </w:sdtContent>
            </w:sdt>
          </w:tr>
          <w:sdt>
            <w:sdtPr>
              <w:rPr>
                <w:szCs w:val="21"/>
              </w:rPr>
              <w:alias w:val="公司承租情况明细"/>
              <w:tag w:val="_TUP_7213ef1e8f724193b34184a335e47f08"/>
              <w:id w:val="-838614174"/>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Borders>
                      <w:top w:val="single" w:color="auto" w:sz="4" w:space="0"/>
                      <w:left w:val="single" w:color="auto" w:sz="4" w:space="0"/>
                      <w:bottom w:val="single" w:color="auto" w:sz="4" w:space="0"/>
                      <w:right w:val="single" w:color="auto" w:sz="4" w:space="0"/>
                    </w:tcBorders>
                  </w:tcPr>
                  <w:p>
                    <w:pPr>
                      <w:rPr>
                        <w:szCs w:val="21"/>
                      </w:rPr>
                    </w:pPr>
                    <w:r>
                      <w:t>力帆融资租赁（上海）有限公司</w:t>
                    </w:r>
                  </w:p>
                </w:tc>
                <w:tc>
                  <w:tcPr>
                    <w:tcW w:w="1164" w:type="pct"/>
                    <w:tcBorders>
                      <w:top w:val="single" w:color="auto" w:sz="4" w:space="0"/>
                      <w:left w:val="single" w:color="auto" w:sz="4" w:space="0"/>
                      <w:bottom w:val="single" w:color="auto" w:sz="4" w:space="0"/>
                      <w:right w:val="single" w:color="auto" w:sz="4" w:space="0"/>
                    </w:tcBorders>
                    <w:vAlign w:val="center"/>
                  </w:tcPr>
                  <w:p>
                    <w:pPr>
                      <w:jc w:val="center"/>
                      <w:rPr>
                        <w:szCs w:val="21"/>
                      </w:rPr>
                    </w:pPr>
                    <w:r>
                      <w:t>设备融资租赁</w:t>
                    </w:r>
                  </w:p>
                </w:tc>
                <w:tc>
                  <w:tcPr>
                    <w:tcW w:w="124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1113" w:type="pct"/>
                    <w:tcBorders>
                      <w:top w:val="single" w:color="auto" w:sz="4" w:space="0"/>
                      <w:left w:val="single" w:color="auto" w:sz="4" w:space="0"/>
                      <w:bottom w:val="single" w:color="auto" w:sz="4" w:space="0"/>
                      <w:right w:val="single" w:color="auto" w:sz="4" w:space="0"/>
                    </w:tcBorders>
                    <w:vAlign w:val="center"/>
                  </w:tcPr>
                  <w:p>
                    <w:pPr>
                      <w:jc w:val="right"/>
                      <w:rPr>
                        <w:szCs w:val="21"/>
                      </w:rPr>
                    </w:pPr>
                    <w:r>
                      <w:t>51,602,589.93</w:t>
                    </w:r>
                  </w:p>
                </w:tc>
              </w:tr>
            </w:sdtContent>
          </w:sdt>
          <w:sdt>
            <w:sdtPr>
              <w:rPr>
                <w:szCs w:val="21"/>
              </w:rPr>
              <w:alias w:val="公司承租情况明细"/>
              <w:tag w:val="_TUP_7213ef1e8f724193b34184a335e47f08"/>
              <w:id w:val="-60409948"/>
              <w:lock w:val="sdtLocked"/>
            </w:sdtPr>
            <w:sdtEndPr>
              <w:rPr>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6" w:type="pct"/>
                    <w:tcBorders>
                      <w:top w:val="single" w:color="auto" w:sz="4" w:space="0"/>
                      <w:left w:val="single" w:color="auto" w:sz="4" w:space="0"/>
                      <w:bottom w:val="single" w:color="auto" w:sz="4" w:space="0"/>
                      <w:right w:val="single" w:color="auto" w:sz="4" w:space="0"/>
                    </w:tcBorders>
                  </w:tcPr>
                  <w:p>
                    <w:pPr>
                      <w:rPr>
                        <w:szCs w:val="21"/>
                      </w:rPr>
                    </w:pPr>
                    <w:r>
                      <w:t>合计</w:t>
                    </w:r>
                  </w:p>
                </w:tc>
                <w:tc>
                  <w:tcPr>
                    <w:tcW w:w="1164" w:type="pct"/>
                    <w:tcBorders>
                      <w:top w:val="single" w:color="auto" w:sz="4" w:space="0"/>
                      <w:left w:val="single" w:color="auto" w:sz="4" w:space="0"/>
                      <w:bottom w:val="single" w:color="auto" w:sz="4" w:space="0"/>
                      <w:right w:val="single" w:color="auto" w:sz="4" w:space="0"/>
                    </w:tcBorders>
                    <w:vAlign w:val="center"/>
                  </w:tcPr>
                  <w:p>
                    <w:pPr>
                      <w:jc w:val="right"/>
                      <w:rPr>
                        <w:szCs w:val="21"/>
                      </w:rPr>
                    </w:pPr>
                    <w:r>
                      <w:t> </w:t>
                    </w:r>
                  </w:p>
                </w:tc>
                <w:tc>
                  <w:tcPr>
                    <w:tcW w:w="1247" w:type="pct"/>
                    <w:tcBorders>
                      <w:top w:val="single" w:color="auto" w:sz="4" w:space="0"/>
                      <w:left w:val="single" w:color="auto" w:sz="4" w:space="0"/>
                      <w:bottom w:val="single" w:color="auto" w:sz="4" w:space="0"/>
                      <w:right w:val="single" w:color="auto" w:sz="4" w:space="0"/>
                    </w:tcBorders>
                    <w:vAlign w:val="center"/>
                  </w:tcPr>
                  <w:p>
                    <w:pPr>
                      <w:jc w:val="right"/>
                      <w:rPr>
                        <w:szCs w:val="21"/>
                      </w:rPr>
                    </w:pPr>
                  </w:p>
                </w:tc>
                <w:tc>
                  <w:tcPr>
                    <w:tcW w:w="1113" w:type="pct"/>
                    <w:tcBorders>
                      <w:top w:val="single" w:color="auto" w:sz="4" w:space="0"/>
                      <w:left w:val="single" w:color="auto" w:sz="4" w:space="0"/>
                      <w:bottom w:val="single" w:color="auto" w:sz="4" w:space="0"/>
                      <w:right w:val="single" w:color="auto" w:sz="4" w:space="0"/>
                    </w:tcBorders>
                    <w:vAlign w:val="center"/>
                  </w:tcPr>
                  <w:p>
                    <w:pPr>
                      <w:jc w:val="right"/>
                      <w:rPr>
                        <w:szCs w:val="21"/>
                      </w:rPr>
                    </w:pPr>
                    <w:r>
                      <w:t>51,602,589.93</w:t>
                    </w:r>
                  </w:p>
                </w:tc>
              </w:tr>
            </w:sdtContent>
          </w:sdt>
        </w:tbl>
        <w:p/>
        <w:p>
          <w:pPr>
            <w:rPr>
              <w:szCs w:val="21"/>
            </w:rPr>
          </w:pPr>
          <w:r>
            <w:rPr>
              <w:rFonts w:hint="eastAsia"/>
              <w:szCs w:val="21"/>
            </w:rPr>
            <w:t>关联租赁情况说明</w:t>
          </w:r>
        </w:p>
        <w:sdt>
          <w:sdtPr>
            <w:rPr>
              <w:szCs w:val="21"/>
            </w:rPr>
            <w:alias w:val="是否适用：关联租赁情况说明[双击切换]"/>
            <w:tag w:val="_GBC_f11304240a9e46d8b340976a035205d3"/>
            <w:id w:val="-419486995"/>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eastAsia="宋体" w:cs="宋体"/>
          <w:b w:val="0"/>
          <w:bCs w:val="0"/>
          <w:kern w:val="0"/>
          <w:szCs w:val="24"/>
        </w:rPr>
        <w:alias w:val="模块:关联担保情况"/>
        <w:tag w:val="_SEC_efa05712c0bd499d89e4752caaaebdd6"/>
        <w:id w:val="-1827669268"/>
        <w:lock w:val="sdtLocked"/>
        <w:placeholder>
          <w:docPart w:val="GBC22222222222222222222222222222"/>
        </w:placeholder>
      </w:sdtPr>
      <w:sdtEndPr>
        <w:rPr>
          <w:rFonts w:hint="default" w:ascii="Cambria" w:hAnsi="Cambria" w:eastAsia="宋体" w:cs="Cambria"/>
          <w:b w:val="0"/>
          <w:bCs w:val="0"/>
          <w:kern w:val="0"/>
          <w:sz w:val="20"/>
          <w:szCs w:val="20"/>
        </w:rPr>
      </w:sdtEndPr>
      <w:sdtContent>
        <w:p>
          <w:pPr>
            <w:pStyle w:val="115"/>
            <w:numPr>
              <w:ilvl w:val="3"/>
              <w:numId w:val="123"/>
            </w:numPr>
            <w:ind w:left="424" w:hanging="424" w:hangingChars="202"/>
          </w:pPr>
          <w:r>
            <w:rPr>
              <w:rFonts w:hint="eastAsia"/>
            </w:rPr>
            <w:t>关联担保情况</w:t>
          </w:r>
        </w:p>
        <w:p>
          <w:r>
            <w:rPr>
              <w:rFonts w:hint="eastAsia"/>
            </w:rPr>
            <w:t>本公司作为担保方</w:t>
          </w:r>
        </w:p>
        <w:sdt>
          <w:sdtPr>
            <w:alias w:val="是否适用：本公司作为担保方的担保情况表[双击切换]"/>
            <w:tag w:val="_GBC_4ba390d56c0645788c7893af84ca2773"/>
            <w:id w:val="2022888844"/>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b/>
              <w:bCs/>
            </w:rPr>
          </w:pPr>
          <w:r>
            <w:rPr>
              <w:rFonts w:hint="eastAsia" w:ascii="Cambria" w:hAnsi="Cambria" w:cs="Cambria"/>
            </w:rPr>
            <w:t>单位：</w:t>
          </w:r>
          <w:sdt>
            <w:sdtPr>
              <w:rPr>
                <w:rFonts w:hint="eastAsia" w:ascii="Cambria" w:hAnsi="Cambria" w:cs="Cambria"/>
              </w:rPr>
              <w:alias w:val="单位：关联担保情况"/>
              <w:tag w:val="_GBC_336765f306884ed7ac31323ffdc7164d"/>
              <w:id w:val="-92379150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币种：</w:t>
          </w:r>
          <w:sdt>
            <w:sdtPr>
              <w:rPr>
                <w:rFonts w:hint="eastAsia" w:ascii="Cambria" w:hAnsi="Cambria" w:cs="Cambria"/>
              </w:rPr>
              <w:alias w:val="币种：关联担保情况"/>
              <w:tag w:val="_GBC_65f9c6a02cb346e48ef0bee93406b7c3"/>
              <w:id w:val="1573553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3151"/>
            <w:gridCol w:w="1276"/>
            <w:gridCol w:w="1274"/>
            <w:gridCol w:w="1417"/>
            <w:gridCol w:w="1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96a4e4b902dd4a1aabeda7f378f03632"/>
                <w:id w:val="-346946130"/>
                <w:lock w:val="sdtLocked"/>
              </w:sdtPr>
              <w:sdtContent>
                <w:tc>
                  <w:tcPr>
                    <w:tcW w:w="18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被担保方</w:t>
                    </w:r>
                  </w:p>
                </w:tc>
              </w:sdtContent>
            </w:sdt>
            <w:sdt>
              <w:sdtPr>
                <w:tag w:val="_PLD_e261ef4f94b54fc2b7ef782e98e6a6f9"/>
                <w:id w:val="707449323"/>
                <w:lock w:val="sdtLocked"/>
              </w:sdtPr>
              <w:sdtContent>
                <w:tc>
                  <w:tcPr>
                    <w:tcW w:w="7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担保金额</w:t>
                    </w:r>
                  </w:p>
                </w:tc>
              </w:sdtContent>
            </w:sdt>
            <w:sdt>
              <w:sdtPr>
                <w:tag w:val="_PLD_6591ac1a04e6441cbf6e117b8ca9b235"/>
                <w:id w:val="-1823572010"/>
                <w:lock w:val="sdtLocked"/>
              </w:sdtPr>
              <w:sdtContent>
                <w:tc>
                  <w:tcPr>
                    <w:tcW w:w="7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担保起始日</w:t>
                    </w:r>
                  </w:p>
                </w:tc>
              </w:sdtContent>
            </w:sdt>
            <w:sdt>
              <w:sdtPr>
                <w:tag w:val="_PLD_a4bd05821174469b92860eea66b1f7f5"/>
                <w:id w:val="-1728675941"/>
                <w:lock w:val="sdtLocked"/>
              </w:sdtPr>
              <w:sdtContent>
                <w:tc>
                  <w:tcPr>
                    <w:tcW w:w="8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担保到期日</w:t>
                    </w:r>
                  </w:p>
                </w:tc>
              </w:sdtContent>
            </w:sdt>
            <w:sdt>
              <w:sdtPr>
                <w:tag w:val="_PLD_ed3011fa0ff64ab0b41763ff62b9ba30"/>
                <w:id w:val="-1159455555"/>
                <w:lock w:val="sdtLocked"/>
              </w:sdtPr>
              <w:sdtContent>
                <w:tc>
                  <w:tcPr>
                    <w:tcW w:w="74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担保是否已经履行完毕</w:t>
                    </w:r>
                  </w:p>
                </w:tc>
              </w:sdtContent>
            </w:sdt>
          </w:tr>
          <w:sdt>
            <w:sdtPr>
              <w:rPr>
                <w:rFonts w:cs="Cambria"/>
              </w:rPr>
              <w:alias w:val="本公司作为担保方的关联担保情况明细"/>
              <w:tag w:val="_TUP_bf275a4319db4fad8fa8f501d7d71b04"/>
              <w:id w:val="-323127724"/>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w:t>
                    </w:r>
                  </w:p>
                </w:tc>
                <w:tc>
                  <w:tcPr>
                    <w:tcW w:w="76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rPr>
                    </w:pPr>
                    <w:r>
                      <w:t>9,749.96</w:t>
                    </w:r>
                  </w:p>
                </w:tc>
                <w:tc>
                  <w:tcPr>
                    <w:tcW w:w="761"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2019-4-1</w:t>
                    </w:r>
                  </w:p>
                </w:tc>
                <w:tc>
                  <w:tcPr>
                    <w:tcW w:w="846"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2025-11-30</w:t>
                    </w:r>
                  </w:p>
                </w:tc>
                <w:sdt>
                  <w:sdtPr>
                    <w:rPr>
                      <w:rFonts w:cs="Cambria"/>
                    </w:rPr>
                    <w:alias w:val="本公司作为担保方的关联担保情况明细-担保是否已经履行完毕"/>
                    <w:tag w:val="_GBC_70748b9f40494d41a4708a6b900ecc0d"/>
                    <w:id w:val="2054265341"/>
                    <w:lock w:val="sdtLocked"/>
                    <w:comboBox>
                      <w:listItem w:displayText="是" w:value="true"/>
                      <w:listItem w:displayText="否" w:value="false"/>
                    </w:comboBox>
                  </w:sdtPr>
                  <w:sdtEndPr>
                    <w:rPr>
                      <w:rFonts w:cs="Cambria"/>
                    </w:rPr>
                  </w:sdtEndPr>
                  <w:sdtContent>
                    <w:tc>
                      <w:tcPr>
                        <w:tcW w:w="749"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93766142"/>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w:t>
                    </w:r>
                  </w:p>
                </w:tc>
                <w:tc>
                  <w:tcPr>
                    <w:tcW w:w="76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rPr>
                    </w:pPr>
                    <w:r>
                      <w:t>119,762.39</w:t>
                    </w:r>
                  </w:p>
                </w:tc>
                <w:tc>
                  <w:tcPr>
                    <w:tcW w:w="761"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2017-9-22</w:t>
                    </w:r>
                  </w:p>
                </w:tc>
                <w:tc>
                  <w:tcPr>
                    <w:tcW w:w="846"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2025-11-30</w:t>
                    </w:r>
                  </w:p>
                </w:tc>
                <w:sdt>
                  <w:sdtPr>
                    <w:rPr>
                      <w:rFonts w:cs="Cambria"/>
                    </w:rPr>
                    <w:alias w:val="本公司作为担保方的关联担保情况明细-担保是否已经履行完毕"/>
                    <w:tag w:val="_GBC_70748b9f40494d41a4708a6b900ecc0d"/>
                    <w:id w:val="-662543582"/>
                    <w:lock w:val="sdtLocked"/>
                    <w:comboBox>
                      <w:listItem w:displayText="是" w:value="true"/>
                      <w:listItem w:displayText="否" w:value="false"/>
                    </w:comboBox>
                  </w:sdtPr>
                  <w:sdtEndPr>
                    <w:rPr>
                      <w:rFonts w:cs="Cambria"/>
                    </w:rPr>
                  </w:sdtEndPr>
                  <w:sdtContent>
                    <w:tc>
                      <w:tcPr>
                        <w:tcW w:w="749"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37021860"/>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重庆力帆控股有限公司、尹明善</w:t>
                    </w:r>
                  </w:p>
                </w:tc>
                <w:tc>
                  <w:tcPr>
                    <w:tcW w:w="76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rPr>
                    </w:pPr>
                    <w:r>
                      <w:t>20,642.09</w:t>
                    </w:r>
                  </w:p>
                </w:tc>
                <w:tc>
                  <w:tcPr>
                    <w:tcW w:w="761"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2019-3-29</w:t>
                    </w:r>
                  </w:p>
                </w:tc>
                <w:tc>
                  <w:tcPr>
                    <w:tcW w:w="846"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2025-11-30</w:t>
                    </w:r>
                  </w:p>
                </w:tc>
                <w:sdt>
                  <w:sdtPr>
                    <w:rPr>
                      <w:rFonts w:cs="Cambria"/>
                    </w:rPr>
                    <w:alias w:val="本公司作为担保方的关联担保情况明细-担保是否已经履行完毕"/>
                    <w:tag w:val="_GBC_70748b9f40494d41a4708a6b900ecc0d"/>
                    <w:id w:val="-885024158"/>
                    <w:lock w:val="sdtLocked"/>
                    <w:comboBox>
                      <w:listItem w:displayText="是" w:value="true"/>
                      <w:listItem w:displayText="否" w:value="false"/>
                    </w:comboBox>
                  </w:sdtPr>
                  <w:sdtEndPr>
                    <w:rPr>
                      <w:rFonts w:cs="Cambria"/>
                    </w:rPr>
                  </w:sdtEndPr>
                  <w:sdtContent>
                    <w:tc>
                      <w:tcPr>
                        <w:tcW w:w="749"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66047812"/>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重庆力帆控股有限公司、尹明善</w:t>
                    </w:r>
                  </w:p>
                </w:tc>
                <w:tc>
                  <w:tcPr>
                    <w:tcW w:w="76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rPr>
                    </w:pPr>
                    <w:r>
                      <w:t>61,374.18</w:t>
                    </w:r>
                  </w:p>
                </w:tc>
                <w:tc>
                  <w:tcPr>
                    <w:tcW w:w="761"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2019-4-3</w:t>
                    </w:r>
                  </w:p>
                </w:tc>
                <w:tc>
                  <w:tcPr>
                    <w:tcW w:w="846"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2025-11-30</w:t>
                    </w:r>
                  </w:p>
                </w:tc>
                <w:sdt>
                  <w:sdtPr>
                    <w:rPr>
                      <w:rFonts w:cs="Cambria"/>
                    </w:rPr>
                    <w:alias w:val="本公司作为担保方的关联担保情况明细-担保是否已经履行完毕"/>
                    <w:tag w:val="_GBC_70748b9f40494d41a4708a6b900ecc0d"/>
                    <w:id w:val="126670015"/>
                    <w:lock w:val="sdtLocked"/>
                    <w:comboBox>
                      <w:listItem w:displayText="是" w:value="true"/>
                      <w:listItem w:displayText="否" w:value="false"/>
                    </w:comboBox>
                  </w:sdtPr>
                  <w:sdtEndPr>
                    <w:rPr>
                      <w:rFonts w:cs="Cambria"/>
                    </w:rPr>
                  </w:sdtEndPr>
                  <w:sdtContent>
                    <w:tc>
                      <w:tcPr>
                        <w:tcW w:w="749"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753425824"/>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882"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合计</w:t>
                    </w:r>
                  </w:p>
                </w:tc>
                <w:tc>
                  <w:tcPr>
                    <w:tcW w:w="762" w:type="pct"/>
                    <w:tcBorders>
                      <w:top w:val="single" w:color="auto" w:sz="4" w:space="0"/>
                      <w:left w:val="single" w:color="auto" w:sz="4" w:space="0"/>
                      <w:bottom w:val="single" w:color="auto" w:sz="4" w:space="0"/>
                      <w:right w:val="single" w:color="auto" w:sz="4" w:space="0"/>
                    </w:tcBorders>
                    <w:shd w:val="clear" w:color="auto" w:fill="auto"/>
                  </w:tcPr>
                  <w:p>
                    <w:pPr>
                      <w:jc w:val="right"/>
                      <w:rPr>
                        <w:rFonts w:cs="Cambria"/>
                      </w:rPr>
                    </w:pPr>
                    <w:r>
                      <w:t>211,528.62</w:t>
                    </w:r>
                  </w:p>
                </w:tc>
                <w:tc>
                  <w:tcPr>
                    <w:tcW w:w="76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 </w:t>
                    </w:r>
                  </w:p>
                </w:tc>
                <w:tc>
                  <w:tcPr>
                    <w:tcW w:w="846"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 </w:t>
                    </w:r>
                  </w:p>
                </w:tc>
                <w:sdt>
                  <w:sdtPr>
                    <w:rPr>
                      <w:rFonts w:cs="Cambria"/>
                    </w:rPr>
                    <w:alias w:val="本公司作为担保方的关联担保情况明细-担保是否已经履行完毕"/>
                    <w:tag w:val="_GBC_70748b9f40494d41a4708a6b900ecc0d"/>
                    <w:id w:val="1172678437"/>
                    <w:lock w:val="sdtLocked"/>
                    <w:showingPlcHdr/>
                    <w:comboBox>
                      <w:listItem w:displayText="是" w:value="true"/>
                      <w:listItem w:displayText="否" w:value="false"/>
                    </w:comboBox>
                  </w:sdtPr>
                  <w:sdtEndPr>
                    <w:rPr>
                      <w:rFonts w:cs="Cambria"/>
                    </w:rPr>
                  </w:sdtEndPr>
                  <w:sdtContent>
                    <w:tc>
                      <w:tcPr>
                        <w:tcW w:w="749"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rPr>
                          <w:t>　</w:t>
                        </w:r>
                      </w:p>
                    </w:tc>
                  </w:sdtContent>
                </w:sdt>
              </w:tr>
            </w:sdtContent>
          </w:sdt>
        </w:tbl>
        <w:p/>
        <w:p>
          <w:pPr>
            <w:rPr>
              <w:rFonts w:ascii="Cambria" w:hAnsi="Cambria" w:cs="Cambria"/>
            </w:rPr>
          </w:pPr>
          <w:r>
            <w:rPr>
              <w:rFonts w:hint="eastAsia" w:ascii="Cambria" w:hAnsi="Cambria" w:cs="Cambria"/>
            </w:rPr>
            <w:t>本公司作为被担保方</w:t>
          </w:r>
        </w:p>
        <w:sdt>
          <w:sdtPr>
            <w:rPr>
              <w:rFonts w:ascii="Cambria" w:hAnsi="Cambria" w:cs="Cambria"/>
            </w:rPr>
            <w:alias w:val="是否适用：本公司作为被担保方的担保情况表[双击切换]"/>
            <w:tag w:val="_GBC_24ee28d66e214f089c669dca4a51a3a4"/>
            <w:id w:val="1314140344"/>
            <w:lock w:val="sdtLocked"/>
          </w:sdtPr>
          <w:sdtEndPr>
            <w:rPr>
              <w:rFonts w:ascii="Cambria" w:hAnsi="Cambria" w:cs="Cambria"/>
            </w:rPr>
          </w:sdtEndPr>
          <w:sdtContent>
            <w:p>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本公司作为被担保方"/>
              <w:tag w:val="_GBC_08de61ddd16b467c884ca0edae6aa2be"/>
              <w:id w:val="166936103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币种：</w:t>
          </w:r>
          <w:sdt>
            <w:sdtPr>
              <w:rPr>
                <w:rFonts w:hint="eastAsia" w:ascii="Cambria" w:hAnsi="Cambria" w:cs="Cambria"/>
              </w:rPr>
              <w:alias w:val="币种：财务附注：本公司作为被担保方"/>
              <w:tag w:val="_GBC_42fee4856c844a5db5f4478afdb3c96d"/>
              <w:id w:val="81506863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865"/>
            <w:gridCol w:w="1561"/>
            <w:gridCol w:w="1418"/>
            <w:gridCol w:w="1418"/>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05323f7a96841bb935f95dcfec68e48"/>
                <w:id w:val="-1865434649"/>
                <w:lock w:val="sdtLocked"/>
              </w:sdtPr>
              <w:sdtContent>
                <w:tc>
                  <w:tcPr>
                    <w:tcW w:w="171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担保方</w:t>
                    </w:r>
                  </w:p>
                </w:tc>
              </w:sdtContent>
            </w:sdt>
            <w:sdt>
              <w:sdtPr>
                <w:tag w:val="_PLD_7721a8a4c1844b24b36caad78c1dee85"/>
                <w:id w:val="1142074804"/>
                <w:lock w:val="sdtLocked"/>
              </w:sdtPr>
              <w:sdtContent>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担保金额</w:t>
                    </w:r>
                  </w:p>
                </w:tc>
              </w:sdtContent>
            </w:sdt>
            <w:sdt>
              <w:sdtPr>
                <w:tag w:val="_PLD_cac4c4f152c846eb9313593bf39d4ef9"/>
                <w:id w:val="681020020"/>
                <w:lock w:val="sdtLocked"/>
              </w:sdtPr>
              <w:sdtContent>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担保起始日</w:t>
                    </w:r>
                  </w:p>
                </w:tc>
              </w:sdtContent>
            </w:sdt>
            <w:sdt>
              <w:sdtPr>
                <w:tag w:val="_PLD_c0918f2db0154eb396818afe3e3f0e9d"/>
                <w:id w:val="-195239186"/>
                <w:lock w:val="sdtLocked"/>
              </w:sdtPr>
              <w:sdtContent>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担保到期日</w:t>
                    </w:r>
                  </w:p>
                </w:tc>
              </w:sdtContent>
            </w:sdt>
            <w:sdt>
              <w:sdtPr>
                <w:tag w:val="_PLD_f7d47a75b517407d8d11153f5529706f"/>
                <w:id w:val="722711860"/>
                <w:lock w:val="sdtLocked"/>
              </w:sdtPr>
              <w:sdtContent>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担保是否已经履行完毕</w:t>
                    </w:r>
                  </w:p>
                </w:tc>
              </w:sdtContent>
            </w:sdt>
          </w:tr>
          <w:sdt>
            <w:sdtPr>
              <w:rPr>
                <w:rFonts w:cs="Cambria"/>
              </w:rPr>
              <w:alias w:val="本公司作为被担保方的关联担保情况明细"/>
              <w:tag w:val="_TUP_473afba5501d402bbcf25b151e18127b"/>
              <w:id w:val="-1753114540"/>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t>119,762.39</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2019-7-26</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2025-11-30</w:t>
                    </w:r>
                  </w:p>
                </w:tc>
                <w:sdt>
                  <w:sdtPr>
                    <w:rPr>
                      <w:rFonts w:cs="Cambria"/>
                    </w:rPr>
                    <w:alias w:val="本公司作为被担保方的关联担保情况明细-担保是否已经履行完毕"/>
                    <w:tag w:val="_GBC_11b6ef1abc32485687a498df5cd1fbcd"/>
                    <w:id w:val="-225297445"/>
                    <w:lock w:val="sdtLocked"/>
                    <w:comboBox>
                      <w:listItem w:displayText="是" w:value="true"/>
                      <w:listItem w:displayText="否" w:value="false"/>
                    </w:comboBox>
                  </w:sdtPr>
                  <w:sdtEndPr>
                    <w:rPr>
                      <w:rFonts w:cs="Cambria"/>
                    </w:rPr>
                  </w:sdtEndPr>
                  <w:sdtContent>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853287944"/>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w:t>
                    </w:r>
                  </w:p>
                </w:tc>
                <w:tc>
                  <w:tcPr>
                    <w:tcW w:w="932" w:type="pct"/>
                    <w:vMerge w:val="restart"/>
                    <w:tcBorders>
                      <w:top w:val="single" w:color="auto" w:sz="4" w:space="0"/>
                      <w:left w:val="single" w:color="auto" w:sz="4" w:space="0"/>
                      <w:right w:val="single" w:color="auto" w:sz="4" w:space="0"/>
                    </w:tcBorders>
                    <w:shd w:val="clear" w:color="auto" w:fill="auto"/>
                    <w:vAlign w:val="center"/>
                  </w:tcPr>
                  <w:p>
                    <w:pPr>
                      <w:jc w:val="right"/>
                      <w:rPr>
                        <w:rFonts w:cs="Cambria"/>
                      </w:rPr>
                    </w:pPr>
                    <w:r>
                      <w:t>9,749.96</w:t>
                    </w:r>
                  </w:p>
                </w:tc>
                <w:tc>
                  <w:tcPr>
                    <w:tcW w:w="847" w:type="pct"/>
                    <w:vMerge w:val="restart"/>
                    <w:tcBorders>
                      <w:top w:val="single" w:color="auto" w:sz="4" w:space="0"/>
                      <w:left w:val="single" w:color="auto" w:sz="4" w:space="0"/>
                      <w:right w:val="single" w:color="auto" w:sz="4" w:space="0"/>
                    </w:tcBorders>
                    <w:shd w:val="clear" w:color="auto" w:fill="auto"/>
                    <w:vAlign w:val="center"/>
                  </w:tcPr>
                  <w:p>
                    <w:pPr>
                      <w:jc w:val="center"/>
                      <w:rPr>
                        <w:rFonts w:cs="Cambria"/>
                      </w:rPr>
                    </w:pPr>
                    <w:r>
                      <w:t>2017-9-4</w:t>
                    </w:r>
                  </w:p>
                </w:tc>
                <w:tc>
                  <w:tcPr>
                    <w:tcW w:w="847" w:type="pct"/>
                    <w:vMerge w:val="restart"/>
                    <w:tcBorders>
                      <w:top w:val="single" w:color="auto" w:sz="4" w:space="0"/>
                      <w:left w:val="single" w:color="auto" w:sz="4" w:space="0"/>
                      <w:right w:val="single" w:color="auto" w:sz="4" w:space="0"/>
                    </w:tcBorders>
                    <w:shd w:val="clear" w:color="auto" w:fill="auto"/>
                    <w:vAlign w:val="center"/>
                  </w:tcPr>
                  <w:p>
                    <w:pPr>
                      <w:jc w:val="center"/>
                      <w:rPr>
                        <w:rFonts w:cs="Cambria"/>
                      </w:rPr>
                    </w:pPr>
                    <w:r>
                      <w:t>2025-11-30</w:t>
                    </w:r>
                  </w:p>
                </w:tc>
                <w:tc>
                  <w:tcPr>
                    <w:tcW w:w="663" w:type="pct"/>
                    <w:vMerge w:val="restart"/>
                    <w:tcBorders>
                      <w:top w:val="single" w:color="auto" w:sz="4" w:space="0"/>
                      <w:left w:val="single" w:color="auto" w:sz="4" w:space="0"/>
                      <w:right w:val="single" w:color="auto" w:sz="4" w:space="0"/>
                    </w:tcBorders>
                    <w:shd w:val="clear" w:color="auto" w:fill="auto"/>
                    <w:vAlign w:val="center"/>
                  </w:tcPr>
                  <w:sdt>
                    <w:sdtPr>
                      <w:rPr>
                        <w:rFonts w:cs="Cambria"/>
                      </w:rPr>
                      <w:alias w:val="本公司作为被担保方的关联担保情况明细-担保是否已经履行完毕"/>
                      <w:tag w:val="_GBC_11b6ef1abc32485687a498df5cd1fbcd"/>
                      <w:id w:val="586658954"/>
                      <w:lock w:val="sdtLocked"/>
                      <w:comboBox>
                        <w:listItem w:displayText="是" w:value="true"/>
                        <w:listItem w:displayText="否" w:value="false"/>
                      </w:comboBox>
                    </w:sdtPr>
                    <w:sdtEndPr>
                      <w:rPr>
                        <w:rFonts w:cs="Cambria"/>
                      </w:rPr>
                    </w:sdtEndPr>
                    <w:sdtContent>
                      <w:p>
                        <w:pPr>
                          <w:jc w:val="center"/>
                          <w:rPr>
                            <w:rFonts w:cs="Cambria"/>
                          </w:rPr>
                        </w:pPr>
                        <w:r>
                          <w:rPr>
                            <w:rFonts w:cs="Cambria"/>
                          </w:rPr>
                          <w:t>否</w:t>
                        </w:r>
                      </w:p>
                    </w:sdtContent>
                  </w:sdt>
                </w:tc>
              </w:tr>
            </w:sdtContent>
          </w:sdt>
          <w:sdt>
            <w:sdtPr>
              <w:rPr>
                <w:rFonts w:cs="Cambria"/>
              </w:rPr>
              <w:alias w:val="本公司作为被担保方的关联担保情况明细"/>
              <w:tag w:val="_TUP_473afba5501d402bbcf25b151e18127b"/>
              <w:id w:val="590662938"/>
              <w:lock w:val="sdtLocked"/>
            </w:sdtPr>
            <w:sdtEndPr>
              <w:rPr>
                <w:rFonts w:cs="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重庆润鹏房地产开发有限公司</w:t>
                    </w:r>
                  </w:p>
                </w:tc>
                <w:tc>
                  <w:tcPr>
                    <w:tcW w:w="932" w:type="pct"/>
                    <w:vMerge w:val="continue"/>
                    <w:tcBorders>
                      <w:left w:val="single" w:color="auto" w:sz="4" w:space="0"/>
                      <w:bottom w:val="single" w:color="auto" w:sz="4" w:space="0"/>
                      <w:right w:val="single" w:color="auto" w:sz="4" w:space="0"/>
                    </w:tcBorders>
                    <w:shd w:val="clear" w:color="auto" w:fill="auto"/>
                    <w:vAlign w:val="center"/>
                  </w:tcPr>
                  <w:p>
                    <w:pPr>
                      <w:jc w:val="right"/>
                      <w:rPr>
                        <w:rFonts w:cs="Cambria"/>
                      </w:rPr>
                    </w:pPr>
                  </w:p>
                </w:tc>
                <w:tc>
                  <w:tcPr>
                    <w:tcW w:w="847"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847"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663"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r>
            </w:sdtContent>
          </w:sdt>
          <w:sdt>
            <w:sdtPr>
              <w:rPr>
                <w:rFonts w:cs="Cambria"/>
              </w:rPr>
              <w:alias w:val="本公司作为被担保方的关联担保情况明细"/>
              <w:tag w:val="_TUP_473afba5501d402bbcf25b151e18127b"/>
              <w:id w:val="-1109117889"/>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w:t>
                    </w:r>
                  </w:p>
                </w:tc>
                <w:tc>
                  <w:tcPr>
                    <w:tcW w:w="932" w:type="pct"/>
                    <w:vMerge w:val="restart"/>
                    <w:tcBorders>
                      <w:top w:val="single" w:color="auto" w:sz="4" w:space="0"/>
                      <w:left w:val="single" w:color="auto" w:sz="4" w:space="0"/>
                      <w:right w:val="single" w:color="auto" w:sz="4" w:space="0"/>
                    </w:tcBorders>
                    <w:shd w:val="clear" w:color="auto" w:fill="auto"/>
                    <w:vAlign w:val="center"/>
                  </w:tcPr>
                  <w:p>
                    <w:pPr>
                      <w:jc w:val="right"/>
                      <w:rPr>
                        <w:rFonts w:cs="Cambria"/>
                      </w:rPr>
                    </w:pPr>
                    <w:r>
                      <w:t>61,374.18</w:t>
                    </w:r>
                  </w:p>
                </w:tc>
                <w:tc>
                  <w:tcPr>
                    <w:tcW w:w="847" w:type="pct"/>
                    <w:vMerge w:val="restart"/>
                    <w:tcBorders>
                      <w:top w:val="single" w:color="auto" w:sz="4" w:space="0"/>
                      <w:left w:val="single" w:color="auto" w:sz="4" w:space="0"/>
                      <w:right w:val="single" w:color="auto" w:sz="4" w:space="0"/>
                    </w:tcBorders>
                    <w:shd w:val="clear" w:color="auto" w:fill="auto"/>
                    <w:vAlign w:val="center"/>
                  </w:tcPr>
                  <w:p>
                    <w:pPr>
                      <w:jc w:val="center"/>
                      <w:rPr>
                        <w:rFonts w:cs="Cambria"/>
                      </w:rPr>
                    </w:pPr>
                    <w:r>
                      <w:t>2019-4-3</w:t>
                    </w:r>
                  </w:p>
                </w:tc>
                <w:tc>
                  <w:tcPr>
                    <w:tcW w:w="847" w:type="pct"/>
                    <w:vMerge w:val="restart"/>
                    <w:tcBorders>
                      <w:top w:val="single" w:color="auto" w:sz="4" w:space="0"/>
                      <w:left w:val="single" w:color="auto" w:sz="4" w:space="0"/>
                      <w:right w:val="single" w:color="auto" w:sz="4" w:space="0"/>
                    </w:tcBorders>
                    <w:shd w:val="clear" w:color="auto" w:fill="auto"/>
                    <w:vAlign w:val="center"/>
                  </w:tcPr>
                  <w:p>
                    <w:pPr>
                      <w:jc w:val="center"/>
                      <w:rPr>
                        <w:rFonts w:cs="Cambria"/>
                      </w:rPr>
                    </w:pPr>
                    <w:r>
                      <w:t>2025-11-30</w:t>
                    </w:r>
                  </w:p>
                </w:tc>
                <w:tc>
                  <w:tcPr>
                    <w:tcW w:w="663" w:type="pct"/>
                    <w:vMerge w:val="restart"/>
                    <w:tcBorders>
                      <w:top w:val="single" w:color="auto" w:sz="4" w:space="0"/>
                      <w:left w:val="single" w:color="auto" w:sz="4" w:space="0"/>
                      <w:right w:val="single" w:color="auto" w:sz="4" w:space="0"/>
                    </w:tcBorders>
                    <w:shd w:val="clear" w:color="auto" w:fill="auto"/>
                    <w:vAlign w:val="center"/>
                  </w:tcPr>
                  <w:sdt>
                    <w:sdtPr>
                      <w:rPr>
                        <w:rFonts w:cs="Cambria"/>
                      </w:rPr>
                      <w:alias w:val="本公司作为被担保方的关联担保情况明细-担保是否已经履行完毕"/>
                      <w:tag w:val="_GBC_11b6ef1abc32485687a498df5cd1fbcd"/>
                      <w:id w:val="-933817716"/>
                      <w:lock w:val="sdtLocked"/>
                      <w:comboBox>
                        <w:listItem w:displayText="是" w:value="true"/>
                        <w:listItem w:displayText="否" w:value="false"/>
                      </w:comboBox>
                    </w:sdtPr>
                    <w:sdtEndPr>
                      <w:rPr>
                        <w:rFonts w:cs="Cambria"/>
                      </w:rPr>
                    </w:sdtEndPr>
                    <w:sdtContent>
                      <w:p>
                        <w:pPr>
                          <w:jc w:val="center"/>
                          <w:rPr>
                            <w:rFonts w:cs="Cambria"/>
                          </w:rPr>
                        </w:pPr>
                        <w:r>
                          <w:rPr>
                            <w:rFonts w:cs="Cambria"/>
                          </w:rPr>
                          <w:t>否</w:t>
                        </w:r>
                      </w:p>
                    </w:sdtContent>
                  </w:sdt>
                </w:tc>
              </w:tr>
            </w:sdtContent>
          </w:sdt>
          <w:sdt>
            <w:sdtPr>
              <w:rPr>
                <w:rFonts w:cs="Cambria"/>
              </w:rPr>
              <w:alias w:val="本公司作为被担保方的关联担保情况明细"/>
              <w:tag w:val="_TUP_473afba5501d402bbcf25b151e18127b"/>
              <w:id w:val="-1271085953"/>
              <w:lock w:val="sdtLocked"/>
            </w:sdtPr>
            <w:sdtEndPr>
              <w:rPr>
                <w:rFonts w:cs="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尹明善</w:t>
                    </w:r>
                  </w:p>
                </w:tc>
                <w:tc>
                  <w:tcPr>
                    <w:tcW w:w="932" w:type="pct"/>
                    <w:vMerge w:val="continue"/>
                    <w:tcBorders>
                      <w:left w:val="single" w:color="auto" w:sz="4" w:space="0"/>
                      <w:bottom w:val="single" w:color="auto" w:sz="4" w:space="0"/>
                      <w:right w:val="single" w:color="auto" w:sz="4" w:space="0"/>
                    </w:tcBorders>
                    <w:shd w:val="clear" w:color="auto" w:fill="auto"/>
                    <w:vAlign w:val="center"/>
                  </w:tcPr>
                  <w:p>
                    <w:pPr>
                      <w:jc w:val="right"/>
                      <w:rPr>
                        <w:rFonts w:cs="Cambria"/>
                      </w:rPr>
                    </w:pPr>
                  </w:p>
                </w:tc>
                <w:tc>
                  <w:tcPr>
                    <w:tcW w:w="847"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847"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663"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r>
            </w:sdtContent>
          </w:sdt>
          <w:sdt>
            <w:sdtPr>
              <w:rPr>
                <w:rFonts w:cs="Cambria"/>
              </w:rPr>
              <w:alias w:val="本公司作为被担保方的关联担保情况明细"/>
              <w:tag w:val="_TUP_473afba5501d402bbcf25b151e18127b"/>
              <w:id w:val="-1145036420"/>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重庆力帆控股有限公司</w:t>
                    </w:r>
                  </w:p>
                </w:tc>
                <w:tc>
                  <w:tcPr>
                    <w:tcW w:w="932" w:type="pct"/>
                    <w:vMerge w:val="restart"/>
                    <w:tcBorders>
                      <w:top w:val="single" w:color="auto" w:sz="4" w:space="0"/>
                      <w:left w:val="single" w:color="auto" w:sz="4" w:space="0"/>
                      <w:right w:val="single" w:color="auto" w:sz="4" w:space="0"/>
                    </w:tcBorders>
                    <w:shd w:val="clear" w:color="auto" w:fill="auto"/>
                    <w:vAlign w:val="center"/>
                  </w:tcPr>
                  <w:p>
                    <w:pPr>
                      <w:jc w:val="right"/>
                      <w:rPr>
                        <w:rFonts w:cs="Cambria"/>
                      </w:rPr>
                    </w:pPr>
                    <w:r>
                      <w:t>20,642.09</w:t>
                    </w:r>
                  </w:p>
                </w:tc>
                <w:tc>
                  <w:tcPr>
                    <w:tcW w:w="847" w:type="pct"/>
                    <w:vMerge w:val="restart"/>
                    <w:tcBorders>
                      <w:top w:val="single" w:color="auto" w:sz="4" w:space="0"/>
                      <w:left w:val="single" w:color="auto" w:sz="4" w:space="0"/>
                      <w:right w:val="single" w:color="auto" w:sz="4" w:space="0"/>
                    </w:tcBorders>
                    <w:shd w:val="clear" w:color="auto" w:fill="auto"/>
                    <w:vAlign w:val="center"/>
                  </w:tcPr>
                  <w:p>
                    <w:pPr>
                      <w:jc w:val="center"/>
                      <w:rPr>
                        <w:rFonts w:cs="Cambria"/>
                      </w:rPr>
                    </w:pPr>
                    <w:r>
                      <w:t>2018-12-20</w:t>
                    </w:r>
                  </w:p>
                </w:tc>
                <w:tc>
                  <w:tcPr>
                    <w:tcW w:w="847" w:type="pct"/>
                    <w:vMerge w:val="restart"/>
                    <w:tcBorders>
                      <w:top w:val="single" w:color="auto" w:sz="4" w:space="0"/>
                      <w:left w:val="single" w:color="auto" w:sz="4" w:space="0"/>
                      <w:right w:val="single" w:color="auto" w:sz="4" w:space="0"/>
                    </w:tcBorders>
                    <w:shd w:val="clear" w:color="auto" w:fill="auto"/>
                    <w:vAlign w:val="center"/>
                  </w:tcPr>
                  <w:p>
                    <w:pPr>
                      <w:jc w:val="center"/>
                      <w:rPr>
                        <w:rFonts w:cs="Cambria"/>
                      </w:rPr>
                    </w:pPr>
                    <w:r>
                      <w:t>2025-11-30</w:t>
                    </w:r>
                  </w:p>
                </w:tc>
                <w:tc>
                  <w:tcPr>
                    <w:tcW w:w="663" w:type="pct"/>
                    <w:vMerge w:val="restart"/>
                    <w:tcBorders>
                      <w:top w:val="single" w:color="auto" w:sz="4" w:space="0"/>
                      <w:left w:val="single" w:color="auto" w:sz="4" w:space="0"/>
                      <w:right w:val="single" w:color="auto" w:sz="4" w:space="0"/>
                    </w:tcBorders>
                    <w:shd w:val="clear" w:color="auto" w:fill="auto"/>
                    <w:vAlign w:val="center"/>
                  </w:tcPr>
                  <w:sdt>
                    <w:sdtPr>
                      <w:rPr>
                        <w:rFonts w:cs="Cambria"/>
                      </w:rPr>
                      <w:alias w:val="本公司作为被担保方的关联担保情况明细-担保是否已经履行完毕"/>
                      <w:tag w:val="_GBC_11b6ef1abc32485687a498df5cd1fbcd"/>
                      <w:id w:val="-1616044234"/>
                      <w:lock w:val="sdtLocked"/>
                      <w:comboBox>
                        <w:listItem w:displayText="是" w:value="true"/>
                        <w:listItem w:displayText="否" w:value="false"/>
                      </w:comboBox>
                    </w:sdtPr>
                    <w:sdtEndPr>
                      <w:rPr>
                        <w:rFonts w:cs="Cambria"/>
                      </w:rPr>
                    </w:sdtEndPr>
                    <w:sdtContent>
                      <w:p>
                        <w:pPr>
                          <w:jc w:val="center"/>
                          <w:rPr>
                            <w:rFonts w:cs="Cambria"/>
                          </w:rPr>
                        </w:pPr>
                        <w:r>
                          <w:rPr>
                            <w:rFonts w:cs="Cambria"/>
                          </w:rPr>
                          <w:t>否</w:t>
                        </w:r>
                      </w:p>
                    </w:sdtContent>
                  </w:sdt>
                </w:tc>
              </w:tr>
            </w:sdtContent>
          </w:sdt>
          <w:sdt>
            <w:sdtPr>
              <w:rPr>
                <w:rFonts w:cs="Cambria"/>
              </w:rPr>
              <w:alias w:val="本公司作为被担保方的关联担保情况明细"/>
              <w:tag w:val="_TUP_473afba5501d402bbcf25b151e18127b"/>
              <w:id w:val="-323584601"/>
              <w:lock w:val="sdtLocked"/>
            </w:sdtPr>
            <w:sdtEndPr>
              <w:rPr>
                <w:rFonts w:cs="宋体"/>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尹明善</w:t>
                    </w:r>
                  </w:p>
                </w:tc>
                <w:tc>
                  <w:tcPr>
                    <w:tcW w:w="932" w:type="pct"/>
                    <w:vMerge w:val="continue"/>
                    <w:tcBorders>
                      <w:left w:val="single" w:color="auto" w:sz="4" w:space="0"/>
                      <w:bottom w:val="single" w:color="auto" w:sz="4" w:space="0"/>
                      <w:right w:val="single" w:color="auto" w:sz="4" w:space="0"/>
                    </w:tcBorders>
                    <w:shd w:val="clear" w:color="auto" w:fill="auto"/>
                    <w:vAlign w:val="center"/>
                  </w:tcPr>
                  <w:p>
                    <w:pPr>
                      <w:jc w:val="right"/>
                      <w:rPr>
                        <w:rFonts w:cs="Cambria"/>
                      </w:rPr>
                    </w:pPr>
                  </w:p>
                </w:tc>
                <w:tc>
                  <w:tcPr>
                    <w:tcW w:w="847"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847"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663" w:type="pct"/>
                    <w:vMerge w:val="continue"/>
                    <w:tcBorders>
                      <w:left w:val="single" w:color="auto" w:sz="4" w:space="0"/>
                      <w:bottom w:val="single" w:color="auto" w:sz="4" w:space="0"/>
                      <w:right w:val="single" w:color="auto" w:sz="4" w:space="0"/>
                    </w:tcBorders>
                    <w:shd w:val="clear" w:color="auto" w:fill="auto"/>
                    <w:vAlign w:val="center"/>
                  </w:tcPr>
                  <w:p>
                    <w:pPr>
                      <w:jc w:val="center"/>
                      <w:rPr>
                        <w:rFonts w:cs="Cambria"/>
                      </w:rPr>
                    </w:pPr>
                  </w:p>
                </w:tc>
              </w:tr>
            </w:sdtContent>
          </w:sdt>
          <w:sdt>
            <w:sdtPr>
              <w:rPr>
                <w:rFonts w:cs="Cambria"/>
              </w:rPr>
              <w:alias w:val="本公司作为被担保方的关联担保情况明细"/>
              <w:tag w:val="_TUP_473afba5501d402bbcf25b151e18127b"/>
              <w:id w:val="-1437362263"/>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重庆力帆置业有限公司</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t>74,605.00</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2017-6-19</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2027-6-18</w:t>
                    </w:r>
                  </w:p>
                </w:tc>
                <w:sdt>
                  <w:sdtPr>
                    <w:rPr>
                      <w:rFonts w:cs="Cambria"/>
                    </w:rPr>
                    <w:alias w:val="本公司作为被担保方的关联担保情况明细-担保是否已经履行完毕"/>
                    <w:tag w:val="_GBC_11b6ef1abc32485687a498df5cd1fbcd"/>
                    <w:id w:val="-847329917"/>
                    <w:lock w:val="sdtLocked"/>
                    <w:comboBox>
                      <w:listItem w:displayText="是" w:value="true"/>
                      <w:listItem w:displayText="否" w:value="false"/>
                    </w:comboBox>
                  </w:sdtPr>
                  <w:sdtEndPr>
                    <w:rPr>
                      <w:rFonts w:cs="Cambria"/>
                    </w:rPr>
                  </w:sdtEndPr>
                  <w:sdtContent>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1138844516"/>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重庆力帆置业有限公司</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t>5,426.00</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2020-4-17</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2022-4-16</w:t>
                    </w:r>
                  </w:p>
                </w:tc>
                <w:sdt>
                  <w:sdtPr>
                    <w:rPr>
                      <w:rFonts w:cs="Cambria"/>
                    </w:rPr>
                    <w:alias w:val="本公司作为被担保方的关联担保情况明细-担保是否已经履行完毕"/>
                    <w:tag w:val="_GBC_11b6ef1abc32485687a498df5cd1fbcd"/>
                    <w:id w:val="-2017145164"/>
                    <w:lock w:val="sdtLocked"/>
                    <w:comboBox>
                      <w:listItem w:displayText="是" w:value="true"/>
                      <w:listItem w:displayText="否" w:value="false"/>
                    </w:comboBox>
                  </w:sdtPr>
                  <w:sdtEndPr>
                    <w:rPr>
                      <w:rFonts w:cs="Cambria"/>
                    </w:rPr>
                  </w:sdtEndPr>
                  <w:sdtContent>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804504899"/>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t>重庆力帆置业有限公司</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t>2,500.00</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2020-4-24</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t>2022-4-23</w:t>
                    </w:r>
                  </w:p>
                </w:tc>
                <w:sdt>
                  <w:sdtPr>
                    <w:rPr>
                      <w:rFonts w:cs="Cambria"/>
                    </w:rPr>
                    <w:alias w:val="本公司作为被担保方的关联担保情况明细-担保是否已经履行完毕"/>
                    <w:tag w:val="_GBC_11b6ef1abc32485687a498df5cd1fbcd"/>
                    <w:id w:val="1325778598"/>
                    <w:lock w:val="sdtLocked"/>
                    <w:comboBox>
                      <w:listItem w:displayText="是" w:value="true"/>
                      <w:listItem w:displayText="否" w:value="false"/>
                    </w:comboBox>
                  </w:sdtPr>
                  <w:sdtEndPr>
                    <w:rPr>
                      <w:rFonts w:cs="Cambria"/>
                    </w:rPr>
                  </w:sdtEndPr>
                  <w:sdtContent>
                    <w:tc>
                      <w:tcPr>
                        <w:tcW w:w="66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cs="Cambria"/>
                          </w:rPr>
                          <w:t>否</w:t>
                        </w:r>
                      </w:p>
                    </w:tc>
                  </w:sdtContent>
                </w:sdt>
              </w:tr>
            </w:sdtContent>
          </w:sdt>
          <w:sdt>
            <w:sdtPr>
              <w:rPr>
                <w:rFonts w:cs="Cambria"/>
              </w:rPr>
              <w:alias w:val="本公司作为被担保方的关联担保情况明细"/>
              <w:tag w:val="_TUP_473afba5501d402bbcf25b151e18127b"/>
              <w:id w:val="-788047974"/>
              <w:lock w:val="sdtLocked"/>
            </w:sdtPr>
            <w:sdtEndPr>
              <w:rPr>
                <w:rFonts w:cs="Cambria"/>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711"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t>合计</w:t>
                    </w:r>
                  </w:p>
                </w:tc>
                <w:tc>
                  <w:tcPr>
                    <w:tcW w:w="93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cs="Cambria"/>
                      </w:rPr>
                    </w:pPr>
                    <w:r>
                      <w:t>294,059.6</w:t>
                    </w:r>
                    <w:r>
                      <w:rPr>
                        <w:rFonts w:hint="eastAsia"/>
                      </w:rPr>
                      <w:t>2</w:t>
                    </w: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p>
                </w:tc>
                <w:tc>
                  <w:tcPr>
                    <w:tcW w:w="84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p>
                </w:tc>
                <w:sdt>
                  <w:sdtPr>
                    <w:rPr>
                      <w:rFonts w:cs="Cambria"/>
                    </w:rPr>
                    <w:alias w:val="本公司作为被担保方的关联担保情况明细-担保是否已经履行完毕"/>
                    <w:tag w:val="_GBC_11b6ef1abc32485687a498df5cd1fbcd"/>
                    <w:id w:val="345917436"/>
                    <w:lock w:val="sdtLocked"/>
                    <w:showingPlcHdr/>
                    <w:comboBox>
                      <w:listItem w:displayText="是" w:value="true"/>
                      <w:listItem w:displayText="否" w:value="false"/>
                    </w:comboBox>
                  </w:sdtPr>
                  <w:sdtEndPr>
                    <w:rPr>
                      <w:rFonts w:cs="Cambria"/>
                    </w:rPr>
                  </w:sdtEndPr>
                  <w:sdtContent>
                    <w:tc>
                      <w:tcPr>
                        <w:tcW w:w="663" w:type="pct"/>
                        <w:tcBorders>
                          <w:top w:val="single" w:color="auto" w:sz="4" w:space="0"/>
                          <w:left w:val="single" w:color="auto" w:sz="4" w:space="0"/>
                          <w:bottom w:val="single" w:color="auto" w:sz="4" w:space="0"/>
                          <w:right w:val="single" w:color="auto" w:sz="4" w:space="0"/>
                        </w:tcBorders>
                        <w:shd w:val="clear" w:color="auto" w:fill="auto"/>
                      </w:tcPr>
                      <w:p>
                        <w:pPr>
                          <w:rPr>
                            <w:rFonts w:cs="Cambria"/>
                          </w:rPr>
                        </w:pPr>
                        <w:r>
                          <w:rPr>
                            <w:rFonts w:hint="eastAsia"/>
                          </w:rPr>
                          <w:t>　</w:t>
                        </w:r>
                      </w:p>
                    </w:tc>
                  </w:sdtContent>
                </w:sdt>
              </w:tr>
            </w:sdtContent>
          </w:sdt>
        </w:tbl>
        <w:p/>
        <w:p>
          <w:pPr>
            <w:rPr>
              <w:rFonts w:ascii="Cambria" w:hAnsi="Cambria" w:cs="Cambria"/>
            </w:rPr>
          </w:pPr>
          <w:r>
            <w:rPr>
              <w:rFonts w:hint="eastAsia" w:ascii="Cambria" w:hAnsi="Cambria" w:cs="Cambria"/>
            </w:rPr>
            <w:t>关联担保情况说明</w:t>
          </w:r>
        </w:p>
        <w:sdt>
          <w:sdtPr>
            <w:rPr>
              <w:rFonts w:ascii="Cambria" w:hAnsi="Cambria" w:cs="Cambria"/>
            </w:rPr>
            <w:alias w:val="是否适用：关联担保情况说明[双击切换]"/>
            <w:tag w:val="_GBC_455c21d6a2674726afee6a2386be7898"/>
            <w:id w:val="29703720"/>
            <w:lock w:val="sdtLocked"/>
          </w:sdtPr>
          <w:sdtEndPr>
            <w:rPr>
              <w:rFonts w:ascii="Cambria" w:hAnsi="Cambria" w:cs="Cambria"/>
            </w:rPr>
          </w:sdtEndPr>
          <w:sdtContent>
            <w:p>
              <w:pPr>
                <w:rPr>
                  <w:rFonts w:ascii="Cambria" w:hAnsi="Cambria" w:cs="Cambria"/>
                </w:rPr>
              </w:pPr>
              <w:r>
                <w:rPr>
                  <w:rFonts w:cs="Cambria"/>
                </w:rPr>
                <w:fldChar w:fldCharType="begin"/>
              </w:r>
              <w:r>
                <w:rPr>
                  <w:rFonts w:cs="Cambria"/>
                </w:rPr>
                <w:instrText xml:space="preserve">MACROBUTTON  SnrToggleCheckbox √适用 </w:instrText>
              </w:r>
              <w:r>
                <w:rPr>
                  <w:rFonts w:cs="Cambria"/>
                </w:rPr>
                <w:fldChar w:fldCharType="end"/>
              </w:r>
              <w:r>
                <w:rPr>
                  <w:rFonts w:cs="Cambria"/>
                </w:rPr>
                <w:fldChar w:fldCharType="begin"/>
              </w:r>
              <w:r>
                <w:rPr>
                  <w:rFonts w:cs="Cambria"/>
                </w:rPr>
                <w:instrText xml:space="preserve"> MACROBUTTON  SnrToggleCheckbox □不适用 </w:instrText>
              </w:r>
              <w:r>
                <w:rPr>
                  <w:rFonts w:cs="Cambria"/>
                </w:rPr>
                <w:fldChar w:fldCharType="end"/>
              </w:r>
            </w:p>
          </w:sdtContent>
        </w:sdt>
        <w:sdt>
          <w:sdtPr>
            <w:rPr>
              <w:rFonts w:ascii="Cambria" w:hAnsi="Cambria" w:cs="Cambria"/>
            </w:rPr>
            <w:alias w:val="关联担保说明"/>
            <w:tag w:val="_GBC_3eee756411e248a88ccd781b4dc66942"/>
            <w:id w:val="-651836016"/>
            <w:lock w:val="sdtLocked"/>
          </w:sdtPr>
          <w:sdtEndPr>
            <w:rPr>
              <w:rFonts w:ascii="Cambria" w:hAnsi="Cambria" w:cs="Cambria"/>
            </w:rPr>
          </w:sdtEndPr>
          <w:sdtContent>
            <w:p>
              <w:pPr>
                <w:widowControl w:val="0"/>
                <w:adjustRightInd w:val="0"/>
                <w:snapToGrid w:val="0"/>
                <w:spacing w:before="120" w:beforeLines="50" w:line="360" w:lineRule="auto"/>
                <w:ind w:firstLine="420" w:firstLineChars="200"/>
                <w:jc w:val="both"/>
                <w:rPr>
                  <w:rFonts w:ascii="Cambria" w:hAnsi="Cambria" w:cs="Cambria"/>
                </w:rPr>
              </w:pPr>
              <w:r>
                <w:rPr>
                  <w:rFonts w:ascii="Arial Narrow" w:hAnsi="Arial Narrow" w:eastAsiaTheme="minorEastAsia"/>
                  <w:szCs w:val="21"/>
                </w:rPr>
                <w:t>原控股股东重庆力帆控股有限公司及其</w:t>
              </w:r>
              <w:r>
                <w:rPr>
                  <w:rFonts w:hint="eastAsia" w:ascii="Arial Narrow" w:hAnsi="Arial Narrow" w:eastAsiaTheme="minorEastAsia"/>
                  <w:szCs w:val="21"/>
                </w:rPr>
                <w:t>原</w:t>
              </w:r>
              <w:r>
                <w:rPr>
                  <w:rFonts w:ascii="Arial Narrow" w:hAnsi="Arial Narrow" w:eastAsiaTheme="minorEastAsia"/>
                  <w:szCs w:val="21"/>
                </w:rPr>
                <w:t>实控人以其自身信用或资产为本公司及控股子公司在向金融机构及其他机构申请借款提供连带责任担保，为此，本公司及控股子公司向重庆力帆控股有限公司及其实际控制人提供反担保。</w:t>
              </w:r>
            </w:p>
          </w:sdtContent>
        </w:sdt>
      </w:sdtContent>
    </w:sdt>
    <w:sdt>
      <w:sdtPr>
        <w:rPr>
          <w:rFonts w:hint="eastAsia" w:ascii="宋体" w:hAnsi="宋体" w:eastAsia="宋体" w:cs="宋体"/>
          <w:b w:val="0"/>
          <w:bCs w:val="0"/>
          <w:kern w:val="0"/>
          <w:szCs w:val="24"/>
        </w:rPr>
        <w:alias w:val="模块:关联方资金拆借"/>
        <w:tag w:val="_SEC_e662f655e98144708ee022291e4d2c28"/>
        <w:id w:val="-355963933"/>
        <w:lock w:val="sdtLocked"/>
        <w:placeholder>
          <w:docPart w:val="GBC22222222222222222222222222222"/>
        </w:placeholder>
      </w:sdtPr>
      <w:sdtEndPr>
        <w:rPr>
          <w:rFonts w:hint="default" w:ascii="宋体" w:hAnsi="宋体" w:eastAsia="宋体" w:cstheme="minorBidi"/>
          <w:b w:val="0"/>
          <w:bCs w:val="0"/>
          <w:kern w:val="0"/>
          <w:szCs w:val="21"/>
        </w:rPr>
      </w:sdtEndPr>
      <w:sdtContent>
        <w:p>
          <w:pPr>
            <w:pStyle w:val="115"/>
            <w:numPr>
              <w:ilvl w:val="3"/>
              <w:numId w:val="123"/>
            </w:numPr>
            <w:ind w:left="424" w:hanging="424" w:hangingChars="202"/>
          </w:pPr>
          <w:r>
            <w:rPr>
              <w:rFonts w:hint="eastAsia"/>
            </w:rPr>
            <w:t>关联方资金拆借</w:t>
          </w:r>
        </w:p>
        <w:sdt>
          <w:sdtPr>
            <w:alias w:val="是否适用：关联方资金拆借[双击切换]"/>
            <w:tag w:val="_GBC_9b5630a86e1e452494249106e2600b15"/>
            <w:id w:val="-1585071263"/>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关联方资产转让、债务重组情况"/>
        <w:tag w:val="_SEC_d9d6435f8ac54597b97d51dd0f61d03f"/>
        <w:id w:val="659271698"/>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23"/>
            </w:numPr>
            <w:ind w:left="424" w:hanging="424" w:hangingChars="202"/>
          </w:pPr>
          <w:r>
            <w:rPr>
              <w:rFonts w:hint="eastAsia"/>
            </w:rPr>
            <w:t>关联方资产转让、债务重组情况</w:t>
          </w:r>
        </w:p>
        <w:sdt>
          <w:sdtPr>
            <w:alias w:val="是否适用：关联方资产转让、债务重组情况[双击切换]"/>
            <w:tag w:val="_GBC_6f8fce72ce784c23aba8af28c51de336"/>
            <w:id w:val="74423047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dt>
      <w:sdtPr>
        <w:rPr>
          <w:rFonts w:hint="eastAsia" w:ascii="宋体" w:hAnsi="宋体" w:eastAsia="宋体" w:cs="宋体"/>
          <w:b w:val="0"/>
          <w:bCs w:val="0"/>
          <w:kern w:val="0"/>
          <w:szCs w:val="24"/>
        </w:rPr>
        <w:alias w:val="模块:关键管理人员报酬"/>
        <w:tag w:val="_SEC_3b5cc9d011f04ea3b064e0de02da00f5"/>
        <w:id w:val="-114349687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23"/>
            </w:numPr>
            <w:ind w:left="424" w:hanging="424" w:hangingChars="202"/>
          </w:pPr>
          <w:r>
            <w:rPr>
              <w:rFonts w:hint="eastAsia"/>
            </w:rPr>
            <w:t>关键管理人员报酬</w:t>
          </w:r>
        </w:p>
        <w:sdt>
          <w:sdtPr>
            <w:alias w:val="是否适用：关键管理人员报酬[双击切换]"/>
            <w:tag w:val="_GBC_4768ccd806f845f4b6f5f0ec038ec747"/>
            <w:id w:val="32664745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rFonts w:ascii="Cambria" w:hAnsi="Cambria" w:cs="Cambria"/>
            </w:rPr>
          </w:pPr>
          <w:r>
            <w:rPr>
              <w:rFonts w:hint="eastAsia" w:ascii="Cambria" w:hAnsi="Cambria" w:cs="Cambria"/>
            </w:rPr>
            <w:t>单位：</w:t>
          </w:r>
          <w:sdt>
            <w:sdtPr>
              <w:rPr>
                <w:rFonts w:hint="eastAsia" w:ascii="Cambria" w:hAnsi="Cambria" w:cs="Cambria"/>
              </w:rPr>
              <w:alias w:val="单位：财务附注：关键管理人员报酬"/>
              <w:tag w:val="_GBC_3dcac03c36954e5ab3dab539e6a2f735"/>
              <w:id w:val="-46289554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Cambria" w:hAnsi="Cambria" w:cs="Cambria"/>
              </w:rPr>
            </w:sdtEndPr>
            <w:sdtContent>
              <w:r>
                <w:rPr>
                  <w:rFonts w:hint="eastAsia" w:ascii="Cambria" w:hAnsi="Cambria" w:cs="Cambria"/>
                </w:rPr>
                <w:t>万元</w:t>
              </w:r>
            </w:sdtContent>
          </w:sdt>
          <w:r>
            <w:rPr>
              <w:rFonts w:hint="eastAsia" w:ascii="Cambria" w:hAnsi="Cambria" w:cs="Cambria"/>
            </w:rPr>
            <w:t>币种：</w:t>
          </w:r>
          <w:sdt>
            <w:sdtPr>
              <w:rPr>
                <w:rFonts w:hint="eastAsia" w:ascii="Cambria" w:hAnsi="Cambria" w:cs="Cambria"/>
              </w:rPr>
              <w:alias w:val="币种：财务附注：关键管理人员报酬"/>
              <w:tag w:val="_GBC_9bf846a4da0046829fd7baa3fd1fe348"/>
              <w:id w:val="7387590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Cambria" w:hAnsi="Cambria" w:cs="Cambria"/>
              </w:rPr>
            </w:sdtEndPr>
            <w:sdtContent>
              <w:r>
                <w:rPr>
                  <w:rFonts w:hint="eastAsia" w:ascii="Cambria" w:hAnsi="Cambria" w:cs="Cambr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085"/>
            <w:gridCol w:w="2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d38745be5c64397b1dab92289838da1"/>
                <w:id w:val="-1449395633"/>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项目</w:t>
                    </w:r>
                  </w:p>
                </w:tc>
              </w:sdtContent>
            </w:sdt>
            <w:sdt>
              <w:sdtPr>
                <w:tag w:val="_PLD_31133ff59dcf4a7b93a7991d1f435b05"/>
                <w:id w:val="256878528"/>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本期发生额</w:t>
                    </w:r>
                  </w:p>
                </w:tc>
              </w:sdtContent>
            </w:sdt>
            <w:sdt>
              <w:sdtPr>
                <w:tag w:val="_PLD_e08658a238f7419ca0d4ce3386ff565e"/>
                <w:id w:val="-839849985"/>
                <w:lock w:val="sdtLocked"/>
              </w:sdtPr>
              <w:sdtContent>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cs="Cambria"/>
                      </w:rPr>
                    </w:pPr>
                    <w:r>
                      <w:rPr>
                        <w:rFonts w:hint="eastAsia" w:cs="Cambria"/>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351d1928c6ce40d2b5b46143c5f31f00"/>
                <w:id w:val="-2044049139"/>
                <w:lock w:val="sdtLocked"/>
              </w:sdtPr>
              <w:sdtContent>
                <w:tc>
                  <w:tcPr>
                    <w:tcW w:w="1809" w:type="pct"/>
                    <w:tcBorders>
                      <w:top w:val="single" w:color="auto" w:sz="4" w:space="0"/>
                      <w:left w:val="single" w:color="auto" w:sz="4" w:space="0"/>
                      <w:bottom w:val="single" w:color="auto" w:sz="4" w:space="0"/>
                      <w:right w:val="single" w:color="auto" w:sz="4" w:space="0"/>
                    </w:tcBorders>
                    <w:shd w:val="clear" w:color="auto" w:fill="auto"/>
                  </w:tcPr>
                  <w:p>
                    <w:pPr>
                      <w:jc w:val="center"/>
                      <w:rPr>
                        <w:rFonts w:cs="Cambria"/>
                      </w:rPr>
                    </w:pPr>
                    <w:r>
                      <w:rPr>
                        <w:rFonts w:hint="eastAsia" w:cs="Cambria"/>
                      </w:rPr>
                      <w:t>关键管理人员报酬</w:t>
                    </w:r>
                  </w:p>
                </w:tc>
              </w:sdtContent>
            </w:sdt>
            <w:tc>
              <w:tcPr>
                <w:tcW w:w="180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435.57</w:t>
                </w:r>
              </w:p>
            </w:tc>
            <w:tc>
              <w:tcPr>
                <w:tcW w:w="138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 w:val="24"/>
                  </w:rPr>
                </w:pPr>
                <w:r>
                  <w:t>900.66</w:t>
                </w:r>
              </w:p>
            </w:tc>
          </w:tr>
        </w:tbl>
        <w:p/>
      </w:sdtContent>
    </w:sdt>
    <w:sdt>
      <w:sdtPr>
        <w:rPr>
          <w:rFonts w:hint="eastAsia" w:ascii="宋体" w:hAnsi="宋体" w:eastAsia="宋体" w:cs="宋体"/>
          <w:b w:val="0"/>
          <w:bCs w:val="0"/>
          <w:kern w:val="0"/>
          <w:szCs w:val="24"/>
        </w:rPr>
        <w:alias w:val="模块:其他关联交易"/>
        <w:tag w:val="_SEC_3ee0d5867a8b45ac909e0cf39151d6d4"/>
        <w:id w:val="136925887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23"/>
            </w:numPr>
            <w:ind w:left="424" w:hanging="424" w:hangingChars="202"/>
          </w:pPr>
          <w:r>
            <w:rPr>
              <w:rFonts w:hint="eastAsia"/>
            </w:rPr>
            <w:t>其他关联交易</w:t>
          </w:r>
        </w:p>
        <w:sdt>
          <w:sdtPr>
            <w:rPr>
              <w:rFonts w:hint="eastAsia"/>
              <w:szCs w:val="21"/>
            </w:rPr>
            <w:alias w:val="是否适用：其他关联交易[双击切换]"/>
            <w:tag w:val="_GBC_a1203a07d7684e08bdc2f1959f1cb9ae"/>
            <w:id w:val="-83669869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关联交易的情况"/>
            <w:tag w:val="_GBC_568a4950b7f046d3a08a3d8b97923495"/>
            <w:id w:val="549882380"/>
            <w:lock w:val="sdtLocked"/>
            <w:placeholder>
              <w:docPart w:val="GBC22222222222222222222222222222"/>
            </w:placeholder>
          </w:sdtPr>
          <w:sdtEndPr>
            <w:rPr>
              <w:szCs w:val="24"/>
            </w:rPr>
          </w:sdtEndPr>
          <w:sdtContent>
            <w:p>
              <w:pPr>
                <w:jc w:val="right"/>
                <w:rPr>
                  <w:szCs w:val="21"/>
                </w:rPr>
              </w:pPr>
              <w:r>
                <w:rPr>
                  <w:rFonts w:hint="eastAsia"/>
                  <w:szCs w:val="21"/>
                </w:rPr>
                <w:t>单位：元  币种：人民币</w:t>
              </w:r>
            </w:p>
            <w:tbl>
              <w:tblPr>
                <w:tblStyle w:val="1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3524"/>
                <w:gridCol w:w="158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bCs/>
                        <w:kern w:val="2"/>
                        <w:szCs w:val="21"/>
                      </w:rPr>
                    </w:pPr>
                    <w:r>
                      <w:rPr>
                        <w:bCs/>
                      </w:rPr>
                      <w:t>交易类型</w:t>
                    </w:r>
                  </w:p>
                </w:tc>
                <w:tc>
                  <w:tcPr>
                    <w:tcW w:w="2066" w:type="pct"/>
                    <w:vAlign w:val="center"/>
                  </w:tcPr>
                  <w:p>
                    <w:pPr>
                      <w:snapToGrid w:val="0"/>
                      <w:spacing w:line="240" w:lineRule="exact"/>
                      <w:jc w:val="center"/>
                      <w:rPr>
                        <w:rFonts w:ascii="Arial Narrow" w:hAnsi="Arial Narrow"/>
                        <w:bCs/>
                        <w:kern w:val="2"/>
                        <w:szCs w:val="21"/>
                      </w:rPr>
                    </w:pPr>
                    <w:r>
                      <w:rPr>
                        <w:bCs/>
                      </w:rPr>
                      <w:t>关联方名称</w:t>
                    </w:r>
                  </w:p>
                </w:tc>
                <w:tc>
                  <w:tcPr>
                    <w:tcW w:w="927" w:type="pct"/>
                    <w:vAlign w:val="center"/>
                  </w:tcPr>
                  <w:p>
                    <w:pPr>
                      <w:snapToGrid w:val="0"/>
                      <w:spacing w:line="240" w:lineRule="exact"/>
                      <w:jc w:val="center"/>
                      <w:rPr>
                        <w:rFonts w:ascii="Arial Narrow" w:hAnsi="Arial Narrow"/>
                        <w:bCs/>
                        <w:kern w:val="2"/>
                        <w:szCs w:val="21"/>
                      </w:rPr>
                    </w:pPr>
                    <w:r>
                      <w:rPr>
                        <w:bCs/>
                      </w:rPr>
                      <w:t>本期发生额</w:t>
                    </w:r>
                  </w:p>
                </w:tc>
                <w:tc>
                  <w:tcPr>
                    <w:tcW w:w="1112" w:type="pct"/>
                    <w:vAlign w:val="center"/>
                  </w:tcPr>
                  <w:p>
                    <w:pPr>
                      <w:snapToGrid w:val="0"/>
                      <w:spacing w:line="240" w:lineRule="exact"/>
                      <w:jc w:val="center"/>
                      <w:rPr>
                        <w:rFonts w:ascii="Arial Narrow" w:hAnsi="Arial Narrow"/>
                        <w:bCs/>
                        <w:kern w:val="2"/>
                        <w:szCs w:val="21"/>
                      </w:rPr>
                    </w:pPr>
                    <w:r>
                      <w:rPr>
                        <w:bCs/>
                      </w:rPr>
                      <w:t>上期发生额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bCs/>
                        <w:kern w:val="2"/>
                        <w:szCs w:val="21"/>
                      </w:rPr>
                    </w:pPr>
                    <w:r>
                      <w:t>控股代偿债务</w:t>
                    </w:r>
                  </w:p>
                </w:tc>
                <w:tc>
                  <w:tcPr>
                    <w:tcW w:w="2066" w:type="pct"/>
                    <w:vAlign w:val="center"/>
                  </w:tcPr>
                  <w:p>
                    <w:pPr>
                      <w:snapToGrid w:val="0"/>
                      <w:spacing w:line="240" w:lineRule="exact"/>
                      <w:rPr>
                        <w:rFonts w:ascii="Arial Narrow" w:hAnsi="Arial Narrow"/>
                        <w:kern w:val="2"/>
                        <w:szCs w:val="21"/>
                      </w:rPr>
                    </w:pPr>
                    <w:r>
                      <w:t>重庆力帆控股有限公司</w:t>
                    </w:r>
                  </w:p>
                </w:tc>
                <w:tc>
                  <w:tcPr>
                    <w:tcW w:w="927" w:type="pct"/>
                    <w:vAlign w:val="center"/>
                  </w:tcPr>
                  <w:p>
                    <w:pPr>
                      <w:snapToGrid w:val="0"/>
                      <w:spacing w:line="240" w:lineRule="exact"/>
                      <w:jc w:val="right"/>
                      <w:rPr>
                        <w:rFonts w:asciiTheme="minorEastAsia" w:hAnsiTheme="minorEastAsia" w:eastAsiaTheme="minorEastAsia"/>
                        <w:bCs/>
                        <w:kern w:val="2"/>
                        <w:szCs w:val="21"/>
                      </w:rPr>
                    </w:pPr>
                  </w:p>
                </w:tc>
                <w:tc>
                  <w:tcPr>
                    <w:tcW w:w="1112" w:type="pct"/>
                    <w:vAlign w:val="center"/>
                  </w:tcPr>
                  <w:p>
                    <w:pPr>
                      <w:snapToGrid w:val="0"/>
                      <w:spacing w:line="240" w:lineRule="exact"/>
                      <w:jc w:val="right"/>
                      <w:rPr>
                        <w:rFonts w:asciiTheme="minorEastAsia" w:hAnsiTheme="minorEastAsia" w:eastAsiaTheme="minorEastAsia"/>
                        <w:bCs/>
                        <w:kern w:val="2"/>
                        <w:szCs w:val="21"/>
                      </w:rPr>
                    </w:pPr>
                    <w:r>
                      <w:rPr>
                        <w:rFonts w:asciiTheme="minorEastAsia" w:hAnsiTheme="minorEastAsia" w:eastAsiaTheme="minorEastAsia"/>
                      </w:rPr>
                      <w:t>987,503,230.28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bCs/>
                        <w:kern w:val="2"/>
                        <w:szCs w:val="21"/>
                      </w:rPr>
                    </w:pPr>
                    <w:r>
                      <w:t>收购股权</w:t>
                    </w:r>
                  </w:p>
                </w:tc>
                <w:tc>
                  <w:tcPr>
                    <w:tcW w:w="2066" w:type="pct"/>
                    <w:vAlign w:val="center"/>
                  </w:tcPr>
                  <w:p>
                    <w:pPr>
                      <w:snapToGrid w:val="0"/>
                      <w:spacing w:line="240" w:lineRule="exact"/>
                      <w:rPr>
                        <w:rFonts w:ascii="Arial Narrow" w:hAnsi="Arial Narrow"/>
                        <w:kern w:val="2"/>
                        <w:szCs w:val="21"/>
                      </w:rPr>
                    </w:pPr>
                    <w:r>
                      <w:t>重庆力帆控股有限公司</w:t>
                    </w:r>
                  </w:p>
                </w:tc>
                <w:tc>
                  <w:tcPr>
                    <w:tcW w:w="927" w:type="pct"/>
                    <w:vAlign w:val="center"/>
                  </w:tcPr>
                  <w:p>
                    <w:pPr>
                      <w:snapToGrid w:val="0"/>
                      <w:spacing w:line="240" w:lineRule="exact"/>
                      <w:jc w:val="right"/>
                      <w:rPr>
                        <w:rFonts w:asciiTheme="minorEastAsia" w:hAnsiTheme="minorEastAsia" w:eastAsiaTheme="minorEastAsia"/>
                        <w:bCs/>
                        <w:kern w:val="2"/>
                        <w:szCs w:val="21"/>
                      </w:rPr>
                    </w:pPr>
                  </w:p>
                </w:tc>
                <w:tc>
                  <w:tcPr>
                    <w:tcW w:w="1112" w:type="pct"/>
                    <w:vAlign w:val="center"/>
                  </w:tcPr>
                  <w:p>
                    <w:pPr>
                      <w:snapToGrid w:val="0"/>
                      <w:spacing w:line="240" w:lineRule="exact"/>
                      <w:jc w:val="right"/>
                      <w:rPr>
                        <w:rFonts w:asciiTheme="minorEastAsia" w:hAnsiTheme="minorEastAsia" w:eastAsiaTheme="minorEastAsia"/>
                        <w:bCs/>
                        <w:kern w:val="2"/>
                        <w:szCs w:val="21"/>
                      </w:rPr>
                    </w:pPr>
                    <w:r>
                      <w:rPr>
                        <w:rFonts w:asciiTheme="minorEastAsia" w:hAnsiTheme="minorEastAsia" w:eastAsiaTheme="minorEastAsia"/>
                      </w:rPr>
                      <w:t>1,370,000,000.00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bCs/>
                        <w:kern w:val="2"/>
                        <w:szCs w:val="21"/>
                      </w:rPr>
                    </w:pPr>
                    <w:r>
                      <w:t>索赔款</w:t>
                    </w:r>
                  </w:p>
                </w:tc>
                <w:tc>
                  <w:tcPr>
                    <w:tcW w:w="2066" w:type="pct"/>
                    <w:vAlign w:val="center"/>
                  </w:tcPr>
                  <w:p>
                    <w:pPr>
                      <w:snapToGrid w:val="0"/>
                      <w:spacing w:line="240" w:lineRule="exact"/>
                      <w:rPr>
                        <w:rFonts w:ascii="Arial Narrow" w:hAnsi="Arial Narrow"/>
                        <w:kern w:val="2"/>
                        <w:szCs w:val="21"/>
                      </w:rPr>
                    </w:pPr>
                    <w:r>
                      <w:t>重庆盼达汽车租赁有限</w:t>
                    </w:r>
                    <w:r>
                      <w:rPr>
                        <w:rFonts w:hint="eastAsia"/>
                      </w:rPr>
                      <w:t>公司</w:t>
                    </w:r>
                  </w:p>
                </w:tc>
                <w:tc>
                  <w:tcPr>
                    <w:tcW w:w="927" w:type="pct"/>
                    <w:vAlign w:val="center"/>
                  </w:tcPr>
                  <w:p>
                    <w:pPr>
                      <w:snapToGrid w:val="0"/>
                      <w:spacing w:line="240" w:lineRule="exact"/>
                      <w:jc w:val="right"/>
                      <w:rPr>
                        <w:rFonts w:asciiTheme="minorEastAsia" w:hAnsiTheme="minorEastAsia" w:eastAsiaTheme="minorEastAsia"/>
                        <w:bCs/>
                        <w:kern w:val="2"/>
                        <w:szCs w:val="21"/>
                      </w:rPr>
                    </w:pPr>
                  </w:p>
                </w:tc>
                <w:tc>
                  <w:tcPr>
                    <w:tcW w:w="1112" w:type="pct"/>
                    <w:vAlign w:val="center"/>
                  </w:tcPr>
                  <w:p>
                    <w:pPr>
                      <w:snapToGrid w:val="0"/>
                      <w:spacing w:line="240" w:lineRule="exact"/>
                      <w:jc w:val="right"/>
                      <w:rPr>
                        <w:rFonts w:asciiTheme="minorEastAsia" w:hAnsiTheme="minorEastAsia" w:eastAsiaTheme="minorEastAsia"/>
                        <w:bCs/>
                        <w:kern w:val="2"/>
                        <w:szCs w:val="21"/>
                      </w:rPr>
                    </w:pPr>
                    <w:r>
                      <w:rPr>
                        <w:rFonts w:asciiTheme="minorEastAsia" w:hAnsiTheme="minorEastAsia" w:eastAsiaTheme="minorEastAsia"/>
                      </w:rPr>
                      <w:t>782,980,759.03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kern w:val="2"/>
                        <w:szCs w:val="21"/>
                      </w:rPr>
                    </w:pPr>
                    <w:r>
                      <w:rPr>
                        <w:rFonts w:hint="eastAsia"/>
                      </w:rPr>
                      <w:t>处置子公司</w:t>
                    </w:r>
                  </w:p>
                </w:tc>
                <w:tc>
                  <w:tcPr>
                    <w:tcW w:w="2066" w:type="pct"/>
                    <w:vAlign w:val="center"/>
                  </w:tcPr>
                  <w:p>
                    <w:pPr>
                      <w:snapToGrid w:val="0"/>
                      <w:spacing w:line="240" w:lineRule="exact"/>
                      <w:rPr>
                        <w:rFonts w:ascii="Arial Narrow" w:hAnsi="Arial Narrow"/>
                        <w:kern w:val="2"/>
                        <w:szCs w:val="21"/>
                      </w:rPr>
                    </w:pPr>
                    <w:r>
                      <w:rPr>
                        <w:rFonts w:hint="eastAsia"/>
                      </w:rPr>
                      <w:t>锦华出行科技有限公司（注）</w:t>
                    </w:r>
                  </w:p>
                </w:tc>
                <w:tc>
                  <w:tcPr>
                    <w:tcW w:w="927" w:type="pct"/>
                    <w:vAlign w:val="center"/>
                  </w:tcPr>
                  <w:p>
                    <w:pPr>
                      <w:snapToGrid w:val="0"/>
                      <w:spacing w:line="240" w:lineRule="exact"/>
                      <w:jc w:val="right"/>
                      <w:rPr>
                        <w:rFonts w:asciiTheme="minorEastAsia" w:hAnsiTheme="minorEastAsia" w:eastAsiaTheme="minorEastAsia"/>
                        <w:bCs/>
                        <w:kern w:val="2"/>
                        <w:szCs w:val="21"/>
                      </w:rPr>
                    </w:pPr>
                    <w:r>
                      <w:rPr>
                        <w:rFonts w:asciiTheme="minorEastAsia" w:hAnsiTheme="minorEastAsia" w:eastAsiaTheme="minorEastAsia"/>
                        <w:bCs/>
                      </w:rPr>
                      <w:t>13,923,300.00</w:t>
                    </w:r>
                  </w:p>
                </w:tc>
                <w:tc>
                  <w:tcPr>
                    <w:tcW w:w="1112" w:type="pct"/>
                    <w:vAlign w:val="center"/>
                  </w:tcPr>
                  <w:p>
                    <w:pPr>
                      <w:snapToGrid w:val="0"/>
                      <w:spacing w:line="240" w:lineRule="exact"/>
                      <w:jc w:val="right"/>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kern w:val="2"/>
                        <w:szCs w:val="21"/>
                      </w:rPr>
                    </w:pPr>
                    <w:r>
                      <w:rPr>
                        <w:rFonts w:hint="eastAsia"/>
                      </w:rPr>
                      <w:t>留债利息</w:t>
                    </w:r>
                  </w:p>
                </w:tc>
                <w:tc>
                  <w:tcPr>
                    <w:tcW w:w="2066" w:type="pct"/>
                    <w:vAlign w:val="center"/>
                  </w:tcPr>
                  <w:p>
                    <w:pPr>
                      <w:snapToGrid w:val="0"/>
                      <w:spacing w:line="240" w:lineRule="exact"/>
                      <w:rPr>
                        <w:rFonts w:ascii="Arial Narrow" w:hAnsi="Arial Narrow"/>
                        <w:kern w:val="2"/>
                        <w:szCs w:val="21"/>
                      </w:rPr>
                    </w:pPr>
                    <w:r>
                      <w:rPr>
                        <w:rFonts w:hint="eastAsia"/>
                      </w:rPr>
                      <w:t>重庆新能源汽车融资租赁有限公司</w:t>
                    </w:r>
                  </w:p>
                </w:tc>
                <w:tc>
                  <w:tcPr>
                    <w:tcW w:w="927" w:type="pct"/>
                    <w:vAlign w:val="center"/>
                  </w:tcPr>
                  <w:p>
                    <w:pPr>
                      <w:snapToGrid w:val="0"/>
                      <w:spacing w:line="240" w:lineRule="exact"/>
                      <w:jc w:val="right"/>
                      <w:rPr>
                        <w:rFonts w:asciiTheme="minorEastAsia" w:hAnsiTheme="minorEastAsia" w:eastAsiaTheme="minorEastAsia"/>
                        <w:bCs/>
                        <w:kern w:val="2"/>
                        <w:szCs w:val="21"/>
                      </w:rPr>
                    </w:pPr>
                    <w:r>
                      <w:rPr>
                        <w:rFonts w:asciiTheme="minorEastAsia" w:hAnsiTheme="minorEastAsia" w:eastAsiaTheme="minorEastAsia"/>
                        <w:bCs/>
                      </w:rPr>
                      <w:t>162,616.91</w:t>
                    </w:r>
                  </w:p>
                </w:tc>
                <w:tc>
                  <w:tcPr>
                    <w:tcW w:w="1112" w:type="pct"/>
                    <w:vAlign w:val="center"/>
                  </w:tcPr>
                  <w:p>
                    <w:pPr>
                      <w:snapToGrid w:val="0"/>
                      <w:spacing w:line="240" w:lineRule="exact"/>
                      <w:jc w:val="right"/>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pPr>
                    <w:r>
                      <w:t>留债利息</w:t>
                    </w:r>
                  </w:p>
                </w:tc>
                <w:tc>
                  <w:tcPr>
                    <w:tcW w:w="2066" w:type="pct"/>
                    <w:vAlign w:val="center"/>
                  </w:tcPr>
                  <w:p>
                    <w:pPr>
                      <w:snapToGrid w:val="0"/>
                      <w:spacing w:line="240" w:lineRule="exact"/>
                    </w:pPr>
                    <w:r>
                      <w:t>力帆融资租赁（上海）有限公司</w:t>
                    </w:r>
                  </w:p>
                </w:tc>
                <w:tc>
                  <w:tcPr>
                    <w:tcW w:w="927" w:type="pct"/>
                    <w:vAlign w:val="center"/>
                  </w:tcPr>
                  <w:p>
                    <w:pPr>
                      <w:snapToGrid w:val="0"/>
                      <w:spacing w:line="240" w:lineRule="exact"/>
                      <w:jc w:val="right"/>
                      <w:rPr>
                        <w:rFonts w:asciiTheme="minorEastAsia" w:hAnsiTheme="minorEastAsia" w:eastAsiaTheme="minorEastAsia"/>
                        <w:bCs/>
                      </w:rPr>
                    </w:pPr>
                    <w:r>
                      <w:rPr>
                        <w:rFonts w:asciiTheme="minorEastAsia" w:hAnsiTheme="minorEastAsia" w:eastAsiaTheme="minorEastAsia"/>
                      </w:rPr>
                      <w:t>248,197.03</w:t>
                    </w:r>
                  </w:p>
                </w:tc>
                <w:tc>
                  <w:tcPr>
                    <w:tcW w:w="1112" w:type="pct"/>
                    <w:vAlign w:val="center"/>
                  </w:tcPr>
                  <w:p>
                    <w:pPr>
                      <w:snapToGrid w:val="0"/>
                      <w:spacing w:line="240" w:lineRule="exact"/>
                      <w:jc w:val="right"/>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5" w:type="pct"/>
                    <w:vAlign w:val="center"/>
                  </w:tcPr>
                  <w:p>
                    <w:pPr>
                      <w:snapToGrid w:val="0"/>
                      <w:spacing w:line="240" w:lineRule="exact"/>
                      <w:jc w:val="center"/>
                      <w:rPr>
                        <w:rFonts w:ascii="Arial Narrow" w:hAnsi="Arial Narrow"/>
                        <w:bCs/>
                        <w:kern w:val="2"/>
                        <w:szCs w:val="21"/>
                      </w:rPr>
                    </w:pPr>
                    <w:r>
                      <w:t>合计</w:t>
                    </w:r>
                  </w:p>
                </w:tc>
                <w:tc>
                  <w:tcPr>
                    <w:tcW w:w="2066" w:type="pct"/>
                    <w:vAlign w:val="center"/>
                  </w:tcPr>
                  <w:p>
                    <w:pPr>
                      <w:snapToGrid w:val="0"/>
                      <w:spacing w:line="240" w:lineRule="exact"/>
                      <w:rPr>
                        <w:rFonts w:ascii="Arial Narrow" w:hAnsi="Arial Narrow"/>
                        <w:bCs/>
                        <w:kern w:val="2"/>
                        <w:szCs w:val="21"/>
                      </w:rPr>
                    </w:pPr>
                  </w:p>
                </w:tc>
                <w:tc>
                  <w:tcPr>
                    <w:tcW w:w="927" w:type="pct"/>
                    <w:vAlign w:val="center"/>
                  </w:tcPr>
                  <w:p>
                    <w:pPr>
                      <w:rPr>
                        <w:rFonts w:asciiTheme="minorEastAsia" w:hAnsiTheme="minorEastAsia" w:eastAsiaTheme="minorEastAsia"/>
                      </w:rPr>
                    </w:pPr>
                    <w:r>
                      <w:rPr>
                        <w:rFonts w:asciiTheme="minorEastAsia" w:hAnsiTheme="minorEastAsia" w:eastAsiaTheme="minorEastAsia"/>
                      </w:rPr>
                      <w:t>14,334,113.94</w:t>
                    </w:r>
                  </w:p>
                </w:tc>
                <w:tc>
                  <w:tcPr>
                    <w:tcW w:w="1112" w:type="pct"/>
                    <w:vAlign w:val="center"/>
                  </w:tcPr>
                  <w:p>
                    <w:pPr>
                      <w:snapToGrid w:val="0"/>
                      <w:spacing w:line="240" w:lineRule="exact"/>
                      <w:jc w:val="right"/>
                      <w:rPr>
                        <w:rFonts w:asciiTheme="minorEastAsia" w:hAnsiTheme="minorEastAsia" w:eastAsiaTheme="minorEastAsia"/>
                        <w:bCs/>
                        <w:kern w:val="2"/>
                        <w:szCs w:val="21"/>
                      </w:rPr>
                    </w:pPr>
                    <w:r>
                      <w:rPr>
                        <w:rFonts w:asciiTheme="minorEastAsia" w:hAnsiTheme="minorEastAsia" w:eastAsiaTheme="minorEastAsia"/>
                      </w:rPr>
                      <w:t>3,140,483,989.31</w:t>
                    </w:r>
                  </w:p>
                </w:tc>
              </w:tr>
            </w:tbl>
            <w:p>
              <w:pPr>
                <w:pStyle w:val="281"/>
                <w:widowControl w:val="0"/>
                <w:tabs>
                  <w:tab w:val="clear" w:pos="1273"/>
                </w:tabs>
                <w:spacing w:line="360" w:lineRule="auto"/>
                <w:ind w:left="0" w:leftChars="0" w:firstLine="420" w:firstLineChars="200"/>
                <w:outlineLvl w:val="3"/>
                <w:rPr>
                  <w:rFonts w:asciiTheme="minorEastAsia" w:hAnsiTheme="minorEastAsia" w:eastAsiaTheme="minorEastAsia"/>
                  <w:b w:val="0"/>
                  <w:bCs w:val="0"/>
                </w:rPr>
              </w:pPr>
              <w:r>
                <w:rPr>
                  <w:rFonts w:hint="eastAsia" w:asciiTheme="minorEastAsia" w:hAnsiTheme="minorEastAsia" w:eastAsiaTheme="minorEastAsia"/>
                  <w:b w:val="0"/>
                  <w:bCs w:val="0"/>
                </w:rPr>
                <w:t>注：本公司本期将持有的上海新概念出租汽车有限公司1</w:t>
              </w:r>
              <w:r>
                <w:rPr>
                  <w:rFonts w:asciiTheme="minorEastAsia" w:hAnsiTheme="minorEastAsia" w:eastAsiaTheme="minorEastAsia"/>
                  <w:b w:val="0"/>
                  <w:bCs w:val="0"/>
                </w:rPr>
                <w:t>00</w:t>
              </w:r>
              <w:r>
                <w:rPr>
                  <w:rFonts w:hint="eastAsia" w:asciiTheme="minorEastAsia" w:hAnsiTheme="minorEastAsia" w:eastAsiaTheme="minorEastAsia"/>
                  <w:b w:val="0"/>
                  <w:bCs w:val="0"/>
                </w:rPr>
                <w:t>%股权以</w:t>
              </w:r>
              <w:r>
                <w:rPr>
                  <w:rFonts w:asciiTheme="minorEastAsia" w:hAnsiTheme="minorEastAsia" w:eastAsiaTheme="minorEastAsia"/>
                  <w:b w:val="0"/>
                  <w:bCs w:val="0"/>
                </w:rPr>
                <w:t>13,923,300.00</w:t>
              </w:r>
              <w:r>
                <w:rPr>
                  <w:rFonts w:hint="eastAsia" w:asciiTheme="minorEastAsia" w:hAnsiTheme="minorEastAsia" w:eastAsiaTheme="minorEastAsia"/>
                  <w:b w:val="0"/>
                  <w:bCs w:val="0"/>
                </w:rPr>
                <w:t>元转让给锦华出行科技有限公司，形成处置投资收益</w:t>
              </w:r>
              <w:r>
                <w:rPr>
                  <w:rFonts w:asciiTheme="minorEastAsia" w:hAnsiTheme="minorEastAsia" w:eastAsiaTheme="minorEastAsia"/>
                  <w:b w:val="0"/>
                  <w:bCs w:val="0"/>
                </w:rPr>
                <w:t>4,096,786.45</w:t>
              </w:r>
              <w:r>
                <w:rPr>
                  <w:rFonts w:hint="eastAsia" w:asciiTheme="minorEastAsia" w:hAnsiTheme="minorEastAsia" w:eastAsiaTheme="minorEastAsia"/>
                  <w:b w:val="0"/>
                  <w:bCs w:val="0"/>
                </w:rPr>
                <w:t>元。</w:t>
              </w:r>
            </w:p>
            <w:p>
              <w:pPr>
                <w:spacing w:line="360" w:lineRule="auto"/>
                <w:rPr>
                  <w:rFonts w:asciiTheme="minorEastAsia" w:hAnsiTheme="minorEastAsia" w:eastAsiaTheme="minorEastAsia"/>
                </w:rPr>
              </w:pPr>
            </w:p>
            <w:p>
              <w:pPr>
                <w:spacing w:line="360" w:lineRule="auto"/>
                <w:rPr>
                  <w:rFonts w:asciiTheme="minorEastAsia" w:hAnsiTheme="minorEastAsia" w:eastAsiaTheme="minorEastAsia"/>
                  <w:b/>
                </w:rPr>
              </w:pPr>
              <w:r>
                <w:rPr>
                  <w:rFonts w:hint="eastAsia" w:asciiTheme="minorEastAsia" w:hAnsiTheme="minorEastAsia" w:eastAsiaTheme="minorEastAsia"/>
                  <w:b/>
                </w:rPr>
                <w:t>关联方金融服务</w:t>
              </w:r>
            </w:p>
            <w:p>
              <w:pPr>
                <w:widowControl w:val="0"/>
                <w:adjustRightInd w:val="0"/>
                <w:snapToGrid w:val="0"/>
                <w:spacing w:line="360" w:lineRule="auto"/>
                <w:ind w:firstLine="420" w:firstLineChars="200"/>
                <w:jc w:val="both"/>
                <w:rPr>
                  <w:rFonts w:asciiTheme="minorEastAsia" w:hAnsiTheme="minorEastAsia" w:eastAsiaTheme="minorEastAsia"/>
                  <w:b/>
                  <w:bCs/>
                </w:rPr>
              </w:pPr>
              <w:r>
                <w:rPr>
                  <w:rFonts w:asciiTheme="minorEastAsia" w:hAnsiTheme="minorEastAsia" w:eastAsiaTheme="minorEastAsia"/>
                </w:rPr>
                <w:t>接受重庆银行股份有限公司的金融服务</w:t>
              </w:r>
            </w:p>
            <w:p>
              <w:pPr>
                <w:widowControl w:val="0"/>
                <w:adjustRightInd w:val="0"/>
                <w:snapToGrid w:val="0"/>
                <w:spacing w:line="360" w:lineRule="auto"/>
                <w:ind w:firstLine="420" w:firstLineChars="200"/>
                <w:jc w:val="both"/>
                <w:rPr>
                  <w:rFonts w:asciiTheme="minorEastAsia" w:hAnsiTheme="minorEastAsia" w:eastAsiaTheme="minorEastAsia"/>
                  <w:b/>
                  <w:bCs/>
                </w:rPr>
              </w:pPr>
              <w:r>
                <w:rPr>
                  <w:rFonts w:asciiTheme="minorEastAsia" w:hAnsiTheme="minorEastAsia" w:eastAsiaTheme="minorEastAsia"/>
                </w:rPr>
                <w:t>2021年度重庆银行股份有限公司向本公司提供存款、贷款、结算等金融服务，累计取得存款利息收入29,601,603.04元、利息支出8,069,512.61</w:t>
              </w:r>
              <w:r>
                <w:rPr>
                  <w:rFonts w:hint="eastAsia" w:asciiTheme="minorEastAsia" w:hAnsiTheme="minorEastAsia" w:eastAsiaTheme="minorEastAsia"/>
                </w:rPr>
                <w:t>元、</w:t>
              </w:r>
              <w:r>
                <w:rPr>
                  <w:rFonts w:asciiTheme="minorEastAsia" w:hAnsiTheme="minorEastAsia" w:eastAsiaTheme="minorEastAsia"/>
                </w:rPr>
                <w:t>手续费206,262.77元。截至2021年12月31日，本公司在该行的银行存款余额为848,952,331.21元</w:t>
              </w:r>
              <w:r>
                <w:rPr>
                  <w:rFonts w:hint="eastAsia" w:asciiTheme="minorEastAsia" w:hAnsiTheme="minorEastAsia" w:eastAsiaTheme="minorEastAsia"/>
                </w:rPr>
                <w:t>（其中：七天通知存款</w:t>
              </w:r>
              <w:r>
                <w:rPr>
                  <w:rFonts w:asciiTheme="minorEastAsia" w:hAnsiTheme="minorEastAsia" w:eastAsiaTheme="minorEastAsia"/>
                </w:rPr>
                <w:t>765,000,000.00</w:t>
              </w:r>
              <w:r>
                <w:rPr>
                  <w:rFonts w:hint="eastAsia" w:asciiTheme="minorEastAsia" w:hAnsiTheme="minorEastAsia" w:eastAsiaTheme="minorEastAsia"/>
                </w:rPr>
                <w:t>元，票据保证金</w:t>
              </w:r>
              <w:r>
                <w:rPr>
                  <w:rFonts w:asciiTheme="minorEastAsia" w:hAnsiTheme="minorEastAsia" w:eastAsiaTheme="minorEastAsia"/>
                </w:rPr>
                <w:t>72,500,000.00</w:t>
              </w:r>
              <w:r>
                <w:rPr>
                  <w:rFonts w:hint="eastAsia" w:asciiTheme="minorEastAsia" w:hAnsiTheme="minorEastAsia" w:eastAsiaTheme="minorEastAsia"/>
                </w:rPr>
                <w:t>元）</w:t>
              </w:r>
              <w:r>
                <w:rPr>
                  <w:rFonts w:asciiTheme="minorEastAsia" w:hAnsiTheme="minorEastAsia" w:eastAsiaTheme="minorEastAsia"/>
                </w:rPr>
                <w:t>；</w:t>
              </w:r>
              <w:r>
                <w:rPr>
                  <w:rFonts w:hint="eastAsia" w:asciiTheme="minorEastAsia" w:hAnsiTheme="minorEastAsia" w:eastAsiaTheme="minorEastAsia"/>
                </w:rPr>
                <w:t>应收票据（经销商尚未支付的票据金额）</w:t>
              </w:r>
              <w:r>
                <w:rPr>
                  <w:rFonts w:asciiTheme="minorEastAsia" w:hAnsiTheme="minorEastAsia" w:eastAsiaTheme="minorEastAsia"/>
                </w:rPr>
                <w:t>200,000.00</w:t>
              </w:r>
              <w:r>
                <w:rPr>
                  <w:rFonts w:hint="eastAsia" w:asciiTheme="minorEastAsia" w:hAnsiTheme="minorEastAsia" w:eastAsiaTheme="minorEastAsia"/>
                </w:rPr>
                <w:t>元；应收利息余额</w:t>
              </w:r>
              <w:r>
                <w:rPr>
                  <w:rFonts w:asciiTheme="minorEastAsia" w:hAnsiTheme="minorEastAsia" w:eastAsiaTheme="minorEastAsia"/>
                </w:rPr>
                <w:t>6,741,561.00</w:t>
              </w:r>
              <w:r>
                <w:rPr>
                  <w:rFonts w:hint="eastAsia" w:asciiTheme="minorEastAsia" w:hAnsiTheme="minorEastAsia" w:eastAsiaTheme="minorEastAsia"/>
                </w:rPr>
                <w:t>元；应付银行承兑汇票余额为</w:t>
              </w:r>
              <w:r>
                <w:rPr>
                  <w:rFonts w:asciiTheme="minorEastAsia" w:hAnsiTheme="minorEastAsia" w:eastAsiaTheme="minorEastAsia"/>
                </w:rPr>
                <w:t>72,500,000.00</w:t>
              </w:r>
              <w:r>
                <w:rPr>
                  <w:rFonts w:hint="eastAsia" w:asciiTheme="minorEastAsia" w:hAnsiTheme="minorEastAsia" w:eastAsiaTheme="minorEastAsia"/>
                </w:rPr>
                <w:t>元；应付利息余额</w:t>
              </w:r>
              <w:r>
                <w:rPr>
                  <w:rFonts w:asciiTheme="minorEastAsia" w:hAnsiTheme="minorEastAsia" w:eastAsiaTheme="minorEastAsia"/>
                </w:rPr>
                <w:t>229,960.22</w:t>
              </w:r>
              <w:r>
                <w:rPr>
                  <w:rFonts w:hint="eastAsia" w:asciiTheme="minorEastAsia" w:hAnsiTheme="minorEastAsia" w:eastAsiaTheme="minorEastAsia"/>
                </w:rPr>
                <w:t>元；</w:t>
              </w:r>
              <w:r>
                <w:rPr>
                  <w:rFonts w:asciiTheme="minorEastAsia" w:hAnsiTheme="minorEastAsia" w:eastAsiaTheme="minorEastAsia"/>
                </w:rPr>
                <w:t>借款余额为206,190,985.40元，借款均为长期借款。上述关联交易均属于日常经营业务，系交易双方协商一致，且以不优于该行对非关联方同类交易的条件进行，其中存款和贷款利率均按照中国人民银行颁布的基准利率及浮动区间执行。</w:t>
              </w:r>
            </w:p>
            <w:p/>
          </w:sdtContent>
        </w:sdt>
      </w:sdtContent>
    </w:sdt>
    <w:p>
      <w:pPr>
        <w:pStyle w:val="114"/>
        <w:numPr>
          <w:ilvl w:val="0"/>
          <w:numId w:val="122"/>
        </w:numPr>
        <w:rPr>
          <w:rFonts w:ascii="宋体" w:hAnsi="宋体" w:cs="Arial"/>
          <w:szCs w:val="21"/>
        </w:rPr>
      </w:pPr>
      <w:r>
        <w:rPr>
          <w:rFonts w:hint="eastAsia" w:ascii="宋体" w:hAnsi="宋体" w:cs="Arial"/>
          <w:szCs w:val="21"/>
        </w:rPr>
        <w:t>关联方应收应付款项</w:t>
      </w:r>
    </w:p>
    <w:sdt>
      <w:sdtPr>
        <w:rPr>
          <w:rFonts w:hint="eastAsia" w:ascii="宋体" w:hAnsi="宋体" w:eastAsia="宋体" w:cs="Arial"/>
          <w:b w:val="0"/>
          <w:bCs w:val="0"/>
          <w:kern w:val="0"/>
          <w:szCs w:val="21"/>
        </w:rPr>
        <w:alias w:val="模块:上市公司应收关联方款项"/>
        <w:tag w:val="_SEC_7fd751377539429292ed4eb39a787549"/>
        <w:id w:val="-1023097787"/>
        <w:lock w:val="sdtLocked"/>
        <w:placeholder>
          <w:docPart w:val="GBC22222222222222222222222222222"/>
        </w:placeholder>
      </w:sdtPr>
      <w:sdtEndPr>
        <w:rPr>
          <w:rFonts w:hint="eastAsia" w:ascii="仿宋_GB2312" w:eastAsia="仿宋_GB2312" w:hAnsiTheme="minorHAnsi" w:cstheme="minorBidi"/>
          <w:b w:val="0"/>
          <w:bCs w:val="0"/>
          <w:kern w:val="0"/>
          <w:szCs w:val="21"/>
        </w:rPr>
      </w:sdtEndPr>
      <w:sdtContent>
        <w:p>
          <w:pPr>
            <w:pStyle w:val="115"/>
            <w:numPr>
              <w:ilvl w:val="3"/>
              <w:numId w:val="124"/>
            </w:numPr>
            <w:ind w:left="424" w:hanging="424" w:hangingChars="202"/>
            <w:rPr>
              <w:rFonts w:ascii="宋体" w:hAnsi="宋体" w:cs="Arial"/>
              <w:szCs w:val="21"/>
            </w:rPr>
          </w:pPr>
          <w:r>
            <w:rPr>
              <w:rFonts w:hint="eastAsia"/>
            </w:rPr>
            <w:t>应收项目</w:t>
          </w:r>
        </w:p>
        <w:sdt>
          <w:sdtPr>
            <w:rPr>
              <w:rFonts w:hint="eastAsia"/>
              <w:szCs w:val="21"/>
            </w:rPr>
            <w:alias w:val="是否适用：应收项目[双击切换]"/>
            <w:tag w:val="_GBC_4ae94d538d2e44ae839d59a1751a6d01"/>
            <w:id w:val="-100944406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收关联方款项"/>
              <w:tag w:val="_GBC_83968b233566404db428b085bcb695b8"/>
              <w:id w:val="-181309485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876200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5"/>
            <w:gridCol w:w="1150"/>
            <w:gridCol w:w="1687"/>
            <w:gridCol w:w="1266"/>
            <w:gridCol w:w="1687"/>
            <w:gridCol w:w="1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0c6dc2d23f94f929199b42c584f57ca"/>
                <w:id w:val="-1506047128"/>
                <w:lock w:val="sdtLocked"/>
              </w:sdtPr>
              <w:sdtContent>
                <w:tc>
                  <w:tcPr>
                    <w:tcW w:w="719"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项目名称</w:t>
                    </w:r>
                  </w:p>
                </w:tc>
              </w:sdtContent>
            </w:sdt>
            <w:sdt>
              <w:sdtPr>
                <w:tag w:val="_PLD_56aedf077d5c4d3b814d04d193f71af7"/>
                <w:id w:val="1666976689"/>
                <w:lock w:val="sdtLocked"/>
              </w:sdtPr>
              <w:sdtContent>
                <w:tc>
                  <w:tcPr>
                    <w:tcW w:w="674" w:type="pct"/>
                    <w:vMerge w:val="restart"/>
                    <w:tcBorders>
                      <w:top w:val="single" w:color="auto" w:sz="4" w:space="0"/>
                      <w:left w:val="single" w:color="auto" w:sz="4" w:space="0"/>
                      <w:right w:val="single" w:color="auto" w:sz="4" w:space="0"/>
                    </w:tcBorders>
                    <w:vAlign w:val="center"/>
                  </w:tcPr>
                  <w:p>
                    <w:pPr>
                      <w:jc w:val="center"/>
                      <w:rPr>
                        <w:szCs w:val="21"/>
                      </w:rPr>
                    </w:pPr>
                    <w:r>
                      <w:rPr>
                        <w:rFonts w:hint="eastAsia"/>
                        <w:szCs w:val="21"/>
                      </w:rPr>
                      <w:t>关联方</w:t>
                    </w:r>
                  </w:p>
                </w:tc>
              </w:sdtContent>
            </w:sdt>
            <w:sdt>
              <w:sdtPr>
                <w:tag w:val="_PLD_e8867e7b52fb42f4b447e445a20beebc"/>
                <w:id w:val="-548141343"/>
                <w:lock w:val="sdtLocked"/>
              </w:sdtPr>
              <w:sdtContent>
                <w:tc>
                  <w:tcPr>
                    <w:tcW w:w="1731"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期末余额</w:t>
                    </w:r>
                  </w:p>
                </w:tc>
              </w:sdtContent>
            </w:sdt>
            <w:sdt>
              <w:sdtPr>
                <w:tag w:val="_PLD_6a4888e558004037a5faac678bea523c"/>
                <w:id w:val="1117409427"/>
                <w:lock w:val="sdtLocked"/>
              </w:sdtPr>
              <w:sdtContent>
                <w:tc>
                  <w:tcPr>
                    <w:tcW w:w="1876"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vMerge w:val="continue"/>
                <w:tcBorders>
                  <w:left w:val="single" w:color="auto" w:sz="4" w:space="0"/>
                  <w:bottom w:val="single" w:color="auto" w:sz="4" w:space="0"/>
                  <w:right w:val="single" w:color="auto" w:sz="4" w:space="0"/>
                </w:tcBorders>
                <w:vAlign w:val="center"/>
              </w:tcPr>
              <w:p>
                <w:pPr>
                  <w:jc w:val="center"/>
                  <w:rPr>
                    <w:szCs w:val="21"/>
                  </w:rPr>
                </w:pPr>
              </w:p>
            </w:tc>
            <w:tc>
              <w:tcPr>
                <w:tcW w:w="674"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0545f54235344f978e1e8356e1b05042"/>
                <w:id w:val="2015023599"/>
                <w:lock w:val="sdtLocked"/>
              </w:sdtPr>
              <w:sdtContent>
                <w:tc>
                  <w:tcPr>
                    <w:tcW w:w="98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9e6982f3b5cd46e9b3be23eda364cd7a"/>
                <w:id w:val="363563034"/>
                <w:lock w:val="sdtLocked"/>
              </w:sdtPr>
              <w:sdtContent>
                <w:tc>
                  <w:tcPr>
                    <w:tcW w:w="74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sdt>
              <w:sdtPr>
                <w:tag w:val="_PLD_5c8e0a4ac99e4539bea932f77317d8de"/>
                <w:id w:val="-1561086634"/>
                <w:lock w:val="sdtLocked"/>
              </w:sdtPr>
              <w:sdtContent>
                <w:tc>
                  <w:tcPr>
                    <w:tcW w:w="98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账面余额</w:t>
                    </w:r>
                  </w:p>
                </w:tc>
              </w:sdtContent>
            </w:sdt>
            <w:sdt>
              <w:sdtPr>
                <w:tag w:val="_PLD_c5afa9908d794831a4bc715802a1061d"/>
                <w:id w:val="202833001"/>
                <w:lock w:val="sdtLocked"/>
              </w:sdtPr>
              <w:sdtContent>
                <w:tc>
                  <w:tcPr>
                    <w:tcW w:w="88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坏账准备</w:t>
                    </w:r>
                  </w:p>
                </w:tc>
              </w:sdtContent>
            </w:sdt>
          </w:tr>
          <w:sdt>
            <w:sdtPr>
              <w:rPr>
                <w:rFonts w:hint="eastAsia"/>
                <w:szCs w:val="21"/>
              </w:rPr>
              <w:alias w:val="上市公司应收关联方款项明细"/>
              <w:tag w:val="_TUP_d4126a8f8e414ce2b32aead159dba06a"/>
              <w:id w:val="-118752599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银行存款</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98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742"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09312127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重庆银行股份有限公司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848,952,331.21</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520,763,301.23</w:t>
                    </w: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06683826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rPr>
                        <w:rFonts w:hint="eastAsia"/>
                        <w:szCs w:val="21"/>
                      </w:rPr>
                      <w:t>未到期应收利息</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5574098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pPr>
                    <w:r>
                      <w:rPr>
                        <w:rFonts w:hint="eastAsia"/>
                      </w:rPr>
                      <w:t>重庆银行股份有限公司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rPr>
                        <w:szCs w:val="21"/>
                      </w:rPr>
                      <w:t>6,741,561.00</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83187777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应收账款</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4896042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张家港保税区国际汽车城有限公司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955,644.96</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95,564.50</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1,838,089.38</w:t>
                    </w: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91,904.47</w:t>
                    </w:r>
                  </w:p>
                </w:tc>
              </w:tr>
            </w:sdtContent>
          </w:sdt>
          <w:sdt>
            <w:sdtPr>
              <w:rPr>
                <w:rFonts w:hint="eastAsia"/>
                <w:szCs w:val="21"/>
              </w:rPr>
              <w:alias w:val="上市公司应收关联方款项明细"/>
              <w:tag w:val="_TUP_d4126a8f8e414ce2b32aead159dba06a"/>
              <w:id w:val="167962674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重庆盼达汽车租赁有限公司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855,792.58</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855,792.58</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703,149.32</w:t>
                    </w: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703,149.32</w:t>
                    </w:r>
                  </w:p>
                </w:tc>
              </w:tr>
            </w:sdtContent>
          </w:sdt>
          <w:sdt>
            <w:sdtPr>
              <w:rPr>
                <w:rFonts w:hint="eastAsia"/>
                <w:szCs w:val="21"/>
              </w:rPr>
              <w:alias w:val="上市公司应收关联方款项明细"/>
              <w:tag w:val="_TUP_d4126a8f8e414ce2b32aead159dba06a"/>
              <w:id w:val="98004162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易易互联科技有限公司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80,750,000.00</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75255313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苏州铭拾汽车销售服务有限公司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9,004,200.00</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62658718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苏州市吉利优行电子科技有限公司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66,132,600.00</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1866508242"/>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预付款项</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68232433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张家港保税区国际汽车城有限公司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5.08</w:t>
                    </w: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05885239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其他应收款</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29475307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重庆力帆控股有限公司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9,035,355.56</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收关联方款项明细"/>
              <w:tag w:val="_TUP_d4126a8f8e414ce2b32aead159dba06a"/>
              <w:id w:val="42508486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674"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力帆融资租赁（上海）有限公司</w:t>
                    </w: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71,359,997.64</w:t>
                    </w:r>
                  </w:p>
                </w:tc>
                <w:tc>
                  <w:tcPr>
                    <w:tcW w:w="74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989"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8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tbl>
        <w:p>
          <w:pPr>
            <w:rPr>
              <w:rFonts w:ascii="仿宋_GB2312" w:eastAsia="仿宋_GB2312"/>
              <w:szCs w:val="21"/>
            </w:rPr>
          </w:pPr>
        </w:p>
      </w:sdtContent>
    </w:sdt>
    <w:sdt>
      <w:sdtPr>
        <w:rPr>
          <w:rFonts w:hint="eastAsia" w:ascii="宋体" w:hAnsi="宋体" w:eastAsia="宋体" w:cs="宋体"/>
          <w:b w:val="0"/>
          <w:bCs w:val="0"/>
          <w:kern w:val="0"/>
          <w:szCs w:val="24"/>
        </w:rPr>
        <w:alias w:val="模块:上市公司应付关联方款项"/>
        <w:tag w:val="_SEC_84b9cc5f716e4a019a46df88b355093c"/>
        <w:id w:val="-355194198"/>
        <w:lock w:val="sdtLocked"/>
        <w:placeholder>
          <w:docPart w:val="GBC22222222222222222222222222222"/>
        </w:placeholder>
      </w:sdtPr>
      <w:sdtEndPr>
        <w:rPr>
          <w:rFonts w:hint="eastAsia" w:ascii="仿宋_GB2312" w:eastAsia="仿宋_GB2312" w:hAnsiTheme="minorHAnsi" w:cstheme="minorBidi"/>
          <w:b w:val="0"/>
          <w:bCs w:val="0"/>
          <w:kern w:val="0"/>
          <w:szCs w:val="21"/>
        </w:rPr>
      </w:sdtEndPr>
      <w:sdtContent>
        <w:p>
          <w:pPr>
            <w:pStyle w:val="115"/>
            <w:numPr>
              <w:ilvl w:val="3"/>
              <w:numId w:val="124"/>
            </w:numPr>
            <w:ind w:left="424" w:hanging="424" w:hangingChars="202"/>
          </w:pPr>
          <w:r>
            <w:rPr>
              <w:rFonts w:hint="eastAsia"/>
            </w:rPr>
            <w:t>应付项目</w:t>
          </w:r>
        </w:p>
        <w:sdt>
          <w:sdtPr>
            <w:rPr>
              <w:rFonts w:hint="eastAsia"/>
              <w:szCs w:val="21"/>
            </w:rPr>
            <w:alias w:val="是否适用：应付项目[双击切换]"/>
            <w:tag w:val="_GBC_41bc31a1fefb4e25918c1ece7c27be62"/>
            <w:id w:val="-207115175"/>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上市公司应付关联方款项"/>
              <w:tag w:val="_GBC_dda5edeadff34e4f829b49a813d869a1"/>
              <w:id w:val="119466220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23662999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0"/>
            <w:gridCol w:w="1963"/>
            <w:gridCol w:w="1965"/>
            <w:gridCol w:w="2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606617d378f48ec942565c9488249ee"/>
                <w:id w:val="1890757731"/>
                <w:lock w:val="sdtLocked"/>
              </w:sdtPr>
              <w:sdtContent>
                <w:tc>
                  <w:tcPr>
                    <w:tcW w:w="1196" w:type="pct"/>
                    <w:tcBorders>
                      <w:top w:val="single" w:color="auto" w:sz="4" w:space="0"/>
                      <w:left w:val="single" w:color="auto" w:sz="4" w:space="0"/>
                      <w:right w:val="single" w:color="auto" w:sz="4" w:space="0"/>
                    </w:tcBorders>
                  </w:tcPr>
                  <w:p>
                    <w:pPr>
                      <w:jc w:val="center"/>
                      <w:rPr>
                        <w:szCs w:val="21"/>
                      </w:rPr>
                    </w:pPr>
                    <w:r>
                      <w:rPr>
                        <w:rFonts w:hint="eastAsia"/>
                        <w:szCs w:val="21"/>
                      </w:rPr>
                      <w:t>项目名称</w:t>
                    </w:r>
                  </w:p>
                </w:tc>
              </w:sdtContent>
            </w:sdt>
            <w:sdt>
              <w:sdtPr>
                <w:tag w:val="_PLD_8c0f65fb9987497db9d8cb750665f14a"/>
                <w:id w:val="-1154371191"/>
                <w:lock w:val="sdtLocked"/>
              </w:sdtPr>
              <w:sdtContent>
                <w:tc>
                  <w:tcPr>
                    <w:tcW w:w="1151" w:type="pct"/>
                    <w:tcBorders>
                      <w:top w:val="single" w:color="auto" w:sz="4" w:space="0"/>
                      <w:left w:val="single" w:color="auto" w:sz="4" w:space="0"/>
                      <w:right w:val="single" w:color="auto" w:sz="4" w:space="0"/>
                    </w:tcBorders>
                  </w:tcPr>
                  <w:p>
                    <w:pPr>
                      <w:jc w:val="center"/>
                      <w:rPr>
                        <w:szCs w:val="21"/>
                      </w:rPr>
                    </w:pPr>
                    <w:r>
                      <w:rPr>
                        <w:rFonts w:hint="eastAsia"/>
                        <w:szCs w:val="21"/>
                      </w:rPr>
                      <w:t>关联方</w:t>
                    </w:r>
                  </w:p>
                </w:tc>
              </w:sdtContent>
            </w:sdt>
            <w:sdt>
              <w:sdtPr>
                <w:tag w:val="_PLD_6abb3a201708442494b9fede0eddf518"/>
                <w:id w:val="1167671076"/>
                <w:lock w:val="sdtLocked"/>
              </w:sdtPr>
              <w:sdtContent>
                <w:tc>
                  <w:tcPr>
                    <w:tcW w:w="1152"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期末账面余额</w:t>
                    </w:r>
                  </w:p>
                </w:tc>
              </w:sdtContent>
            </w:sdt>
            <w:sdt>
              <w:sdtPr>
                <w:tag w:val="_PLD_55efe2bab54445818fecaf16ed9366f9"/>
                <w:id w:val="-1443304405"/>
                <w:lock w:val="sdtLocked"/>
              </w:sdtPr>
              <w:sdtContent>
                <w:tc>
                  <w:tcPr>
                    <w:tcW w:w="1501" w:type="pct"/>
                    <w:tcBorders>
                      <w:top w:val="single" w:color="auto" w:sz="4" w:space="0"/>
                      <w:left w:val="single" w:color="auto" w:sz="4" w:space="0"/>
                      <w:bottom w:val="single" w:color="auto" w:sz="4" w:space="0"/>
                      <w:right w:val="single" w:color="auto" w:sz="4" w:space="0"/>
                    </w:tcBorders>
                  </w:tcPr>
                  <w:p>
                    <w:pPr>
                      <w:jc w:val="center"/>
                      <w:rPr>
                        <w:szCs w:val="21"/>
                      </w:rPr>
                    </w:pPr>
                    <w:r>
                      <w:rPr>
                        <w:rFonts w:hint="eastAsia"/>
                        <w:szCs w:val="21"/>
                      </w:rPr>
                      <w:t>期初账面余额</w:t>
                    </w:r>
                  </w:p>
                </w:tc>
              </w:sdtContent>
            </w:sdt>
          </w:tr>
          <w:sdt>
            <w:sdtPr>
              <w:rPr>
                <w:rFonts w:hint="eastAsia"/>
                <w:szCs w:val="21"/>
              </w:rPr>
              <w:alias w:val="上市公司应付关联方款项明细"/>
              <w:tag w:val="_TUP_f8595985c4a74e809f3ab4e90cbed7c1"/>
              <w:id w:val="-161489888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应付账款</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1152"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c>
                  <w:tcPr>
                    <w:tcW w:w="1501" w:type="pct"/>
                    <w:tcBorders>
                      <w:top w:val="single" w:color="auto" w:sz="4" w:space="0"/>
                      <w:left w:val="single" w:color="auto" w:sz="4" w:space="0"/>
                      <w:bottom w:val="single" w:color="auto" w:sz="4" w:space="0"/>
                      <w:right w:val="single" w:color="auto" w:sz="4" w:space="0"/>
                    </w:tcBorders>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64873716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浙江吉利汽车有限公司杭州分公司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28,474,703.36</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66886920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浙江吉利汽车有限公司贵阳分公司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353,203,442.11</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0163652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吉利汽车集团有限公司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996,716.65</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213786714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枫盛汽车（江苏）有限公司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57,154.19</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66151122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浙江福林国润汽车零部件有限公司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83,474.97</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67563996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浙江吉速物流有限公司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2,347,674.36</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45132710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浙江枫盛汽车销售有限公司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3,325,500.00</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747460543"/>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浙江美可达摩托车有限公司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5,053.33</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60102048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重庆裕弘昇物业管理有限公司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820,464.29</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208285777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其他应付款</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99545165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济源济康新能源汽车有限公司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5,000,000.00</w:t>
                    </w:r>
                  </w:p>
                </w:tc>
              </w:tr>
            </w:sdtContent>
          </w:sdt>
          <w:sdt>
            <w:sdtPr>
              <w:rPr>
                <w:rFonts w:hint="eastAsia"/>
                <w:szCs w:val="21"/>
              </w:rPr>
              <w:alias w:val="上市公司应付关联方款项明细"/>
              <w:tag w:val="_TUP_f8595985c4a74e809f3ab4e90cbed7c1"/>
              <w:id w:val="18341115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吉利迈捷投资有限公司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25,000,000.00</w:t>
                    </w:r>
                  </w:p>
                </w:tc>
              </w:tr>
            </w:sdtContent>
          </w:sdt>
          <w:sdt>
            <w:sdtPr>
              <w:rPr>
                <w:rFonts w:hint="eastAsia"/>
                <w:szCs w:val="21"/>
              </w:rPr>
              <w:alias w:val="上市公司应付关联方款项明细"/>
              <w:tag w:val="_TUP_f8595985c4a74e809f3ab4e90cbed7c1"/>
              <w:id w:val="1704752509"/>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重庆裕弘昇物业管理有限公司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3,324,879.85</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3,554,879.85</w:t>
                    </w:r>
                  </w:p>
                </w:tc>
              </w:tr>
            </w:sdtContent>
          </w:sdt>
          <w:sdt>
            <w:sdtPr>
              <w:rPr>
                <w:rFonts w:hint="eastAsia"/>
                <w:szCs w:val="21"/>
              </w:rPr>
              <w:alias w:val="上市公司应付关联方款项明细"/>
              <w:tag w:val="_TUP_f8595985c4a74e809f3ab4e90cbed7c1"/>
              <w:id w:val="-161135057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重庆力帆红星商业管理有限公司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40,445,071.62</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40,412,911.62</w:t>
                    </w:r>
                  </w:p>
                </w:tc>
              </w:tr>
            </w:sdtContent>
          </w:sdt>
          <w:sdt>
            <w:sdtPr>
              <w:rPr>
                <w:rFonts w:hint="eastAsia"/>
                <w:szCs w:val="21"/>
              </w:rPr>
              <w:alias w:val="上市公司应付关联方款项明细"/>
              <w:tag w:val="_TUP_f8595985c4a74e809f3ab4e90cbed7c1"/>
              <w:id w:val="-17157938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重庆盼达汽车租赁有限公司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55,435.78</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65305720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浙江枫盛汽车销售有限公司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1,947,169.81</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998178456"/>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浙江吉速物流有限公司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4,209,768.61</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256322530"/>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浙江吉利商务服务有限公司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5,784.00</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111309848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长期借款</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 </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p>
                </w:tc>
              </w:tr>
            </w:sdtContent>
          </w:sdt>
          <w:sdt>
            <w:sdtPr>
              <w:rPr>
                <w:rFonts w:hint="eastAsia"/>
                <w:szCs w:val="21"/>
              </w:rPr>
              <w:alias w:val="上市公司应付关联方款项明细"/>
              <w:tag w:val="_TUP_f8595985c4a74e809f3ab4e90cbed7c1"/>
              <w:id w:val="-35087798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力帆融资租赁（上海）有限公司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7,229,206.14</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7,263,616.94</w:t>
                    </w:r>
                  </w:p>
                </w:tc>
              </w:tr>
            </w:sdtContent>
          </w:sdt>
          <w:sdt>
            <w:sdtPr>
              <w:rPr>
                <w:rFonts w:hint="eastAsia"/>
                <w:szCs w:val="21"/>
              </w:rPr>
              <w:alias w:val="上市公司应付关联方款项明细"/>
              <w:tag w:val="_TUP_f8595985c4a74e809f3ab4e90cbed7c1"/>
              <w:id w:val="264808972"/>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6"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rPr>
                        <w:szCs w:val="21"/>
                      </w:rPr>
                    </w:pPr>
                    <w:r>
                      <w:t> </w:t>
                    </w:r>
                  </w:p>
                </w:tc>
                <w:tc>
                  <w:tcPr>
                    <w:tcW w:w="1151" w:type="pct"/>
                    <w:tcBorders>
                      <w:top w:val="single" w:color="auto" w:sz="4" w:space="0"/>
                      <w:left w:val="single" w:color="auto" w:sz="4" w:space="0"/>
                      <w:bottom w:val="single" w:color="auto" w:sz="4" w:space="0"/>
                      <w:right w:val="single" w:color="auto" w:sz="4" w:space="0"/>
                    </w:tcBorders>
                  </w:tcPr>
                  <w:p>
                    <w:pPr>
                      <w:autoSpaceDE w:val="0"/>
                      <w:autoSpaceDN w:val="0"/>
                      <w:adjustRightInd w:val="0"/>
                      <w:rPr>
                        <w:szCs w:val="21"/>
                      </w:rPr>
                    </w:pPr>
                    <w:r>
                      <w:t>重庆新能源汽车融资租赁有限公司</w:t>
                    </w:r>
                  </w:p>
                </w:tc>
                <w:tc>
                  <w:tcPr>
                    <w:tcW w:w="115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4,074,096.06</w:t>
                    </w:r>
                  </w:p>
                </w:tc>
                <w:tc>
                  <w:tcPr>
                    <w:tcW w:w="1501"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jc w:val="right"/>
                      <w:rPr>
                        <w:szCs w:val="21"/>
                      </w:rPr>
                    </w:pPr>
                    <w:r>
                      <w:t>4,070,794.20</w:t>
                    </w:r>
                  </w:p>
                </w:tc>
              </w:tr>
            </w:sdtContent>
          </w:sdt>
        </w:tbl>
        <w:p>
          <w:pPr>
            <w:rPr>
              <w:rFonts w:ascii="仿宋_GB2312" w:eastAsia="仿宋_GB2312"/>
              <w:szCs w:val="21"/>
            </w:rPr>
          </w:pPr>
        </w:p>
      </w:sdtContent>
    </w:sdt>
    <w:sdt>
      <w:sdtPr>
        <w:rPr>
          <w:rFonts w:hint="eastAsia" w:ascii="宋体" w:hAnsi="宋体" w:cs="宋体"/>
          <w:b w:val="0"/>
          <w:bCs w:val="0"/>
          <w:kern w:val="0"/>
          <w:szCs w:val="24"/>
        </w:rPr>
        <w:alias w:val="模块:关联方承诺"/>
        <w:tag w:val="_SEC_af8d9e9e43fe4f6c94313043ab032c00"/>
        <w:id w:val="958450226"/>
        <w:lock w:val="sdtLocked"/>
        <w:placeholder>
          <w:docPart w:val="GBC22222222222222222222222222222"/>
        </w:placeholder>
      </w:sdtPr>
      <w:sdtEndPr>
        <w:rPr>
          <w:rFonts w:hint="eastAsia" w:ascii="Cambria" w:hAnsi="Cambria" w:cs="Cambria" w:eastAsiaTheme="minorEastAsia"/>
          <w:b w:val="0"/>
          <w:bCs w:val="0"/>
          <w:kern w:val="0"/>
          <w:sz w:val="20"/>
          <w:szCs w:val="20"/>
        </w:rPr>
      </w:sdtEndPr>
      <w:sdtContent>
        <w:p>
          <w:pPr>
            <w:pStyle w:val="114"/>
            <w:numPr>
              <w:ilvl w:val="0"/>
              <w:numId w:val="122"/>
            </w:numPr>
          </w:pPr>
          <w:r>
            <w:rPr>
              <w:rFonts w:hint="eastAsia"/>
            </w:rPr>
            <w:t>关联方</w:t>
          </w:r>
          <w:r>
            <w:rPr>
              <w:rFonts w:hint="eastAsia" w:ascii="宋体" w:hAnsi="宋体" w:cs="Arial"/>
              <w:szCs w:val="21"/>
            </w:rPr>
            <w:t>承诺</w:t>
          </w:r>
        </w:p>
        <w:sdt>
          <w:sdtPr>
            <w:rPr>
              <w:rFonts w:hint="eastAsia"/>
              <w:szCs w:val="21"/>
            </w:rPr>
            <w:alias w:val="是否适用：关联方承诺[双击切换]"/>
            <w:tag w:val="_GBC_cf52a7b0760b4670b5fc5ea8d7363a6c"/>
            <w:id w:val="374507189"/>
            <w:lock w:val="sdtLocked"/>
            <w:placeholder>
              <w:docPart w:val="GBC22222222222222222222222222222"/>
            </w:placeholder>
          </w:sdtPr>
          <w:sdtEndPr>
            <w:rPr>
              <w:rFonts w:hint="eastAsia"/>
              <w:szCs w:val="21"/>
            </w:rPr>
          </w:sdtEndPr>
          <w:sdtContent>
            <w:p>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tabs>
              <w:tab w:val="left" w:pos="1134"/>
            </w:tabs>
            <w:rPr>
              <w:rFonts w:ascii="Cambria" w:hAnsi="Cambria" w:cs="Cambria" w:eastAsiaTheme="minorEastAsia"/>
              <w:sz w:val="20"/>
              <w:szCs w:val="20"/>
            </w:rPr>
          </w:pPr>
        </w:p>
      </w:sdtContent>
    </w:sdt>
    <w:sdt>
      <w:sdtPr>
        <w:rPr>
          <w:rFonts w:hint="eastAsia" w:ascii="宋体" w:hAnsi="宋体" w:cs="Arial"/>
          <w:b w:val="0"/>
          <w:bCs w:val="0"/>
          <w:kern w:val="0"/>
          <w:szCs w:val="21"/>
        </w:rPr>
        <w:alias w:val="模块:关联方及关联情况的其他说明"/>
        <w:tag w:val="_SEC_a11f8a68634b4b4a8cc63a6200f2d79c"/>
        <w:id w:val="88659945"/>
        <w:lock w:val="sdtLocked"/>
        <w:placeholder>
          <w:docPart w:val="GBC22222222222222222222222222222"/>
        </w:placeholder>
      </w:sdtPr>
      <w:sdtEndPr>
        <w:rPr>
          <w:rFonts w:hint="eastAsia" w:ascii="Cambria" w:hAnsi="Cambria" w:cs="Cambria" w:eastAsiaTheme="minorEastAsia"/>
          <w:b w:val="0"/>
          <w:bCs w:val="0"/>
          <w:kern w:val="0"/>
          <w:sz w:val="20"/>
          <w:szCs w:val="20"/>
        </w:rPr>
      </w:sdtEndPr>
      <w:sdtContent>
        <w:p>
          <w:pPr>
            <w:pStyle w:val="114"/>
            <w:numPr>
              <w:ilvl w:val="0"/>
              <w:numId w:val="122"/>
            </w:numPr>
            <w:rPr>
              <w:rFonts w:ascii="Cambria" w:hAnsi="Cambria" w:cs="Cambria" w:eastAsiaTheme="minorEastAsia"/>
              <w:sz w:val="20"/>
              <w:szCs w:val="20"/>
            </w:rPr>
          </w:pPr>
          <w:r>
            <w:rPr>
              <w:rFonts w:hint="eastAsia" w:ascii="宋体" w:hAnsi="宋体" w:cs="Arial"/>
              <w:szCs w:val="21"/>
            </w:rPr>
            <w:t>其他</w:t>
          </w:r>
        </w:p>
        <w:sdt>
          <w:sdtPr>
            <w:rPr>
              <w:rFonts w:hint="eastAsia"/>
            </w:rPr>
            <w:alias w:val="是否适用：关联方及关联情况的其他说明[双击切换]"/>
            <w:tag w:val="_GBC_0fbd096440c645128adaffccb05f4e2f"/>
            <w:id w:val="1307745687"/>
            <w:lock w:val="sdtLocked"/>
            <w:placeholder>
              <w:docPart w:val="GBC22222222222222222222222222222"/>
            </w:placeholder>
          </w:sdtPr>
          <w:sdtEndPr>
            <w:rPr>
              <w:rFonts w:hint="eastAsia"/>
            </w:rPr>
          </w:sdtEndPr>
          <w:sdtContent>
            <w:p>
              <w:pPr>
                <w:tabs>
                  <w:tab w:val="left" w:pos="1134"/>
                </w:tabs>
                <w:rPr>
                  <w:rFonts w:ascii="Cambria" w:hAnsi="Cambria" w:cs="Cambria"/>
                  <w:b/>
                  <w:sz w:val="20"/>
                  <w:szCs w:val="20"/>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tabs>
          <w:tab w:val="left" w:pos="1134"/>
        </w:tabs>
        <w:rPr>
          <w:rFonts w:cs="Cambria"/>
          <w:szCs w:val="21"/>
        </w:rPr>
      </w:pPr>
    </w:p>
    <w:p>
      <w:pPr>
        <w:pStyle w:val="113"/>
        <w:numPr>
          <w:ilvl w:val="0"/>
          <w:numId w:val="49"/>
        </w:numPr>
      </w:pPr>
      <w:r>
        <w:rPr>
          <w:rFonts w:hint="eastAsia"/>
        </w:rPr>
        <w:t>股份支付</w:t>
      </w:r>
    </w:p>
    <w:sdt>
      <w:sdtPr>
        <w:rPr>
          <w:rFonts w:hint="eastAsia" w:ascii="宋体" w:hAnsi="宋体" w:cs="宋体"/>
          <w:b w:val="0"/>
          <w:bCs w:val="0"/>
          <w:kern w:val="0"/>
          <w:szCs w:val="24"/>
        </w:rPr>
        <w:alias w:val="模块:股份支付总体情况"/>
        <w:tag w:val="_GBC_07972b1f6b5c4904b730c6b344e432ee"/>
        <w:id w:val="-730158801"/>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114"/>
            <w:numPr>
              <w:ilvl w:val="0"/>
              <w:numId w:val="125"/>
            </w:numPr>
          </w:pPr>
          <w:r>
            <w:rPr>
              <w:rFonts w:hint="eastAsia"/>
            </w:rPr>
            <w:t>股份支付总体情况</w:t>
          </w:r>
        </w:p>
        <w:sdt>
          <w:sdtPr>
            <w:alias w:val="是否适用：股份支付总体情况[双击切换]"/>
            <w:tag w:val="_GBC_7d36569622d040fb870ad46d99420cd2"/>
            <w:id w:val="1994141777"/>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4"/>
        </w:rPr>
        <w:alias w:val="模块:以权益结算的股份支付情况"/>
        <w:tag w:val="_GBC_a6f090c303de426580c058a0a463c95f"/>
        <w:id w:val="-1672023453"/>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114"/>
            <w:numPr>
              <w:ilvl w:val="0"/>
              <w:numId w:val="125"/>
            </w:numPr>
          </w:pPr>
          <w:r>
            <w:rPr>
              <w:rFonts w:hint="eastAsia"/>
            </w:rPr>
            <w:t>以权益结算的股份支付情况</w:t>
          </w:r>
        </w:p>
        <w:sdt>
          <w:sdtPr>
            <w:alias w:val="是否适用：以权益结算的股份支付情况[双击切换]"/>
            <w:tag w:val="_GBC_5d901e3b36be4331aac030c8e4b9b1a5"/>
            <w:id w:val="-69169163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4"/>
        </w:rPr>
        <w:alias w:val="模块:以现金结算的股份支付情况"/>
        <w:tag w:val="_GBC_e8a0c7296300463994744e877be96129"/>
        <w:id w:val="-259759433"/>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114"/>
            <w:numPr>
              <w:ilvl w:val="0"/>
              <w:numId w:val="125"/>
            </w:numPr>
          </w:pPr>
          <w:r>
            <w:rPr>
              <w:rFonts w:hint="eastAsia"/>
            </w:rPr>
            <w:t>以现金结算的股份支付情况</w:t>
          </w:r>
        </w:p>
        <w:sdt>
          <w:sdtPr>
            <w:alias w:val="是否适用：以现金结算的股份支付情况[双击切换]"/>
            <w:tag w:val="_GBC_aa134f611909486bb3a2d6258058f88d"/>
            <w:id w:val="73236645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sdt>
      <w:sdtPr>
        <w:rPr>
          <w:rFonts w:hint="eastAsia" w:ascii="宋体" w:hAnsi="宋体" w:cs="宋体"/>
          <w:b w:val="0"/>
          <w:bCs w:val="0"/>
          <w:kern w:val="0"/>
          <w:szCs w:val="24"/>
        </w:rPr>
        <w:alias w:val="模块:股份支付的修改、终止情况"/>
        <w:tag w:val="_GBC_ae153862caea4ff5a57470b6f594f167"/>
        <w:id w:val="-948077504"/>
        <w:lock w:val="sdtLocked"/>
        <w:placeholder>
          <w:docPart w:val="GBC22222222222222222222222222222"/>
        </w:placeholder>
      </w:sdtPr>
      <w:sdtEndPr>
        <w:rPr>
          <w:rFonts w:hint="default" w:asciiTheme="minorHAnsi" w:hAnsiTheme="minorHAnsi" w:eastAsiaTheme="minorEastAsia" w:cstheme="minorBidi"/>
          <w:b w:val="0"/>
          <w:bCs w:val="0"/>
          <w:kern w:val="0"/>
          <w:szCs w:val="21"/>
        </w:rPr>
      </w:sdtEndPr>
      <w:sdtContent>
        <w:p>
          <w:pPr>
            <w:pStyle w:val="114"/>
            <w:numPr>
              <w:ilvl w:val="0"/>
              <w:numId w:val="125"/>
            </w:numPr>
          </w:pPr>
          <w:r>
            <w:rPr>
              <w:rFonts w:hint="eastAsia"/>
            </w:rPr>
            <w:t>股份支付的修改、终止情况</w:t>
          </w:r>
        </w:p>
        <w:sdt>
          <w:sdtPr>
            <w:rPr>
              <w:rFonts w:hint="eastAsia"/>
              <w:szCs w:val="21"/>
            </w:rPr>
            <w:alias w:val="是否适用：股份支付的修改、终止情况[双击切换]"/>
            <w:tag w:val="_GBC_6da986e9834d42b9bb7548673f325962"/>
            <w:id w:val="1907801562"/>
            <w:lock w:val="sdtLocked"/>
            <w:placeholder>
              <w:docPart w:val="GBC22222222222222222222222222222"/>
            </w:placeholder>
          </w:sdtPr>
          <w:sdtEndPr>
            <w:rPr>
              <w:rFonts w:hint="eastAsia"/>
              <w:szCs w:val="21"/>
            </w:rPr>
          </w:sdtEndPr>
          <w:sdtContent>
            <w:p>
              <w:pPr>
                <w:rPr>
                  <w:rFonts w:asciiTheme="minorHAnsi" w:hAnsiTheme="minorHAnsi" w:eastAsiaTheme="minorEastAsia" w:cstheme="minorBidi"/>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ind w:firstLine="210" w:firstLineChars="100"/>
        <w:rPr>
          <w:szCs w:val="21"/>
        </w:rPr>
      </w:pPr>
    </w:p>
    <w:sdt>
      <w:sdtPr>
        <w:rPr>
          <w:rFonts w:ascii="宋体" w:hAnsi="宋体" w:cs="宋体"/>
          <w:b w:val="0"/>
          <w:bCs w:val="0"/>
          <w:kern w:val="0"/>
          <w:szCs w:val="21"/>
        </w:rPr>
        <w:alias w:val="模块:股份支付的其他情况说明"/>
        <w:tag w:val="_GBC_d9554f13d811474eab6fe8ab0c5c8811"/>
        <w:id w:val="-1164156161"/>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125"/>
            </w:numPr>
            <w:rPr>
              <w:szCs w:val="21"/>
            </w:rPr>
          </w:pPr>
          <w:r>
            <w:rPr>
              <w:rFonts w:hint="eastAsia"/>
              <w:szCs w:val="21"/>
            </w:rPr>
            <w:t>其他</w:t>
          </w:r>
        </w:p>
        <w:sdt>
          <w:sdtPr>
            <w:rPr>
              <w:rFonts w:hint="eastAsia"/>
              <w:szCs w:val="21"/>
            </w:rPr>
            <w:alias w:val="是否适用：股份支付的其他情况说明[双击切换]"/>
            <w:tag w:val="_GBC_d03d26e0d4844b798c3d4b87d2578ece"/>
            <w:id w:val="8613159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p>
      <w:pPr>
        <w:pStyle w:val="113"/>
        <w:numPr>
          <w:ilvl w:val="0"/>
          <w:numId w:val="49"/>
        </w:numPr>
      </w:pPr>
      <w:r>
        <w:rPr>
          <w:rFonts w:hint="eastAsia"/>
        </w:rPr>
        <w:t>承诺及或有事项</w:t>
      </w:r>
    </w:p>
    <w:p>
      <w:pPr>
        <w:pStyle w:val="114"/>
        <w:numPr>
          <w:ilvl w:val="0"/>
          <w:numId w:val="126"/>
        </w:numPr>
        <w:rPr>
          <w:rFonts w:ascii="宋体" w:hAnsi="宋体"/>
        </w:rPr>
      </w:pPr>
      <w:r>
        <w:rPr>
          <w:rFonts w:hint="eastAsia" w:ascii="宋体" w:hAnsi="宋体"/>
        </w:rPr>
        <w:t>重要承诺事项</w:t>
      </w:r>
    </w:p>
    <w:sdt>
      <w:sdtPr>
        <w:alias w:val="是否适用：重要承诺事项[双击切换]"/>
        <w:tag w:val="_GBC_568be9a6805040a8b9fbd5c5d07b45dd"/>
        <w:id w:val="666364818"/>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rPr>
        <w:alias w:val="模块:资产负债表日存在的重大承诺"/>
        <w:tag w:val="_SEC_5ebba82f117d48db8c37854cf072cc17"/>
        <w:id w:val="241681114"/>
        <w:lock w:val="sdtLocked"/>
      </w:sdtPr>
      <w:sdtEndPr>
        <w:rPr>
          <w:rFonts w:hint="eastAsia" w:asciiTheme="minorHAnsi" w:hAnsiTheme="minorHAnsi" w:cstheme="minorBidi"/>
          <w:b w:val="0"/>
          <w:bCs w:val="0"/>
        </w:rPr>
      </w:sdtEndPr>
      <w:sdtContent>
        <w:p>
          <w:pPr>
            <w:spacing w:line="360" w:lineRule="auto"/>
          </w:pPr>
          <w:r>
            <w:rPr>
              <w:rFonts w:hint="eastAsia"/>
            </w:rPr>
            <w:t>资产负债表日存在的对外重要承诺、性质、金额</w:t>
          </w:r>
        </w:p>
        <w:p>
          <w:pPr>
            <w:spacing w:line="360" w:lineRule="auto"/>
            <w:rPr>
              <w:rFonts w:cs="Cambria"/>
              <w:bCs/>
            </w:rPr>
          </w:pPr>
          <w:sdt>
            <w:sdtPr>
              <w:rPr>
                <w:rFonts w:cs="Cambria"/>
                <w:bCs/>
              </w:rPr>
              <w:alias w:val="资产负债表日存在的重要承诺"/>
              <w:tag w:val="_GBC_d8961aa2bd524a56bb4914de9e5d2dc3"/>
              <w:id w:val="-2022466711"/>
              <w:lock w:val="sdtLocked"/>
            </w:sdtPr>
            <w:sdtEndPr>
              <w:rPr>
                <w:rFonts w:cs="Cambria"/>
                <w:bCs/>
              </w:rPr>
            </w:sdtEndPr>
            <w:sdtContent>
              <w:r>
                <w:rPr>
                  <w:rFonts w:hint="eastAsia" w:cs="Cambria"/>
                  <w:bCs/>
                </w:rPr>
                <w:t>截至</w:t>
              </w:r>
              <w:r>
                <w:rPr>
                  <w:rFonts w:cs="Cambria"/>
                  <w:bCs/>
                </w:rPr>
                <w:t>2021年12月31日，本公司无需要披露的重大承诺事项。</w:t>
              </w:r>
            </w:sdtContent>
          </w:sdt>
        </w:p>
        <w:p/>
      </w:sdtContent>
    </w:sdt>
    <w:p>
      <w:pPr>
        <w:pStyle w:val="114"/>
        <w:numPr>
          <w:ilvl w:val="0"/>
          <w:numId w:val="126"/>
        </w:numPr>
      </w:pPr>
      <w:r>
        <w:rPr>
          <w:rFonts w:hint="eastAsia"/>
        </w:rPr>
        <w:t>或有事项</w:t>
      </w:r>
    </w:p>
    <w:sdt>
      <w:sdtPr>
        <w:rPr>
          <w:rFonts w:hint="eastAsia" w:ascii="宋体" w:hAnsi="宋体" w:cs="宋体"/>
          <w:kern w:val="0"/>
          <w:szCs w:val="24"/>
        </w:rPr>
        <w:alias w:val="模块:资产负债表日存在的或有事项"/>
        <w:tag w:val="_SEC_6da34404b73540309fc9634730ac0066"/>
        <w:id w:val="1141317290"/>
        <w:lock w:val="sdtLocked"/>
        <w:placeholder>
          <w:docPart w:val="GBC22222222222222222222222222222"/>
        </w:placeholder>
      </w:sdtPr>
      <w:sdtEndPr>
        <w:rPr>
          <w:rFonts w:hint="eastAsia" w:asciiTheme="minorHAnsi" w:hAnsiTheme="minorHAnsi" w:cstheme="minorBidi"/>
          <w:kern w:val="0"/>
          <w:szCs w:val="24"/>
        </w:rPr>
      </w:sdtEndPr>
      <w:sdtContent>
        <w:p>
          <w:pPr>
            <w:pStyle w:val="199"/>
            <w:numPr>
              <w:ilvl w:val="3"/>
              <w:numId w:val="127"/>
            </w:numPr>
            <w:spacing w:after="120"/>
            <w:ind w:left="424" w:hanging="424" w:hangingChars="202"/>
          </w:pPr>
          <w:r>
            <w:rPr>
              <w:rFonts w:hint="eastAsia"/>
            </w:rPr>
            <w:t>资产负债表日存在的重要或有事项</w:t>
          </w:r>
        </w:p>
        <w:sdt>
          <w:sdtPr>
            <w:rPr>
              <w:rFonts w:hint="eastAsia"/>
            </w:rPr>
            <w:alias w:val="是否适用：资产负债表日存在的重要或有事项[双击切换]"/>
            <w:tag w:val="_GBC_d987504ad98e408986b4fc6f62089ffe"/>
            <w:id w:val="-1493019001"/>
            <w:lock w:val="sdtLocked"/>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ascii="宋体" w:hAnsi="宋体" w:cs="宋体"/>
              <w:kern w:val="0"/>
              <w:szCs w:val="24"/>
            </w:rPr>
            <w:alias w:val="资产负债表日存在的重要或有事项"/>
            <w:tag w:val="_GBC_44fe1af4de6e4875a4861efb466efdca"/>
            <w:id w:val="-749576545"/>
            <w:lock w:val="sdtLocked"/>
          </w:sdtPr>
          <w:sdtEndPr>
            <w:rPr>
              <w:rFonts w:ascii="宋体" w:hAnsi="宋体" w:cs="宋体"/>
              <w:kern w:val="0"/>
              <w:szCs w:val="24"/>
            </w:rPr>
          </w:sdtEndPr>
          <w:sdtContent>
            <w:p>
              <w:pPr>
                <w:pStyle w:val="199"/>
                <w:widowControl w:val="0"/>
                <w:spacing w:before="120" w:beforeLines="50" w:beforeAutospacing="0" w:afterLines="0"/>
                <w:ind w:firstLine="0" w:firstLineChars="0"/>
                <w:jc w:val="both"/>
                <w:outlineLvl w:val="3"/>
              </w:pPr>
              <w:r>
                <w:rPr>
                  <w:rFonts w:hint="eastAsia" w:ascii="宋体" w:hAnsi="宋体" w:cs="宋体"/>
                  <w:kern w:val="0"/>
                  <w:szCs w:val="24"/>
                </w:rPr>
                <w:t>a</w:t>
              </w:r>
              <w:r>
                <w:rPr>
                  <w:rFonts w:ascii="宋体" w:hAnsi="宋体" w:cs="宋体"/>
                  <w:kern w:val="0"/>
                  <w:szCs w:val="24"/>
                </w:rPr>
                <w:t>.</w:t>
              </w:r>
              <w:r>
                <w:rPr>
                  <w:rFonts w:ascii="宋体" w:hAnsi="宋体"/>
                  <w:b/>
                  <w:bCs/>
                  <w:iCs/>
                </w:rPr>
                <w:t>未决诉讼</w:t>
              </w:r>
              <w:r>
                <w:rPr>
                  <w:rFonts w:hint="eastAsia" w:ascii="宋体" w:hAnsi="宋体"/>
                  <w:b/>
                  <w:bCs/>
                  <w:iCs/>
                </w:rPr>
                <w:t>或仲裁形成的或有事项及其财务影响</w:t>
              </w:r>
            </w:p>
            <w:p>
              <w:pPr>
                <w:spacing w:beforeAutospacing="1" w:afterAutospacing="1"/>
                <w:rPr>
                  <w:rFonts w:ascii="Arial Narrow" w:hAnsi="Arial Narrow"/>
                </w:rPr>
                <w:sectPr>
                  <w:pgSz w:w="11906" w:h="16838"/>
                  <w:pgMar w:top="1724" w:right="1797" w:bottom="1440" w:left="1797" w:header="851" w:footer="992" w:gutter="0"/>
                  <w:cols w:space="720" w:num="1"/>
                  <w:docGrid w:linePitch="312" w:charSpace="0"/>
                </w:sectPr>
              </w:pPr>
            </w:p>
            <w:p>
              <w:pPr>
                <w:rPr>
                  <w:rFonts w:asciiTheme="minorEastAsia" w:hAnsiTheme="minorEastAsia" w:eastAsiaTheme="minorEastAsia"/>
                </w:rPr>
              </w:pPr>
              <w:r>
                <w:rPr>
                  <w:rFonts w:hint="eastAsia" w:asciiTheme="minorEastAsia" w:hAnsiTheme="minorEastAsia" w:eastAsiaTheme="minorEastAsia"/>
                </w:rPr>
                <w:t>截至202</w:t>
              </w:r>
              <w:r>
                <w:rPr>
                  <w:rFonts w:asciiTheme="minorEastAsia" w:hAnsiTheme="minorEastAsia" w:eastAsiaTheme="minorEastAsia"/>
                </w:rPr>
                <w:t>1</w:t>
              </w:r>
              <w:r>
                <w:rPr>
                  <w:rFonts w:hint="eastAsia" w:asciiTheme="minorEastAsia" w:hAnsiTheme="minorEastAsia" w:eastAsiaTheme="minorEastAsia"/>
                </w:rPr>
                <w:t>年12月31日，</w:t>
              </w:r>
              <w:r>
                <w:rPr>
                  <w:rFonts w:asciiTheme="minorEastAsia" w:hAnsiTheme="minorEastAsia" w:eastAsiaTheme="minorEastAsia"/>
                </w:rPr>
                <w:t>除涉及破产重整债务诉讼外</w:t>
              </w:r>
              <w:r>
                <w:rPr>
                  <w:rFonts w:hint="eastAsia" w:asciiTheme="minorEastAsia" w:hAnsiTheme="minorEastAsia" w:eastAsiaTheme="minorEastAsia"/>
                </w:rPr>
                <w:t>，本公司作为被告的重大未决诉讼5项，涉诉金额</w:t>
              </w:r>
              <w:r>
                <w:rPr>
                  <w:rFonts w:asciiTheme="minorEastAsia" w:hAnsiTheme="minorEastAsia" w:eastAsiaTheme="minorEastAsia"/>
                </w:rPr>
                <w:t>11,834.76</w:t>
              </w:r>
              <w:r>
                <w:rPr>
                  <w:rFonts w:hint="eastAsia" w:asciiTheme="minorEastAsia" w:hAnsiTheme="minorEastAsia" w:eastAsiaTheme="minorEastAsia"/>
                </w:rPr>
                <w:t>万元；本公司作为原告的重大未决诉讼1项，涉诉金额</w:t>
              </w:r>
              <w:r>
                <w:rPr>
                  <w:rFonts w:asciiTheme="minorEastAsia" w:hAnsiTheme="minorEastAsia" w:eastAsiaTheme="minorEastAsia"/>
                </w:rPr>
                <w:t>5,111.00</w:t>
              </w:r>
              <w:r>
                <w:rPr>
                  <w:rFonts w:hint="eastAsia" w:asciiTheme="minorEastAsia" w:hAnsiTheme="minorEastAsia" w:eastAsiaTheme="minorEastAsia"/>
                </w:rPr>
                <w:t>万元，明细如下：</w:t>
              </w:r>
            </w:p>
            <w:tbl>
              <w:tblPr>
                <w:tblStyle w:val="110"/>
                <w:tblW w:w="55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1022"/>
                <w:gridCol w:w="758"/>
                <w:gridCol w:w="1483"/>
                <w:gridCol w:w="974"/>
                <w:gridCol w:w="2158"/>
                <w:gridCol w:w="937"/>
                <w:gridCol w:w="1116"/>
                <w:gridCol w:w="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jc w:val="center"/>
                </w:trPr>
                <w:tc>
                  <w:tcPr>
                    <w:tcW w:w="306" w:type="pct"/>
                    <w:noWrap/>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序号</w:t>
                    </w:r>
                  </w:p>
                </w:tc>
                <w:tc>
                  <w:tcPr>
                    <w:tcW w:w="543" w:type="pct"/>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案号</w:t>
                    </w:r>
                  </w:p>
                </w:tc>
                <w:tc>
                  <w:tcPr>
                    <w:tcW w:w="402" w:type="pct"/>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原告</w:t>
                    </w:r>
                  </w:p>
                </w:tc>
                <w:tc>
                  <w:tcPr>
                    <w:tcW w:w="787" w:type="pct"/>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被告</w:t>
                    </w:r>
                  </w:p>
                </w:tc>
                <w:tc>
                  <w:tcPr>
                    <w:tcW w:w="517" w:type="pct"/>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受理法院</w:t>
                    </w:r>
                  </w:p>
                </w:tc>
                <w:tc>
                  <w:tcPr>
                    <w:tcW w:w="1145" w:type="pct"/>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诉讼请求</w:t>
                    </w:r>
                  </w:p>
                </w:tc>
                <w:tc>
                  <w:tcPr>
                    <w:tcW w:w="497" w:type="pct"/>
                    <w:vAlign w:val="center"/>
                  </w:tcPr>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诉讼</w:t>
                    </w:r>
                  </w:p>
                  <w:p>
                    <w:pPr>
                      <w:jc w:val="center"/>
                      <w:rPr>
                        <w:rFonts w:asciiTheme="minorEastAsia" w:hAnsiTheme="minorEastAsia" w:eastAsiaTheme="minorEastAsia"/>
                        <w:bCs/>
                        <w:sz w:val="18"/>
                        <w:szCs w:val="18"/>
                      </w:rPr>
                    </w:pPr>
                    <w:r>
                      <w:rPr>
                        <w:rFonts w:asciiTheme="minorEastAsia" w:hAnsiTheme="minorEastAsia" w:eastAsiaTheme="minorEastAsia"/>
                        <w:bCs/>
                        <w:sz w:val="18"/>
                        <w:szCs w:val="18"/>
                      </w:rPr>
                      <w:t>金额</w:t>
                    </w:r>
                    <w:r>
                      <w:rPr>
                        <w:rFonts w:hint="eastAsia" w:asciiTheme="minorEastAsia" w:hAnsiTheme="minorEastAsia" w:eastAsiaTheme="minorEastAsia"/>
                        <w:bCs/>
                        <w:sz w:val="18"/>
                        <w:szCs w:val="18"/>
                      </w:rPr>
                      <w:t>（万元）</w:t>
                    </w:r>
                  </w:p>
                </w:tc>
                <w:tc>
                  <w:tcPr>
                    <w:tcW w:w="592"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截至</w:t>
                    </w:r>
                    <w:r>
                      <w:rPr>
                        <w:rFonts w:asciiTheme="minorEastAsia" w:hAnsiTheme="minorEastAsia" w:eastAsiaTheme="minorEastAsia"/>
                        <w:sz w:val="18"/>
                        <w:szCs w:val="18"/>
                      </w:rPr>
                      <w:t>2021-12-31</w:t>
                    </w:r>
                  </w:p>
                  <w:p>
                    <w:pPr>
                      <w:jc w:val="center"/>
                      <w:rPr>
                        <w:rFonts w:asciiTheme="minorEastAsia" w:hAnsiTheme="minorEastAsia" w:eastAsiaTheme="minorEastAsia"/>
                        <w:sz w:val="18"/>
                        <w:szCs w:val="18"/>
                      </w:rPr>
                    </w:pPr>
                    <w:r>
                      <w:rPr>
                        <w:rFonts w:asciiTheme="minorEastAsia" w:hAnsiTheme="minorEastAsia" w:eastAsiaTheme="minorEastAsia"/>
                        <w:sz w:val="18"/>
                        <w:szCs w:val="18"/>
                      </w:rPr>
                      <w:t>进展情况</w:t>
                    </w:r>
                  </w:p>
                </w:tc>
                <w:tc>
                  <w:tcPr>
                    <w:tcW w:w="211"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000" w:type="pct"/>
                    <w:gridSpan w:val="9"/>
                    <w:vAlign w:val="center"/>
                  </w:tcPr>
                  <w:p>
                    <w:pP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本公司作为被告的重大未决诉讼：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306"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543" w:type="pct"/>
                    <w:vAlign w:val="center"/>
                  </w:tcPr>
                  <w:p>
                    <w:pPr>
                      <w:rPr>
                        <w:rFonts w:asciiTheme="minorEastAsia" w:hAnsiTheme="minorEastAsia" w:eastAsiaTheme="minorEastAsia"/>
                        <w:kern w:val="2"/>
                        <w:sz w:val="18"/>
                        <w:szCs w:val="18"/>
                      </w:rPr>
                    </w:pPr>
                    <w:r>
                      <w:rPr>
                        <w:rFonts w:hint="eastAsia" w:asciiTheme="minorEastAsia" w:hAnsiTheme="minorEastAsia" w:eastAsiaTheme="minorEastAsia"/>
                        <w:sz w:val="18"/>
                        <w:szCs w:val="18"/>
                      </w:rPr>
                      <w:t>2021浙1002民初3783号</w:t>
                    </w:r>
                  </w:p>
                </w:tc>
                <w:tc>
                  <w:tcPr>
                    <w:tcW w:w="40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浙江力帆摩托车有限公司管理人</w:t>
                    </w:r>
                  </w:p>
                </w:tc>
                <w:tc>
                  <w:tcPr>
                    <w:tcW w:w="78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力帆科技、林瑞玉、林华智、彭世国、谭镜池、管彦林、杨骏、杨波、岳腾、庹永贵、袁建忠、管海平</w:t>
                    </w:r>
                  </w:p>
                </w:tc>
                <w:tc>
                  <w:tcPr>
                    <w:tcW w:w="51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台州市椒江区人民法院</w:t>
                    </w:r>
                  </w:p>
                </w:tc>
                <w:tc>
                  <w:tcPr>
                    <w:tcW w:w="1145"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1、判令十二被告共同赔偿债权人损失</w:t>
                    </w:r>
                    <w:r>
                      <w:rPr>
                        <w:rFonts w:asciiTheme="minorEastAsia" w:hAnsiTheme="minorEastAsia" w:eastAsiaTheme="minorEastAsia"/>
                        <w:sz w:val="18"/>
                        <w:szCs w:val="18"/>
                      </w:rPr>
                      <w:t>3,465.86</w:t>
                    </w:r>
                    <w:r>
                      <w:rPr>
                        <w:rFonts w:hint="eastAsia" w:asciiTheme="minorEastAsia" w:hAnsiTheme="minorEastAsia" w:eastAsiaTheme="minorEastAsia"/>
                        <w:sz w:val="18"/>
                        <w:szCs w:val="18"/>
                      </w:rPr>
                      <w:t>万元；2、本案诉讼费由十二被告承担。</w:t>
                    </w:r>
                  </w:p>
                  <w:p>
                    <w:pPr>
                      <w:rPr>
                        <w:rFonts w:asciiTheme="minorEastAsia" w:hAnsiTheme="minorEastAsia" w:eastAsiaTheme="minorEastAsia"/>
                        <w:sz w:val="18"/>
                        <w:szCs w:val="18"/>
                      </w:rPr>
                    </w:pPr>
                  </w:p>
                </w:tc>
                <w:tc>
                  <w:tcPr>
                    <w:tcW w:w="497"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3,465.86</w:t>
                    </w:r>
                  </w:p>
                </w:tc>
                <w:tc>
                  <w:tcPr>
                    <w:tcW w:w="59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未开庭</w:t>
                    </w:r>
                  </w:p>
                </w:tc>
                <w:tc>
                  <w:tcPr>
                    <w:tcW w:w="211" w:type="pct"/>
                    <w:vAlign w:val="center"/>
                  </w:tcPr>
                  <w:p>
                    <w:pP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306"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w:t>
                    </w:r>
                  </w:p>
                </w:tc>
                <w:tc>
                  <w:tcPr>
                    <w:tcW w:w="543" w:type="pct"/>
                    <w:vAlign w:val="center"/>
                  </w:tcPr>
                  <w:p>
                    <w:pPr>
                      <w:rPr>
                        <w:rFonts w:asciiTheme="minorEastAsia" w:hAnsiTheme="minorEastAsia" w:eastAsiaTheme="minorEastAsia"/>
                        <w:kern w:val="2"/>
                        <w:sz w:val="18"/>
                        <w:szCs w:val="18"/>
                      </w:rPr>
                    </w:pPr>
                    <w:r>
                      <w:rPr>
                        <w:rFonts w:hint="eastAsia" w:asciiTheme="minorEastAsia" w:hAnsiTheme="minorEastAsia" w:eastAsiaTheme="minorEastAsia"/>
                        <w:sz w:val="18"/>
                        <w:szCs w:val="18"/>
                      </w:rPr>
                      <w:t>( 2021）浙0110民诉前调2248号</w:t>
                    </w:r>
                  </w:p>
                </w:tc>
                <w:tc>
                  <w:tcPr>
                    <w:tcW w:w="40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杭州景仙汽车维修服务有限公司</w:t>
                    </w:r>
                  </w:p>
                </w:tc>
                <w:tc>
                  <w:tcPr>
                    <w:tcW w:w="78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杭州众天汽车贸易有限公司、重庆力帆乘用车有限公司、重庆力帆汽车销售有限公司、陈铁生、杭州杭锅工业锅炉有限公司</w:t>
                    </w:r>
                  </w:p>
                </w:tc>
                <w:tc>
                  <w:tcPr>
                    <w:tcW w:w="517" w:type="pct"/>
                    <w:vAlign w:val="center"/>
                  </w:tcPr>
                  <w:p>
                    <w:pPr>
                      <w:rPr>
                        <w:rFonts w:asciiTheme="minorEastAsia" w:hAnsiTheme="minorEastAsia" w:eastAsiaTheme="minorEastAsia"/>
                        <w:sz w:val="18"/>
                        <w:szCs w:val="18"/>
                      </w:rPr>
                    </w:pPr>
                  </w:p>
                </w:tc>
                <w:tc>
                  <w:tcPr>
                    <w:tcW w:w="1145"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1、判令被告一、二、三、四赔偿原告厂房装修损失</w:t>
                    </w:r>
                    <w:r>
                      <w:rPr>
                        <w:rFonts w:asciiTheme="minorEastAsia" w:hAnsiTheme="minorEastAsia" w:eastAsiaTheme="minorEastAsia"/>
                        <w:sz w:val="18"/>
                        <w:szCs w:val="18"/>
                      </w:rPr>
                      <w:t>727.00</w:t>
                    </w:r>
                    <w:r>
                      <w:rPr>
                        <w:rFonts w:hint="eastAsia" w:asciiTheme="minorEastAsia" w:hAnsiTheme="minorEastAsia" w:eastAsiaTheme="minorEastAsia"/>
                        <w:sz w:val="18"/>
                        <w:szCs w:val="18"/>
                      </w:rPr>
                      <w:t>万元，被烧损设备及其他财产损失</w:t>
                    </w:r>
                    <w:r>
                      <w:rPr>
                        <w:rFonts w:asciiTheme="minorEastAsia" w:hAnsiTheme="minorEastAsia" w:eastAsiaTheme="minorEastAsia"/>
                        <w:sz w:val="18"/>
                        <w:szCs w:val="18"/>
                      </w:rPr>
                      <w:t>975.38</w:t>
                    </w:r>
                    <w:r>
                      <w:rPr>
                        <w:rFonts w:hint="eastAsia" w:asciiTheme="minorEastAsia" w:hAnsiTheme="minorEastAsia" w:eastAsiaTheme="minorEastAsia"/>
                        <w:sz w:val="18"/>
                        <w:szCs w:val="18"/>
                      </w:rPr>
                      <w:t>万元，停工损失</w:t>
                    </w:r>
                    <w:r>
                      <w:rPr>
                        <w:rFonts w:asciiTheme="minorEastAsia" w:hAnsiTheme="minorEastAsia" w:eastAsiaTheme="minorEastAsia"/>
                        <w:sz w:val="18"/>
                        <w:szCs w:val="18"/>
                      </w:rPr>
                      <w:t>100.00</w:t>
                    </w:r>
                    <w:r>
                      <w:rPr>
                        <w:rFonts w:hint="eastAsia" w:asciiTheme="minorEastAsia" w:hAnsiTheme="minorEastAsia" w:eastAsiaTheme="minorEastAsia"/>
                        <w:sz w:val="18"/>
                        <w:szCs w:val="18"/>
                      </w:rPr>
                      <w:t>万元，房租损失</w:t>
                    </w:r>
                    <w:r>
                      <w:rPr>
                        <w:rFonts w:asciiTheme="minorEastAsia" w:hAnsiTheme="minorEastAsia" w:eastAsiaTheme="minorEastAsia"/>
                        <w:sz w:val="18"/>
                        <w:szCs w:val="18"/>
                      </w:rPr>
                      <w:t>155.61</w:t>
                    </w:r>
                    <w:r>
                      <w:rPr>
                        <w:rFonts w:hint="eastAsia" w:asciiTheme="minorEastAsia" w:hAnsiTheme="minorEastAsia" w:eastAsiaTheme="minorEastAsia"/>
                        <w:sz w:val="18"/>
                        <w:szCs w:val="18"/>
                      </w:rPr>
                      <w:t>万元；以上共计</w:t>
                    </w:r>
                    <w:r>
                      <w:rPr>
                        <w:rFonts w:asciiTheme="minorEastAsia" w:hAnsiTheme="minorEastAsia" w:eastAsiaTheme="minorEastAsia"/>
                        <w:sz w:val="18"/>
                        <w:szCs w:val="18"/>
                      </w:rPr>
                      <w:t>1,957.99</w:t>
                    </w:r>
                    <w:r>
                      <w:rPr>
                        <w:rFonts w:hint="eastAsia" w:asciiTheme="minorEastAsia" w:hAnsiTheme="minorEastAsia" w:eastAsiaTheme="minorEastAsia"/>
                        <w:sz w:val="18"/>
                        <w:szCs w:val="18"/>
                      </w:rPr>
                      <w:t>万元；（其中装修损失、设备及其他财产损失损失以相关评估单位的评估结论为准）；2、判令四被告承担连带赔偿责；3、本案诉讼费用由四被告承担。</w:t>
                    </w:r>
                  </w:p>
                  <w:p>
                    <w:pPr>
                      <w:rPr>
                        <w:rFonts w:asciiTheme="minorEastAsia" w:hAnsiTheme="minorEastAsia" w:eastAsiaTheme="minorEastAsia"/>
                        <w:sz w:val="18"/>
                        <w:szCs w:val="18"/>
                      </w:rPr>
                    </w:pPr>
                  </w:p>
                </w:tc>
                <w:tc>
                  <w:tcPr>
                    <w:tcW w:w="497"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1,957.99</w:t>
                    </w:r>
                  </w:p>
                </w:tc>
                <w:tc>
                  <w:tcPr>
                    <w:tcW w:w="59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未开庭</w:t>
                    </w:r>
                  </w:p>
                </w:tc>
                <w:tc>
                  <w:tcPr>
                    <w:tcW w:w="211" w:type="pct"/>
                    <w:vAlign w:val="center"/>
                  </w:tcPr>
                  <w:p>
                    <w:pP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306"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3</w:t>
                    </w:r>
                  </w:p>
                </w:tc>
                <w:tc>
                  <w:tcPr>
                    <w:tcW w:w="543" w:type="pct"/>
                    <w:vAlign w:val="center"/>
                  </w:tcPr>
                  <w:p>
                    <w:pPr>
                      <w:rPr>
                        <w:rFonts w:asciiTheme="minorEastAsia" w:hAnsiTheme="minorEastAsia" w:eastAsiaTheme="minorEastAsia"/>
                        <w:kern w:val="2"/>
                        <w:sz w:val="18"/>
                        <w:szCs w:val="18"/>
                      </w:rPr>
                    </w:pPr>
                    <w:r>
                      <w:rPr>
                        <w:rFonts w:hint="eastAsia" w:asciiTheme="minorEastAsia" w:hAnsiTheme="minorEastAsia" w:eastAsiaTheme="minorEastAsia"/>
                        <w:sz w:val="18"/>
                        <w:szCs w:val="18"/>
                      </w:rPr>
                      <w:t>（2020）渝01民初548号</w:t>
                    </w:r>
                  </w:p>
                </w:tc>
                <w:tc>
                  <w:tcPr>
                    <w:tcW w:w="40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广西晟力装饰工程有限公司</w:t>
                    </w:r>
                  </w:p>
                </w:tc>
                <w:tc>
                  <w:tcPr>
                    <w:tcW w:w="78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重庆润田房地产开发有限公司</w:t>
                    </w:r>
                  </w:p>
                </w:tc>
                <w:tc>
                  <w:tcPr>
                    <w:tcW w:w="51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重庆市高级人民法院</w:t>
                    </w:r>
                  </w:p>
                </w:tc>
                <w:tc>
                  <w:tcPr>
                    <w:tcW w:w="1145"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1.请求依法撤销重庆市第一中级人民法院作出的（2020）渝01民初548号民事判决书第一、二项，并依法改判；</w:t>
                    </w:r>
                  </w:p>
                  <w:p>
                    <w:pPr>
                      <w:rPr>
                        <w:rFonts w:asciiTheme="minorEastAsia" w:hAnsiTheme="minorEastAsia" w:eastAsiaTheme="minorEastAsia"/>
                        <w:sz w:val="18"/>
                        <w:szCs w:val="18"/>
                      </w:rPr>
                    </w:pPr>
                    <w:r>
                      <w:rPr>
                        <w:rFonts w:hint="eastAsia" w:asciiTheme="minorEastAsia" w:hAnsiTheme="minorEastAsia" w:eastAsiaTheme="minorEastAsia"/>
                        <w:sz w:val="18"/>
                        <w:szCs w:val="18"/>
                      </w:rPr>
                      <w:t>2.本案一审、二审案件受理费用、保全费用和鉴定费用均由被上诉人广西晟力装饰工程有限公司自行承担。</w:t>
                    </w:r>
                  </w:p>
                </w:tc>
                <w:tc>
                  <w:tcPr>
                    <w:tcW w:w="497"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2,671.41</w:t>
                    </w:r>
                  </w:p>
                </w:tc>
                <w:tc>
                  <w:tcPr>
                    <w:tcW w:w="59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二审中</w:t>
                    </w:r>
                  </w:p>
                </w:tc>
                <w:tc>
                  <w:tcPr>
                    <w:tcW w:w="211" w:type="pct"/>
                    <w:vAlign w:val="center"/>
                  </w:tcPr>
                  <w:p>
                    <w:pP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306" w:type="pct"/>
                    <w:vAlign w:val="center"/>
                  </w:tcPr>
                  <w:p>
                    <w:pPr>
                      <w:jc w:val="center"/>
                      <w:rPr>
                        <w:rFonts w:asciiTheme="minorEastAsia" w:hAnsiTheme="minorEastAsia" w:eastAsiaTheme="minorEastAsia"/>
                        <w:sz w:val="18"/>
                        <w:szCs w:val="18"/>
                      </w:rPr>
                    </w:pPr>
                    <w:r>
                      <w:rPr>
                        <w:rFonts w:asciiTheme="minorEastAsia" w:hAnsiTheme="minorEastAsia" w:eastAsiaTheme="minorEastAsia"/>
                        <w:sz w:val="18"/>
                        <w:szCs w:val="18"/>
                      </w:rPr>
                      <w:t>4</w:t>
                    </w:r>
                  </w:p>
                </w:tc>
                <w:tc>
                  <w:tcPr>
                    <w:tcW w:w="543"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（2021）渝01民初276号</w:t>
                    </w:r>
                  </w:p>
                </w:tc>
                <w:tc>
                  <w:tcPr>
                    <w:tcW w:w="402"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廖紫鸿</w:t>
                    </w:r>
                  </w:p>
                </w:tc>
                <w:tc>
                  <w:tcPr>
                    <w:tcW w:w="787"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重庆润田房地产开发有限公司</w:t>
                    </w:r>
                  </w:p>
                </w:tc>
                <w:tc>
                  <w:tcPr>
                    <w:tcW w:w="517"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重庆市第一中级人民法院</w:t>
                    </w:r>
                  </w:p>
                </w:tc>
                <w:tc>
                  <w:tcPr>
                    <w:tcW w:w="1145"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起诉方以商品房预约合同纠纷为由向重庆市第一中级人民法院提请诉讼， 请求判令应诉方双倍返还认购定金，并返还购房款。</w:t>
                    </w:r>
                  </w:p>
                </w:tc>
                <w:tc>
                  <w:tcPr>
                    <w:tcW w:w="497"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2,081.69</w:t>
                    </w:r>
                  </w:p>
                </w:tc>
                <w:tc>
                  <w:tcPr>
                    <w:tcW w:w="592" w:type="pct"/>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二审中</w:t>
                    </w:r>
                  </w:p>
                </w:tc>
                <w:tc>
                  <w:tcPr>
                    <w:tcW w:w="211" w:type="pct"/>
                    <w:vAlign w:val="center"/>
                  </w:tcPr>
                  <w:p>
                    <w:pP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306"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p>
                </w:tc>
                <w:tc>
                  <w:tcPr>
                    <w:tcW w:w="543" w:type="pct"/>
                    <w:vAlign w:val="center"/>
                  </w:tcPr>
                  <w:p>
                    <w:pPr>
                      <w:rPr>
                        <w:rFonts w:asciiTheme="minorEastAsia" w:hAnsiTheme="minorEastAsia" w:eastAsiaTheme="minorEastAsia"/>
                        <w:kern w:val="2"/>
                        <w:sz w:val="18"/>
                        <w:szCs w:val="18"/>
                      </w:rPr>
                    </w:pPr>
                    <w:r>
                      <w:rPr>
                        <w:rFonts w:hint="eastAsia" w:asciiTheme="minorEastAsia" w:hAnsiTheme="minorEastAsia" w:eastAsiaTheme="minorEastAsia"/>
                        <w:sz w:val="18"/>
                        <w:szCs w:val="18"/>
                      </w:rPr>
                      <w:t>（2021）渝01民初338号</w:t>
                    </w:r>
                  </w:p>
                </w:tc>
                <w:tc>
                  <w:tcPr>
                    <w:tcW w:w="40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越研环境工程盐城有限公司</w:t>
                    </w:r>
                  </w:p>
                </w:tc>
                <w:tc>
                  <w:tcPr>
                    <w:tcW w:w="78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河南力帆新能源电动汽车有限公司</w:t>
                    </w:r>
                  </w:p>
                </w:tc>
                <w:tc>
                  <w:tcPr>
                    <w:tcW w:w="51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重庆市第一中级人民法院</w:t>
                    </w:r>
                  </w:p>
                </w:tc>
                <w:tc>
                  <w:tcPr>
                    <w:tcW w:w="1145"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1、支付剩余设备款</w:t>
                    </w:r>
                    <w:r>
                      <w:rPr>
                        <w:rFonts w:asciiTheme="minorEastAsia" w:hAnsiTheme="minorEastAsia" w:eastAsiaTheme="minorEastAsia"/>
                        <w:sz w:val="18"/>
                        <w:szCs w:val="18"/>
                      </w:rPr>
                      <w:t>1,507.81</w:t>
                    </w:r>
                    <w:r>
                      <w:rPr>
                        <w:rFonts w:hint="eastAsia" w:asciiTheme="minorEastAsia" w:hAnsiTheme="minorEastAsia" w:eastAsiaTheme="minorEastAsia"/>
                        <w:sz w:val="18"/>
                        <w:szCs w:val="18"/>
                      </w:rPr>
                      <w:t>万元。2、利息暂计50万。3、返还投标保证金100万。4、确认设备所有权未转移给原告。5、诉讼费用。</w:t>
                    </w:r>
                  </w:p>
                </w:tc>
                <w:tc>
                  <w:tcPr>
                    <w:tcW w:w="497"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1,657.81</w:t>
                    </w:r>
                  </w:p>
                </w:tc>
                <w:tc>
                  <w:tcPr>
                    <w:tcW w:w="59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未开庭</w:t>
                    </w:r>
                  </w:p>
                </w:tc>
                <w:tc>
                  <w:tcPr>
                    <w:tcW w:w="211" w:type="pct"/>
                    <w:vAlign w:val="center"/>
                  </w:tcPr>
                  <w:p>
                    <w:pP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5000" w:type="pct"/>
                    <w:gridSpan w:val="9"/>
                    <w:vAlign w:val="center"/>
                  </w:tcPr>
                  <w:p>
                    <w:pPr>
                      <w:rPr>
                        <w:rFonts w:asciiTheme="minorEastAsia" w:hAnsiTheme="minorEastAsia" w:eastAsiaTheme="minorEastAsia"/>
                        <w:b/>
                        <w:bCs/>
                        <w:sz w:val="18"/>
                        <w:szCs w:val="18"/>
                      </w:rPr>
                    </w:pPr>
                    <w:r>
                      <w:rPr>
                        <w:rFonts w:hint="eastAsia" w:asciiTheme="minorEastAsia" w:hAnsiTheme="minorEastAsia" w:eastAsiaTheme="minorEastAsia"/>
                        <w:b/>
                        <w:bCs/>
                        <w:sz w:val="18"/>
                        <w:szCs w:val="18"/>
                      </w:rPr>
                      <w:t>本公司作为原告的重大未决诉讼：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306" w:type="pct"/>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543" w:type="pct"/>
                    <w:vAlign w:val="center"/>
                  </w:tcPr>
                  <w:p>
                    <w:pPr>
                      <w:rPr>
                        <w:rFonts w:asciiTheme="minorEastAsia" w:hAnsiTheme="minorEastAsia" w:eastAsiaTheme="minorEastAsia"/>
                        <w:kern w:val="2"/>
                        <w:sz w:val="18"/>
                        <w:szCs w:val="18"/>
                      </w:rPr>
                    </w:pPr>
                    <w:r>
                      <w:rPr>
                        <w:rFonts w:hint="eastAsia" w:asciiTheme="minorEastAsia" w:hAnsiTheme="minorEastAsia" w:eastAsiaTheme="minorEastAsia"/>
                        <w:sz w:val="18"/>
                        <w:szCs w:val="18"/>
                      </w:rPr>
                      <w:t>(2021)渝民终1087号</w:t>
                    </w:r>
                  </w:p>
                  <w:p>
                    <w:pPr>
                      <w:rPr>
                        <w:rFonts w:asciiTheme="minorEastAsia" w:hAnsiTheme="minorEastAsia" w:eastAsiaTheme="minorEastAsia"/>
                        <w:kern w:val="2"/>
                        <w:sz w:val="18"/>
                        <w:szCs w:val="18"/>
                      </w:rPr>
                    </w:pPr>
                  </w:p>
                </w:tc>
                <w:tc>
                  <w:tcPr>
                    <w:tcW w:w="40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重庆力帆乘用车有限公司</w:t>
                    </w:r>
                  </w:p>
                </w:tc>
                <w:tc>
                  <w:tcPr>
                    <w:tcW w:w="78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海博瑞德（北京）汽车技术有限公司、袁涛</w:t>
                    </w:r>
                  </w:p>
                </w:tc>
                <w:tc>
                  <w:tcPr>
                    <w:tcW w:w="517"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重庆市第一中级人民法院</w:t>
                    </w:r>
                  </w:p>
                </w:tc>
                <w:tc>
                  <w:tcPr>
                    <w:tcW w:w="1145"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起诉方以合同纠纷为由向重庆市第一中级人民法院提请诉讼，请求判令海博瑞德（北京）汽车技术有限公司回购股权并支付股权回购款及相应利息。</w:t>
                    </w:r>
                  </w:p>
                </w:tc>
                <w:tc>
                  <w:tcPr>
                    <w:tcW w:w="497" w:type="pct"/>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5,111.00</w:t>
                    </w:r>
                  </w:p>
                </w:tc>
                <w:tc>
                  <w:tcPr>
                    <w:tcW w:w="592" w:type="pct"/>
                    <w:vAlign w:val="center"/>
                  </w:tcPr>
                  <w:p>
                    <w:pPr>
                      <w:rPr>
                        <w:rFonts w:asciiTheme="minorEastAsia" w:hAnsiTheme="minorEastAsia" w:eastAsiaTheme="minorEastAsia"/>
                        <w:sz w:val="18"/>
                        <w:szCs w:val="18"/>
                      </w:rPr>
                    </w:pPr>
                    <w:r>
                      <w:rPr>
                        <w:rFonts w:hint="eastAsia" w:asciiTheme="minorEastAsia" w:hAnsiTheme="minorEastAsia" w:eastAsiaTheme="minorEastAsia"/>
                        <w:sz w:val="18"/>
                        <w:szCs w:val="18"/>
                      </w:rPr>
                      <w:t>二审中</w:t>
                    </w:r>
                  </w:p>
                </w:tc>
                <w:tc>
                  <w:tcPr>
                    <w:tcW w:w="211" w:type="pct"/>
                    <w:vAlign w:val="center"/>
                  </w:tcPr>
                  <w:p>
                    <w:pPr>
                      <w:rPr>
                        <w:rFonts w:asciiTheme="minorEastAsia" w:hAnsiTheme="minorEastAsia" w:eastAsiaTheme="minorEastAsia"/>
                        <w:sz w:val="18"/>
                        <w:szCs w:val="18"/>
                      </w:rPr>
                    </w:pPr>
                  </w:p>
                </w:tc>
              </w:tr>
            </w:tbl>
            <w:p/>
            <w:p>
              <w:pPr>
                <w:spacing w:beforeAutospacing="1" w:afterAutospacing="1" w:line="360" w:lineRule="auto"/>
                <w:rPr>
                  <w:rFonts w:ascii="Arial Narrow" w:hAnsi="Arial Narrow"/>
                  <w:b/>
                  <w:bCs/>
                  <w:iCs/>
                </w:rPr>
                <w:sectPr>
                  <w:pgSz w:w="11906" w:h="16838"/>
                  <w:pgMar w:top="1724" w:right="1797" w:bottom="1440" w:left="1797" w:header="851" w:footer="992" w:gutter="0"/>
                  <w:cols w:space="720" w:num="1"/>
                  <w:docGrid w:linePitch="312" w:charSpace="0"/>
                </w:sectPr>
              </w:pPr>
            </w:p>
            <w:p>
              <w:pPr>
                <w:pStyle w:val="199"/>
                <w:widowControl w:val="0"/>
                <w:tabs>
                  <w:tab w:val="left" w:pos="1260"/>
                </w:tabs>
                <w:spacing w:before="0" w:beforeAutospacing="0" w:afterLines="0"/>
                <w:ind w:left="420" w:firstLine="0" w:firstLineChars="0"/>
                <w:jc w:val="both"/>
                <w:outlineLvl w:val="3"/>
                <w:rPr>
                  <w:rFonts w:asciiTheme="minorEastAsia" w:hAnsiTheme="minorEastAsia" w:eastAsiaTheme="minorEastAsia"/>
                  <w:b/>
                  <w:bCs/>
                  <w:iCs/>
                </w:rPr>
              </w:pPr>
              <w:r>
                <w:rPr>
                  <w:rFonts w:hint="eastAsia" w:asciiTheme="minorEastAsia" w:hAnsiTheme="minorEastAsia" w:eastAsiaTheme="minorEastAsia"/>
                  <w:b/>
                  <w:bCs/>
                  <w:iCs/>
                </w:rPr>
                <w:t>b.对外提供债务担保形成的或有事项及其财务影响</w:t>
              </w:r>
            </w:p>
            <w:p>
              <w:pPr>
                <w:pStyle w:val="199"/>
                <w:widowControl w:val="0"/>
                <w:spacing w:before="0" w:beforeAutospacing="0" w:afterLines="0"/>
                <w:ind w:firstLine="420"/>
                <w:jc w:val="both"/>
                <w:rPr>
                  <w:rFonts w:asciiTheme="minorEastAsia" w:hAnsiTheme="minorEastAsia" w:eastAsiaTheme="minorEastAsia"/>
                  <w:bCs/>
                  <w:iCs/>
                </w:rPr>
              </w:pPr>
              <w:r>
                <w:rPr>
                  <w:rFonts w:hint="eastAsia" w:asciiTheme="minorEastAsia" w:hAnsiTheme="minorEastAsia" w:eastAsiaTheme="minorEastAsia"/>
                  <w:bCs/>
                  <w:iCs/>
                </w:rPr>
                <w:t>为关联方提供担保详见“第十节财务报告十二、5、（4）关联担保情况”。</w:t>
              </w:r>
            </w:p>
            <w:p>
              <w:pPr>
                <w:pStyle w:val="138"/>
                <w:widowControl w:val="0"/>
                <w:adjustRightInd w:val="0"/>
                <w:snapToGrid w:val="0"/>
                <w:spacing w:after="0" w:line="360" w:lineRule="auto"/>
                <w:ind w:firstLine="4" w:firstLineChars="2"/>
                <w:jc w:val="both"/>
                <w:rPr>
                  <w:rFonts w:asciiTheme="minorEastAsia" w:hAnsiTheme="minorEastAsia" w:eastAsiaTheme="minorEastAsia"/>
                  <w:sz w:val="21"/>
                  <w:szCs w:val="21"/>
                </w:rPr>
              </w:pPr>
              <w:r>
                <w:rPr>
                  <w:rFonts w:hint="eastAsia" w:asciiTheme="minorEastAsia" w:hAnsiTheme="minorEastAsia" w:eastAsiaTheme="minorEastAsia"/>
                  <w:sz w:val="21"/>
                  <w:szCs w:val="21"/>
                </w:rPr>
                <w:t>截至2021年</w:t>
              </w:r>
              <w:r>
                <w:rPr>
                  <w:rFonts w:asciiTheme="minorEastAsia" w:hAnsiTheme="minorEastAsia" w:eastAsiaTheme="minorEastAsia"/>
                  <w:sz w:val="21"/>
                  <w:szCs w:val="21"/>
                </w:rPr>
                <w:t>12</w:t>
              </w:r>
              <w:r>
                <w:rPr>
                  <w:rFonts w:hint="eastAsia" w:asciiTheme="minorEastAsia" w:hAnsiTheme="minorEastAsia" w:eastAsiaTheme="minorEastAsia"/>
                  <w:sz w:val="21"/>
                  <w:szCs w:val="21"/>
                </w:rPr>
                <w:t>月</w:t>
              </w:r>
              <w:r>
                <w:rPr>
                  <w:rFonts w:asciiTheme="minorEastAsia" w:hAnsiTheme="minorEastAsia" w:eastAsiaTheme="minorEastAsia"/>
                  <w:sz w:val="21"/>
                  <w:szCs w:val="21"/>
                </w:rPr>
                <w:t>31</w:t>
              </w:r>
              <w:r>
                <w:rPr>
                  <w:rFonts w:hint="eastAsia" w:asciiTheme="minorEastAsia" w:hAnsiTheme="minorEastAsia" w:eastAsiaTheme="minorEastAsia"/>
                  <w:sz w:val="21"/>
                  <w:szCs w:val="21"/>
                </w:rPr>
                <w:t>日，本公司无为非关联方单位提供保证情况。</w:t>
              </w:r>
            </w:p>
            <w:p>
              <w:pPr>
                <w:pStyle w:val="199"/>
                <w:widowControl w:val="0"/>
                <w:tabs>
                  <w:tab w:val="left" w:pos="1260"/>
                </w:tabs>
                <w:spacing w:before="0" w:beforeAutospacing="0" w:afterLines="0"/>
                <w:ind w:left="420" w:firstLine="0" w:firstLineChars="0"/>
                <w:jc w:val="both"/>
                <w:outlineLvl w:val="3"/>
                <w:rPr>
                  <w:rFonts w:asciiTheme="minorEastAsia" w:hAnsiTheme="minorEastAsia" w:eastAsiaTheme="minorEastAsia"/>
                  <w:b/>
                  <w:bCs/>
                  <w:iCs/>
                </w:rPr>
              </w:pPr>
              <w:r>
                <w:rPr>
                  <w:rFonts w:hint="eastAsia" w:asciiTheme="minorEastAsia" w:hAnsiTheme="minorEastAsia" w:eastAsiaTheme="minorEastAsia"/>
                  <w:b/>
                  <w:bCs/>
                  <w:iCs/>
                </w:rPr>
                <w:t>c.开出保函、信用证</w:t>
              </w:r>
            </w:p>
            <w:tbl>
              <w:tblPr>
                <w:tblStyle w:val="11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96"/>
                <w:gridCol w:w="2354"/>
                <w:gridCol w:w="26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0" w:type="pct"/>
                    <w:tcBorders>
                      <w:top w:val="single" w:color="auto" w:sz="12" w:space="0"/>
                      <w:left w:val="nil"/>
                      <w:bottom w:val="single" w:color="auto" w:sz="4" w:space="0"/>
                      <w:right w:val="single" w:color="auto" w:sz="4" w:space="0"/>
                    </w:tcBorders>
                    <w:vAlign w:val="center"/>
                  </w:tcPr>
                  <w:p>
                    <w:pPr>
                      <w:adjustRightInd w:val="0"/>
                      <w:snapToGrid w:val="0"/>
                      <w:ind w:firstLine="210" w:firstLineChars="100"/>
                      <w:jc w:val="center"/>
                      <w:rPr>
                        <w:rFonts w:ascii="Arial Narrow" w:hAnsi="Arial Narrow"/>
                        <w:kern w:val="2"/>
                        <w:szCs w:val="21"/>
                      </w:rPr>
                    </w:pPr>
                    <w:r>
                      <w:t>品</w:t>
                    </w:r>
                    <w:r>
                      <w:rPr>
                        <w:rFonts w:ascii="Arial Narrow" w:hAnsi="Arial Narrow"/>
                      </w:rPr>
                      <w:t>种</w:t>
                    </w:r>
                  </w:p>
                </w:tc>
                <w:tc>
                  <w:tcPr>
                    <w:tcW w:w="1380" w:type="pct"/>
                    <w:tcBorders>
                      <w:top w:val="single" w:color="auto" w:sz="12" w:space="0"/>
                      <w:left w:val="single" w:color="auto" w:sz="4" w:space="0"/>
                      <w:bottom w:val="single" w:color="auto" w:sz="4" w:space="0"/>
                      <w:right w:val="single" w:color="auto" w:sz="4" w:space="0"/>
                    </w:tcBorders>
                    <w:vAlign w:val="center"/>
                  </w:tcPr>
                  <w:p>
                    <w:pPr>
                      <w:adjustRightInd w:val="0"/>
                      <w:snapToGrid w:val="0"/>
                      <w:jc w:val="center"/>
                      <w:rPr>
                        <w:rFonts w:ascii="Arial Narrow" w:hAnsi="Arial Narrow"/>
                        <w:kern w:val="2"/>
                        <w:szCs w:val="21"/>
                      </w:rPr>
                    </w:pPr>
                    <w:r>
                      <w:t>交易金额</w:t>
                    </w:r>
                  </w:p>
                </w:tc>
                <w:tc>
                  <w:tcPr>
                    <w:tcW w:w="1570" w:type="pct"/>
                    <w:tcBorders>
                      <w:top w:val="single" w:color="auto" w:sz="12" w:space="0"/>
                      <w:left w:val="single" w:color="auto" w:sz="4" w:space="0"/>
                      <w:bottom w:val="single" w:color="auto" w:sz="4" w:space="0"/>
                      <w:right w:val="nil"/>
                    </w:tcBorders>
                    <w:vAlign w:val="center"/>
                  </w:tcPr>
                  <w:p>
                    <w:pPr>
                      <w:adjustRightInd w:val="0"/>
                      <w:snapToGrid w:val="0"/>
                      <w:jc w:val="center"/>
                      <w:rPr>
                        <w:rFonts w:ascii="Arial Narrow" w:hAnsi="Arial Narrow"/>
                        <w:kern w:val="2"/>
                        <w:szCs w:val="21"/>
                      </w:rPr>
                    </w:pPr>
                    <w:r>
                      <w:t>保证金授信余额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50" w:type="pct"/>
                    <w:tcBorders>
                      <w:top w:val="single" w:color="auto" w:sz="4" w:space="0"/>
                      <w:left w:val="nil"/>
                      <w:bottom w:val="single" w:color="auto" w:sz="12" w:space="0"/>
                      <w:right w:val="single" w:color="auto" w:sz="4" w:space="0"/>
                    </w:tcBorders>
                    <w:vAlign w:val="center"/>
                  </w:tcPr>
                  <w:p>
                    <w:pPr>
                      <w:rPr>
                        <w:rFonts w:ascii="Arial Narrow" w:hAnsi="Arial Narrow"/>
                        <w:kern w:val="2"/>
                        <w:szCs w:val="21"/>
                      </w:rPr>
                    </w:pPr>
                    <w:r>
                      <w:t>保函</w:t>
                    </w:r>
                  </w:p>
                </w:tc>
                <w:tc>
                  <w:tcPr>
                    <w:tcW w:w="1380" w:type="pct"/>
                    <w:tcBorders>
                      <w:top w:val="single" w:color="auto" w:sz="4" w:space="0"/>
                      <w:left w:val="single" w:color="auto" w:sz="4" w:space="0"/>
                      <w:bottom w:val="single" w:color="auto" w:sz="12" w:space="0"/>
                      <w:right w:val="single" w:color="auto" w:sz="4" w:space="0"/>
                    </w:tcBorders>
                    <w:vAlign w:val="center"/>
                  </w:tcPr>
                  <w:p>
                    <w:pPr>
                      <w:spacing w:before="100" w:beforeAutospacing="1" w:after="100" w:afterAutospacing="1"/>
                      <w:ind w:left="-105" w:leftChars="-50"/>
                      <w:jc w:val="right"/>
                      <w:textAlignment w:val="center"/>
                      <w:outlineLvl w:val="0"/>
                      <w:rPr>
                        <w:rFonts w:ascii="Arial Narrow" w:hAnsi="Arial Narrow"/>
                        <w:kern w:val="2"/>
                        <w:szCs w:val="21"/>
                      </w:rPr>
                    </w:pPr>
                    <w:r>
                      <w:rPr>
                        <w:rFonts w:hint="eastAsia" w:ascii="Arial Narrow" w:hAnsi="Arial Narrow"/>
                      </w:rPr>
                      <w:t>$</w:t>
                    </w:r>
                    <w:r>
                      <w:rPr>
                        <w:rFonts w:ascii="Arial Narrow" w:hAnsi="Arial Narrow"/>
                      </w:rPr>
                      <w:t>2,001,509.16</w:t>
                    </w:r>
                  </w:p>
                </w:tc>
                <w:tc>
                  <w:tcPr>
                    <w:tcW w:w="1570" w:type="pct"/>
                    <w:tcBorders>
                      <w:top w:val="single" w:color="auto" w:sz="4" w:space="0"/>
                      <w:left w:val="single" w:color="auto" w:sz="4" w:space="0"/>
                      <w:bottom w:val="single" w:color="auto" w:sz="12" w:space="0"/>
                      <w:right w:val="nil"/>
                    </w:tcBorders>
                    <w:vAlign w:val="center"/>
                  </w:tcPr>
                  <w:p>
                    <w:pPr>
                      <w:spacing w:before="100" w:beforeAutospacing="1" w:after="100" w:afterAutospacing="1"/>
                      <w:ind w:left="-105" w:leftChars="-50"/>
                      <w:jc w:val="right"/>
                      <w:textAlignment w:val="center"/>
                      <w:outlineLvl w:val="0"/>
                      <w:rPr>
                        <w:rFonts w:ascii="Arial Narrow" w:hAnsi="Arial Narrow"/>
                        <w:kern w:val="2"/>
                        <w:szCs w:val="21"/>
                      </w:rPr>
                    </w:pPr>
                    <w:r>
                      <w:rPr>
                        <w:rFonts w:hint="eastAsia" w:ascii="Arial Narrow" w:hAnsi="Arial Narrow"/>
                      </w:rPr>
                      <w:t>¥</w:t>
                    </w:r>
                    <w:r>
                      <w:rPr>
                        <w:rFonts w:ascii="Arial Narrow" w:hAnsi="Arial Narrow"/>
                      </w:rPr>
                      <w:t>12,761,021.95</w:t>
                    </w:r>
                  </w:p>
                </w:tc>
              </w:tr>
            </w:tbl>
            <w:p>
              <w:pPr>
                <w:pStyle w:val="199"/>
                <w:widowControl w:val="0"/>
                <w:tabs>
                  <w:tab w:val="left" w:pos="1260"/>
                </w:tabs>
                <w:spacing w:before="120" w:beforeLines="50" w:beforeAutospacing="0" w:afterLines="0"/>
                <w:ind w:left="420" w:firstLine="0" w:firstLineChars="0"/>
                <w:jc w:val="both"/>
                <w:outlineLvl w:val="3"/>
                <w:rPr>
                  <w:rFonts w:ascii="Arial Narrow" w:hAnsi="Arial Narrow"/>
                  <w:b/>
                  <w:bCs/>
                  <w:iCs/>
                </w:rPr>
              </w:pPr>
              <w:r>
                <w:rPr>
                  <w:rFonts w:hint="eastAsia" w:ascii="宋体" w:hAnsi="宋体"/>
                  <w:b/>
                  <w:bCs/>
                  <w:iCs/>
                </w:rPr>
                <w:t>d.</w:t>
              </w:r>
              <w:r>
                <w:rPr>
                  <w:rFonts w:ascii="宋体" w:hAnsi="宋体"/>
                  <w:b/>
                  <w:bCs/>
                  <w:iCs/>
                </w:rPr>
                <w:t>产品质量保证条款</w:t>
              </w:r>
            </w:p>
            <w:p>
              <w:pPr>
                <w:widowControl w:val="0"/>
                <w:adjustRightInd w:val="0"/>
                <w:snapToGrid w:val="0"/>
                <w:spacing w:line="360" w:lineRule="auto"/>
                <w:ind w:firstLine="420" w:firstLineChars="200"/>
                <w:jc w:val="both"/>
              </w:pPr>
              <w:r>
                <w:rPr>
                  <w:rFonts w:hint="eastAsia"/>
                </w:rPr>
                <w:t>公司预计负债系为公司所销售的汽车计提的产品质量三包费。本期公司预计负债计提及发生情况详见“第十节财务报告七、50预计负债”。</w:t>
              </w:r>
            </w:p>
          </w:sdtContent>
        </w:sdt>
      </w:sdtContent>
    </w:sdt>
    <w:sdt>
      <w:sdtPr>
        <w:rPr>
          <w:rFonts w:hint="eastAsia" w:ascii="宋体" w:hAnsi="宋体" w:cs="宋体"/>
          <w:kern w:val="0"/>
          <w:szCs w:val="24"/>
        </w:rPr>
        <w:alias w:val="模块:公司没有需要披露的或有事项，也应予以说明"/>
        <w:tag w:val="_SEC_07f5db79000646bfa85b73f1179896b8"/>
        <w:id w:val="-445229146"/>
        <w:lock w:val="sdtLocked"/>
        <w:placeholder>
          <w:docPart w:val="GBC22222222222222222222222222222"/>
        </w:placeholder>
      </w:sdtPr>
      <w:sdtEndPr>
        <w:rPr>
          <w:rFonts w:hint="eastAsia" w:asciiTheme="minorHAnsi" w:hAnsiTheme="minorHAnsi" w:cstheme="minorBidi"/>
          <w:kern w:val="0"/>
          <w:szCs w:val="24"/>
        </w:rPr>
      </w:sdtEndPr>
      <w:sdtContent>
        <w:p>
          <w:pPr>
            <w:pStyle w:val="199"/>
            <w:numPr>
              <w:ilvl w:val="3"/>
              <w:numId w:val="127"/>
            </w:numPr>
            <w:spacing w:after="120"/>
            <w:ind w:left="424" w:hanging="424" w:hangingChars="202"/>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1402749597"/>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rFonts w:asciiTheme="minorHAnsi" w:hAnsiTheme="minorHAnsi" w:cstheme="minorBidi"/>
            </w:rPr>
          </w:pPr>
        </w:p>
      </w:sdtContent>
    </w:sdt>
    <w:sdt>
      <w:sdtPr>
        <w:rPr>
          <w:rFonts w:ascii="宋体" w:hAnsi="宋体" w:cs="宋体"/>
          <w:b w:val="0"/>
          <w:bCs w:val="0"/>
          <w:kern w:val="0"/>
          <w:szCs w:val="24"/>
        </w:rPr>
        <w:alias w:val="模块:承诺及或有事项的其他情况说明"/>
        <w:tag w:val="_SEC_95ab34fb3b4a4254a4373a5a29c6b84d"/>
        <w:id w:val="-1781639229"/>
        <w:lock w:val="sdtLocked"/>
        <w:placeholder>
          <w:docPart w:val="GBC22222222222222222222222222222"/>
        </w:placeholder>
      </w:sdtPr>
      <w:sdtEndPr>
        <w:rPr>
          <w:rFonts w:ascii="宋体" w:hAnsi="宋体" w:cs="宋体"/>
          <w:b w:val="0"/>
          <w:bCs w:val="0"/>
          <w:kern w:val="0"/>
          <w:szCs w:val="24"/>
        </w:rPr>
      </w:sdtEndPr>
      <w:sdtContent>
        <w:p>
          <w:pPr>
            <w:pStyle w:val="114"/>
            <w:numPr>
              <w:ilvl w:val="0"/>
              <w:numId w:val="126"/>
            </w:numPr>
          </w:pPr>
          <w:r>
            <w:rPr>
              <w:rFonts w:hint="eastAsia"/>
            </w:rPr>
            <w:t>其他</w:t>
          </w:r>
        </w:p>
        <w:sdt>
          <w:sdtPr>
            <w:rPr>
              <w:rFonts w:hint="eastAsia"/>
            </w:rPr>
            <w:alias w:val="是否适用：承诺及或有事项的其他情况说明[双击切换]"/>
            <w:tag w:val="_GBC_cf5b3c02da904b4ea27843983d9a6248"/>
            <w:id w:val="-890805295"/>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p>
      <w:pPr>
        <w:pStyle w:val="113"/>
        <w:numPr>
          <w:ilvl w:val="0"/>
          <w:numId w:val="49"/>
        </w:numPr>
      </w:pPr>
      <w:r>
        <w:rPr>
          <w:rFonts w:hint="eastAsia"/>
        </w:rPr>
        <w:t>资产负债表日后事项</w:t>
      </w:r>
    </w:p>
    <w:sdt>
      <w:sdtPr>
        <w:rPr>
          <w:rFonts w:hint="eastAsia" w:ascii="宋体" w:hAnsi="宋体" w:cs="宋体"/>
          <w:b w:val="0"/>
          <w:bCs w:val="0"/>
          <w:kern w:val="0"/>
          <w:szCs w:val="24"/>
        </w:rPr>
        <w:alias w:val="模块:重要的非调整事项"/>
        <w:tag w:val="_SEC_3654dcc239a241d4891042df05a6f256"/>
        <w:id w:val="195281284"/>
        <w:lock w:val="sdtLocked"/>
        <w:placeholder>
          <w:docPart w:val="GBC22222222222222222222222222222"/>
        </w:placeholder>
      </w:sdtPr>
      <w:sdtEndPr>
        <w:rPr>
          <w:rFonts w:hint="eastAsia" w:asciiTheme="minorHAnsi" w:hAnsiTheme="minorHAnsi" w:eastAsiaTheme="minorEastAsia" w:cstheme="minorBidi"/>
          <w:b w:val="0"/>
          <w:bCs w:val="0"/>
          <w:kern w:val="0"/>
          <w:szCs w:val="22"/>
        </w:rPr>
      </w:sdtEndPr>
      <w:sdtContent>
        <w:p>
          <w:pPr>
            <w:pStyle w:val="114"/>
            <w:numPr>
              <w:ilvl w:val="0"/>
              <w:numId w:val="128"/>
            </w:numPr>
          </w:pPr>
          <w:r>
            <w:rPr>
              <w:rFonts w:hint="eastAsia"/>
            </w:rPr>
            <w:t>重要的非调整事项</w:t>
          </w:r>
        </w:p>
        <w:sdt>
          <w:sdtPr>
            <w:alias w:val="是否适用：重要的非调整事项[双击切换]"/>
            <w:tag w:val="_GBC_5d94a9ce52454687be716014c1894fef"/>
            <w:id w:val="762196190"/>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sdtContent>
    </w:sdt>
    <w:sdt>
      <w:sdtPr>
        <w:rPr>
          <w:rFonts w:hint="eastAsia" w:ascii="宋体" w:hAnsi="宋体" w:cs="宋体"/>
          <w:b w:val="0"/>
          <w:bCs w:val="0"/>
          <w:kern w:val="0"/>
          <w:szCs w:val="24"/>
        </w:rPr>
        <w:alias w:val="模块:资产负债表日后利润分配情况说明"/>
        <w:tag w:val="_SEC_a0182471338a435e9bfa33dc5b5d68ed"/>
        <w:id w:val="1520657996"/>
        <w:lock w:val="sdtLocked"/>
        <w:placeholder>
          <w:docPart w:val="GBC22222222222222222222222222222"/>
        </w:placeholder>
      </w:sdtPr>
      <w:sdtEndPr>
        <w:rPr>
          <w:rFonts w:hint="default" w:ascii="宋体" w:hAnsi="宋体" w:cs="宋体"/>
          <w:b w:val="0"/>
          <w:bCs w:val="0"/>
          <w:kern w:val="0"/>
          <w:szCs w:val="24"/>
        </w:rPr>
      </w:sdtEndPr>
      <w:sdtContent>
        <w:p>
          <w:pPr>
            <w:pStyle w:val="114"/>
            <w:numPr>
              <w:ilvl w:val="0"/>
              <w:numId w:val="128"/>
            </w:numPr>
          </w:pPr>
          <w:r>
            <w:rPr>
              <w:rFonts w:hint="eastAsia"/>
            </w:rPr>
            <w:t>利润分配情况</w:t>
          </w:r>
        </w:p>
        <w:sdt>
          <w:sdtPr>
            <w:alias w:val="是否适用：利润分配情况[双击切换]"/>
            <w:tag w:val="_GBC_9a91fb54a6c146e5b9ee1ecff3141237"/>
            <w:id w:val="1205216149"/>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sdtContent>
    </w:sdt>
    <w:sdt>
      <w:sdtPr>
        <w:rPr>
          <w:rFonts w:ascii="宋体" w:hAnsi="宋体" w:cs="宋体"/>
          <w:b w:val="0"/>
          <w:bCs w:val="0"/>
          <w:kern w:val="0"/>
          <w:szCs w:val="21"/>
        </w:rPr>
        <w:alias w:val="模块:资产负债表日后事项-销售退回说明"/>
        <w:tag w:val="_SEC_6346fe8809f74901abff74c752033e25"/>
        <w:id w:val="1837419508"/>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128"/>
            </w:numPr>
          </w:pPr>
          <w:r>
            <w:rPr>
              <w:rFonts w:hint="eastAsia"/>
              <w:szCs w:val="21"/>
            </w:rPr>
            <w:t>销售</w:t>
          </w:r>
          <w:r>
            <w:rPr>
              <w:rFonts w:hint="eastAsia"/>
            </w:rPr>
            <w:t>退回</w:t>
          </w:r>
        </w:p>
        <w:sdt>
          <w:sdtPr>
            <w:alias w:val="是否适用：销售退回[双击切换]"/>
            <w:tag w:val="_GBC_7fb2ecaa1ffb494486f4a8b2e94240d2"/>
            <w:id w:val="-780956477"/>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4"/>
        </w:rPr>
        <w:alias w:val="模块:其他资产负债表日后事项说明"/>
        <w:tag w:val="_SEC_776c6ddc183543f7a3beb6d8a088d64e"/>
        <w:id w:val="-1463500976"/>
        <w:lock w:val="sdtLocked"/>
        <w:placeholder>
          <w:docPart w:val="GBC22222222222222222222222222222"/>
        </w:placeholder>
      </w:sdtPr>
      <w:sdtEndPr>
        <w:rPr>
          <w:rFonts w:hint="eastAsia" w:ascii="宋体" w:hAnsi="宋体" w:cs="宋体"/>
          <w:b w:val="0"/>
          <w:bCs w:val="0"/>
          <w:kern w:val="0"/>
          <w:szCs w:val="24"/>
        </w:rPr>
      </w:sdtEndPr>
      <w:sdtContent>
        <w:p>
          <w:pPr>
            <w:pStyle w:val="114"/>
            <w:numPr>
              <w:ilvl w:val="0"/>
              <w:numId w:val="128"/>
            </w:numPr>
          </w:pPr>
          <w:r>
            <w:rPr>
              <w:rFonts w:hint="eastAsia"/>
            </w:rPr>
            <w:t>其他资产负债表日后事项说明</w:t>
          </w:r>
        </w:p>
        <w:sdt>
          <w:sdtPr>
            <w:rPr>
              <w:rFonts w:hint="eastAsia"/>
            </w:rPr>
            <w:alias w:val="是否适用：其他资产负债表日后事项说明[双击切换]"/>
            <w:tag w:val="_GBC_4fc0f824aaea4ed096cae3b9f97ff314"/>
            <w:id w:val="-1046450703"/>
            <w:lock w:val="sdtLocked"/>
            <w:placeholder>
              <w:docPart w:val="GBC22222222222222222222222222222"/>
            </w:placeholder>
          </w:sdtPr>
          <w:sdtEndPr>
            <w:rPr>
              <w:rFonts w:hint="eastAsia"/>
            </w:rPr>
          </w:sdtEnd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alias w:val="资产负债表日后事项的说明"/>
            <w:tag w:val="_GBC_b4faff3f61de47eebe30bc0094d05a2f"/>
            <w:id w:val="477038809"/>
            <w:lock w:val="sdtLocked"/>
            <w:placeholder>
              <w:docPart w:val="GBC22222222222222222222222222222"/>
            </w:placeholder>
          </w:sdtPr>
          <w:sdtContent>
            <w:p>
              <w:pPr>
                <w:widowControl w:val="0"/>
                <w:adjustRightInd w:val="0"/>
                <w:snapToGrid w:val="0"/>
                <w:spacing w:line="360" w:lineRule="auto"/>
                <w:ind w:firstLine="420" w:firstLineChars="200"/>
                <w:jc w:val="both"/>
              </w:pPr>
              <w:r>
                <w:rPr>
                  <w:rFonts w:hint="eastAsia"/>
                </w:rPr>
                <w:t>（1）本公司于2021年12月13日召开第五届董事会第七次会议和第五届监事会第六次</w:t>
              </w:r>
              <w:r>
                <w:rPr>
                  <w:rFonts w:hint="eastAsia"/>
                  <w:szCs w:val="21"/>
                </w:rPr>
                <w:t>会议</w:t>
              </w:r>
              <w:r>
                <w:rPr>
                  <w:rFonts w:hint="eastAsia"/>
                </w:rPr>
                <w:t>，审议通过了《关于与关联方共同投资设立合资公司暨关联交易的议案》，同意公司与吉利汽车控股有限公司（以下简称“吉利汽车”）在重庆市两江新区直管区设立合资公司。吉利汽车指定其全资下属公司宁波吉利汽车实业有限公司为投资主体与公司设立合资公司，于2022年1月24日完成了工商注册登记手续，并取得了重庆两江新区市场监督管理局颁发的营业执照，相关登记信息如下：</w:t>
              </w:r>
            </w:p>
            <w:p>
              <w:pPr>
                <w:widowControl w:val="0"/>
                <w:adjustRightInd w:val="0"/>
                <w:snapToGrid w:val="0"/>
                <w:spacing w:line="360" w:lineRule="auto"/>
                <w:ind w:firstLine="420" w:firstLineChars="200"/>
                <w:jc w:val="both"/>
              </w:pPr>
              <w:r>
                <w:rPr>
                  <w:rFonts w:hint="eastAsia"/>
                </w:rPr>
                <w:t>企业名称：重庆睿蓝汽车科技有限公司</w:t>
              </w:r>
            </w:p>
            <w:p>
              <w:pPr>
                <w:widowControl w:val="0"/>
                <w:adjustRightInd w:val="0"/>
                <w:snapToGrid w:val="0"/>
                <w:spacing w:line="360" w:lineRule="auto"/>
                <w:ind w:firstLine="420" w:firstLineChars="200"/>
                <w:jc w:val="both"/>
              </w:pPr>
              <w:r>
                <w:rPr>
                  <w:rFonts w:hint="eastAsia"/>
                </w:rPr>
                <w:t>统一社会信用代码：91500000MA7G71BG6U</w:t>
              </w:r>
            </w:p>
            <w:p>
              <w:pPr>
                <w:widowControl w:val="0"/>
                <w:adjustRightInd w:val="0"/>
                <w:snapToGrid w:val="0"/>
                <w:spacing w:line="360" w:lineRule="auto"/>
                <w:ind w:firstLine="420" w:firstLineChars="200"/>
                <w:jc w:val="both"/>
              </w:pPr>
              <w:r>
                <w:rPr>
                  <w:rFonts w:hint="eastAsia"/>
                </w:rPr>
                <w:t>类型：有限责任公司（外商投资企业投资）</w:t>
              </w:r>
            </w:p>
            <w:p>
              <w:pPr>
                <w:widowControl w:val="0"/>
                <w:adjustRightInd w:val="0"/>
                <w:snapToGrid w:val="0"/>
                <w:spacing w:line="360" w:lineRule="auto"/>
                <w:ind w:firstLine="420" w:firstLineChars="200"/>
                <w:jc w:val="both"/>
              </w:pPr>
              <w:r>
                <w:rPr>
                  <w:rFonts w:hint="eastAsia"/>
                </w:rPr>
                <w:t>住所：重庆两江新区鸳鸯街道金山大道 668 号</w:t>
              </w:r>
            </w:p>
            <w:p>
              <w:pPr>
                <w:widowControl w:val="0"/>
                <w:adjustRightInd w:val="0"/>
                <w:snapToGrid w:val="0"/>
                <w:spacing w:line="360" w:lineRule="auto"/>
                <w:ind w:firstLine="420" w:firstLineChars="200"/>
                <w:jc w:val="both"/>
              </w:pPr>
              <w:r>
                <w:rPr>
                  <w:rFonts w:hint="eastAsia"/>
                </w:rPr>
                <w:t>法定代表人：娄源发</w:t>
              </w:r>
            </w:p>
            <w:p>
              <w:pPr>
                <w:widowControl w:val="0"/>
                <w:adjustRightInd w:val="0"/>
                <w:snapToGrid w:val="0"/>
                <w:spacing w:line="360" w:lineRule="auto"/>
                <w:ind w:firstLine="420" w:firstLineChars="200"/>
                <w:jc w:val="both"/>
              </w:pPr>
              <w:r>
                <w:rPr>
                  <w:rFonts w:hint="eastAsia"/>
                </w:rPr>
                <w:t>注册资本：陆亿元整</w:t>
              </w:r>
            </w:p>
            <w:p>
              <w:pPr>
                <w:widowControl w:val="0"/>
                <w:adjustRightInd w:val="0"/>
                <w:snapToGrid w:val="0"/>
                <w:spacing w:line="360" w:lineRule="auto"/>
                <w:ind w:firstLine="420" w:firstLineChars="200"/>
                <w:jc w:val="both"/>
              </w:pPr>
              <w:r>
                <w:rPr>
                  <w:rFonts w:hint="eastAsia"/>
                </w:rPr>
                <w:t>成立日期：2022年1月24日</w:t>
              </w:r>
            </w:p>
            <w:p>
              <w:pPr>
                <w:widowControl w:val="0"/>
                <w:adjustRightInd w:val="0"/>
                <w:snapToGrid w:val="0"/>
                <w:spacing w:line="360" w:lineRule="auto"/>
                <w:ind w:firstLine="420" w:firstLineChars="200"/>
                <w:jc w:val="both"/>
              </w:pPr>
              <w:r>
                <w:rPr>
                  <w:rFonts w:hint="eastAsia"/>
                </w:rPr>
                <w:t>营业期限：2022年1月24日至永久</w:t>
              </w:r>
            </w:p>
            <w:p>
              <w:pPr>
                <w:widowControl w:val="0"/>
                <w:adjustRightInd w:val="0"/>
                <w:snapToGrid w:val="0"/>
                <w:spacing w:line="360" w:lineRule="auto"/>
                <w:ind w:firstLine="420" w:firstLineChars="200"/>
                <w:jc w:val="both"/>
              </w:pPr>
              <w:r>
                <w:rPr>
                  <w:rFonts w:hint="eastAsia"/>
                </w:rPr>
                <w:t>经营范围：一般项目：汽车零部件研发；工业设计服务；汽车新车销售；新能源汽车整车销售；汽车零配件销售；汽车零配件批发；汽车装饰用品销售；新能源汽车换电设施销售；新能源汽车电附件销售；技术进出口；进出口代理；货物进出口；技术服务、技术开发、技术咨询、技术交流、技术转让、技术推广。（除依法须经批准的项目外，凭营业执照依法自主开展经营活动）</w:t>
              </w:r>
            </w:p>
            <w:p>
              <w:pPr>
                <w:widowControl w:val="0"/>
                <w:adjustRightInd w:val="0"/>
                <w:snapToGrid w:val="0"/>
                <w:spacing w:line="360" w:lineRule="auto"/>
                <w:ind w:firstLine="420" w:firstLineChars="200"/>
                <w:jc w:val="both"/>
              </w:pPr>
              <w:r>
                <w:rPr>
                  <w:rFonts w:hint="eastAsia"/>
                </w:rPr>
                <w:t>工商登记完成后，股东出资金额及股权比例情况如下：</w:t>
              </w:r>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8"/>
                <w:gridCol w:w="1603"/>
                <w:gridCol w:w="1602"/>
                <w:gridCol w:w="1204"/>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5"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rPr>
                        <w:rFonts w:hint="eastAsia"/>
                      </w:rPr>
                      <w:t>股东</w:t>
                    </w:r>
                  </w:p>
                </w:tc>
                <w:tc>
                  <w:tcPr>
                    <w:tcW w:w="940" w:type="pct"/>
                    <w:tcBorders>
                      <w:top w:val="single" w:color="auto" w:sz="4" w:space="0"/>
                      <w:left w:val="single" w:color="auto" w:sz="4" w:space="0"/>
                      <w:bottom w:val="single" w:color="auto" w:sz="4" w:space="0"/>
                      <w:right w:val="single" w:color="auto" w:sz="4" w:space="0"/>
                    </w:tcBorders>
                    <w:vAlign w:val="center"/>
                  </w:tcPr>
                  <w:p>
                    <w:pPr>
                      <w:tabs>
                        <w:tab w:val="left" w:pos="196"/>
                        <w:tab w:val="left" w:pos="426"/>
                        <w:tab w:val="left" w:pos="1134"/>
                      </w:tabs>
                      <w:snapToGrid w:val="0"/>
                      <w:jc w:val="center"/>
                      <w:rPr>
                        <w:rFonts w:ascii="Arial Narrow" w:hAnsi="Arial Narrow"/>
                        <w:szCs w:val="21"/>
                      </w:rPr>
                    </w:pPr>
                    <w:r>
                      <w:rPr>
                        <w:rFonts w:hint="eastAsia" w:ascii="Arial Narrow" w:hAnsi="Arial Narrow"/>
                        <w:szCs w:val="21"/>
                      </w:rPr>
                      <w:t>认缴出资额</w:t>
                    </w:r>
                  </w:p>
                  <w:p>
                    <w:pPr>
                      <w:snapToGrid w:val="0"/>
                      <w:jc w:val="center"/>
                      <w:rPr>
                        <w:rFonts w:ascii="Arial Narrow" w:hAnsi="Arial Narrow"/>
                        <w:kern w:val="2"/>
                        <w:szCs w:val="21"/>
                      </w:rPr>
                    </w:pPr>
                    <w:r>
                      <w:rPr>
                        <w:rFonts w:hint="eastAsia" w:ascii="Arial Narrow" w:hAnsi="Arial Narrow"/>
                        <w:szCs w:val="21"/>
                      </w:rPr>
                      <w:t>（万元）</w:t>
                    </w:r>
                  </w:p>
                </w:tc>
                <w:tc>
                  <w:tcPr>
                    <w:tcW w:w="939" w:type="pct"/>
                    <w:tcBorders>
                      <w:top w:val="single" w:color="auto" w:sz="4" w:space="0"/>
                      <w:left w:val="single" w:color="auto" w:sz="4" w:space="0"/>
                      <w:bottom w:val="single" w:color="auto" w:sz="4" w:space="0"/>
                      <w:right w:val="single" w:color="auto" w:sz="4" w:space="0"/>
                    </w:tcBorders>
                  </w:tcPr>
                  <w:p>
                    <w:pPr>
                      <w:tabs>
                        <w:tab w:val="left" w:pos="196"/>
                        <w:tab w:val="left" w:pos="426"/>
                        <w:tab w:val="left" w:pos="1134"/>
                      </w:tabs>
                      <w:snapToGrid w:val="0"/>
                      <w:jc w:val="center"/>
                      <w:rPr>
                        <w:rFonts w:ascii="Arial Narrow" w:hAnsi="Arial Narrow"/>
                        <w:szCs w:val="21"/>
                      </w:rPr>
                    </w:pPr>
                    <w:r>
                      <w:rPr>
                        <w:rFonts w:hint="eastAsia" w:ascii="Arial Narrow" w:hAnsi="Arial Narrow"/>
                        <w:szCs w:val="21"/>
                      </w:rPr>
                      <w:t>实际出资额</w:t>
                    </w:r>
                  </w:p>
                  <w:p>
                    <w:pPr>
                      <w:snapToGrid w:val="0"/>
                      <w:jc w:val="center"/>
                    </w:pPr>
                    <w:r>
                      <w:rPr>
                        <w:rFonts w:hint="eastAsia" w:ascii="Arial Narrow" w:hAnsi="Arial Narrow"/>
                        <w:szCs w:val="21"/>
                      </w:rPr>
                      <w:t>（万元）</w:t>
                    </w:r>
                  </w:p>
                </w:tc>
                <w:tc>
                  <w:tcPr>
                    <w:tcW w:w="706"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rPr>
                        <w:rFonts w:hint="eastAsia"/>
                      </w:rPr>
                      <w:t>股权比例</w:t>
                    </w:r>
                  </w:p>
                </w:tc>
                <w:tc>
                  <w:tcPr>
                    <w:tcW w:w="71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rPr>
                        <w:rFonts w:hint="eastAsia"/>
                      </w:rPr>
                      <w:t>出资方式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5" w:type="pct"/>
                    <w:tcBorders>
                      <w:top w:val="single" w:color="auto" w:sz="4" w:space="0"/>
                      <w:left w:val="single" w:color="auto" w:sz="4" w:space="0"/>
                      <w:bottom w:val="single" w:color="auto" w:sz="4" w:space="0"/>
                      <w:right w:val="single" w:color="auto" w:sz="4" w:space="0"/>
                    </w:tcBorders>
                    <w:vAlign w:val="center"/>
                  </w:tcPr>
                  <w:p>
                    <w:pPr>
                      <w:snapToGrid w:val="0"/>
                      <w:jc w:val="both"/>
                      <w:rPr>
                        <w:rFonts w:ascii="Arial Narrow" w:hAnsi="Arial Narrow"/>
                        <w:kern w:val="2"/>
                        <w:szCs w:val="21"/>
                      </w:rPr>
                    </w:pPr>
                    <w:r>
                      <w:rPr>
                        <w:rFonts w:hint="eastAsia"/>
                      </w:rPr>
                      <w:t>力帆科技（集团）股份有限公司</w:t>
                    </w:r>
                  </w:p>
                </w:tc>
                <w:tc>
                  <w:tcPr>
                    <w:tcW w:w="94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rPr>
                        <w:rFonts w:ascii="Arial Narrow" w:hAnsi="Arial Narrow"/>
                      </w:rPr>
                      <w:t>30,000.00</w:t>
                    </w:r>
                  </w:p>
                </w:tc>
                <w:tc>
                  <w:tcPr>
                    <w:tcW w:w="9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rPr>
                    </w:pPr>
                    <w:r>
                      <w:rPr>
                        <w:rFonts w:ascii="Arial Narrow" w:hAnsi="Arial Narrow"/>
                      </w:rPr>
                      <w:t>30,000.00</w:t>
                    </w:r>
                  </w:p>
                </w:tc>
                <w:tc>
                  <w:tcPr>
                    <w:tcW w:w="706"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t>50%</w:t>
                    </w:r>
                  </w:p>
                </w:tc>
                <w:tc>
                  <w:tcPr>
                    <w:tcW w:w="71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t>货币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05" w:type="pct"/>
                    <w:tcBorders>
                      <w:top w:val="single" w:color="auto" w:sz="4" w:space="0"/>
                      <w:left w:val="single" w:color="auto" w:sz="4" w:space="0"/>
                      <w:bottom w:val="single" w:color="auto" w:sz="4" w:space="0"/>
                      <w:right w:val="single" w:color="auto" w:sz="4" w:space="0"/>
                    </w:tcBorders>
                    <w:vAlign w:val="center"/>
                  </w:tcPr>
                  <w:p>
                    <w:pPr>
                      <w:snapToGrid w:val="0"/>
                      <w:jc w:val="both"/>
                      <w:rPr>
                        <w:rFonts w:ascii="Arial Narrow" w:hAnsi="Arial Narrow"/>
                        <w:kern w:val="2"/>
                        <w:szCs w:val="21"/>
                      </w:rPr>
                    </w:pPr>
                    <w:r>
                      <w:rPr>
                        <w:rFonts w:hint="eastAsia"/>
                      </w:rPr>
                      <w:t>宁波吉利汽车实业有限公司</w:t>
                    </w:r>
                  </w:p>
                </w:tc>
                <w:tc>
                  <w:tcPr>
                    <w:tcW w:w="94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rPr>
                        <w:rFonts w:ascii="Arial Narrow" w:hAnsi="Arial Narrow"/>
                      </w:rPr>
                      <w:t>30,000.00</w:t>
                    </w:r>
                  </w:p>
                </w:tc>
                <w:tc>
                  <w:tcPr>
                    <w:tcW w:w="939"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rPr>
                    </w:pPr>
                    <w:r>
                      <w:rPr>
                        <w:rFonts w:ascii="Arial Narrow" w:hAnsi="Arial Narrow"/>
                      </w:rPr>
                      <w:t>30,000.00</w:t>
                    </w:r>
                  </w:p>
                </w:tc>
                <w:tc>
                  <w:tcPr>
                    <w:tcW w:w="706"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t>50%</w:t>
                    </w:r>
                  </w:p>
                </w:tc>
                <w:tc>
                  <w:tcPr>
                    <w:tcW w:w="710" w:type="pct"/>
                    <w:tcBorders>
                      <w:top w:val="single" w:color="auto" w:sz="4" w:space="0"/>
                      <w:left w:val="single" w:color="auto" w:sz="4" w:space="0"/>
                      <w:bottom w:val="single" w:color="auto" w:sz="4" w:space="0"/>
                      <w:right w:val="single" w:color="auto" w:sz="4" w:space="0"/>
                    </w:tcBorders>
                    <w:vAlign w:val="center"/>
                  </w:tcPr>
                  <w:p>
                    <w:pPr>
                      <w:snapToGrid w:val="0"/>
                      <w:jc w:val="center"/>
                      <w:rPr>
                        <w:rFonts w:ascii="Arial Narrow" w:hAnsi="Arial Narrow"/>
                        <w:kern w:val="2"/>
                        <w:szCs w:val="21"/>
                      </w:rPr>
                    </w:pPr>
                    <w:r>
                      <w:t>货币</w:t>
                    </w:r>
                  </w:p>
                </w:tc>
              </w:tr>
            </w:tbl>
            <w:p>
              <w:pPr>
                <w:widowControl w:val="0"/>
                <w:tabs>
                  <w:tab w:val="left" w:pos="196"/>
                  <w:tab w:val="left" w:pos="426"/>
                </w:tabs>
                <w:adjustRightInd w:val="0"/>
                <w:snapToGrid w:val="0"/>
                <w:spacing w:before="120" w:beforeLines="50" w:line="360" w:lineRule="auto"/>
                <w:ind w:firstLine="420" w:firstLineChars="200"/>
                <w:jc w:val="both"/>
                <w:rPr>
                  <w:szCs w:val="21"/>
                </w:rPr>
              </w:pPr>
              <w:r>
                <w:rPr>
                  <w:rFonts w:hint="eastAsia"/>
                  <w:szCs w:val="21"/>
                </w:rPr>
                <w:t>2</w:t>
              </w:r>
              <w:r>
                <w:rPr>
                  <w:szCs w:val="21"/>
                </w:rPr>
                <w:t>022</w:t>
              </w:r>
              <w:r>
                <w:rPr>
                  <w:rFonts w:hint="eastAsia"/>
                  <w:szCs w:val="21"/>
                </w:rPr>
                <w:t>年2月本公司与宁波吉利汽车实业有限公司已全额实缴重庆睿蓝汽车科技有限公司注册资本</w:t>
              </w:r>
              <w:r>
                <w:rPr>
                  <w:szCs w:val="21"/>
                </w:rPr>
                <w:t>60,000.00</w:t>
              </w:r>
              <w:r>
                <w:rPr>
                  <w:rFonts w:hint="eastAsia"/>
                  <w:szCs w:val="21"/>
                </w:rPr>
                <w:t>万元。</w:t>
              </w:r>
            </w:p>
            <w:p>
              <w:pPr>
                <w:widowControl w:val="0"/>
                <w:adjustRightInd w:val="0"/>
                <w:snapToGrid w:val="0"/>
                <w:spacing w:before="120" w:beforeLines="50" w:line="360" w:lineRule="auto"/>
                <w:ind w:firstLine="420" w:firstLineChars="200"/>
                <w:jc w:val="both"/>
                <w:rPr>
                  <w:rFonts w:ascii="Times New Roman" w:hAnsi="Times New Roman" w:cs="Times New Roman"/>
                  <w:kern w:val="2"/>
                  <w:szCs w:val="21"/>
                </w:rPr>
              </w:pPr>
              <w:r>
                <w:rPr>
                  <w:rFonts w:hint="eastAsia"/>
                </w:rPr>
                <w:t>（2）2</w:t>
              </w:r>
              <w:r>
                <w:t>021</w:t>
              </w:r>
              <w:r>
                <w:rPr>
                  <w:rFonts w:hint="eastAsia"/>
                </w:rPr>
                <w:t>年1</w:t>
              </w:r>
              <w:r>
                <w:t>2</w:t>
              </w:r>
              <w:r>
                <w:rPr>
                  <w:rFonts w:hint="eastAsia"/>
                </w:rPr>
                <w:t>月2</w:t>
              </w:r>
              <w:r>
                <w:t>2</w:t>
              </w:r>
              <w:r>
                <w:rPr>
                  <w:rFonts w:hint="eastAsia"/>
                </w:rPr>
                <w:t>日，本公司子公司力帆集团重庆万光新能源科技有限公司投资设立了重庆新力帆汽车销售有限公司，注册资本</w:t>
              </w:r>
              <w:r>
                <w:t>1,000.00</w:t>
              </w:r>
              <w:r>
                <w:rPr>
                  <w:rFonts w:hint="eastAsia"/>
                </w:rPr>
                <w:t>万元，未实际出资。2</w:t>
              </w:r>
              <w:r>
                <w:t>022</w:t>
              </w:r>
              <w:r>
                <w:rPr>
                  <w:rFonts w:hint="eastAsia"/>
                </w:rPr>
                <w:t>年</w:t>
              </w:r>
              <w:r>
                <w:t>1</w:t>
              </w:r>
              <w:r>
                <w:rPr>
                  <w:rFonts w:hint="eastAsia"/>
                </w:rPr>
                <w:t>月</w:t>
              </w:r>
              <w:r>
                <w:t>25</w:t>
              </w:r>
              <w:r>
                <w:rPr>
                  <w:rFonts w:hint="eastAsia"/>
                </w:rPr>
                <w:t>日，重庆新力帆汽车销售有限公司股东变更为重庆睿蓝汽车科技有限公司。2</w:t>
              </w:r>
              <w:r>
                <w:t>022</w:t>
              </w:r>
              <w:r>
                <w:rPr>
                  <w:rFonts w:hint="eastAsia"/>
                </w:rPr>
                <w:t>年</w:t>
              </w:r>
              <w:r>
                <w:t>2</w:t>
              </w:r>
              <w:r>
                <w:rPr>
                  <w:rFonts w:hint="eastAsia"/>
                </w:rPr>
                <w:t>月1</w:t>
              </w:r>
              <w:r>
                <w:t>1</w:t>
              </w:r>
              <w:r>
                <w:rPr>
                  <w:rFonts w:hint="eastAsia"/>
                </w:rPr>
                <w:t>日，其名称变更为重庆睿蓝汽车销售有限公司。</w:t>
              </w:r>
            </w:p>
            <w:p>
              <w:pPr>
                <w:widowControl w:val="0"/>
                <w:adjustRightInd w:val="0"/>
                <w:snapToGrid w:val="0"/>
                <w:spacing w:before="120" w:beforeLines="50" w:line="360" w:lineRule="auto"/>
                <w:ind w:firstLine="420" w:firstLineChars="200"/>
                <w:jc w:val="both"/>
              </w:pPr>
              <w:r>
                <w:rPr>
                  <w:rFonts w:hint="eastAsia"/>
                </w:rPr>
                <w:t>（3）2</w:t>
              </w:r>
              <w:r>
                <w:t>022</w:t>
              </w:r>
              <w:r>
                <w:rPr>
                  <w:rFonts w:hint="eastAsia"/>
                </w:rPr>
                <w:t>年3月1</w:t>
              </w:r>
              <w:r>
                <w:t>0</w:t>
              </w:r>
              <w:r>
                <w:rPr>
                  <w:rFonts w:hint="eastAsia"/>
                </w:rPr>
                <w:t>日，本公司与重庆欧鹏摩托车有限公司签订了《股权转让协议》，约定将本公司持有的重庆力帆三轮摩托车有限公司5</w:t>
              </w:r>
              <w:r>
                <w:t>1.00</w:t>
              </w:r>
              <w:r>
                <w:rPr>
                  <w:rFonts w:hint="eastAsia"/>
                </w:rPr>
                <w:t>%股权转让给重庆欧鹏摩托车有限公司，股权转让价款1</w:t>
              </w:r>
              <w:r>
                <w:t>,020.00</w:t>
              </w:r>
              <w:r>
                <w:rPr>
                  <w:rFonts w:hint="eastAsia"/>
                </w:rPr>
                <w:t>万元。本次股权转让变更登记前各方按持有重庆力帆三轮摩托车有限公司的股权比例进行利润分配，本公司可分配利润</w:t>
              </w:r>
              <w:r>
                <w:t>110.00</w:t>
              </w:r>
              <w:r>
                <w:rPr>
                  <w:rFonts w:hint="eastAsia"/>
                </w:rPr>
                <w:t>万元。自2022年1月1日起至2022年10月30日止，根据重庆力帆三轮摩托车有限公司使用本公司或本公司下属关联公司商标时间，应按月向力帆科技支付商标使用费，商标使用费为4万元/月。</w:t>
              </w:r>
            </w:p>
            <w:p>
              <w:pPr>
                <w:widowControl w:val="0"/>
                <w:adjustRightInd w:val="0"/>
                <w:snapToGrid w:val="0"/>
                <w:spacing w:before="120" w:beforeLines="50" w:line="360" w:lineRule="auto"/>
                <w:ind w:firstLine="420" w:firstLineChars="200"/>
                <w:jc w:val="both"/>
              </w:pPr>
              <w:r>
                <w:rPr>
                  <w:rFonts w:hint="eastAsia"/>
                </w:rPr>
                <w:t>（4）2</w:t>
              </w:r>
              <w:r>
                <w:t>022</w:t>
              </w:r>
              <w:r>
                <w:rPr>
                  <w:rFonts w:hint="eastAsia"/>
                </w:rPr>
                <w:t>年3月3</w:t>
              </w:r>
              <w:r>
                <w:t>1</w:t>
              </w:r>
              <w:r>
                <w:rPr>
                  <w:rFonts w:hint="eastAsia"/>
                </w:rPr>
                <w:t>日，本公司子公司重庆力帆乘用车有限公司的名称变更为重庆睿蓝汽车制造有限公司。</w:t>
              </w:r>
            </w:p>
            <w:p>
              <w:pPr>
                <w:widowControl w:val="0"/>
                <w:adjustRightInd w:val="0"/>
                <w:snapToGrid w:val="0"/>
                <w:spacing w:line="360" w:lineRule="auto"/>
                <w:ind w:firstLine="420" w:firstLineChars="200"/>
                <w:jc w:val="both"/>
              </w:pPr>
              <w:r>
                <w:rPr>
                  <w:rFonts w:hint="eastAsia"/>
                </w:rPr>
                <w:t>截至财务报告批准报出日止，本公司无其他应披露未披露的重大资产负债表日后事项。</w:t>
              </w:r>
            </w:p>
          </w:sdtContent>
        </w:sdt>
      </w:sdtContent>
    </w:sdt>
    <w:p>
      <w:pPr>
        <w:rPr>
          <w:szCs w:val="21"/>
        </w:rPr>
      </w:pPr>
    </w:p>
    <w:p>
      <w:pPr>
        <w:pStyle w:val="113"/>
        <w:numPr>
          <w:ilvl w:val="0"/>
          <w:numId w:val="49"/>
        </w:numPr>
      </w:pPr>
      <w:r>
        <w:rPr>
          <w:rFonts w:hint="eastAsia"/>
        </w:rPr>
        <w:t>其他重要事项</w:t>
      </w:r>
    </w:p>
    <w:p>
      <w:pPr>
        <w:pStyle w:val="114"/>
        <w:numPr>
          <w:ilvl w:val="0"/>
          <w:numId w:val="129"/>
        </w:numPr>
      </w:pPr>
      <w:r>
        <w:rPr>
          <w:rFonts w:hint="eastAsia"/>
        </w:rPr>
        <w:t>前期会计差错更正</w:t>
      </w:r>
    </w:p>
    <w:sdt>
      <w:sdtPr>
        <w:rPr>
          <w:rFonts w:hint="eastAsia" w:ascii="宋体" w:hAnsi="宋体" w:eastAsia="宋体" w:cs="宋体"/>
          <w:b w:val="0"/>
          <w:bCs w:val="0"/>
          <w:kern w:val="0"/>
          <w:szCs w:val="21"/>
        </w:rPr>
        <w:alias w:val="模块:会计差错更正(追溯重述)"/>
        <w:tag w:val="_SEC_4c087918288648c6a9deb057067a9fc5"/>
        <w:id w:val="43773027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0"/>
            </w:numPr>
            <w:ind w:left="424" w:hanging="424" w:hangingChars="202"/>
          </w:pPr>
          <w:r>
            <w:rPr>
              <w:rFonts w:hint="eastAsia"/>
            </w:rPr>
            <w:t>追溯重述法</w:t>
          </w:r>
        </w:p>
        <w:sdt>
          <w:sdtPr>
            <w:rPr>
              <w:rFonts w:hint="eastAsia"/>
              <w:szCs w:val="21"/>
            </w:rPr>
            <w:alias w:val="是否适用：追溯重述法[双击切换]"/>
            <w:tag w:val="_GBC_19d462bfe01047cd87b083dddf885193"/>
            <w:id w:val="-1270694989"/>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p/>
          </w:sdtContent>
        </w:sdt>
      </w:sdtContent>
    </w:sdt>
    <w:sdt>
      <w:sdtPr>
        <w:rPr>
          <w:rFonts w:hint="eastAsia" w:ascii="宋体" w:hAnsi="宋体" w:eastAsia="宋体" w:cs="宋体"/>
          <w:b w:val="0"/>
          <w:bCs w:val="0"/>
          <w:kern w:val="0"/>
          <w:szCs w:val="24"/>
        </w:rPr>
        <w:alias w:val="模块:未来适用法本报告期是否发现采用未来适用法的前期会计差错：（..."/>
        <w:tag w:val="_SEC_77642b56d283484890d54c9ec194b354"/>
        <w:id w:val="185630969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0"/>
            </w:numPr>
            <w:ind w:left="424" w:hanging="424" w:hangingChars="202"/>
          </w:pPr>
          <w:r>
            <w:rPr>
              <w:rFonts w:hint="eastAsia"/>
            </w:rPr>
            <w:t>未来适用法</w:t>
          </w:r>
        </w:p>
        <w:sdt>
          <w:sdtPr>
            <w:alias w:val="是否适用：未来适用法[双击切换]"/>
            <w:tag w:val="_GBC_6fd6421ddf524335aa8fac02bc322e70"/>
            <w:id w:val="-21559065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p/>
          </w:sdtContent>
        </w:sdt>
      </w:sdtContent>
    </w:sdt>
    <w:sdt>
      <w:sdtPr>
        <w:rPr>
          <w:rFonts w:hint="eastAsia" w:ascii="宋体" w:hAnsi="宋体" w:cs="宋体"/>
          <w:b w:val="0"/>
          <w:bCs w:val="0"/>
          <w:kern w:val="0"/>
          <w:szCs w:val="24"/>
        </w:rPr>
        <w:alias w:val="模块:债务重组"/>
        <w:tag w:val="_SEC_010853a024e74ff2955558ced7301626"/>
        <w:id w:val="-1368514774"/>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114"/>
            <w:numPr>
              <w:ilvl w:val="0"/>
              <w:numId w:val="129"/>
            </w:numPr>
          </w:pPr>
          <w:r>
            <w:rPr>
              <w:rFonts w:hint="eastAsia"/>
            </w:rPr>
            <w:t>债务重组</w:t>
          </w:r>
        </w:p>
        <w:sdt>
          <w:sdtPr>
            <w:alias w:val="是否适用：债务重组[双击切换]"/>
            <w:tag w:val="_GBC_1697accce6f645f7a5b19e8e900eb26c"/>
            <w:id w:val="-1167402836"/>
            <w:lock w:val="sdtLocked"/>
            <w:placeholder>
              <w:docPart w:val="GBC22222222222222222222222222222"/>
            </w:placeholder>
          </w:sdtPr>
          <w:sdtContent>
            <w:p>
              <w:pPr>
                <w:rPr>
                  <w:rStyle w:val="286"/>
                  <w:rFonts w:hint="default" w:ascii="Times New Roman" w:hAnsi="Times New Roman"/>
                  <w:sz w:val="21"/>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Content>
    </w:sdt>
    <w:p>
      <w:pPr>
        <w:pStyle w:val="114"/>
        <w:numPr>
          <w:ilvl w:val="0"/>
          <w:numId w:val="129"/>
        </w:numPr>
      </w:pPr>
      <w:r>
        <w:rPr>
          <w:rFonts w:hint="eastAsia"/>
        </w:rPr>
        <w:t>资产置换</w:t>
      </w:r>
    </w:p>
    <w:sdt>
      <w:sdtPr>
        <w:rPr>
          <w:rFonts w:hint="eastAsia" w:ascii="宋体" w:hAnsi="宋体" w:eastAsia="宋体" w:cs="宋体"/>
          <w:b w:val="0"/>
          <w:bCs w:val="0"/>
          <w:kern w:val="0"/>
          <w:szCs w:val="24"/>
        </w:rPr>
        <w:alias w:val="模块:非货币性资产交换"/>
        <w:tag w:val="_SEC_a959a47edc2446e5acfd29b49364046c"/>
        <w:id w:val="726647440"/>
        <w:lock w:val="sdtLocked"/>
        <w:placeholder>
          <w:docPart w:val="GBC22222222222222222222222222222"/>
        </w:placeholder>
      </w:sdtPr>
      <w:sdtEndPr>
        <w:rPr>
          <w:rFonts w:hint="eastAsia" w:eastAsia="宋体" w:asciiTheme="minorHAnsi" w:hAnsiTheme="minorHAnsi" w:cstheme="minorBidi"/>
          <w:b w:val="0"/>
          <w:bCs w:val="0"/>
          <w:kern w:val="0"/>
          <w:szCs w:val="21"/>
        </w:rPr>
      </w:sdtEndPr>
      <w:sdtContent>
        <w:p>
          <w:pPr>
            <w:pStyle w:val="115"/>
            <w:numPr>
              <w:ilvl w:val="3"/>
              <w:numId w:val="131"/>
            </w:numPr>
            <w:ind w:left="424" w:hanging="424" w:hangingChars="202"/>
          </w:pPr>
          <w:r>
            <w:rPr>
              <w:rFonts w:hint="eastAsia"/>
            </w:rPr>
            <w:t>非货币性资产交换</w:t>
          </w:r>
        </w:p>
        <w:sdt>
          <w:sdtPr>
            <w:rPr>
              <w:rFonts w:hint="eastAsia"/>
              <w:szCs w:val="21"/>
            </w:rPr>
            <w:alias w:val="是否适用：非货币性资产交换[双击切换]"/>
            <w:tag w:val="_GBC_480975ada702478dae8a1468d6e0c3cd"/>
            <w:id w:val="-866369292"/>
            <w:lock w:val="sdtLocked"/>
            <w:placeholder>
              <w:docPart w:val="GBC22222222222222222222222222222"/>
            </w:placeholder>
          </w:sdtPr>
          <w:sdtEndPr>
            <w:rPr>
              <w:rFonts w:hint="eastAsia"/>
              <w:szCs w:val="21"/>
            </w:rPr>
          </w:sdtEndPr>
          <w:sdtContent>
            <w:p>
              <w:pPr>
                <w:spacing w:line="360" w:lineRule="exact"/>
                <w:ind w:right="5"/>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其他资产置换资产说明"/>
        <w:tag w:val="_SEC_1d69b9d18d514fd19619562c4673a46d"/>
        <w:id w:val="-420488145"/>
        <w:lock w:val="sdtLocked"/>
        <w:placeholder>
          <w:docPart w:val="GBC22222222222222222222222222222"/>
        </w:placeholder>
      </w:sdtPr>
      <w:sdtEndPr>
        <w:rPr>
          <w:rFonts w:hint="eastAsia" w:eastAsia="宋体" w:asciiTheme="minorHAnsi" w:hAnsiTheme="minorHAnsi" w:cstheme="minorBidi"/>
          <w:b w:val="0"/>
          <w:bCs w:val="0"/>
          <w:kern w:val="0"/>
          <w:szCs w:val="24"/>
        </w:rPr>
      </w:sdtEndPr>
      <w:sdtContent>
        <w:p>
          <w:pPr>
            <w:pStyle w:val="115"/>
            <w:numPr>
              <w:ilvl w:val="3"/>
              <w:numId w:val="131"/>
            </w:numPr>
            <w:ind w:left="424" w:hanging="424" w:hangingChars="202"/>
          </w:pPr>
          <w:r>
            <w:rPr>
              <w:rFonts w:hint="eastAsia"/>
            </w:rPr>
            <w:t>其他资产置换</w:t>
          </w:r>
        </w:p>
        <w:sdt>
          <w:sdtPr>
            <w:rPr>
              <w:rFonts w:hint="eastAsia"/>
              <w:szCs w:val="21"/>
            </w:rPr>
            <w:alias w:val="是否适用：其他资产置换[双击切换]"/>
            <w:tag w:val="_GBC_d4d75cf02549483681739e6eb10910ff"/>
            <w:id w:val="173304777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宋体" w:hAnsi="宋体" w:cs="宋体"/>
          <w:b w:val="0"/>
          <w:bCs w:val="0"/>
          <w:kern w:val="0"/>
          <w:szCs w:val="24"/>
        </w:rPr>
        <w:alias w:val="模块:年金计划主要内容及重大变化"/>
        <w:tag w:val="_SEC_e99af52cf73147c3943e3f4044942350"/>
        <w:id w:val="1532680519"/>
        <w:lock w:val="sdtLocked"/>
        <w:placeholder>
          <w:docPart w:val="GBC22222222222222222222222222222"/>
        </w:placeholder>
      </w:sdtPr>
      <w:sdtEndPr>
        <w:rPr>
          <w:rFonts w:hint="eastAsia" w:asciiTheme="minorHAnsi" w:hAnsiTheme="minorHAnsi" w:eastAsiaTheme="minorEastAsia" w:cstheme="minorBidi"/>
          <w:b w:val="0"/>
          <w:bCs w:val="0"/>
          <w:kern w:val="0"/>
          <w:szCs w:val="21"/>
        </w:rPr>
      </w:sdtEndPr>
      <w:sdtContent>
        <w:p>
          <w:pPr>
            <w:pStyle w:val="114"/>
            <w:numPr>
              <w:ilvl w:val="0"/>
              <w:numId w:val="129"/>
            </w:numPr>
          </w:pPr>
          <w:r>
            <w:rPr>
              <w:rFonts w:hint="eastAsia"/>
            </w:rPr>
            <w:t>年金计划</w:t>
          </w:r>
        </w:p>
        <w:sdt>
          <w:sdtPr>
            <w:alias w:val="是否适用：年金计划[双击切换]"/>
            <w:tag w:val="_GBC_7abcd6901bc848d8b58391e0ddd63034"/>
            <w:id w:val="1331646230"/>
            <w:lock w:val="sdtLocked"/>
            <w:placeholder>
              <w:docPart w:val="GBC22222222222222222222222222222"/>
            </w:placeholder>
          </w:sdtPr>
          <w:sdtContent>
            <w:p>
              <w:pPr>
                <w:rPr>
                  <w:rFonts w:asciiTheme="minorHAnsi" w:hAnsiTheme="minorHAnsi" w:eastAsiaTheme="minorEastAsia" w:cstheme="minorBidi"/>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rPr>
          <w:szCs w:val="21"/>
        </w:rPr>
      </w:pPr>
    </w:p>
    <w:sdt>
      <w:sdtPr>
        <w:rPr>
          <w:rFonts w:hint="eastAsia" w:ascii="宋体" w:hAnsi="宋体" w:cs="宋体"/>
          <w:b w:val="0"/>
          <w:bCs w:val="0"/>
          <w:kern w:val="0"/>
          <w:szCs w:val="21"/>
        </w:rPr>
        <w:alias w:val="模块:终止经营"/>
        <w:tag w:val="_SEC_83c382ff9499445b86fea4e0e1e5715d"/>
        <w:id w:val="-1949613805"/>
        <w:lock w:val="sdtLocked"/>
        <w:placeholder>
          <w:docPart w:val="GBC22222222222222222222222222222"/>
        </w:placeholder>
      </w:sdtPr>
      <w:sdtEndPr>
        <w:rPr>
          <w:rFonts w:hint="eastAsia" w:ascii="宋体" w:hAnsi="宋体" w:cstheme="minorBidi"/>
          <w:b w:val="0"/>
          <w:bCs w:val="0"/>
          <w:kern w:val="2"/>
          <w:szCs w:val="21"/>
        </w:rPr>
      </w:sdtEndPr>
      <w:sdtContent>
        <w:p>
          <w:pPr>
            <w:pStyle w:val="114"/>
            <w:numPr>
              <w:ilvl w:val="0"/>
              <w:numId w:val="129"/>
            </w:numPr>
            <w:rPr>
              <w:rFonts w:ascii="宋体" w:hAnsi="宋体"/>
              <w:szCs w:val="21"/>
            </w:rPr>
          </w:pPr>
          <w:r>
            <w:rPr>
              <w:rFonts w:hint="eastAsia" w:ascii="宋体" w:hAnsi="宋体"/>
              <w:szCs w:val="21"/>
            </w:rPr>
            <w:t>终止经营</w:t>
          </w:r>
        </w:p>
        <w:p>
          <w:pPr>
            <w:rPr>
              <w:rFonts w:cstheme="minorBidi"/>
              <w:kern w:val="2"/>
              <w:szCs w:val="21"/>
            </w:rPr>
          </w:pPr>
          <w:sdt>
            <w:sdtPr>
              <w:alias w:val="是否适用：终止经营[双击切换]"/>
              <w:tag w:val="_GBC_667e81a5639a48488e957a55e45c7763"/>
              <w:id w:val="-703561603"/>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rPr>
              <w:rFonts w:cstheme="minorBidi"/>
              <w:kern w:val="2"/>
              <w:szCs w:val="21"/>
            </w:rPr>
          </w:pPr>
        </w:p>
      </w:sdtContent>
    </w:sdt>
    <w:p>
      <w:pPr>
        <w:pStyle w:val="114"/>
        <w:numPr>
          <w:ilvl w:val="0"/>
          <w:numId w:val="129"/>
        </w:numPr>
        <w:rPr>
          <w:rFonts w:ascii="宋体" w:hAnsi="宋体"/>
          <w:szCs w:val="21"/>
        </w:rPr>
      </w:pPr>
      <w:r>
        <w:rPr>
          <w:rFonts w:hint="eastAsia" w:ascii="宋体" w:hAnsi="宋体"/>
          <w:szCs w:val="21"/>
        </w:rPr>
        <w:t>分部信息</w:t>
      </w:r>
    </w:p>
    <w:sdt>
      <w:sdtPr>
        <w:rPr>
          <w:rFonts w:hint="eastAsia" w:ascii="宋体" w:hAnsi="宋体" w:eastAsia="宋体" w:cs="宋体"/>
          <w:b w:val="0"/>
          <w:bCs w:val="0"/>
          <w:kern w:val="0"/>
          <w:szCs w:val="24"/>
        </w:rPr>
        <w:alias w:val="模块:分部信息报告分部的确定依据与会计政策"/>
        <w:tag w:val="_SEC_dfc3b46bd4f54afdb4c7d8f4cdf9baf2"/>
        <w:id w:val="-1792281147"/>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3"/>
              <w:numId w:val="132"/>
            </w:numPr>
            <w:ind w:left="424" w:hanging="424" w:hangingChars="202"/>
          </w:pPr>
          <w:r>
            <w:rPr>
              <w:rFonts w:hint="eastAsia"/>
            </w:rPr>
            <w:t>报告分部的确定依据与会计政策</w:t>
          </w:r>
        </w:p>
        <w:sdt>
          <w:sdtPr>
            <w:rPr>
              <w:rFonts w:hint="eastAsia"/>
              <w:szCs w:val="21"/>
            </w:rPr>
            <w:alias w:val="是否适用：报告分部的确定依据与会计政策[双击切换]"/>
            <w:tag w:val="_GBC_b3cac5485321452cadb6e7ec2be5d907"/>
            <w:id w:val="-1229456548"/>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报告分部的确定依据与会计政策"/>
            <w:tag w:val="_GBC_93ce2d8a1bb34f5498420754de576c4b"/>
            <w:id w:val="1682853322"/>
            <w:lock w:val="sdtLocked"/>
            <w:placeholder>
              <w:docPart w:val="GBC22222222222222222222222222222"/>
            </w:placeholder>
          </w:sdtPr>
          <w:sdtEndPr>
            <w:rPr>
              <w:szCs w:val="21"/>
            </w:rPr>
          </w:sdtEndPr>
          <w:sdtContent>
            <w:p>
              <w:pPr>
                <w:pStyle w:val="129"/>
                <w:adjustRightInd w:val="0"/>
                <w:snapToGrid w:val="0"/>
                <w:spacing w:line="360" w:lineRule="auto"/>
                <w:ind w:firstLine="420" w:firstLineChars="200"/>
                <w:rPr>
                  <w:szCs w:val="21"/>
                </w:rPr>
              </w:pPr>
              <w:r>
                <w:rPr>
                  <w:rFonts w:hint="eastAsia"/>
                  <w:b/>
                  <w:szCs w:val="21"/>
                </w:rPr>
                <w:t>a.</w:t>
              </w:r>
              <w:r>
                <w:rPr>
                  <w:rFonts w:hint="eastAsia"/>
                  <w:b/>
                </w:rPr>
                <w:t>报告分部的确定依据与会计政策</w:t>
              </w:r>
            </w:p>
            <w:p>
              <w:pPr>
                <w:pStyle w:val="129"/>
                <w:adjustRightInd w:val="0"/>
                <w:snapToGrid w:val="0"/>
                <w:spacing w:line="360" w:lineRule="auto"/>
                <w:ind w:firstLine="420" w:firstLineChars="200"/>
                <w:rPr>
                  <w:rFonts w:ascii="Times New Roman" w:hAnsi="Times New Roman"/>
                </w:rPr>
              </w:pPr>
              <w:r>
                <w:rPr>
                  <w:rFonts w:hAnsi="宋体"/>
                </w:rPr>
                <w:t>本公司以内部组织结构、管理要求、内部报告制度为依据确定经营分部。本公司的经营分部是指同时满足下列条件的组成部分：</w:t>
              </w:r>
            </w:p>
            <w:p>
              <w:pPr>
                <w:pStyle w:val="129"/>
                <w:adjustRightInd w:val="0"/>
                <w:snapToGrid w:val="0"/>
                <w:spacing w:line="360" w:lineRule="auto"/>
                <w:ind w:firstLine="420" w:firstLineChars="200"/>
                <w:rPr>
                  <w:rFonts w:ascii="Times New Roman" w:hAnsi="Times New Roman"/>
                </w:rPr>
              </w:pPr>
              <w:r>
                <w:rPr>
                  <w:rFonts w:hAnsi="宋体"/>
                </w:rPr>
                <w:t>该组成部分能够在日常活动中产生收入、发生费用；</w:t>
              </w:r>
            </w:p>
            <w:p>
              <w:pPr>
                <w:pStyle w:val="129"/>
                <w:adjustRightInd w:val="0"/>
                <w:snapToGrid w:val="0"/>
                <w:spacing w:line="360" w:lineRule="auto"/>
                <w:ind w:firstLine="420" w:firstLineChars="200"/>
                <w:rPr>
                  <w:rFonts w:ascii="Times New Roman" w:hAnsi="Times New Roman"/>
                </w:rPr>
              </w:pPr>
              <w:r>
                <w:rPr>
                  <w:rFonts w:hAnsi="宋体"/>
                </w:rPr>
                <w:t>管理层能够定期评价该组成部分的经营成果，以决定向其配置资源、评价其业绩；</w:t>
              </w:r>
            </w:p>
            <w:p>
              <w:pPr>
                <w:pStyle w:val="129"/>
                <w:adjustRightInd w:val="0"/>
                <w:snapToGrid w:val="0"/>
                <w:spacing w:line="360" w:lineRule="auto"/>
                <w:ind w:firstLine="420" w:firstLineChars="200"/>
                <w:rPr>
                  <w:rFonts w:ascii="Times New Roman" w:hAnsi="Times New Roman"/>
                </w:rPr>
              </w:pPr>
              <w:r>
                <w:rPr>
                  <w:rFonts w:hAnsi="宋体"/>
                </w:rPr>
                <w:t>能够取得该组成部分的财务状况、经营成果和现金流量等有关会计信息。</w:t>
              </w:r>
            </w:p>
            <w:p>
              <w:pPr>
                <w:pStyle w:val="129"/>
                <w:adjustRightInd w:val="0"/>
                <w:snapToGrid w:val="0"/>
                <w:spacing w:line="360" w:lineRule="auto"/>
                <w:ind w:firstLine="420" w:firstLineChars="200"/>
                <w:rPr>
                  <w:rFonts w:ascii="Times New Roman" w:hAnsi="Times New Roman"/>
                </w:rPr>
              </w:pPr>
              <w:r>
                <w:rPr>
                  <w:rFonts w:hAnsi="宋体"/>
                </w:rPr>
                <w:t>本公司以经营分部为基础确定报告分部，满足下列条件之一的经营分部确定为报告分部：</w:t>
              </w:r>
            </w:p>
            <w:p>
              <w:pPr>
                <w:pStyle w:val="129"/>
                <w:adjustRightInd w:val="0"/>
                <w:snapToGrid w:val="0"/>
                <w:spacing w:line="360" w:lineRule="auto"/>
                <w:ind w:firstLine="420" w:firstLineChars="200"/>
                <w:rPr>
                  <w:rFonts w:ascii="Times New Roman" w:hAnsi="Times New Roman"/>
                </w:rPr>
              </w:pPr>
              <w:r>
                <w:rPr>
                  <w:rFonts w:hAnsi="宋体"/>
                </w:rPr>
                <w:t>该经营分部的分部收入占所有分部收入合计的</w:t>
              </w:r>
              <w:r>
                <w:rPr>
                  <w:rFonts w:ascii="Times New Roman" w:hAnsi="Times New Roman"/>
                </w:rPr>
                <w:t>10%</w:t>
              </w:r>
              <w:r>
                <w:rPr>
                  <w:rFonts w:hAnsi="宋体"/>
                </w:rPr>
                <w:t>或者以上；</w:t>
              </w:r>
            </w:p>
            <w:p>
              <w:pPr>
                <w:pStyle w:val="129"/>
                <w:adjustRightInd w:val="0"/>
                <w:snapToGrid w:val="0"/>
                <w:spacing w:line="360" w:lineRule="auto"/>
                <w:ind w:firstLine="420" w:firstLineChars="200"/>
                <w:rPr>
                  <w:rFonts w:ascii="Times New Roman" w:hAnsi="Times New Roman"/>
                </w:rPr>
              </w:pPr>
              <w:r>
                <w:rPr>
                  <w:rFonts w:hAnsi="宋体"/>
                </w:rPr>
                <w:t>该分部的分部利润（亏损）的绝对额，占所有盈利分部利润合计额或者所有亏损分部亏损合计额的绝对额两者中较大者的</w:t>
              </w:r>
              <w:r>
                <w:rPr>
                  <w:rFonts w:ascii="Times New Roman" w:hAnsi="Times New Roman"/>
                </w:rPr>
                <w:t>10%</w:t>
              </w:r>
              <w:r>
                <w:rPr>
                  <w:rFonts w:hAnsi="宋体"/>
                </w:rPr>
                <w:t>或者以上。</w:t>
              </w:r>
            </w:p>
            <w:p>
              <w:pPr>
                <w:pStyle w:val="129"/>
                <w:adjustRightInd w:val="0"/>
                <w:snapToGrid w:val="0"/>
                <w:spacing w:line="360" w:lineRule="auto"/>
                <w:ind w:firstLine="420" w:firstLineChars="200"/>
                <w:rPr>
                  <w:rFonts w:ascii="Times New Roman" w:hAnsi="Times New Roman"/>
                </w:rPr>
              </w:pPr>
              <w:r>
                <w:rPr>
                  <w:rFonts w:hAnsi="宋体"/>
                </w:rPr>
                <w:t>按上述会计政策确定的报告分部的经营分部的对外交易收入合计额占合并总收入的比重未达到</w:t>
              </w:r>
              <w:r>
                <w:rPr>
                  <w:rFonts w:ascii="Times New Roman" w:hAnsi="Times New Roman"/>
                </w:rPr>
                <w:t>75%</w:t>
              </w:r>
              <w:r>
                <w:rPr>
                  <w:rFonts w:hAnsi="宋体"/>
                </w:rPr>
                <w:t>时，增加报告分部的数量，按下述规定将其他未作为报告分部的经营分部纳入报告分部的范围，直到该比重达到</w:t>
              </w:r>
              <w:r>
                <w:rPr>
                  <w:rFonts w:ascii="Times New Roman" w:hAnsi="Times New Roman"/>
                </w:rPr>
                <w:t>75%</w:t>
              </w:r>
              <w:r>
                <w:rPr>
                  <w:rFonts w:hAnsi="宋体"/>
                </w:rPr>
                <w:t>：</w:t>
              </w:r>
            </w:p>
            <w:p>
              <w:pPr>
                <w:pStyle w:val="129"/>
                <w:adjustRightInd w:val="0"/>
                <w:snapToGrid w:val="0"/>
                <w:spacing w:line="360" w:lineRule="auto"/>
                <w:ind w:firstLine="420" w:firstLineChars="200"/>
                <w:rPr>
                  <w:rFonts w:ascii="Times New Roman" w:hAnsi="Times New Roman"/>
                </w:rPr>
              </w:pPr>
              <w:r>
                <w:rPr>
                  <w:rFonts w:hAnsi="宋体"/>
                </w:rPr>
                <w:t>将管理层认为披露该经营分部信息对会计信息使用者有用的经营分部确定为报告分部；</w:t>
              </w:r>
            </w:p>
            <w:p>
              <w:pPr>
                <w:pStyle w:val="129"/>
                <w:adjustRightInd w:val="0"/>
                <w:snapToGrid w:val="0"/>
                <w:spacing w:line="360" w:lineRule="auto"/>
                <w:ind w:firstLine="420" w:firstLineChars="200"/>
                <w:rPr>
                  <w:rFonts w:ascii="Times New Roman" w:hAnsi="Times New Roman"/>
                </w:rPr>
              </w:pPr>
              <w:r>
                <w:rPr>
                  <w:rFonts w:hAnsi="宋体"/>
                </w:rPr>
                <w:t>将该经营分部与一个或一个以上的具有相似经济特征、满足经营分部合并条件的其他经营分部合并，作为一个报告分部。</w:t>
              </w:r>
            </w:p>
            <w:p>
              <w:pPr>
                <w:pStyle w:val="129"/>
                <w:adjustRightInd w:val="0"/>
                <w:snapToGrid w:val="0"/>
                <w:spacing w:line="360" w:lineRule="auto"/>
                <w:ind w:firstLine="420" w:firstLineChars="200"/>
                <w:rPr>
                  <w:rFonts w:hAnsi="宋体"/>
                </w:rPr>
              </w:pPr>
              <w:r>
                <w:rPr>
                  <w:rFonts w:hAnsi="宋体"/>
                </w:rPr>
                <w:t>分部间转移价格参照市场价格确定，与各分部共同使用的资产、相关的费用按照收入比例在不同的分部之间分配。</w:t>
              </w:r>
            </w:p>
            <w:p>
              <w:pPr>
                <w:pStyle w:val="20"/>
                <w:adjustRightInd w:val="0"/>
                <w:snapToGrid w:val="0"/>
                <w:spacing w:line="360" w:lineRule="auto"/>
                <w:ind w:firstLine="422" w:firstLineChars="200"/>
                <w:rPr>
                  <w:rFonts w:hAnsi="宋体"/>
                  <w:b/>
                </w:rPr>
              </w:pPr>
              <w:r>
                <w:rPr>
                  <w:rFonts w:hint="eastAsia" w:hAnsi="宋体"/>
                  <w:b/>
                </w:rPr>
                <w:t>b.本公司确定报告分部考虑的因素、报告分部的产品和劳务的类型</w:t>
              </w:r>
            </w:p>
            <w:p>
              <w:pPr>
                <w:pStyle w:val="20"/>
                <w:adjustRightInd w:val="0"/>
                <w:snapToGrid w:val="0"/>
                <w:spacing w:line="360" w:lineRule="auto"/>
                <w:ind w:firstLine="420" w:firstLineChars="200"/>
                <w:rPr>
                  <w:rFonts w:ascii="Times New Roman" w:hAnsi="Times New Roman"/>
                </w:rPr>
              </w:pPr>
              <w:r>
                <w:rPr>
                  <w:rFonts w:hAnsi="宋体"/>
                </w:rPr>
                <w:t>公司以内部组织结构、管理要求、内部报告制度等为依据确定报告分部，并以产品分部为基础确定报告分部。由于各种业务需要不同的技术和市场战略，因此本公司分别独立管理各个报告分部的生产经营活动，分别评价其经营成果，以决定向其配置资源、评价其业绩。</w:t>
              </w:r>
            </w:p>
            <w:p>
              <w:pPr>
                <w:pStyle w:val="20"/>
                <w:adjustRightInd w:val="0"/>
                <w:snapToGrid w:val="0"/>
                <w:spacing w:line="360" w:lineRule="auto"/>
                <w:ind w:firstLine="420" w:firstLineChars="200"/>
                <w:rPr>
                  <w:rFonts w:ascii="Times New Roman" w:hAnsi="Times New Roman"/>
                </w:rPr>
              </w:pPr>
              <w:r>
                <w:rPr>
                  <w:rFonts w:hAnsi="宋体"/>
                </w:rPr>
                <w:t>本公司有</w:t>
              </w:r>
              <w:r>
                <w:rPr>
                  <w:rFonts w:ascii="Times New Roman" w:hAnsi="Times New Roman"/>
                </w:rPr>
                <w:t>4</w:t>
              </w:r>
              <w:r>
                <w:rPr>
                  <w:rFonts w:hAnsi="宋体"/>
                </w:rPr>
                <w:t>个报告分部：摩通业务分部</w:t>
              </w:r>
              <w:r>
                <w:rPr>
                  <w:rFonts w:hint="eastAsia" w:hAnsi="宋体"/>
                </w:rPr>
                <w:t>、</w:t>
              </w:r>
              <w:r>
                <w:rPr>
                  <w:rFonts w:hAnsi="宋体"/>
                </w:rPr>
                <w:t>汽车业务分部、地产</w:t>
              </w:r>
              <w:r>
                <w:rPr>
                  <w:rFonts w:hint="eastAsia" w:hAnsi="宋体"/>
                </w:rPr>
                <w:t>业务</w:t>
              </w:r>
              <w:r>
                <w:rPr>
                  <w:rFonts w:hAnsi="宋体"/>
                </w:rPr>
                <w:t>分部</w:t>
              </w:r>
              <w:r>
                <w:rPr>
                  <w:rFonts w:hint="eastAsia" w:hAnsi="宋体"/>
                </w:rPr>
                <w:t>、</w:t>
              </w:r>
              <w:r>
                <w:rPr>
                  <w:rFonts w:hAnsi="宋体"/>
                </w:rPr>
                <w:t>其他业务分部。</w:t>
              </w:r>
            </w:p>
          </w:sdtContent>
        </w:sdt>
        <w:p>
          <w:pPr>
            <w:rPr>
              <w:szCs w:val="21"/>
            </w:rPr>
          </w:pPr>
        </w:p>
      </w:sdtContent>
    </w:sdt>
    <w:sdt>
      <w:sdtPr>
        <w:rPr>
          <w:rFonts w:hint="eastAsia" w:ascii="宋体" w:hAnsi="宋体" w:eastAsia="宋体" w:cs="宋体"/>
          <w:b w:val="0"/>
          <w:bCs w:val="0"/>
          <w:kern w:val="0"/>
          <w:szCs w:val="24"/>
        </w:rPr>
        <w:alias w:val="模块:报告分部的财务信息"/>
        <w:tag w:val="_SEC_c88228a13efc40bf8facbaa3643e4cb3"/>
        <w:id w:val="-718286852"/>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3"/>
              <w:numId w:val="132"/>
            </w:numPr>
            <w:ind w:left="424" w:hanging="424" w:hangingChars="202"/>
          </w:pPr>
          <w:r>
            <w:rPr>
              <w:rFonts w:hint="eastAsia"/>
            </w:rPr>
            <w:t>报告分部的财务信息</w:t>
          </w:r>
        </w:p>
        <w:sdt>
          <w:sdtPr>
            <w:rPr>
              <w:rFonts w:hint="eastAsia" w:ascii="宋体" w:hAnsi="宋体"/>
              <w:szCs w:val="21"/>
            </w:rPr>
            <w:alias w:val="是否适用：报告分部的财务信息[双击切换]"/>
            <w:tag w:val="_GBC_560c7b592f324714b8c87339e43684af"/>
            <w:id w:val="-456410962"/>
            <w:lock w:val="sdtLocked"/>
            <w:placeholder>
              <w:docPart w:val="GBC22222222222222222222222222222"/>
            </w:placeholder>
          </w:sdtPr>
          <w:sdtEndPr>
            <w:rPr>
              <w:rFonts w:hint="eastAsia" w:ascii="宋体" w:hAnsi="宋体"/>
              <w:szCs w:val="21"/>
            </w:rPr>
          </w:sdtEndPr>
          <w:sdtContent>
            <w:p>
              <w:pPr>
                <w:pStyle w:val="158"/>
                <w:ind w:firstLine="0" w:firstLineChars="0"/>
                <w:jc w:val="left"/>
                <w:rPr>
                  <w:rFonts w:ascii="宋体" w:hAnsi="宋体"/>
                  <w:szCs w:val="21"/>
                </w:rPr>
              </w:pPr>
              <w:r>
                <w:rPr>
                  <w:rFonts w:ascii="宋体" w:hAnsi="宋体"/>
                  <w:szCs w:val="21"/>
                </w:rPr>
                <w:fldChar w:fldCharType="begin"/>
              </w:r>
              <w:r>
                <w:rPr>
                  <w:rFonts w:ascii="宋体" w:hAnsi="宋体"/>
                  <w:szCs w:val="21"/>
                </w:rPr>
                <w:instrText xml:space="preserve">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pPr>
            <w:pStyle w:val="158"/>
            <w:ind w:firstLine="0" w:firstLineChars="0"/>
            <w:jc w:val="right"/>
            <w:rPr>
              <w:rFonts w:ascii="宋体" w:hAnsi="宋体"/>
              <w:szCs w:val="21"/>
            </w:rPr>
          </w:pPr>
          <w:r>
            <w:rPr>
              <w:rFonts w:hint="eastAsia" w:ascii="宋体" w:hAnsi="宋体"/>
              <w:szCs w:val="21"/>
            </w:rPr>
            <w:t>单位：</w:t>
          </w:r>
          <w:sdt>
            <w:sdtPr>
              <w:rPr>
                <w:rFonts w:hint="eastAsia" w:ascii="宋体" w:hAnsi="宋体"/>
                <w:szCs w:val="21"/>
              </w:rPr>
              <w:alias w:val="单位：财务附注：报告分部的财务信息"/>
              <w:tag w:val="_GBC_7605447fe81f42cb8fddf03d31f4d9f1"/>
              <w:id w:val="155318602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szCs w:val="21"/>
              </w:rPr>
            </w:sdtEndPr>
            <w:sdtContent>
              <w:r>
                <w:rPr>
                  <w:rFonts w:hint="eastAsia" w:ascii="宋体" w:hAnsi="宋体"/>
                  <w:szCs w:val="21"/>
                </w:rPr>
                <w:t>万元</w:t>
              </w:r>
            </w:sdtContent>
          </w:sdt>
          <w:r>
            <w:rPr>
              <w:rFonts w:hint="eastAsia" w:ascii="宋体" w:hAnsi="宋体"/>
              <w:szCs w:val="21"/>
            </w:rPr>
            <w:t xml:space="preserve">  币种：</w:t>
          </w:r>
          <w:sdt>
            <w:sdtPr>
              <w:rPr>
                <w:rFonts w:hint="eastAsia" w:ascii="宋体" w:hAnsi="宋体"/>
                <w:szCs w:val="21"/>
              </w:rPr>
              <w:alias w:val="币种：财务附注：报告分部的财务信息"/>
              <w:tag w:val="_GBC_91822203e5c047ed9e288f2f546dc41a"/>
              <w:id w:val="-361286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szCs w:val="21"/>
              </w:rPr>
            </w:sdtEndPr>
            <w:sdtContent>
              <w:r>
                <w:rPr>
                  <w:rFonts w:hint="eastAsia" w:ascii="宋体" w:hAnsi="宋体"/>
                  <w:szCs w:val="21"/>
                </w:rPr>
                <w:t>人民币</w:t>
              </w:r>
            </w:sdtContent>
          </w:sdt>
        </w:p>
        <w:tbl>
          <w:tblPr>
            <w:tblStyle w:val="110"/>
            <w:tblW w:w="5300"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266"/>
            <w:gridCol w:w="1266"/>
            <w:gridCol w:w="1266"/>
            <w:gridCol w:w="1476"/>
            <w:gridCol w:w="1476"/>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bb9bb00490c4a64b03d36d56a7709e9"/>
                <w:id w:val="-1866210183"/>
                <w:lock w:val="sdtLocked"/>
              </w:sdtPr>
              <w:sdtContent>
                <w:tc>
                  <w:tcPr>
                    <w:tcW w:w="55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rPr>
                  <w:szCs w:val="21"/>
                </w:rPr>
                <w:alias w:val="分部报告科目名称"/>
                <w:tag w:val="_GBC_d1aef1f6815f4feea7e8db1d0cd6557a"/>
                <w:id w:val="1534378817"/>
                <w:lock w:val="sdtLocked"/>
              </w:sdtPr>
              <w:sdtEndPr>
                <w:rPr>
                  <w:szCs w:val="21"/>
                </w:rPr>
              </w:sdtEndPr>
              <w:sdtContent>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摩通业务</w:t>
                    </w:r>
                  </w:p>
                </w:tc>
              </w:sdtContent>
            </w:sdt>
            <w:sdt>
              <w:sdtPr>
                <w:rPr>
                  <w:szCs w:val="21"/>
                </w:rPr>
                <w:alias w:val="分部报告科目名称"/>
                <w:tag w:val="_GBC_d1aef1f6815f4feea7e8db1d0cd6557a"/>
                <w:id w:val="209233617"/>
                <w:lock w:val="sdtLocked"/>
              </w:sdtPr>
              <w:sdtEndPr>
                <w:rPr>
                  <w:szCs w:val="21"/>
                </w:rPr>
              </w:sdtEndPr>
              <w:sdtContent>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汽车业务</w:t>
                    </w:r>
                  </w:p>
                </w:tc>
              </w:sdtContent>
            </w:sdt>
            <w:sdt>
              <w:sdtPr>
                <w:rPr>
                  <w:szCs w:val="21"/>
                </w:rPr>
                <w:alias w:val="分部报告科目名称"/>
                <w:tag w:val="_GBC_d1aef1f6815f4feea7e8db1d0cd6557a"/>
                <w:id w:val="46423099"/>
                <w:lock w:val="sdtLocked"/>
              </w:sdtPr>
              <w:sdtEndPr>
                <w:rPr>
                  <w:szCs w:val="21"/>
                </w:rPr>
              </w:sdtEndPr>
              <w:sdtContent>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地产业务</w:t>
                    </w:r>
                  </w:p>
                </w:tc>
              </w:sdtContent>
            </w:sdt>
            <w:sdt>
              <w:sdtPr>
                <w:rPr>
                  <w:szCs w:val="21"/>
                </w:rPr>
                <w:alias w:val="分部报告科目名称"/>
                <w:tag w:val="_GBC_d1aef1f6815f4feea7e8db1d0cd6557a"/>
                <w:id w:val="-1567553879"/>
                <w:lock w:val="sdtLocked"/>
              </w:sdtPr>
              <w:sdtEndPr>
                <w:rPr>
                  <w:szCs w:val="21"/>
                </w:rPr>
              </w:sdtEndPr>
              <w:sdtContent>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其他业务</w:t>
                    </w:r>
                  </w:p>
                </w:tc>
              </w:sdtContent>
            </w:sdt>
            <w:sdt>
              <w:sdtPr>
                <w:tag w:val="_PLD_caa532a3a35d4f79bf28cdd5e48fdb25"/>
                <w:id w:val="-884014215"/>
                <w:lock w:val="sdtLocked"/>
              </w:sdtPr>
              <w:sdtContent>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分部间抵销</w:t>
                    </w:r>
                  </w:p>
                </w:tc>
              </w:sdtContent>
            </w:sdt>
            <w:sdt>
              <w:sdtPr>
                <w:tag w:val="_PLD_9308666856e6454c86d77bbd6c0e9bde"/>
                <w:id w:val="-1966576024"/>
                <w:lock w:val="sdtLocked"/>
              </w:sdtPr>
              <w:sdtContent>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r>
          <w:sdt>
            <w:sdtPr>
              <w:rPr>
                <w:rFonts w:asciiTheme="minorHAnsi" w:hAnsiTheme="minorHAnsi" w:eastAsiaTheme="minorEastAsia" w:cstheme="minorBidi"/>
                <w:kern w:val="2"/>
                <w:szCs w:val="21"/>
              </w:rPr>
              <w:alias w:val="报告分部的财务信息明细"/>
              <w:tag w:val="_TUP_bd6f3e4ed1db44edb0ba606fbbc8859c"/>
              <w:id w:val="-718434731"/>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一.  营业收入</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312,664.92</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53,561.60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28,610.40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10,939.48</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8,053.92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397,722.48</w:t>
                    </w:r>
                  </w:p>
                </w:tc>
              </w:tr>
            </w:sdtContent>
          </w:sdt>
          <w:sdt>
            <w:sdtPr>
              <w:rPr>
                <w:rFonts w:asciiTheme="minorHAnsi" w:hAnsiTheme="minorHAnsi" w:eastAsiaTheme="minorEastAsia" w:cstheme="minorBidi"/>
                <w:kern w:val="2"/>
                <w:szCs w:val="21"/>
              </w:rPr>
              <w:alias w:val="报告分部的财务信息明细"/>
              <w:tag w:val="_TUP_bd6f3e4ed1db44edb0ba606fbbc8859c"/>
              <w:id w:val="-1529864919"/>
              <w:lock w:val="sdtLocked"/>
            </w:sdtPr>
            <w:sdtEndPr>
              <w:rPr>
                <w:rFonts w:asciiTheme="minorHAnsi" w:hAnsiTheme="minorHAnsi" w:eastAsiaTheme="minorEastAsia" w:cstheme="minorBidi"/>
                <w:kern w:val="2"/>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其中：对外交易收入</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312,664.92</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53,444.61</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28,610.40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3,002.55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r>
                      <w:t>397,722.48</w:t>
                    </w:r>
                  </w:p>
                </w:tc>
              </w:tr>
            </w:sdtContent>
          </w:sdt>
          <w:sdt>
            <w:sdtPr>
              <w:rPr>
                <w:rFonts w:asciiTheme="minorHAnsi" w:hAnsiTheme="minorHAnsi" w:eastAsiaTheme="minorEastAsia" w:cstheme="minorBidi"/>
                <w:kern w:val="2"/>
                <w:szCs w:val="21"/>
              </w:rPr>
              <w:alias w:val="报告分部的财务信息明细"/>
              <w:tag w:val="_TUP_bd6f3e4ed1db44edb0ba606fbbc8859c"/>
              <w:id w:val="162213402"/>
              <w:lock w:val="sdtLocked"/>
            </w:sdtPr>
            <w:sdtEndPr>
              <w:rPr>
                <w:rFonts w:asciiTheme="minorHAnsi" w:hAnsiTheme="minorHAnsi" w:eastAsiaTheme="minorEastAsia" w:cstheme="minorBidi"/>
                <w:kern w:val="2"/>
                <w:szCs w:val="24"/>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分部间交易收入</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116.99</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7,936.93</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8,053.92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pPr>
                  </w:p>
                </w:tc>
              </w:tr>
            </w:sdtContent>
          </w:sdt>
          <w:sdt>
            <w:sdtPr>
              <w:rPr>
                <w:rFonts w:asciiTheme="minorHAnsi" w:hAnsiTheme="minorHAnsi" w:eastAsiaTheme="minorEastAsia" w:cstheme="minorBidi"/>
                <w:kern w:val="2"/>
                <w:szCs w:val="21"/>
              </w:rPr>
              <w:alias w:val="报告分部的财务信息明细"/>
              <w:tag w:val="_TUP_bd6f3e4ed1db44edb0ba606fbbc8859c"/>
              <w:id w:val="-37554787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二. 营业成本</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279,623.14</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46,299.60</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9,615.45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3,591.78</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5,333.70</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333,796.27</w:t>
                    </w:r>
                  </w:p>
                </w:tc>
              </w:tr>
            </w:sdtContent>
          </w:sdt>
          <w:sdt>
            <w:sdtPr>
              <w:rPr>
                <w:rFonts w:asciiTheme="minorHAnsi" w:hAnsiTheme="minorHAnsi" w:eastAsiaTheme="minorEastAsia" w:cstheme="minorBidi"/>
                <w:kern w:val="2"/>
                <w:szCs w:val="21"/>
              </w:rPr>
              <w:alias w:val="报告分部的财务信息明细"/>
              <w:tag w:val="_TUP_bd6f3e4ed1db44edb0ba606fbbc8859c"/>
              <w:id w:val="173404126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三. 利润总额</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-268.21</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-21,845.46</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7,480.68</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17,523.43</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rPr>
                        <w:rFonts w:hint="eastAsia"/>
                      </w:rPr>
                      <w:t>-</w:t>
                    </w:r>
                    <w:r>
                      <w:t>7,544.02</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10,434.46</w:t>
                    </w:r>
                  </w:p>
                </w:tc>
              </w:tr>
            </w:sdtContent>
          </w:sdt>
          <w:sdt>
            <w:sdtPr>
              <w:rPr>
                <w:rFonts w:asciiTheme="minorHAnsi" w:hAnsiTheme="minorHAnsi" w:eastAsiaTheme="minorEastAsia" w:cstheme="minorBidi"/>
                <w:kern w:val="2"/>
                <w:szCs w:val="21"/>
              </w:rPr>
              <w:alias w:val="报告分部的财务信息明细"/>
              <w:tag w:val="_TUP_bd6f3e4ed1db44edb0ba606fbbc8859c"/>
              <w:id w:val="-1457634499"/>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四. 资产总额</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418,486.09</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509,659.33</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486,715.77</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1,606,390.29</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1,258,037.56</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1,763,213.92</w:t>
                    </w:r>
                  </w:p>
                </w:tc>
              </w:tr>
            </w:sdtContent>
          </w:sdt>
          <w:sdt>
            <w:sdtPr>
              <w:rPr>
                <w:rFonts w:asciiTheme="minorHAnsi" w:hAnsiTheme="minorHAnsi" w:eastAsiaTheme="minorEastAsia" w:cstheme="minorBidi"/>
                <w:kern w:val="2"/>
                <w:szCs w:val="21"/>
              </w:rPr>
              <w:alias w:val="报告分部的财务信息明细"/>
              <w:tag w:val="_TUP_bd6f3e4ed1db44edb0ba606fbbc8859c"/>
              <w:id w:val="-508453277"/>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t>五. 负债总额</w:t>
                    </w:r>
                  </w:p>
                </w:tc>
                <w:tc>
                  <w:tcPr>
                    <w:tcW w:w="775"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288,449.59</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684,863.28</w:t>
                    </w:r>
                  </w:p>
                </w:tc>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269,240.91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263,890.31</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873,274.85</w:t>
                    </w:r>
                  </w:p>
                </w:tc>
                <w:tc>
                  <w:tcPr>
                    <w:tcW w:w="77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Cs w:val="21"/>
                      </w:rPr>
                    </w:pPr>
                    <w:r>
                      <w:t>633,169.24</w:t>
                    </w:r>
                  </w:p>
                </w:tc>
              </w:tr>
            </w:sdtContent>
          </w:sdt>
        </w:tbl>
        <w:p/>
        <w:p/>
      </w:sdtContent>
    </w:sdt>
    <w:sdt>
      <w:sdtPr>
        <w:rPr>
          <w:rFonts w:hint="eastAsia" w:ascii="宋体" w:hAnsi="宋体" w:eastAsia="宋体" w:cs="宋体"/>
          <w:b w:val="0"/>
          <w:bCs w:val="0"/>
          <w:kern w:val="0"/>
          <w:szCs w:val="24"/>
        </w:rPr>
        <w:alias w:val="模块:公司无报告分部的，或者不能披露各报告分部的资产总额和负债总额的，应说明原因"/>
        <w:tag w:val="_SEC_3849a00c602340b897b4e927f6a3c0d9"/>
        <w:id w:val="317616151"/>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115"/>
            <w:numPr>
              <w:ilvl w:val="3"/>
              <w:numId w:val="132"/>
            </w:numPr>
            <w:ind w:left="424" w:hanging="424" w:hangingChars="202"/>
          </w:pPr>
          <w:r>
            <w:t>公司无报告分部的，或者不能披露各报告分部的资产总额和负债总额的，应说明原因</w:t>
          </w:r>
        </w:p>
        <w:sdt>
          <w:sdtPr>
            <w:rPr>
              <w:rFonts w:hint="eastAsia"/>
              <w:szCs w:val="21"/>
            </w:rPr>
            <w:alias w:val="是否适用：公司无报告分部的，或者不能披露各报告分部的资产总额和负债总额的，应说明原因[双击切换]"/>
            <w:tag w:val="_GBC_bcab2070d3744848a3b9d7010db71172"/>
            <w:id w:val="1884056980"/>
            <w:lock w:val="sdtLocked"/>
            <w:placeholder>
              <w:docPart w:val="GBC22222222222222222222222222222"/>
            </w:placeholder>
          </w:sdtPr>
          <w:sdtEndPr>
            <w:rPr>
              <w:rFonts w:hint="eastAsia"/>
              <w:szCs w:val="21"/>
            </w:rPr>
          </w:sdtEndPr>
          <w:sdtContent>
            <w:p>
              <w:pPr>
                <w:jc w:val="both"/>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eastAsia="宋体" w:cs="宋体"/>
          <w:b w:val="0"/>
          <w:bCs w:val="0"/>
          <w:kern w:val="0"/>
          <w:szCs w:val="24"/>
        </w:rPr>
        <w:alias w:val="模块:分部信息其他说明"/>
        <w:tag w:val="_SEC_83dbb92e05854ff09d00691d7141ac0b"/>
        <w:id w:val="1671376415"/>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115"/>
            <w:numPr>
              <w:ilvl w:val="3"/>
              <w:numId w:val="132"/>
            </w:numPr>
            <w:ind w:left="424" w:hanging="424" w:hangingChars="202"/>
          </w:pPr>
          <w:r>
            <w:rPr>
              <w:rFonts w:hint="eastAsia"/>
            </w:rPr>
            <w:t>其他说明</w:t>
          </w:r>
        </w:p>
        <w:sdt>
          <w:sdtPr>
            <w:rPr>
              <w:rFonts w:hint="eastAsia"/>
              <w:szCs w:val="21"/>
            </w:rPr>
            <w:alias w:val="是否适用：分部信息的其他说明[双击切换]"/>
            <w:tag w:val="_GBC_a7173613038248df8d31b8ffe91e1e27"/>
            <w:id w:val="2002392618"/>
            <w:lock w:val="sdtLocked"/>
            <w:placeholder>
              <w:docPart w:val="GBC22222222222222222222222222222"/>
            </w:placeholder>
          </w:sdtPr>
          <w:sdtEndPr>
            <w:rPr>
              <w:rFonts w:hint="eastAsia"/>
              <w:szCs w:val="21"/>
            </w:rPr>
          </w:sdtEndPr>
          <w:sdtContent>
            <w:p>
              <w:pPr>
                <w:rPr>
                  <w:rFonts w:ascii="Times New Roman" w:hAnsi="Times New Roman"/>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kern w:val="0"/>
          <w:szCs w:val="21"/>
        </w:rPr>
        <w:alias w:val="模块:其他重要事项说明"/>
        <w:tag w:val="_SEC_ba4247a6c1994dc98e0b1c339dfe0f23"/>
        <w:id w:val="-1478140376"/>
        <w:lock w:val="sdtLocked"/>
        <w:placeholder>
          <w:docPart w:val="GBC22222222222222222222222222222"/>
        </w:placeholder>
      </w:sdtPr>
      <w:sdtEndPr>
        <w:rPr>
          <w:rFonts w:hint="eastAsia" w:ascii="宋体" w:hAnsi="宋体" w:cstheme="minorBidi"/>
          <w:b w:val="0"/>
          <w:bCs w:val="0"/>
          <w:kern w:val="2"/>
          <w:szCs w:val="21"/>
        </w:rPr>
      </w:sdtEndPr>
      <w:sdtContent>
        <w:p>
          <w:pPr>
            <w:pStyle w:val="114"/>
            <w:numPr>
              <w:ilvl w:val="0"/>
              <w:numId w:val="129"/>
            </w:numPr>
          </w:pPr>
          <w:r>
            <w:rPr>
              <w:rFonts w:hint="eastAsia" w:ascii="宋体" w:hAnsi="宋体" w:cs="宋体"/>
              <w:bCs w:val="0"/>
              <w:kern w:val="0"/>
              <w:szCs w:val="21"/>
            </w:rPr>
            <w:t>其他对投资者决策有影响的重要交易和事项</w:t>
          </w:r>
        </w:p>
        <w:sdt>
          <w:sdtPr>
            <w:rPr>
              <w:rFonts w:hint="eastAsia"/>
              <w:szCs w:val="21"/>
            </w:rPr>
            <w:alias w:val="是否适用：其他对投资者决策有影响的重要交易和事项[双击切换]"/>
            <w:tag w:val="_GBC_fb50fde0c1774b5b8ae2688488649ea7"/>
            <w:id w:val="-1121924022"/>
            <w:lock w:val="sdtLocked"/>
            <w:placeholder>
              <w:docPart w:val="GBC22222222222222222222222222222"/>
            </w:placeholder>
          </w:sdtPr>
          <w:sdtEndPr>
            <w:rPr>
              <w:rFonts w:hint="eastAsia"/>
              <w:szCs w:val="21"/>
            </w:rPr>
          </w:sdtEndPr>
          <w:sdtContent>
            <w:p>
              <w:pPr>
                <w:spacing w:line="360" w:lineRule="exac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rFonts w:hint="eastAsia" w:ascii="宋体" w:hAnsi="宋体" w:cs="宋体"/>
          <w:b w:val="0"/>
          <w:bCs w:val="0"/>
          <w:kern w:val="0"/>
          <w:szCs w:val="21"/>
        </w:rPr>
        <w:alias w:val="模块:其他"/>
        <w:tag w:val="_SEC_626a705e9bde404ab67dae61d8e62116"/>
        <w:id w:val="-1384172462"/>
        <w:lock w:val="sdtLocked"/>
        <w:placeholder>
          <w:docPart w:val="GBC22222222222222222222222222222"/>
        </w:placeholder>
      </w:sdtPr>
      <w:sdtEndPr>
        <w:rPr>
          <w:rFonts w:hint="default" w:ascii="宋体" w:hAnsi="宋体" w:cs="宋体"/>
          <w:b w:val="0"/>
          <w:bCs w:val="0"/>
          <w:kern w:val="0"/>
          <w:szCs w:val="21"/>
        </w:rPr>
      </w:sdtEndPr>
      <w:sdtContent>
        <w:p>
          <w:pPr>
            <w:pStyle w:val="114"/>
            <w:numPr>
              <w:ilvl w:val="0"/>
              <w:numId w:val="129"/>
            </w:numPr>
            <w:rPr>
              <w:szCs w:val="21"/>
            </w:rPr>
          </w:pPr>
          <w:r>
            <w:rPr>
              <w:rFonts w:hint="eastAsia" w:ascii="宋体" w:hAnsi="宋体"/>
              <w:szCs w:val="21"/>
            </w:rPr>
            <w:t>其他</w:t>
          </w:r>
        </w:p>
        <w:sdt>
          <w:sdtPr>
            <w:rPr>
              <w:rFonts w:hint="eastAsia"/>
              <w:szCs w:val="21"/>
            </w:rPr>
            <w:alias w:val="是否适用：其他重要事项的说明[双击切换]"/>
            <w:tag w:val="_GBC_fb43f52ac5bc49a4b33e34d6b1758f09"/>
            <w:id w:val="206613208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113"/>
        <w:numPr>
          <w:ilvl w:val="0"/>
          <w:numId w:val="49"/>
        </w:numPr>
        <w:rPr>
          <w:rFonts w:ascii="宋体" w:hAnsi="宋体"/>
        </w:rPr>
      </w:pPr>
      <w:r>
        <w:rPr>
          <w:rFonts w:hint="eastAsia" w:ascii="宋体" w:hAnsi="宋体"/>
        </w:rPr>
        <w:t>母公司财务报表主要项目注释</w:t>
      </w:r>
    </w:p>
    <w:p>
      <w:pPr>
        <w:pStyle w:val="114"/>
        <w:numPr>
          <w:ilvl w:val="0"/>
          <w:numId w:val="133"/>
        </w:numPr>
        <w:tabs>
          <w:tab w:val="left" w:pos="284"/>
        </w:tabs>
        <w:ind w:left="285" w:hanging="285"/>
      </w:pPr>
      <w:r>
        <w:rPr>
          <w:rFonts w:hint="eastAsia" w:ascii="宋体" w:hAnsi="宋体"/>
          <w:szCs w:val="21"/>
        </w:rPr>
        <w:t>应收账款</w:t>
      </w:r>
    </w:p>
    <w:sdt>
      <w:sdtPr>
        <w:rPr>
          <w:rFonts w:hint="eastAsia" w:ascii="宋体" w:hAnsi="宋体" w:eastAsia="宋体" w:cs="宋体"/>
          <w:b w:val="0"/>
          <w:bCs w:val="0"/>
          <w:kern w:val="0"/>
          <w:szCs w:val="24"/>
        </w:rPr>
        <w:alias w:val="模块:按账龄披露"/>
        <w:tag w:val="_SEC_9c6dac1b3bd94073bae16a9f5e7fe960"/>
        <w:id w:val="-1988462856"/>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4"/>
            </w:numPr>
            <w:ind w:left="424" w:hanging="424" w:hangingChars="202"/>
          </w:pPr>
          <w:bookmarkStart w:id="224" w:name="_Hlk533796665"/>
          <w:r>
            <w:rPr>
              <w:rFonts w:hint="eastAsia"/>
            </w:rPr>
            <w:t>按账龄披露</w:t>
          </w:r>
        </w:p>
        <w:sdt>
          <w:sdtPr>
            <w:alias w:val="是否适用：母公司应收账款按账龄披露[双击切换]"/>
            <w:tag w:val="_GBC_dafcd7d733014c4a8aaa9a9a4b6c92f1"/>
            <w:id w:val="201187010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24"/>
    <w:sdt>
      <w:sdtPr>
        <w:rPr>
          <w:rFonts w:hint="eastAsia" w:ascii="宋体" w:hAnsi="宋体" w:eastAsia="宋体" w:cs="宋体"/>
          <w:b w:val="0"/>
          <w:bCs w:val="0"/>
          <w:kern w:val="0"/>
          <w:szCs w:val="24"/>
        </w:rPr>
        <w:alias w:val="模块:按坏账计提方法分类披露"/>
        <w:tag w:val="_SEC_131d28c67a9247ee8559c47dff9a25ad"/>
        <w:id w:val="-1107577480"/>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4"/>
            </w:numPr>
            <w:ind w:left="424" w:hanging="424" w:hangingChars="202"/>
          </w:pPr>
          <w:bookmarkStart w:id="225" w:name="_Hlk533796703"/>
          <w:r>
            <w:rPr>
              <w:rFonts w:hint="eastAsia"/>
            </w:rPr>
            <w:t>按坏账计提方法分类披露</w:t>
          </w:r>
        </w:p>
        <w:sdt>
          <w:sdtPr>
            <w:alias w:val="是否适用：母公司应收账款按坏账计提方法分类披露[双击切换]"/>
            <w:tag w:val="_GBC_7881b37ba62844928bb3a0f84fa1312c"/>
            <w:id w:val="153083337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5"/>
    <w:sdt>
      <w:sdtPr>
        <w:rPr>
          <w:rFonts w:hint="eastAsia"/>
          <w:szCs w:val="21"/>
        </w:rPr>
        <w:alias w:val="模块:按单项计提坏账准备"/>
        <w:tag w:val="_SEC_8c8d26b6244849bea9eb936271eeb8f9"/>
        <w:id w:val="-1302303685"/>
        <w:lock w:val="sdtLocked"/>
        <w:placeholder>
          <w:docPart w:val="GBC22222222222222222222222222222"/>
        </w:placeholder>
      </w:sdtPr>
      <w:sdtEndPr>
        <w:rPr>
          <w:rFonts w:hint="default"/>
          <w:szCs w:val="24"/>
        </w:rPr>
      </w:sdtEndPr>
      <w:sdtContent>
        <w:p>
          <w:pPr>
            <w:rPr>
              <w:szCs w:val="21"/>
            </w:rPr>
          </w:pPr>
          <w:bookmarkStart w:id="226" w:name="_Hlk533796752"/>
          <w:r>
            <w:rPr>
              <w:rFonts w:hint="eastAsia"/>
              <w:szCs w:val="21"/>
            </w:rPr>
            <w:t>按单项计提坏账准备：</w:t>
          </w:r>
        </w:p>
        <w:sdt>
          <w:sdtPr>
            <w:alias w:val="是否适用：母公司应收账款按单项计提坏账准备[双击切换]"/>
            <w:tag w:val="_GBC_1cd34dae0bf14ebba3d99534844e7d95"/>
            <w:id w:val="293808848"/>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26"/>
    <w:sdt>
      <w:sdtPr>
        <w:rPr>
          <w:rFonts w:hint="eastAsia"/>
          <w:szCs w:val="21"/>
        </w:rPr>
        <w:tag w:val="_PLD_23aec57fe4b34ac2aa7d42cb52467101"/>
        <w:id w:val="1890923753"/>
        <w:lock w:val="sdtLocked"/>
        <w:placeholder>
          <w:docPart w:val="GBC22222222222222222222222222222"/>
        </w:placeholder>
      </w:sdtPr>
      <w:sdtEndPr>
        <w:rPr>
          <w:rFonts w:hint="eastAsia"/>
          <w:szCs w:val="21"/>
        </w:rPr>
      </w:sdtEndPr>
      <w:sdtContent>
        <w:p>
          <w:pPr>
            <w:rPr>
              <w:szCs w:val="21"/>
            </w:rPr>
          </w:pPr>
          <w:r>
            <w:rPr>
              <w:rFonts w:hint="eastAsia"/>
              <w:szCs w:val="21"/>
            </w:rPr>
            <w:t>按组合计提坏账准备：</w:t>
          </w:r>
        </w:p>
      </w:sdtContent>
    </w:sdt>
    <w:sdt>
      <w:sdtPr>
        <w:alias w:val="是否适用：母公司应收账款按组合计提坏账准备[双击切换]"/>
        <w:tag w:val="_GBC_70ac43d24876403083fb1d281c12cd7e"/>
        <w:id w:val="77313790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bookmarkStart w:id="227" w:name="_Hlk533796778"/>
    </w:p>
    <w:bookmarkEnd w:id="227"/>
    <w:sdt>
      <w:sdtPr>
        <w:alias w:val="模块:如按照一般预计信用损失模型计提坏账，请参照其他应收款的披露方式披露"/>
        <w:tag w:val="_SEC_204080107f654b539d9fcb8781629182"/>
        <w:id w:val="-2026157080"/>
        <w:lock w:val="sdtLocked"/>
        <w:placeholder>
          <w:docPart w:val="GBC22222222222222222222222222222"/>
        </w:placeholder>
      </w:sdtPr>
      <w:sdtContent>
        <w:p>
          <w:bookmarkStart w:id="228" w:name="_Hlk534616017"/>
          <w:r>
            <w:rPr>
              <w:rFonts w:hint="eastAsia"/>
            </w:rPr>
            <w:t>如按预期信用损失一般模型计提坏账准备，请参照其他应收款披露：</w:t>
          </w:r>
        </w:p>
        <w:sdt>
          <w:sdtPr>
            <w:alias w:val="是否适用：母公司应收账款按一般预计信用损失模型计提坏账[双击切换]"/>
            <w:tag w:val="_GBC_681a6428f5004327ac9c72b5eb632f13"/>
            <w:id w:val="457535778"/>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28"/>
    <w:sdt>
      <w:sdtPr>
        <w:rPr>
          <w:rFonts w:hint="eastAsia" w:ascii="宋体" w:hAnsi="宋体" w:eastAsia="宋体" w:cs="宋体"/>
          <w:b w:val="0"/>
          <w:bCs w:val="0"/>
          <w:kern w:val="0"/>
          <w:szCs w:val="22"/>
        </w:rPr>
        <w:alias w:val="模块:应收账款坏账准备的情况"/>
        <w:tag w:val="_SEC_d03baee572c2484a8896573f749f99a5"/>
        <w:id w:val="-1618209722"/>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3"/>
              <w:numId w:val="134"/>
            </w:numPr>
            <w:ind w:left="424" w:hanging="424" w:hangingChars="202"/>
          </w:pPr>
          <w:bookmarkStart w:id="229" w:name="_Hlk534890665"/>
          <w:r>
            <w:rPr>
              <w:rFonts w:hint="eastAsia"/>
            </w:rPr>
            <w:t>坏账准备的情况</w:t>
          </w:r>
        </w:p>
        <w:sdt>
          <w:sdtPr>
            <w:alias w:val="是否适用：母公司应收账款坏账准备情况[双击切换]"/>
            <w:tag w:val="_GBC_c4b273c4d86b423ea0abe5794b3a9a07"/>
            <w:id w:val="1242679093"/>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29"/>
    <w:sdt>
      <w:sdtPr>
        <w:rPr>
          <w:rFonts w:asciiTheme="minorHAnsi" w:hAnsiTheme="minorHAnsi"/>
          <w:b/>
          <w:bCs/>
          <w:szCs w:val="22"/>
        </w:rPr>
        <w:alias w:val="模块:本期转回或收回情况"/>
        <w:tag w:val="_GBC_4659654dc3bf4a4eba447daf2829f609"/>
        <w:id w:val="1997302785"/>
        <w:lock w:val="sdtLocked"/>
        <w:placeholder>
          <w:docPart w:val="GBC22222222222222222222222222222"/>
        </w:placeholder>
      </w:sdtPr>
      <w:sdtEndPr>
        <w:rPr>
          <w:rFonts w:ascii="Times New Roman" w:hAnsi="Times New Roman" w:cs="Times New Roman"/>
          <w:b w:val="0"/>
          <w:bCs w:val="0"/>
          <w:kern w:val="2"/>
          <w:szCs w:val="24"/>
        </w:rPr>
      </w:sdtEndPr>
      <w:sdtContent>
        <w:p>
          <w:r>
            <w:rPr>
              <w:rFonts w:hint="eastAsia"/>
            </w:rPr>
            <w:t>其中本期坏账准备收回或转回金额重要的：</w:t>
          </w:r>
        </w:p>
        <w:sdt>
          <w:sdtPr>
            <w:alias w:val="是否适用：母公司其中本期坏账准备收回或转回金额重要的[双击切换]"/>
            <w:tag w:val="_GBC_5f9ff028d97f4757bc779516f257bedd"/>
            <w:id w:val="168223519"/>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ind w:right="-1594" w:rightChars="-759"/>
          </w:pPr>
        </w:p>
      </w:sdtContent>
    </w:sdt>
    <w:sdt>
      <w:sdtPr>
        <w:rPr>
          <w:rFonts w:hint="eastAsia" w:ascii="Times New Roman" w:hAnsi="Times New Roman" w:eastAsia="宋体" w:cs="宋体"/>
          <w:b w:val="0"/>
          <w:bCs w:val="0"/>
          <w:kern w:val="0"/>
          <w:szCs w:val="24"/>
        </w:rPr>
        <w:alias w:val="模块:本报告期实际核销的应收账款情况"/>
        <w:tag w:val="_GBC_72fe1bcd09e2470f910107f1e159af49"/>
        <w:id w:val="-1178349059"/>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4"/>
            </w:numPr>
            <w:ind w:left="424" w:hanging="424" w:hangingChars="202"/>
          </w:pPr>
          <w:r>
            <w:t>本期实际核销的应收</w:t>
          </w:r>
          <w:r>
            <w:rPr>
              <w:rFonts w:hint="eastAsia"/>
            </w:rPr>
            <w:t>账款</w:t>
          </w:r>
          <w:r>
            <w:t>情况</w:t>
          </w:r>
        </w:p>
        <w:sdt>
          <w:sdtPr>
            <w:alias w:val="是否适用：母公司本期实际核销的应收账款情况[双击切换]"/>
            <w:tag w:val="_GBC_a30d476ac6184bc98f9b334fa55067ac"/>
            <w:id w:val="-1055084064"/>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r>
            <w:rPr>
              <w:rFonts w:hint="eastAsia"/>
              <w:szCs w:val="21"/>
            </w:rPr>
            <w:t>其中重要的应收账款核销情况</w:t>
          </w:r>
        </w:p>
        <w:sdt>
          <w:sdtPr>
            <w:rPr>
              <w:szCs w:val="21"/>
            </w:rPr>
            <w:alias w:val="是否适用：母公司其中重要的应收账款核销情况[双击切换]"/>
            <w:tag w:val="_GBC_7110dba4b9b14a6ea7177cba57fd2d03"/>
            <w:id w:val="1300963360"/>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sdt>
      <w:sdtPr>
        <w:rPr>
          <w:rFonts w:hint="eastAsia" w:ascii="Times New Roman" w:hAnsi="Times New Roman" w:eastAsia="宋体" w:cs="宋体"/>
          <w:b w:val="0"/>
          <w:bCs w:val="0"/>
          <w:kern w:val="0"/>
          <w:szCs w:val="24"/>
        </w:rPr>
        <w:alias w:val="模块:按欠款方归集的期末余额前五名的应收账款情况："/>
        <w:tag w:val="_SEC_93f8cf3ec4204ee79716a5cc7e9c978b"/>
        <w:id w:val="1123729002"/>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115"/>
            <w:numPr>
              <w:ilvl w:val="3"/>
              <w:numId w:val="134"/>
            </w:numPr>
            <w:ind w:left="424" w:hanging="424" w:hangingChars="202"/>
          </w:pPr>
          <w:bookmarkStart w:id="230" w:name="_Hlk90023019"/>
          <w:r>
            <w:rPr>
              <w:rFonts w:hint="eastAsia"/>
            </w:rPr>
            <w:t>按欠款方归集的期末余额前五名的应收账款情况</w:t>
          </w:r>
        </w:p>
        <w:sdt>
          <w:sdtPr>
            <w:rPr>
              <w:rFonts w:hint="eastAsia"/>
              <w:szCs w:val="21"/>
            </w:rPr>
            <w:alias w:val="是否适用：按欠款方归集的期末余额前五名的应收账款情况[双击切换]"/>
            <w:tag w:val="_GBC_7fffc10e897f45d19e0dc3f8ffc2224f"/>
            <w:id w:val="1090199781"/>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rFonts w:ascii="Times New Roman" w:hAnsi="Times New Roman"/>
            </w:rPr>
          </w:pPr>
        </w:p>
      </w:sdtContent>
    </w:sdt>
    <w:bookmarkEnd w:id="230"/>
    <w:sdt>
      <w:sdtPr>
        <w:rPr>
          <w:rFonts w:hint="eastAsia" w:ascii="Times New Roman" w:hAnsi="Times New Roman" w:eastAsia="宋体" w:cs="宋体"/>
          <w:b w:val="0"/>
          <w:bCs w:val="0"/>
          <w:kern w:val="0"/>
          <w:szCs w:val="24"/>
        </w:rPr>
        <w:alias w:val="模块:因金融资产转移而终止确认的应收账款"/>
        <w:tag w:val="_GBC_ab73666b561d47cbb383aa21715b406f"/>
        <w:id w:val="-426420000"/>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115"/>
            <w:numPr>
              <w:ilvl w:val="3"/>
              <w:numId w:val="134"/>
            </w:numPr>
            <w:ind w:left="424" w:hanging="424" w:hangingChars="202"/>
          </w:pPr>
          <w:r>
            <w:rPr>
              <w:rFonts w:hint="eastAsia"/>
            </w:rPr>
            <w:t>因金融资产转移而终止确认的应收账款</w:t>
          </w:r>
        </w:p>
        <w:sdt>
          <w:sdtPr>
            <w:rPr>
              <w:rFonts w:hint="eastAsia"/>
              <w:szCs w:val="21"/>
            </w:rPr>
            <w:alias w:val="是否适用：母公司因金融资产转移而终止确认的应收账款[双击切换]"/>
            <w:tag w:val="_GBC_99837dd63e6b487092e9bee163f867d0"/>
            <w:id w:val="1343735400"/>
            <w:lock w:val="sdtLocked"/>
            <w:placeholder>
              <w:docPart w:val="GBC22222222222222222222222222222"/>
            </w:placeholder>
          </w:sdtPr>
          <w:sdtEndPr>
            <w:rPr>
              <w:rFonts w:hint="eastAsia"/>
              <w:szCs w:val="21"/>
            </w:rPr>
          </w:sdtEndPr>
          <w:sdtContent>
            <w:p>
              <w:pPr>
                <w:snapToGrid w:val="0"/>
                <w:spacing w:line="240" w:lineRule="atLeast"/>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snapToGrid w:val="0"/>
            <w:spacing w:line="240" w:lineRule="atLeast"/>
            <w:rPr>
              <w:rFonts w:ascii="Times New Roman" w:hAnsi="Times New Roman"/>
            </w:rPr>
          </w:pPr>
        </w:p>
      </w:sdtContent>
    </w:sdt>
    <w:sdt>
      <w:sdtPr>
        <w:rPr>
          <w:rFonts w:hint="eastAsia" w:ascii="Times New Roman" w:hAnsi="Times New Roman" w:eastAsia="宋体" w:cs="宋体"/>
          <w:b w:val="0"/>
          <w:bCs w:val="0"/>
          <w:kern w:val="0"/>
          <w:szCs w:val="24"/>
        </w:rPr>
        <w:alias w:val="模块:转移应收账款且继续涉入的，分项列示继续涉入形成的资产、负债的金额"/>
        <w:tag w:val="_GBC_0fefb2630375419f8e496c310f6ec9ee"/>
        <w:id w:val="1796321631"/>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115"/>
            <w:numPr>
              <w:ilvl w:val="3"/>
              <w:numId w:val="134"/>
            </w:numPr>
            <w:ind w:left="424" w:hanging="424" w:hangingChars="202"/>
          </w:pPr>
          <w:r>
            <w:rPr>
              <w:rFonts w:hint="eastAsia"/>
            </w:rPr>
            <w:t>转移应收账款且继续涉入形成的资产、负债金额</w:t>
          </w:r>
        </w:p>
        <w:sdt>
          <w:sdtPr>
            <w:rPr>
              <w:rFonts w:hint="eastAsia"/>
            </w:rPr>
            <w:alias w:val="是否适用：母公司转移应收账款且继续涉入形成的资产、负债金额[双击切换]"/>
            <w:tag w:val="_GBC_b5cedca581884fa7882254e959e44358"/>
            <w:id w:val="-437141976"/>
            <w:lock w:val="sdtLocked"/>
            <w:placeholder>
              <w:docPart w:val="GBC22222222222222222222222222222"/>
            </w:placeholder>
          </w:sdtPr>
          <w:sdtEndPr>
            <w:rPr>
              <w:rFonts w:hint="eastAsia"/>
            </w:rPr>
          </w:sdtEndPr>
          <w:sdtContent>
            <w:p>
              <w:pPr>
                <w:snapToGrid w:val="0"/>
                <w:spacing w:line="240" w:lineRule="atLeast"/>
                <w:rPr>
                  <w:rFonts w:ascii="Times New Roman" w:hAnsi="Times New Roman"/>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p>
      <w:pPr>
        <w:snapToGrid w:val="0"/>
        <w:spacing w:line="240" w:lineRule="atLeast"/>
        <w:ind w:left="-105" w:leftChars="-50"/>
        <w:rPr>
          <w:rFonts w:ascii="Times New Roman" w:hAnsi="Times New Roman"/>
        </w:rPr>
      </w:pPr>
    </w:p>
    <w:sdt>
      <w:sdtPr>
        <w:rPr>
          <w:rFonts w:hint="eastAsia" w:ascii="Times New Roman" w:hAnsi="Times New Roman"/>
          <w:b/>
          <w:bCs/>
        </w:rPr>
        <w:alias w:val="模块:其他说明："/>
        <w:tag w:val="_GBC_eac4abdf299a4312a10e680c5fc79ef9"/>
        <w:id w:val="1663438923"/>
        <w:lock w:val="sdtLocked"/>
        <w:placeholder>
          <w:docPart w:val="GBC22222222222222222222222222222"/>
        </w:placeholder>
      </w:sdtPr>
      <w:sdtEndPr>
        <w:rPr>
          <w:rFonts w:hint="default" w:ascii="Times New Roman" w:hAnsi="Times New Roman"/>
          <w:b w:val="0"/>
          <w:bCs w:val="0"/>
        </w:rPr>
      </w:sdtEndPr>
      <w:sdtContent>
        <w:p>
          <w:r>
            <w:rPr>
              <w:rFonts w:hint="eastAsia"/>
            </w:rPr>
            <w:t>其他</w:t>
          </w:r>
          <w:r>
            <w:t>说明：</w:t>
          </w:r>
        </w:p>
        <w:sdt>
          <w:sdtPr>
            <w:alias w:val="是否适用：母公司应收账款其他说明[双击切换]"/>
            <w:tag w:val="_GBC_4765684a53b9474f898fa6c2bd313427"/>
            <w:id w:val="-51029246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sdtContent>
    </w:sdt>
    <w:p>
      <w:pPr>
        <w:pStyle w:val="114"/>
        <w:numPr>
          <w:ilvl w:val="0"/>
          <w:numId w:val="133"/>
        </w:numPr>
        <w:tabs>
          <w:tab w:val="left" w:pos="284"/>
        </w:tabs>
        <w:ind w:left="426"/>
        <w:rPr>
          <w:rFonts w:ascii="宋体" w:hAnsi="宋体"/>
          <w:szCs w:val="21"/>
        </w:rPr>
      </w:pPr>
      <w:r>
        <w:rPr>
          <w:rFonts w:hint="eastAsia" w:ascii="宋体" w:hAnsi="宋体"/>
          <w:szCs w:val="21"/>
        </w:rPr>
        <w:t>其他应收款</w:t>
      </w:r>
    </w:p>
    <w:sdt>
      <w:sdtPr>
        <w:rPr>
          <w:rFonts w:hint="eastAsia" w:ascii="宋体" w:hAnsi="宋体" w:eastAsia="宋体" w:cs="宋体"/>
          <w:b w:val="0"/>
          <w:bCs w:val="0"/>
          <w:kern w:val="0"/>
          <w:szCs w:val="24"/>
        </w:rPr>
        <w:alias w:val="模块:其他应收款分类列示"/>
        <w:tag w:val="_SEC_74a857229cce4d58b9294f2d79542480"/>
        <w:id w:val="-117432842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pPr>
          <w:bookmarkStart w:id="231" w:name="_Hlk533796954"/>
          <w:r>
            <w:rPr>
              <w:rFonts w:hint="eastAsia"/>
            </w:rPr>
            <w:t>项目列示</w:t>
          </w:r>
        </w:p>
        <w:sdt>
          <w:sdtPr>
            <w:alias w:val="是否适用：母公司其他应收款分类列示[双击切换]"/>
            <w:tag w:val="_GBC_eca97260629e4985b01404cfe0f9630b"/>
            <w:id w:val="1489519520"/>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其他应收款分类列示"/>
              <w:tag w:val="_GBC_3e648241a63447daac5dd00971efb146"/>
              <w:id w:val="-14530876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分类列示"/>
              <w:tag w:val="_GBC_c7b8206dd7dd44fcb02f4cced206c1b8"/>
              <w:id w:val="1971224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9"/>
            <w:gridCol w:w="2766"/>
            <w:gridCol w:w="2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b479f5d2152744d795c782ce31071693"/>
                <w:id w:val="-1260602816"/>
                <w:lock w:val="sdtLocked"/>
              </w:sdtPr>
              <w:sdtContent>
                <w:tc>
                  <w:tcPr>
                    <w:tcW w:w="1764" w:type="pct"/>
                    <w:vAlign w:val="center"/>
                  </w:tcPr>
                  <w:p>
                    <w:pPr>
                      <w:jc w:val="center"/>
                      <w:rPr>
                        <w:szCs w:val="21"/>
                      </w:rPr>
                    </w:pPr>
                    <w:r>
                      <w:rPr>
                        <w:rFonts w:hint="eastAsia"/>
                        <w:szCs w:val="21"/>
                      </w:rPr>
                      <w:t>项目</w:t>
                    </w:r>
                  </w:p>
                </w:tc>
              </w:sdtContent>
            </w:sdt>
            <w:sdt>
              <w:sdtPr>
                <w:tag w:val="_PLD_35a9734d9ab442afab77b957de461f60"/>
                <w:id w:val="-1616435356"/>
                <w:lock w:val="sdtLocked"/>
              </w:sdtPr>
              <w:sdtContent>
                <w:tc>
                  <w:tcPr>
                    <w:tcW w:w="1622" w:type="pct"/>
                    <w:vAlign w:val="center"/>
                  </w:tcPr>
                  <w:p>
                    <w:pPr>
                      <w:jc w:val="center"/>
                      <w:rPr>
                        <w:szCs w:val="21"/>
                      </w:rPr>
                    </w:pPr>
                    <w:r>
                      <w:rPr>
                        <w:rFonts w:hint="eastAsia"/>
                        <w:szCs w:val="21"/>
                      </w:rPr>
                      <w:t>期末余额</w:t>
                    </w:r>
                  </w:p>
                </w:tc>
              </w:sdtContent>
            </w:sdt>
            <w:sdt>
              <w:sdtPr>
                <w:tag w:val="_PLD_b7c7812d7c504706a7e2b4952bc5c120"/>
                <w:id w:val="-2029779931"/>
                <w:lock w:val="sdtLocked"/>
              </w:sdtPr>
              <w:sdtContent>
                <w:tc>
                  <w:tcPr>
                    <w:tcW w:w="1614" w:type="pct"/>
                    <w:vAlign w:val="center"/>
                  </w:tcPr>
                  <w:p>
                    <w:pPr>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1bc5521157c247638b1dab0ce984af82"/>
                <w:id w:val="1000309659"/>
                <w:lock w:val="sdtLocked"/>
              </w:sdtPr>
              <w:sdtContent>
                <w:tc>
                  <w:tcPr>
                    <w:tcW w:w="1764" w:type="pct"/>
                  </w:tcPr>
                  <w:p>
                    <w:pPr>
                      <w:ind w:right="5"/>
                      <w:jc w:val="center"/>
                      <w:rPr>
                        <w:szCs w:val="21"/>
                      </w:rPr>
                    </w:pPr>
                    <w:r>
                      <w:rPr>
                        <w:rFonts w:hint="eastAsia"/>
                        <w:szCs w:val="21"/>
                      </w:rPr>
                      <w:t>应收利息</w:t>
                    </w:r>
                  </w:p>
                </w:tc>
              </w:sdtContent>
            </w:sdt>
            <w:tc>
              <w:tcPr>
                <w:tcW w:w="1622" w:type="pct"/>
                <w:vAlign w:val="center"/>
              </w:tcPr>
              <w:p>
                <w:pPr>
                  <w:jc w:val="right"/>
                  <w:rPr>
                    <w:rFonts w:asciiTheme="minorEastAsia" w:hAnsiTheme="minorEastAsia" w:eastAsiaTheme="minorEastAsia"/>
                  </w:rPr>
                </w:pPr>
                <w:r>
                  <w:rPr>
                    <w:rFonts w:asciiTheme="minorEastAsia" w:hAnsiTheme="minorEastAsia" w:eastAsiaTheme="minorEastAsia"/>
                  </w:rPr>
                  <w:t>2,245,833.33</w:t>
                </w:r>
              </w:p>
            </w:tc>
            <w:tc>
              <w:tcPr>
                <w:tcW w:w="1614" w:type="pct"/>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83a9c7439441458ba848d242b0cb5b8d"/>
                <w:id w:val="989060237"/>
                <w:lock w:val="sdtLocked"/>
              </w:sdtPr>
              <w:sdtContent>
                <w:tc>
                  <w:tcPr>
                    <w:tcW w:w="1764" w:type="pct"/>
                  </w:tcPr>
                  <w:p>
                    <w:pPr>
                      <w:ind w:right="5"/>
                      <w:jc w:val="center"/>
                      <w:rPr>
                        <w:szCs w:val="21"/>
                      </w:rPr>
                    </w:pPr>
                    <w:r>
                      <w:rPr>
                        <w:rFonts w:hint="eastAsia"/>
                        <w:szCs w:val="21"/>
                      </w:rPr>
                      <w:t>应收股利</w:t>
                    </w:r>
                  </w:p>
                </w:tc>
              </w:sdtContent>
            </w:sdt>
            <w:tc>
              <w:tcPr>
                <w:tcW w:w="1622" w:type="pct"/>
                <w:vAlign w:val="center"/>
              </w:tcPr>
              <w:p>
                <w:pPr>
                  <w:jc w:val="right"/>
                  <w:rPr>
                    <w:sz w:val="24"/>
                  </w:rPr>
                </w:pPr>
                <w:r>
                  <w:t>98,858,043.12</w:t>
                </w:r>
              </w:p>
            </w:tc>
            <w:tc>
              <w:tcPr>
                <w:tcW w:w="1614" w:type="pct"/>
                <w:vAlign w:val="center"/>
              </w:tcPr>
              <w:p>
                <w:pPr>
                  <w:jc w:val="right"/>
                  <w:rPr>
                    <w:sz w:val="24"/>
                  </w:rPr>
                </w:pPr>
                <w:r>
                  <w:t>50,530,323.48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2a2907d83de84461a0358f08f3ff2448"/>
                <w:id w:val="2124497278"/>
                <w:lock w:val="sdtLocked"/>
              </w:sdtPr>
              <w:sdtContent>
                <w:tc>
                  <w:tcPr>
                    <w:tcW w:w="1764" w:type="pct"/>
                  </w:tcPr>
                  <w:p>
                    <w:pPr>
                      <w:ind w:right="5"/>
                      <w:jc w:val="center"/>
                      <w:rPr>
                        <w:szCs w:val="21"/>
                      </w:rPr>
                    </w:pPr>
                    <w:r>
                      <w:rPr>
                        <w:rFonts w:hint="eastAsia"/>
                        <w:szCs w:val="21"/>
                      </w:rPr>
                      <w:t>其他应收款</w:t>
                    </w:r>
                  </w:p>
                </w:tc>
              </w:sdtContent>
            </w:sdt>
            <w:tc>
              <w:tcPr>
                <w:tcW w:w="1622" w:type="pct"/>
                <w:vAlign w:val="center"/>
              </w:tcPr>
              <w:p>
                <w:pPr>
                  <w:jc w:val="right"/>
                  <w:rPr>
                    <w:sz w:val="24"/>
                  </w:rPr>
                </w:pPr>
                <w:r>
                  <w:t>6,544,980,989.10</w:t>
                </w:r>
              </w:p>
            </w:tc>
            <w:tc>
              <w:tcPr>
                <w:tcW w:w="1614" w:type="pct"/>
                <w:vAlign w:val="center"/>
              </w:tcPr>
              <w:p>
                <w:pPr>
                  <w:jc w:val="right"/>
                  <w:rPr>
                    <w:sz w:val="24"/>
                  </w:rPr>
                </w:pPr>
                <w:r>
                  <w:t>7,321,157,653.14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cfd0d36043fb47cda6f36f696576dc28"/>
                <w:id w:val="-613591871"/>
                <w:lock w:val="sdtLocked"/>
              </w:sdtPr>
              <w:sdtContent>
                <w:tc>
                  <w:tcPr>
                    <w:tcW w:w="1764" w:type="pct"/>
                    <w:vAlign w:val="center"/>
                  </w:tcPr>
                  <w:p>
                    <w:pPr>
                      <w:autoSpaceDE w:val="0"/>
                      <w:autoSpaceDN w:val="0"/>
                      <w:adjustRightInd w:val="0"/>
                      <w:jc w:val="center"/>
                      <w:rPr>
                        <w:szCs w:val="21"/>
                      </w:rPr>
                    </w:pPr>
                    <w:r>
                      <w:rPr>
                        <w:rFonts w:hint="eastAsia"/>
                        <w:szCs w:val="21"/>
                      </w:rPr>
                      <w:t>合计</w:t>
                    </w:r>
                  </w:p>
                </w:tc>
              </w:sdtContent>
            </w:sdt>
            <w:tc>
              <w:tcPr>
                <w:tcW w:w="1622" w:type="pct"/>
                <w:vAlign w:val="center"/>
              </w:tcPr>
              <w:p>
                <w:pPr>
                  <w:jc w:val="right"/>
                  <w:rPr>
                    <w:sz w:val="24"/>
                  </w:rPr>
                </w:pPr>
                <w:r>
                  <w:t>6,646,084,865.55</w:t>
                </w:r>
              </w:p>
            </w:tc>
            <w:tc>
              <w:tcPr>
                <w:tcW w:w="1614" w:type="pct"/>
                <w:vAlign w:val="center"/>
              </w:tcPr>
              <w:p>
                <w:pPr>
                  <w:jc w:val="right"/>
                  <w:rPr>
                    <w:sz w:val="24"/>
                  </w:rPr>
                </w:pPr>
                <w:r>
                  <w:t>7,371,687,976.62</w:t>
                </w:r>
              </w:p>
            </w:tc>
          </w:tr>
        </w:tbl>
        <w:p/>
      </w:sdtContent>
    </w:sdt>
    <w:bookmarkEnd w:id="231"/>
    <w:sdt>
      <w:sdtPr>
        <w:rPr>
          <w:rFonts w:hint="eastAsia"/>
          <w:szCs w:val="21"/>
        </w:rPr>
        <w:alias w:val="模块:其他应收款分类列示其他说明"/>
        <w:tag w:val="_SEC_1a3871c3656a46aa979e92498f91509a"/>
        <w:id w:val="-1579055872"/>
        <w:lock w:val="sdtLocked"/>
        <w:placeholder>
          <w:docPart w:val="GBC22222222222222222222222222222"/>
        </w:placeholder>
      </w:sdtPr>
      <w:sdtEndPr>
        <w:rPr>
          <w:rFonts w:hint="default"/>
          <w:szCs w:val="21"/>
        </w:rPr>
      </w:sdtEndPr>
      <w:sdtContent>
        <w:p>
          <w:pPr>
            <w:rPr>
              <w:szCs w:val="21"/>
            </w:rPr>
          </w:pPr>
          <w:bookmarkStart w:id="232" w:name="_Hlk533797002"/>
          <w:r>
            <w:rPr>
              <w:rFonts w:hint="eastAsia"/>
              <w:szCs w:val="21"/>
            </w:rPr>
            <w:t>其他说明：</w:t>
          </w:r>
        </w:p>
        <w:sdt>
          <w:sdtPr>
            <w:rPr>
              <w:szCs w:val="21"/>
            </w:rPr>
            <w:alias w:val="是否适用：母公司其他应收款分类列示其他说明[双击切换]"/>
            <w:tag w:val="_GBC_17d0b67d20cb486dbc08e07c11e1224a"/>
            <w:id w:val="-1940522764"/>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
          <w:sdtPr>
            <w:rPr>
              <w:szCs w:val="21"/>
            </w:rPr>
            <w:alias w:val="其他应收款分类列示其他说明"/>
            <w:tag w:val="_GBC_718d6186a5c34c599f3f71b3f2261292"/>
            <w:id w:val="301896701"/>
            <w:lock w:val="sdtLocked"/>
            <w:placeholder>
              <w:docPart w:val="GBC22222222222222222222222222222"/>
            </w:placeholder>
          </w:sdtPr>
          <w:sdtEndPr>
            <w:rPr>
              <w:szCs w:val="21"/>
            </w:rPr>
          </w:sdtEndPr>
          <w:sdtContent>
            <w:p>
              <w:r>
                <w:rPr>
                  <w:rFonts w:hint="eastAsia"/>
                  <w:szCs w:val="21"/>
                </w:rPr>
                <w:t>注：</w:t>
              </w:r>
              <w:r>
                <w:rPr>
                  <w:rFonts w:hint="eastAsia"/>
                </w:rPr>
                <w:t>上表中其他应收款指扣除应收利息、应收股利后的其他应收款</w:t>
              </w:r>
              <w:r>
                <w:t>。</w:t>
              </w:r>
            </w:p>
          </w:sdtContent>
        </w:sdt>
      </w:sdtContent>
    </w:sdt>
    <w:bookmarkEnd w:id="232"/>
    <w:p/>
    <w:p>
      <w:pPr>
        <w:pStyle w:val="115"/>
        <w:ind w:left="360" w:hanging="360"/>
      </w:pPr>
      <w:r>
        <w:rPr>
          <w:rFonts w:hint="eastAsia"/>
        </w:rPr>
        <w:t>应收利息</w:t>
      </w:r>
    </w:p>
    <w:sdt>
      <w:sdtPr>
        <w:rPr>
          <w:rFonts w:hint="eastAsia" w:eastAsia="宋体" w:cs="宋体" w:asciiTheme="minorHAnsi" w:hAnsiTheme="minorHAnsi"/>
          <w:b w:val="0"/>
          <w:bCs w:val="0"/>
          <w:kern w:val="0"/>
          <w:szCs w:val="22"/>
        </w:rPr>
        <w:alias w:val="模块:应收利息"/>
        <w:tag w:val="_SEC_e39fae55cd97406480ebaf5b6cc99a7a"/>
        <w:id w:val="1975170934"/>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115"/>
            <w:numPr>
              <w:ilvl w:val="3"/>
              <w:numId w:val="135"/>
            </w:numPr>
            <w:ind w:left="426" w:hanging="426"/>
          </w:pPr>
          <w:bookmarkStart w:id="233" w:name="_Hlk533797042"/>
          <w:r>
            <w:rPr>
              <w:rFonts w:hint="eastAsia"/>
            </w:rPr>
            <w:t>应收利息分类</w:t>
          </w:r>
        </w:p>
        <w:sdt>
          <w:sdtPr>
            <w:alias w:val="是否适用：母公司应收利息分类[双击切换]"/>
            <w:tag w:val="_GBC_5e0cba78d09b4764ada25ce89de1c4fd"/>
            <w:id w:val="-144723442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应收利息分类"/>
              <w:tag w:val="_GBC_7a0001fabb6242ed834e4235d98d017f"/>
              <w:id w:val="-11918387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应收利息分类"/>
              <w:tag w:val="_GBC_bbbc8d6589734ebf831c7fe6c69b9a4a"/>
              <w:id w:val="-10427505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2615"/>
            <w:gridCol w:w="2870"/>
            <w:gridCol w:w="2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283a945772634cb893569ce60668c3af"/>
                <w:id w:val="1914120979"/>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项目</w:t>
                    </w:r>
                  </w:p>
                </w:tc>
              </w:sdtContent>
            </w:sdt>
            <w:sdt>
              <w:sdtPr>
                <w:tag w:val="_PLD_963850a7b8854061898b018f0856d3cc"/>
                <w:id w:val="-881787344"/>
                <w:lock w:val="sdtLocked"/>
              </w:sdtPr>
              <w:sdtContent>
                <w:tc>
                  <w:tcPr>
                    <w:tcW w:w="1714" w:type="pct"/>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04b8bb5c6cf0413990926a86b23fd0a2"/>
                <w:id w:val="-608893188"/>
                <w:lock w:val="sdtLocked"/>
              </w:sdtPr>
              <w:sdtContent>
                <w:tc>
                  <w:tcPr>
                    <w:tcW w:w="1724" w:type="pct"/>
                  </w:tcPr>
                  <w:p>
                    <w:pPr>
                      <w:autoSpaceDE w:val="0"/>
                      <w:autoSpaceDN w:val="0"/>
                      <w:adjustRightInd w:val="0"/>
                      <w:snapToGrid w:val="0"/>
                      <w:spacing w:line="240" w:lineRule="atLeast"/>
                      <w:jc w:val="center"/>
                      <w:rPr>
                        <w:szCs w:val="21"/>
                      </w:rPr>
                    </w:pPr>
                    <w:r>
                      <w:rPr>
                        <w:rFonts w:hint="eastAsia"/>
                        <w:szCs w:val="21"/>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ee210257712b49959e46fd9aa00625b0"/>
                <w:id w:val="1245382769"/>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定期存款</w:t>
                    </w:r>
                  </w:p>
                </w:tc>
              </w:sdtContent>
            </w:sdt>
            <w:tc>
              <w:tcPr>
                <w:tcW w:w="1714" w:type="pct"/>
              </w:tcPr>
              <w:p>
                <w:pPr>
                  <w:jc w:val="right"/>
                  <w:rPr>
                    <w:szCs w:val="21"/>
                  </w:rPr>
                </w:pPr>
              </w:p>
            </w:tc>
            <w:tc>
              <w:tcPr>
                <w:tcW w:w="1724" w:type="pct"/>
              </w:tcPr>
              <w:p>
                <w:pPr>
                  <w:ind w:right="105" w:rightChars="5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d43696fa28ba47418b40f106483d505d"/>
                <w:id w:val="779620154"/>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委托贷款</w:t>
                    </w:r>
                  </w:p>
                </w:tc>
              </w:sdtContent>
            </w:sdt>
            <w:tc>
              <w:tcPr>
                <w:tcW w:w="1714" w:type="pct"/>
              </w:tcPr>
              <w:p>
                <w:pPr>
                  <w:ind w:right="105" w:rightChars="50"/>
                  <w:jc w:val="right"/>
                  <w:rPr>
                    <w:szCs w:val="21"/>
                  </w:rPr>
                </w:pPr>
              </w:p>
            </w:tc>
            <w:tc>
              <w:tcPr>
                <w:tcW w:w="1724" w:type="pct"/>
              </w:tcPr>
              <w:p>
                <w:pPr>
                  <w:ind w:right="105" w:rightChars="50"/>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13ff4231524544bebe672cd11045c8ae"/>
                <w:id w:val="2113318415"/>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债券投资</w:t>
                    </w:r>
                  </w:p>
                </w:tc>
              </w:sdtContent>
            </w:sdt>
            <w:tc>
              <w:tcPr>
                <w:tcW w:w="1714" w:type="pct"/>
              </w:tcPr>
              <w:p>
                <w:pPr>
                  <w:ind w:right="105" w:rightChars="50"/>
                  <w:jc w:val="right"/>
                  <w:rPr>
                    <w:szCs w:val="21"/>
                  </w:rPr>
                </w:pPr>
              </w:p>
            </w:tc>
            <w:tc>
              <w:tcPr>
                <w:tcW w:w="1724" w:type="pct"/>
              </w:tcPr>
              <w:p>
                <w:pPr>
                  <w:ind w:right="105" w:rightChars="50"/>
                  <w:jc w:val="right"/>
                  <w:rPr>
                    <w:szCs w:val="21"/>
                  </w:rPr>
                </w:pPr>
              </w:p>
            </w:tc>
          </w:tr>
          <w:sdt>
            <w:sdtPr>
              <w:rPr>
                <w:rFonts w:hint="eastAsia"/>
                <w:szCs w:val="21"/>
              </w:rPr>
              <w:alias w:val="应收利息明细"/>
              <w:tag w:val="_TUP_99a5854f53d241799871c763d218fdc1"/>
              <w:id w:val="-49950031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c>
                  <w:tcPr>
                    <w:tcW w:w="1562" w:type="pct"/>
                  </w:tcPr>
                  <w:p>
                    <w:pPr>
                      <w:autoSpaceDE w:val="0"/>
                      <w:autoSpaceDN w:val="0"/>
                      <w:adjustRightInd w:val="0"/>
                      <w:snapToGrid w:val="0"/>
                      <w:spacing w:line="240" w:lineRule="atLeast"/>
                      <w:jc w:val="center"/>
                      <w:rPr>
                        <w:szCs w:val="21"/>
                      </w:rPr>
                    </w:pPr>
                    <w:r>
                      <w:rPr>
                        <w:rFonts w:hint="eastAsia"/>
                        <w:szCs w:val="21"/>
                      </w:rPr>
                      <w:t>资金拆借</w:t>
                    </w:r>
                  </w:p>
                </w:tc>
                <w:tc>
                  <w:tcPr>
                    <w:tcW w:w="1714" w:type="pct"/>
                  </w:tcPr>
                  <w:p>
                    <w:pPr>
                      <w:jc w:val="right"/>
                      <w:rPr>
                        <w:szCs w:val="21"/>
                      </w:rPr>
                    </w:pPr>
                    <w:r>
                      <w:rPr>
                        <w:szCs w:val="21"/>
                      </w:rPr>
                      <w:t>2,245,833.33</w:t>
                    </w:r>
                  </w:p>
                </w:tc>
                <w:tc>
                  <w:tcPr>
                    <w:tcW w:w="1724" w:type="pct"/>
                  </w:tcPr>
                  <w:p>
                    <w:pPr>
                      <w:ind w:right="105" w:rightChars="50"/>
                      <w:jc w:val="right"/>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sdt>
              <w:sdtPr>
                <w:tag w:val="_PLD_147281093bf64e4e82aa755dcbc66977"/>
                <w:id w:val="30776656"/>
                <w:lock w:val="sdtLocked"/>
              </w:sdtPr>
              <w:sdtContent>
                <w:tc>
                  <w:tcPr>
                    <w:tcW w:w="156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714" w:type="pct"/>
              </w:tcPr>
              <w:p>
                <w:pPr>
                  <w:jc w:val="right"/>
                  <w:rPr>
                    <w:szCs w:val="21"/>
                  </w:rPr>
                </w:pPr>
                <w:r>
                  <w:rPr>
                    <w:szCs w:val="21"/>
                  </w:rPr>
                  <w:t>2,245,833.33</w:t>
                </w:r>
              </w:p>
            </w:tc>
            <w:tc>
              <w:tcPr>
                <w:tcW w:w="1724" w:type="pct"/>
              </w:tcPr>
              <w:p>
                <w:pPr>
                  <w:ind w:right="105" w:rightChars="50"/>
                  <w:jc w:val="right"/>
                  <w:rPr>
                    <w:szCs w:val="21"/>
                  </w:rPr>
                </w:pPr>
              </w:p>
            </w:tc>
          </w:tr>
        </w:tbl>
        <w:p>
          <w:pPr>
            <w:rPr>
              <w:szCs w:val="21"/>
            </w:rPr>
          </w:pPr>
        </w:p>
      </w:sdtContent>
    </w:sdt>
    <w:bookmarkEnd w:id="233"/>
    <w:sdt>
      <w:sdtPr>
        <w:rPr>
          <w:rFonts w:hint="eastAsia" w:ascii="宋体" w:hAnsi="宋体" w:eastAsia="宋体" w:cs="宋体"/>
          <w:b w:val="0"/>
          <w:bCs w:val="0"/>
          <w:kern w:val="0"/>
          <w:szCs w:val="24"/>
        </w:rPr>
        <w:alias w:val="模块:逾期利息"/>
        <w:tag w:val="_SEC_0eba643091a6470aada89466b37489ac"/>
        <w:id w:val="-50212375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5"/>
            </w:numPr>
            <w:ind w:left="426" w:hanging="426"/>
          </w:pPr>
          <w:bookmarkStart w:id="234" w:name="_Hlk533797114"/>
          <w:r>
            <w:rPr>
              <w:rFonts w:hint="eastAsia"/>
            </w:rPr>
            <w:t>重要逾期利息</w:t>
          </w:r>
        </w:p>
        <w:sdt>
          <w:sdtPr>
            <w:alias w:val="是否适用：母公司重要逾期利息[双击切换]"/>
            <w:tag w:val="_GBC_2d954f5af6a64a34941652eeb166dce8"/>
            <w:id w:val="-183337438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sdtContent>
    </w:sdt>
    <w:bookmarkEnd w:id="234"/>
    <w:sdt>
      <w:sdtPr>
        <w:rPr>
          <w:rFonts w:hint="eastAsia" w:ascii="宋体" w:hAnsi="宋体" w:eastAsia="宋体" w:cs="宋体"/>
          <w:b w:val="0"/>
          <w:bCs w:val="0"/>
          <w:kern w:val="0"/>
          <w:szCs w:val="24"/>
        </w:rPr>
        <w:alias w:val="模块:坏账准备的期初期末调节表"/>
        <w:tag w:val="_SEC_db389788aeeb4531b9fed1397a2cd7fe"/>
        <w:id w:val="2092348685"/>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5"/>
            </w:numPr>
            <w:ind w:left="426" w:hanging="426"/>
          </w:pPr>
          <w:bookmarkStart w:id="235" w:name="_Hlk533868784"/>
          <w:r>
            <w:rPr>
              <w:rFonts w:hint="eastAsia" w:ascii="宋体" w:hAnsi="宋体" w:eastAsia="宋体" w:cs="宋体"/>
              <w:bCs w:val="0"/>
              <w:kern w:val="0"/>
              <w:szCs w:val="24"/>
            </w:rPr>
            <w:t>坏账准备计提情况</w:t>
          </w:r>
        </w:p>
        <w:sdt>
          <w:sdtPr>
            <w:rPr>
              <w:szCs w:val="21"/>
            </w:rPr>
            <w:alias w:val="是否适用：母公司应收利息坏账准备调节表[双击切换]"/>
            <w:tag w:val="_GBC_f31c9323c5434941917fd7e42ea1fd1b"/>
            <w:id w:val="-7996493"/>
            <w:lock w:val="sdtLocked"/>
            <w:placeholder>
              <w:docPart w:val="GBC22222222222222222222222222222"/>
            </w:placeholder>
          </w:sdtPr>
          <w:sdtEndPr>
            <w:rPr>
              <w:szCs w:val="21"/>
            </w:rPr>
          </w:sdtEndPr>
          <w:sdtContent>
            <w:p>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sdtContent>
    </w:sdt>
    <w:bookmarkEnd w:id="235"/>
    <w:sdt>
      <w:sdtPr>
        <w:rPr>
          <w:rFonts w:hint="eastAsia"/>
          <w:b/>
          <w:bCs/>
        </w:rPr>
        <w:alias w:val="模块:应收利息的说明"/>
        <w:tag w:val="_SEC_420c39c62dbc49c58e111f47e5cba702"/>
        <w:id w:val="1647620099"/>
        <w:lock w:val="sdtLocked"/>
        <w:placeholder>
          <w:docPart w:val="GBC22222222222222222222222222222"/>
        </w:placeholder>
      </w:sdtPr>
      <w:sdtEndPr>
        <w:rPr>
          <w:rFonts w:hint="default"/>
          <w:b w:val="0"/>
          <w:bCs w:val="0"/>
          <w:szCs w:val="21"/>
        </w:rPr>
      </w:sdtEndPr>
      <w:sdtContent>
        <w:p>
          <w:bookmarkStart w:id="236" w:name="_Hlk533797211"/>
          <w:r>
            <w:rPr>
              <w:rFonts w:hint="eastAsia"/>
            </w:rPr>
            <w:t>其他说明：</w:t>
          </w:r>
        </w:p>
        <w:sdt>
          <w:sdtPr>
            <w:rPr>
              <w:szCs w:val="21"/>
            </w:rPr>
            <w:alias w:val="是否适用：母公司应收利息其他说明[双击切换]"/>
            <w:tag w:val="_GBC_422a110cf0624865b634bb6f2d1a28bd"/>
            <w:id w:val="213313501"/>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36"/>
    <w:p/>
    <w:p>
      <w:pPr>
        <w:pStyle w:val="115"/>
        <w:ind w:left="360" w:hanging="360"/>
      </w:pPr>
      <w:r>
        <w:rPr>
          <w:rFonts w:hint="eastAsia"/>
        </w:rPr>
        <w:t>应收股利</w:t>
      </w:r>
    </w:p>
    <w:sdt>
      <w:sdtPr>
        <w:rPr>
          <w:rFonts w:hint="eastAsia" w:eastAsia="宋体" w:asciiTheme="minorHAnsi" w:hAnsiTheme="minorHAnsi" w:cstheme="minorBidi"/>
          <w:b w:val="0"/>
          <w:bCs w:val="0"/>
          <w:kern w:val="0"/>
          <w:szCs w:val="22"/>
        </w:rPr>
        <w:alias w:val="模块:应收股利"/>
        <w:tag w:val="_SEC_97c2573729ab4e7fad4323aaa9228ada"/>
        <w:id w:val="1350382176"/>
        <w:lock w:val="sdtLocked"/>
        <w:placeholder>
          <w:docPart w:val="GBC22222222222222222222222222222"/>
        </w:placeholder>
      </w:sdtPr>
      <w:sdtEndPr>
        <w:rPr>
          <w:rFonts w:hint="eastAsia" w:ascii="Times New Roman" w:hAnsi="Times New Roman" w:eastAsia="宋体" w:cs="Times New Roman"/>
          <w:b w:val="0"/>
          <w:bCs w:val="0"/>
          <w:kern w:val="0"/>
          <w:szCs w:val="24"/>
        </w:rPr>
      </w:sdtEndPr>
      <w:sdtContent>
        <w:p>
          <w:pPr>
            <w:pStyle w:val="115"/>
            <w:numPr>
              <w:ilvl w:val="3"/>
              <w:numId w:val="135"/>
            </w:numPr>
            <w:ind w:left="426" w:hanging="426"/>
          </w:pPr>
          <w:bookmarkStart w:id="237" w:name="_Hlk533797257"/>
          <w:r>
            <w:rPr>
              <w:rFonts w:hint="eastAsia"/>
            </w:rPr>
            <w:t>应收股利</w:t>
          </w:r>
        </w:p>
        <w:sdt>
          <w:sdtPr>
            <w:alias w:val="是否适用：母公司应收股利[双击切换]"/>
            <w:tag w:val="_GBC_a52dcf5153694fbe9527781c61a5006e"/>
            <w:id w:val="-93089130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应收股利"/>
              <w:tag w:val="_GBC_6ca836a3bcad480a9c85951f0ab366a6"/>
              <w:id w:val="-145879214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应收股利"/>
              <w:tag w:val="_GBC_f127bcdbe1e14dfb9de9ff2ea28f8849"/>
              <w:id w:val="21140934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7"/>
            <w:gridCol w:w="2649"/>
            <w:gridCol w:w="2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f33eddb4e264906aec2f02b43b353c9"/>
                <w:id w:val="-1366520362"/>
                <w:lock w:val="sdtLocked"/>
              </w:sdtPr>
              <w:sdtContent>
                <w:tc>
                  <w:tcPr>
                    <w:tcW w:w="1886" w:type="pct"/>
                    <w:vAlign w:val="center"/>
                  </w:tcPr>
                  <w:p>
                    <w:pPr>
                      <w:jc w:val="center"/>
                      <w:rPr>
                        <w:szCs w:val="21"/>
                      </w:rPr>
                    </w:pPr>
                    <w:r>
                      <w:rPr>
                        <w:rFonts w:hint="eastAsia"/>
                        <w:szCs w:val="21"/>
                      </w:rPr>
                      <w:t>项目(或被投资单位)</w:t>
                    </w:r>
                  </w:p>
                </w:tc>
              </w:sdtContent>
            </w:sdt>
            <w:sdt>
              <w:sdtPr>
                <w:tag w:val="_PLD_d5c6465a5d04498caa02c0445ea9f2a6"/>
                <w:id w:val="-1553449236"/>
                <w:lock w:val="sdtLocked"/>
              </w:sdtPr>
              <w:sdtContent>
                <w:tc>
                  <w:tcPr>
                    <w:tcW w:w="1553" w:type="pct"/>
                    <w:vAlign w:val="center"/>
                  </w:tcPr>
                  <w:p>
                    <w:pPr>
                      <w:jc w:val="center"/>
                      <w:rPr>
                        <w:szCs w:val="21"/>
                      </w:rPr>
                    </w:pPr>
                    <w:r>
                      <w:rPr>
                        <w:rFonts w:hint="eastAsia"/>
                        <w:szCs w:val="21"/>
                      </w:rPr>
                      <w:t>期末余额</w:t>
                    </w:r>
                  </w:p>
                </w:tc>
              </w:sdtContent>
            </w:sdt>
            <w:sdt>
              <w:sdtPr>
                <w:tag w:val="_PLD_c14a5a3826574e7ebd8083db63a7a818"/>
                <w:id w:val="1185027977"/>
                <w:lock w:val="sdtLocked"/>
              </w:sdtPr>
              <w:sdtContent>
                <w:tc>
                  <w:tcPr>
                    <w:tcW w:w="1561" w:type="pct"/>
                    <w:vAlign w:val="center"/>
                  </w:tcPr>
                  <w:p>
                    <w:pPr>
                      <w:jc w:val="center"/>
                      <w:rPr>
                        <w:szCs w:val="21"/>
                      </w:rPr>
                    </w:pPr>
                    <w:r>
                      <w:rPr>
                        <w:rFonts w:hint="eastAsia"/>
                        <w:szCs w:val="21"/>
                      </w:rPr>
                      <w:t>期初余额</w:t>
                    </w:r>
                  </w:p>
                </w:tc>
              </w:sdtContent>
            </w:sdt>
          </w:tr>
          <w:sdt>
            <w:sdtPr>
              <w:rPr>
                <w:rFonts w:hint="eastAsia"/>
                <w:szCs w:val="21"/>
              </w:rPr>
              <w:alias w:val="应收股利明细"/>
              <w:tag w:val="_TUP_b0681d9cb56941359c9206686f31360e"/>
              <w:id w:val="581804878"/>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86" w:type="pct"/>
                  </w:tcPr>
                  <w:p>
                    <w:pPr>
                      <w:jc w:val="center"/>
                      <w:rPr>
                        <w:szCs w:val="21"/>
                      </w:rPr>
                    </w:pPr>
                    <w:r>
                      <w:t>重庆银行股份有限公司</w:t>
                    </w:r>
                  </w:p>
                </w:tc>
                <w:tc>
                  <w:tcPr>
                    <w:tcW w:w="1553" w:type="pct"/>
                  </w:tcPr>
                  <w:p>
                    <w:pPr>
                      <w:jc w:val="right"/>
                      <w:rPr>
                        <w:szCs w:val="21"/>
                      </w:rPr>
                    </w:pPr>
                    <w:r>
                      <w:t>98,858,043.12</w:t>
                    </w:r>
                  </w:p>
                </w:tc>
                <w:tc>
                  <w:tcPr>
                    <w:tcW w:w="1561" w:type="pct"/>
                  </w:tcPr>
                  <w:p>
                    <w:pPr>
                      <w:jc w:val="right"/>
                      <w:rPr>
                        <w:szCs w:val="21"/>
                      </w:rPr>
                    </w:pPr>
                    <w:r>
                      <w:t>50,530,323.48</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41a6bfa33b45a3a122df8cd1a46358"/>
                <w:id w:val="-1848865531"/>
                <w:lock w:val="sdtLocked"/>
              </w:sdtPr>
              <w:sdtContent>
                <w:tc>
                  <w:tcPr>
                    <w:tcW w:w="1886" w:type="pct"/>
                    <w:vAlign w:val="center"/>
                  </w:tcPr>
                  <w:p>
                    <w:pPr>
                      <w:jc w:val="center"/>
                      <w:rPr>
                        <w:szCs w:val="21"/>
                      </w:rPr>
                    </w:pPr>
                    <w:r>
                      <w:rPr>
                        <w:rFonts w:hint="eastAsia"/>
                        <w:szCs w:val="21"/>
                      </w:rPr>
                      <w:t>合计</w:t>
                    </w:r>
                  </w:p>
                </w:tc>
              </w:sdtContent>
            </w:sdt>
            <w:tc>
              <w:tcPr>
                <w:tcW w:w="1553" w:type="pct"/>
                <w:vAlign w:val="center"/>
              </w:tcPr>
              <w:p>
                <w:pPr>
                  <w:jc w:val="right"/>
                  <w:rPr>
                    <w:sz w:val="24"/>
                  </w:rPr>
                </w:pPr>
                <w:r>
                  <w:t>98,858,043.12</w:t>
                </w:r>
              </w:p>
            </w:tc>
            <w:tc>
              <w:tcPr>
                <w:tcW w:w="1561" w:type="pct"/>
                <w:vAlign w:val="center"/>
              </w:tcPr>
              <w:p>
                <w:pPr>
                  <w:jc w:val="right"/>
                  <w:rPr>
                    <w:sz w:val="24"/>
                  </w:rPr>
                </w:pPr>
                <w:r>
                  <w:t>50,530,323.48</w:t>
                </w:r>
              </w:p>
            </w:tc>
          </w:tr>
        </w:tbl>
        <w:p/>
        <w:p>
          <w:pPr>
            <w:rPr>
              <w:szCs w:val="21"/>
            </w:rPr>
          </w:pPr>
        </w:p>
      </w:sdtContent>
    </w:sdt>
    <w:bookmarkEnd w:id="237"/>
    <w:sdt>
      <w:sdtPr>
        <w:rPr>
          <w:rFonts w:hint="eastAsia" w:eastAsia="宋体" w:asciiTheme="minorHAnsi" w:hAnsiTheme="minorHAnsi" w:cstheme="minorBidi"/>
          <w:b w:val="0"/>
          <w:bCs w:val="0"/>
          <w:kern w:val="0"/>
          <w:szCs w:val="22"/>
        </w:rPr>
        <w:alias w:val="模块:重要的账龄超过1年的应收股利"/>
        <w:tag w:val="_SEC_dd6d08748fed41928b221e9407607582"/>
        <w:id w:val="-1538984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5"/>
            </w:numPr>
            <w:ind w:left="426" w:hanging="426"/>
          </w:pPr>
          <w:bookmarkStart w:id="238" w:name="_Hlk533797316"/>
          <w:r>
            <w:rPr>
              <w:rFonts w:hint="eastAsia"/>
            </w:rPr>
            <w:t>重要的账龄超过1年的应收股利</w:t>
          </w:r>
        </w:p>
        <w:sdt>
          <w:sdtPr>
            <w:rPr>
              <w:szCs w:val="21"/>
            </w:rPr>
            <w:alias w:val="是否适用：母公司重要的账龄超过1年的应收股利[双击切换]"/>
            <w:tag w:val="_GBC_70eb463d08894908bb104ae0b258e76e"/>
            <w:id w:val="-65475325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重要的账龄超过1年的应收股利"/>
              <w:tag w:val="_GBC_ccc4a2afec8d4488ab43babfe7e83619"/>
              <w:id w:val="-6956194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重要的账龄超过1年的应收股利"/>
              <w:tag w:val="_GBC_bd16cf0b9b1a44b6856a497f931a1f6d"/>
              <w:id w:val="-201135581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30" w:type="dxa"/>
              <w:bottom w:w="0" w:type="dxa"/>
              <w:right w:w="30" w:type="dxa"/>
            </w:tblCellMar>
          </w:tblPr>
          <w:tblGrid>
            <w:gridCol w:w="2431"/>
            <w:gridCol w:w="1735"/>
            <w:gridCol w:w="1468"/>
            <w:gridCol w:w="1468"/>
            <w:gridCol w:w="127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82c13b35472942129850199145046d38"/>
                <w:id w:val="1967235288"/>
                <w:lock w:val="sdtLocked"/>
              </w:sdtPr>
              <w:sdtContent>
                <w:tc>
                  <w:tcPr>
                    <w:tcW w:w="1452" w:type="pct"/>
                    <w:vAlign w:val="center"/>
                  </w:tcPr>
                  <w:p>
                    <w:pPr>
                      <w:autoSpaceDE w:val="0"/>
                      <w:autoSpaceDN w:val="0"/>
                      <w:adjustRightInd w:val="0"/>
                      <w:snapToGrid w:val="0"/>
                      <w:spacing w:line="240" w:lineRule="atLeast"/>
                      <w:jc w:val="center"/>
                      <w:rPr>
                        <w:szCs w:val="21"/>
                      </w:rPr>
                    </w:pPr>
                    <w:r>
                      <w:rPr>
                        <w:rFonts w:hint="eastAsia"/>
                        <w:szCs w:val="21"/>
                      </w:rPr>
                      <w:t>项目(或被投资单位)</w:t>
                    </w:r>
                  </w:p>
                </w:tc>
              </w:sdtContent>
            </w:sdt>
            <w:sdt>
              <w:sdtPr>
                <w:tag w:val="_PLD_79cf13728bc94cd5884047052a61d32d"/>
                <w:id w:val="-371620183"/>
                <w:lock w:val="sdtLocked"/>
              </w:sdtPr>
              <w:sdtContent>
                <w:tc>
                  <w:tcPr>
                    <w:tcW w:w="1036" w:type="pct"/>
                    <w:tcBorders>
                      <w:righ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期末余额</w:t>
                    </w:r>
                  </w:p>
                </w:tc>
              </w:sdtContent>
            </w:sdt>
            <w:sdt>
              <w:sdtPr>
                <w:tag w:val="_PLD_41fc8f50a28f42b78d1d3d42751a1f29"/>
                <w:id w:val="1338583388"/>
                <w:lock w:val="sdtLocked"/>
              </w:sdtPr>
              <w:sdtContent>
                <w:tc>
                  <w:tcPr>
                    <w:tcW w:w="877" w:type="pct"/>
                    <w:tcBorders>
                      <w:left w:val="single" w:color="auto" w:sz="4" w:space="0"/>
                    </w:tcBorders>
                    <w:vAlign w:val="center"/>
                  </w:tcPr>
                  <w:p>
                    <w:pPr>
                      <w:autoSpaceDE w:val="0"/>
                      <w:autoSpaceDN w:val="0"/>
                      <w:adjustRightInd w:val="0"/>
                      <w:snapToGrid w:val="0"/>
                      <w:spacing w:line="240" w:lineRule="atLeast"/>
                      <w:jc w:val="center"/>
                      <w:rPr>
                        <w:szCs w:val="21"/>
                      </w:rPr>
                    </w:pPr>
                    <w:r>
                      <w:rPr>
                        <w:rFonts w:hint="eastAsia"/>
                        <w:szCs w:val="21"/>
                      </w:rPr>
                      <w:t>账龄</w:t>
                    </w:r>
                  </w:p>
                </w:tc>
              </w:sdtContent>
            </w:sdt>
            <w:sdt>
              <w:sdtPr>
                <w:tag w:val="_PLD_945188cd24444b8594a060ccb8860236"/>
                <w:id w:val="-144746216"/>
                <w:lock w:val="sdtLocked"/>
              </w:sdtPr>
              <w:sdtContent>
                <w:tc>
                  <w:tcPr>
                    <w:tcW w:w="877" w:type="pct"/>
                    <w:vAlign w:val="center"/>
                  </w:tcPr>
                  <w:p>
                    <w:pPr>
                      <w:autoSpaceDE w:val="0"/>
                      <w:autoSpaceDN w:val="0"/>
                      <w:adjustRightInd w:val="0"/>
                      <w:snapToGrid w:val="0"/>
                      <w:spacing w:line="240" w:lineRule="atLeast"/>
                      <w:jc w:val="center"/>
                      <w:rPr>
                        <w:szCs w:val="21"/>
                      </w:rPr>
                    </w:pPr>
                    <w:r>
                      <w:rPr>
                        <w:rFonts w:hint="eastAsia"/>
                        <w:szCs w:val="21"/>
                      </w:rPr>
                      <w:t>未收回的原因</w:t>
                    </w:r>
                  </w:p>
                </w:tc>
              </w:sdtContent>
            </w:sdt>
            <w:sdt>
              <w:sdtPr>
                <w:tag w:val="_PLD_c42a64998ea641eda9978bc541038083"/>
                <w:id w:val="1142923606"/>
                <w:lock w:val="sdtLocked"/>
              </w:sdtPr>
              <w:sdtContent>
                <w:tc>
                  <w:tcPr>
                    <w:tcW w:w="758" w:type="pct"/>
                    <w:vAlign w:val="center"/>
                  </w:tcPr>
                  <w:p>
                    <w:pPr>
                      <w:autoSpaceDE w:val="0"/>
                      <w:autoSpaceDN w:val="0"/>
                      <w:adjustRightInd w:val="0"/>
                      <w:snapToGrid w:val="0"/>
                      <w:spacing w:line="240" w:lineRule="atLeast"/>
                      <w:jc w:val="center"/>
                      <w:rPr>
                        <w:szCs w:val="21"/>
                      </w:rPr>
                    </w:pPr>
                    <w:r>
                      <w:rPr>
                        <w:rFonts w:hint="eastAsia"/>
                        <w:szCs w:val="21"/>
                      </w:rPr>
                      <w:t>是否发生减值及其判断依据</w:t>
                    </w:r>
                  </w:p>
                </w:tc>
              </w:sdtContent>
            </w:sdt>
          </w:tr>
          <w:sdt>
            <w:sdtPr>
              <w:rPr>
                <w:szCs w:val="21"/>
              </w:rPr>
              <w:alias w:val="账龄一年以上的应收股利明细"/>
              <w:tag w:val="_TUP_2fa4510c8d684fa2be0c3b5903ed4f4c"/>
              <w:id w:val="1841811189"/>
              <w:lock w:val="sdtLocked"/>
            </w:sdtPr>
            <w:sdtEndPr>
              <w:rPr>
                <w:szCs w:val="21"/>
              </w:rPr>
            </w:sdtEndPr>
            <w:sdtConten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c>
                  <w:tcPr>
                    <w:tcW w:w="1452" w:type="pct"/>
                  </w:tcPr>
                  <w:p>
                    <w:pPr>
                      <w:jc w:val="center"/>
                      <w:rPr>
                        <w:szCs w:val="21"/>
                      </w:rPr>
                    </w:pPr>
                    <w:r>
                      <w:t>重庆银行股份有限公司</w:t>
                    </w:r>
                  </w:p>
                </w:tc>
                <w:tc>
                  <w:tcPr>
                    <w:tcW w:w="1036" w:type="pct"/>
                    <w:tcBorders>
                      <w:right w:val="single" w:color="auto" w:sz="4" w:space="0"/>
                    </w:tcBorders>
                  </w:tcPr>
                  <w:p>
                    <w:pPr>
                      <w:autoSpaceDE w:val="0"/>
                      <w:autoSpaceDN w:val="0"/>
                      <w:adjustRightInd w:val="0"/>
                      <w:snapToGrid w:val="0"/>
                      <w:spacing w:line="240" w:lineRule="atLeast"/>
                      <w:jc w:val="right"/>
                      <w:rPr>
                        <w:szCs w:val="21"/>
                      </w:rPr>
                    </w:pPr>
                    <w:r>
                      <w:t>50,530,323.48</w:t>
                    </w:r>
                  </w:p>
                </w:tc>
                <w:tc>
                  <w:tcPr>
                    <w:tcW w:w="877" w:type="pct"/>
                    <w:tcBorders>
                      <w:left w:val="single" w:color="auto" w:sz="4" w:space="0"/>
                    </w:tcBorders>
                  </w:tcPr>
                  <w:p>
                    <w:pPr>
                      <w:autoSpaceDE w:val="0"/>
                      <w:autoSpaceDN w:val="0"/>
                      <w:adjustRightInd w:val="0"/>
                      <w:snapToGrid w:val="0"/>
                      <w:spacing w:line="240" w:lineRule="atLeast"/>
                      <w:ind w:right="105" w:rightChars="50"/>
                      <w:jc w:val="center"/>
                      <w:rPr>
                        <w:szCs w:val="21"/>
                      </w:rPr>
                    </w:pPr>
                    <w:r>
                      <w:t>1-2年/2-3年</w:t>
                    </w:r>
                  </w:p>
                </w:tc>
                <w:tc>
                  <w:tcPr>
                    <w:tcW w:w="877" w:type="pct"/>
                  </w:tcPr>
                  <w:p>
                    <w:pPr>
                      <w:autoSpaceDE w:val="0"/>
                      <w:autoSpaceDN w:val="0"/>
                      <w:adjustRightInd w:val="0"/>
                      <w:snapToGrid w:val="0"/>
                      <w:spacing w:line="240" w:lineRule="atLeast"/>
                      <w:jc w:val="center"/>
                      <w:rPr>
                        <w:szCs w:val="21"/>
                      </w:rPr>
                    </w:pPr>
                    <w:r>
                      <w:t>股权被冻结</w:t>
                    </w:r>
                  </w:p>
                </w:tc>
                <w:sdt>
                  <w:sdtPr>
                    <w:rPr>
                      <w:szCs w:val="21"/>
                    </w:rPr>
                    <w:alias w:val="账龄一年以上的应收股利明细-相关款项是否发生减值及其判断依据"/>
                    <w:tag w:val="_GBC_33c9987bb048483fbc3e26689fd1a8fc"/>
                    <w:id w:val="-1024941794"/>
                    <w:lock w:val="sdtLocked"/>
                    <w:comboBox>
                      <w:listItem w:displayText="是" w:value="true"/>
                      <w:listItem w:displayText="否" w:value="false"/>
                    </w:comboBox>
                  </w:sdtPr>
                  <w:sdtEndPr>
                    <w:rPr>
                      <w:szCs w:val="21"/>
                    </w:rPr>
                  </w:sdtEndPr>
                  <w:sdtContent>
                    <w:tc>
                      <w:tcPr>
                        <w:tcW w:w="758" w:type="pct"/>
                      </w:tcPr>
                      <w:p>
                        <w:pPr>
                          <w:autoSpaceDE w:val="0"/>
                          <w:autoSpaceDN w:val="0"/>
                          <w:adjustRightInd w:val="0"/>
                          <w:snapToGrid w:val="0"/>
                          <w:spacing w:line="240" w:lineRule="atLeast"/>
                          <w:jc w:val="center"/>
                          <w:rPr>
                            <w:szCs w:val="21"/>
                          </w:rPr>
                        </w:pPr>
                        <w:r>
                          <w:rPr>
                            <w:szCs w:val="21"/>
                          </w:rPr>
                          <w:t>否</w:t>
                        </w:r>
                      </w:p>
                    </w:tc>
                  </w:sdtContent>
                </w:sdt>
              </w:tr>
            </w:sdtContent>
          </w:sdt>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sdt>
              <w:sdtPr>
                <w:tag w:val="_PLD_33a6ddaa9100452395a9dabcd35b26eb"/>
                <w:id w:val="-1374302054"/>
                <w:lock w:val="sdtLocked"/>
              </w:sdtPr>
              <w:sdtContent>
                <w:tc>
                  <w:tcPr>
                    <w:tcW w:w="1452" w:type="pct"/>
                  </w:tcPr>
                  <w:p>
                    <w:pPr>
                      <w:autoSpaceDE w:val="0"/>
                      <w:autoSpaceDN w:val="0"/>
                      <w:adjustRightInd w:val="0"/>
                      <w:snapToGrid w:val="0"/>
                      <w:spacing w:line="240" w:lineRule="atLeast"/>
                      <w:jc w:val="center"/>
                      <w:rPr>
                        <w:szCs w:val="21"/>
                      </w:rPr>
                    </w:pPr>
                    <w:r>
                      <w:rPr>
                        <w:rFonts w:hint="eastAsia"/>
                        <w:szCs w:val="21"/>
                      </w:rPr>
                      <w:t>合计</w:t>
                    </w:r>
                  </w:p>
                </w:tc>
              </w:sdtContent>
            </w:sdt>
            <w:tc>
              <w:tcPr>
                <w:tcW w:w="1036" w:type="pct"/>
                <w:tcBorders>
                  <w:right w:val="single" w:color="auto" w:sz="4" w:space="0"/>
                </w:tcBorders>
              </w:tcPr>
              <w:p>
                <w:pPr>
                  <w:jc w:val="right"/>
                </w:pPr>
                <w:r>
                  <w:t>50,530,323.48</w:t>
                </w:r>
              </w:p>
            </w:tc>
            <w:tc>
              <w:tcPr>
                <w:tcW w:w="877" w:type="pct"/>
                <w:tcBorders>
                  <w:left w:val="single" w:color="auto" w:sz="4" w:space="0"/>
                </w:tcBorders>
              </w:tcPr>
              <w:p>
                <w:pPr>
                  <w:jc w:val="center"/>
                  <w:rPr>
                    <w:color w:val="008000"/>
                    <w:szCs w:val="21"/>
                  </w:rPr>
                </w:pPr>
                <w:r>
                  <w:rPr>
                    <w:rFonts w:hint="eastAsia"/>
                    <w:szCs w:val="21"/>
                  </w:rPr>
                  <w:t>/</w:t>
                </w:r>
              </w:p>
            </w:tc>
            <w:tc>
              <w:tcPr>
                <w:tcW w:w="877" w:type="pct"/>
              </w:tcPr>
              <w:p>
                <w:pPr>
                  <w:jc w:val="center"/>
                  <w:rPr>
                    <w:szCs w:val="21"/>
                  </w:rPr>
                </w:pPr>
                <w:r>
                  <w:rPr>
                    <w:rFonts w:hint="eastAsia"/>
                    <w:szCs w:val="21"/>
                  </w:rPr>
                  <w:t>/</w:t>
                </w:r>
              </w:p>
            </w:tc>
            <w:tc>
              <w:tcPr>
                <w:tcW w:w="758" w:type="pct"/>
              </w:tcPr>
              <w:p>
                <w:pPr>
                  <w:jc w:val="center"/>
                  <w:rPr>
                    <w:szCs w:val="21"/>
                  </w:rPr>
                </w:pPr>
                <w:r>
                  <w:rPr>
                    <w:rFonts w:hint="eastAsia"/>
                    <w:szCs w:val="21"/>
                  </w:rPr>
                  <w:t>/</w:t>
                </w:r>
              </w:p>
            </w:tc>
          </w:tr>
        </w:tbl>
        <w:p/>
      </w:sdtContent>
    </w:sdt>
    <w:bookmarkEnd w:id="238"/>
    <w:sdt>
      <w:sdtPr>
        <w:rPr>
          <w:rFonts w:hint="eastAsia" w:ascii="宋体" w:hAnsi="宋体" w:eastAsia="宋体" w:cs="宋体"/>
          <w:b w:val="0"/>
          <w:bCs w:val="0"/>
          <w:kern w:val="0"/>
          <w:szCs w:val="24"/>
        </w:rPr>
        <w:alias w:val="模块:坏账准备的期初期末调节表"/>
        <w:tag w:val="_SEC_1be97d9195ef4b7391f2b818d70c754f"/>
        <w:id w:val="-1695689604"/>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3"/>
              <w:numId w:val="135"/>
            </w:numPr>
            <w:ind w:left="426" w:hanging="426"/>
          </w:pPr>
          <w:bookmarkStart w:id="239" w:name="_Hlk533868874"/>
          <w:r>
            <w:rPr>
              <w:rFonts w:hint="eastAsia" w:ascii="宋体" w:hAnsi="宋体" w:eastAsia="宋体" w:cs="宋体"/>
              <w:bCs w:val="0"/>
              <w:kern w:val="0"/>
              <w:szCs w:val="24"/>
            </w:rPr>
            <w:t>坏账准备计提情况</w:t>
          </w:r>
        </w:p>
        <w:sdt>
          <w:sdtPr>
            <w:alias w:val="是否适用：母公司应收股利坏账准备调节表[双击切换]"/>
            <w:tag w:val="_GBC_5cbd8c1c52fa42d19db26aadad6a74b8"/>
            <w:id w:val="-134077275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39"/>
    <w:sdt>
      <w:sdtPr>
        <w:rPr>
          <w:rFonts w:hint="eastAsia"/>
          <w:szCs w:val="21"/>
        </w:rPr>
        <w:alias w:val="模块:应收股利的说明"/>
        <w:tag w:val="_SEC_4b48a7a88233455db21eb1078781bdde"/>
        <w:id w:val="-674030632"/>
        <w:lock w:val="sdtLocked"/>
        <w:placeholder>
          <w:docPart w:val="GBC22222222222222222222222222222"/>
        </w:placeholder>
      </w:sdtPr>
      <w:sdtEndPr>
        <w:rPr>
          <w:rFonts w:hint="default"/>
          <w:szCs w:val="21"/>
        </w:rPr>
      </w:sdtEndPr>
      <w:sdtContent>
        <w:p>
          <w:pPr>
            <w:rPr>
              <w:szCs w:val="21"/>
            </w:rPr>
          </w:pPr>
          <w:bookmarkStart w:id="240" w:name="_Hlk533797406"/>
          <w:r>
            <w:rPr>
              <w:rFonts w:hint="eastAsia"/>
              <w:szCs w:val="21"/>
            </w:rPr>
            <w:t>其他说明：</w:t>
          </w:r>
        </w:p>
        <w:sdt>
          <w:sdtPr>
            <w:rPr>
              <w:szCs w:val="21"/>
            </w:rPr>
            <w:alias w:val="是否适用：母公司应收股利其他说明[双击切换]"/>
            <w:tag w:val="_GBC_75450c3c0332439986937f5dec59f65c"/>
            <w:id w:val="104236943"/>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bookmarkEnd w:id="240"/>
    <w:p/>
    <w:p>
      <w:pPr>
        <w:pStyle w:val="115"/>
        <w:ind w:left="360" w:hanging="360"/>
      </w:pPr>
      <w:r>
        <w:rPr>
          <w:rFonts w:hint="eastAsia"/>
        </w:rPr>
        <w:t>其他应收款</w:t>
      </w:r>
    </w:p>
    <w:sdt>
      <w:sdtPr>
        <w:rPr>
          <w:rFonts w:hint="eastAsia" w:ascii="宋体" w:hAnsi="宋体" w:eastAsia="宋体" w:cs="宋体"/>
          <w:b w:val="0"/>
          <w:bCs w:val="0"/>
          <w:kern w:val="0"/>
          <w:szCs w:val="24"/>
        </w:rPr>
        <w:alias w:val="模块:按账龄披露"/>
        <w:tag w:val="_SEC_9f001837707a4e748573115d0229b591"/>
        <w:id w:val="1597895966"/>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115"/>
            <w:numPr>
              <w:ilvl w:val="0"/>
              <w:numId w:val="136"/>
            </w:numPr>
          </w:pPr>
          <w:bookmarkStart w:id="241" w:name="_Hlk533797447"/>
          <w:r>
            <w:rPr>
              <w:rFonts w:hint="eastAsia"/>
            </w:rPr>
            <w:t>按账龄披露</w:t>
          </w:r>
        </w:p>
        <w:sdt>
          <w:sdtPr>
            <w:rPr>
              <w:szCs w:val="21"/>
            </w:rPr>
            <w:alias w:val="是否适用：母公司其他应收款按账龄披露[双击切换]"/>
            <w:tag w:val="_GBC_5c11b96990fa439da812b87b47ed4c80"/>
            <w:id w:val="-1992084406"/>
            <w:lock w:val="sdtLocked"/>
            <w:placeholder>
              <w:docPart w:val="GBC22222222222222222222222222222"/>
            </w:placeholder>
          </w:sdtPr>
          <w:sdtEndPr>
            <w:rPr>
              <w:szCs w:val="21"/>
            </w:rPr>
          </w:sdtEndPr>
          <w:sdtContent>
            <w:p>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母公司其他应收款按账龄披露"/>
              <w:tag w:val="_GBC_41616ef98f834aa2b100f687773d3969"/>
              <w:id w:val="145837951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按账龄披露"/>
              <w:tag w:val="_GBC_5e3917487f6647c3bad62a8fb87ea91e"/>
              <w:id w:val="149514868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8"/>
            <w:gridCol w:w="2221"/>
            <w:gridCol w:w="2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b6e0031222146c590a7f36a89af5d89"/>
                <w:id w:val="2129662183"/>
                <w:lock w:val="sdtLocked"/>
              </w:sdtPr>
              <w:sdtContent>
                <w:tc>
                  <w:tcPr>
                    <w:tcW w:w="196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账龄</w:t>
                    </w:r>
                  </w:p>
                </w:tc>
              </w:sdtContent>
            </w:sdt>
            <w:sdt>
              <w:sdtPr>
                <w:tag w:val="_PLD_b7a8f0ef2fc44826974051ac32f6569e"/>
                <w:id w:val="-1265532104"/>
                <w:lock w:val="sdtLocked"/>
              </w:sdtPr>
              <w:sdtContent>
                <w:tc>
                  <w:tcPr>
                    <w:tcW w:w="1302"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期末账面余额</w:t>
                    </w:r>
                  </w:p>
                </w:tc>
              </w:sdtContent>
            </w:sdt>
            <w:tc>
              <w:tcPr>
                <w:tcW w:w="172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期初账面余额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aa09828675c94452a03d450effabdb09"/>
                <w:id w:val="1196433422"/>
                <w:lock w:val="sdtLocked"/>
              </w:sdtPr>
              <w:sdtContent>
                <w:tc>
                  <w:tcPr>
                    <w:tcW w:w="5000" w:type="pct"/>
                    <w:gridSpan w:val="3"/>
                    <w:tcBorders>
                      <w:top w:val="single" w:color="auto" w:sz="4" w:space="0"/>
                      <w:left w:val="single" w:color="auto" w:sz="4" w:space="0"/>
                      <w:bottom w:val="single" w:color="auto" w:sz="4" w:space="0"/>
                      <w:right w:val="single" w:color="auto" w:sz="4" w:space="0"/>
                    </w:tcBorders>
                  </w:tcPr>
                  <w:p>
                    <w:pPr>
                      <w:rPr>
                        <w:color w:val="FF0000"/>
                        <w:szCs w:val="21"/>
                      </w:rPr>
                    </w:pPr>
                    <w:r>
                      <w:rPr>
                        <w:rFonts w:hint="eastAsia"/>
                        <w:szCs w:val="21"/>
                      </w:rPr>
                      <w:t>1年以内</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b4e83e918d2f4cbf873eb1b02624a672"/>
                <w:id w:val="251556309"/>
                <w:lock w:val="sdtLocked"/>
              </w:sdtPr>
              <w:sdtContent>
                <w:tc>
                  <w:tcPr>
                    <w:tcW w:w="5000" w:type="pct"/>
                    <w:gridSpan w:val="3"/>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其中：1年以内分项</w:t>
                    </w:r>
                  </w:p>
                </w:tc>
              </w:sdtContent>
            </w:sdt>
          </w:tr>
          <w:sdt>
            <w:sdtPr>
              <w:rPr>
                <w:rFonts w:hint="eastAsia" w:asciiTheme="minorHAnsi" w:hAnsiTheme="minorHAnsi" w:eastAsiaTheme="minorEastAsia" w:cstheme="minorBidi"/>
                <w:kern w:val="2"/>
                <w:szCs w:val="21"/>
              </w:rPr>
              <w:alias w:val="一年以内其他应收款金额明细"/>
              <w:tag w:val="_TUP_203a5c6f6bd849ce89daa93732cb6683"/>
              <w:id w:val="-1411835747"/>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69" w:type="pct"/>
                    <w:tcBorders>
                      <w:top w:val="single" w:color="auto" w:sz="4" w:space="0"/>
                      <w:left w:val="single" w:color="auto" w:sz="4" w:space="0"/>
                      <w:bottom w:val="single" w:color="auto" w:sz="4" w:space="0"/>
                      <w:right w:val="single" w:color="auto" w:sz="4" w:space="0"/>
                    </w:tcBorders>
                  </w:tcPr>
                  <w:p>
                    <w:pPr>
                      <w:rPr>
                        <w:szCs w:val="21"/>
                      </w:rPr>
                    </w:pPr>
                    <w:r>
                      <w:t>0－6个月</w:t>
                    </w:r>
                  </w:p>
                </w:tc>
                <w:tc>
                  <w:tcPr>
                    <w:tcW w:w="1302" w:type="pct"/>
                    <w:tcBorders>
                      <w:top w:val="single" w:color="auto" w:sz="4" w:space="0"/>
                      <w:left w:val="single" w:color="auto" w:sz="4" w:space="0"/>
                      <w:bottom w:val="single" w:color="auto" w:sz="4" w:space="0"/>
                      <w:right w:val="single" w:color="auto" w:sz="4" w:space="0"/>
                    </w:tcBorders>
                  </w:tcPr>
                  <w:p>
                    <w:pPr>
                      <w:jc w:val="right"/>
                      <w:rPr>
                        <w:szCs w:val="21"/>
                      </w:rPr>
                    </w:pPr>
                    <w:r>
                      <w:t>3,179,412,520.63</w:t>
                    </w:r>
                  </w:p>
                </w:tc>
                <w:sdt>
                  <w:sdtPr>
                    <w:alias w:val="期初账面余额"/>
                    <w:tag w:val="_GBC_467d27f080914322a89cc08144251f2d"/>
                    <w:id w:val="1395386601"/>
                    <w:lock w:val="sdtLocked"/>
                  </w:sdtPr>
                  <w:sdtContent>
                    <w:tc>
                      <w:tcPr>
                        <w:tcW w:w="1729" w:type="pct"/>
                        <w:tcBorders>
                          <w:top w:val="single" w:color="auto" w:sz="4" w:space="0"/>
                          <w:left w:val="single" w:color="auto" w:sz="4" w:space="0"/>
                          <w:bottom w:val="single" w:color="auto" w:sz="4" w:space="0"/>
                          <w:right w:val="single" w:color="auto" w:sz="4" w:space="0"/>
                        </w:tcBorders>
                      </w:tcPr>
                      <w:p>
                        <w:pPr>
                          <w:jc w:val="right"/>
                          <w:rPr>
                            <w:szCs w:val="21"/>
                          </w:rPr>
                        </w:pPr>
                        <w:r>
                          <w:t>4,304,304,295.67</w:t>
                        </w:r>
                      </w:p>
                    </w:tc>
                  </w:sdtContent>
                </w:sdt>
              </w:tr>
            </w:sdtContent>
          </w:sdt>
          <w:sdt>
            <w:sdtPr>
              <w:rPr>
                <w:rFonts w:hint="eastAsia" w:asciiTheme="minorHAnsi" w:hAnsiTheme="minorHAnsi" w:eastAsiaTheme="minorEastAsia" w:cstheme="minorBidi"/>
                <w:kern w:val="2"/>
                <w:szCs w:val="21"/>
              </w:rPr>
              <w:alias w:val="一年以内其他应收款金额明细"/>
              <w:tag w:val="_TUP_203a5c6f6bd849ce89daa93732cb6683"/>
              <w:id w:val="-961187669"/>
              <w:lock w:val="sdtLocked"/>
            </w:sdtPr>
            <w:sdtEndPr>
              <w:rPr>
                <w:rFonts w:hint="eastAsia"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969" w:type="pct"/>
                    <w:tcBorders>
                      <w:top w:val="single" w:color="auto" w:sz="4" w:space="0"/>
                      <w:left w:val="single" w:color="auto" w:sz="4" w:space="0"/>
                      <w:bottom w:val="single" w:color="auto" w:sz="4" w:space="0"/>
                      <w:right w:val="single" w:color="auto" w:sz="4" w:space="0"/>
                    </w:tcBorders>
                  </w:tcPr>
                  <w:p>
                    <w:pPr>
                      <w:rPr>
                        <w:szCs w:val="21"/>
                      </w:rPr>
                    </w:pPr>
                    <w:r>
                      <w:t>6个月－1年</w:t>
                    </w:r>
                  </w:p>
                </w:tc>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r>
                      <w:t>24,033,890.78</w:t>
                    </w:r>
                  </w:p>
                </w:tc>
                <w:sdt>
                  <w:sdtPr>
                    <w:alias w:val="期初账面余额"/>
                    <w:tag w:val="_GBC_467d27f080914322a89cc08144251f2d"/>
                    <w:id w:val="-1680961375"/>
                    <w:lock w:val="sdtLocked"/>
                  </w:sdtPr>
                  <w:sdtContent>
                    <w:tc>
                      <w:tcPr>
                        <w:tcW w:w="1729" w:type="pct"/>
                        <w:tcBorders>
                          <w:top w:val="single" w:color="auto" w:sz="4" w:space="0"/>
                          <w:left w:val="single" w:color="auto" w:sz="4" w:space="0"/>
                          <w:bottom w:val="single" w:color="auto" w:sz="4" w:space="0"/>
                          <w:right w:val="single" w:color="auto" w:sz="4" w:space="0"/>
                        </w:tcBorders>
                      </w:tcPr>
                      <w:p>
                        <w:pPr>
                          <w:jc w:val="right"/>
                          <w:rPr>
                            <w:szCs w:val="21"/>
                          </w:rPr>
                        </w:pPr>
                        <w:r>
                          <w:t>2,209,376,100.46</w:t>
                        </w:r>
                      </w:p>
                    </w:tc>
                  </w:sdtContent>
                </w:sdt>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2bd42e1725dc4d958c3d78b2ac54993c"/>
                <w:id w:val="-1511515976"/>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1年以内小计</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r>
                  <w:t>3,203,446,411.41</w:t>
                </w:r>
              </w:p>
            </w:tc>
            <w:tc>
              <w:tcPr>
                <w:tcW w:w="1729"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6</w:t>
                </w:r>
                <w:r>
                  <w:rPr>
                    <w:rFonts w:hint="eastAsia"/>
                    <w:szCs w:val="21"/>
                  </w:rPr>
                  <w:t>,</w:t>
                </w:r>
                <w:r>
                  <w:rPr>
                    <w:szCs w:val="21"/>
                  </w:rPr>
                  <w:t>513</w:t>
                </w:r>
                <w:r>
                  <w:rPr>
                    <w:rFonts w:hint="eastAsia"/>
                    <w:szCs w:val="21"/>
                  </w:rPr>
                  <w:t>,</w:t>
                </w:r>
                <w:r>
                  <w:rPr>
                    <w:szCs w:val="21"/>
                  </w:rPr>
                  <w:t>680</w:t>
                </w:r>
                <w:r>
                  <w:rPr>
                    <w:rFonts w:hint="eastAsia"/>
                    <w:szCs w:val="21"/>
                  </w:rPr>
                  <w:t>,</w:t>
                </w:r>
                <w:r>
                  <w:rPr>
                    <w:szCs w:val="21"/>
                  </w:rPr>
                  <w:t>396.13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b295760b85b94947a6ad5c12a8473fc6"/>
                <w:id w:val="-1560165117"/>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1至2年</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r>
                  <w:t>2,572,317,437.17</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23,800.00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312d6acbf264aa98fed1c58941b83ed"/>
                <w:id w:val="1486828789"/>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2至3年</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79,552,000.00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351283d3715846b881cd8b124c458d71"/>
                <w:id w:val="-353418193"/>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3年以上</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b1c91c3990a84e939d457adc3bdb1876"/>
                <w:id w:val="480357599"/>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3至4年</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r>
                  <w:t>3,336,421.22</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665,758,442.94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9fca30ebf7624dc09019e71101e0bed5"/>
                <w:id w:val="984439359"/>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4至5年</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r>
                  <w:t>665,758,442.94</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151,798,532.33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89debe9f331a40d8b1cebf8df7dd2ef7"/>
                <w:id w:val="1953203959"/>
                <w:lock w:val="sdtLocked"/>
              </w:sdtPr>
              <w:sdtContent>
                <w:tc>
                  <w:tcPr>
                    <w:tcW w:w="1969" w:type="pct"/>
                    <w:tcBorders>
                      <w:top w:val="single" w:color="auto" w:sz="4" w:space="0"/>
                      <w:left w:val="single" w:color="auto" w:sz="4" w:space="0"/>
                      <w:bottom w:val="single" w:color="auto" w:sz="4" w:space="0"/>
                      <w:right w:val="single" w:color="auto" w:sz="4" w:space="0"/>
                    </w:tcBorders>
                  </w:tcPr>
                  <w:p>
                    <w:pPr>
                      <w:rPr>
                        <w:szCs w:val="21"/>
                      </w:rPr>
                    </w:pPr>
                    <w:r>
                      <w:rPr>
                        <w:rFonts w:hint="eastAsia"/>
                        <w:szCs w:val="21"/>
                      </w:rPr>
                      <w:t>5年以上</w:t>
                    </w:r>
                  </w:p>
                </w:tc>
              </w:sdtContent>
            </w:sdt>
            <w:tc>
              <w:tcPr>
                <w:tcW w:w="1302" w:type="pct"/>
                <w:tcBorders>
                  <w:top w:val="single" w:color="auto" w:sz="4" w:space="0"/>
                  <w:left w:val="single" w:color="auto" w:sz="4" w:space="0"/>
                  <w:bottom w:val="single" w:color="auto" w:sz="4" w:space="0"/>
                  <w:right w:val="single" w:color="auto" w:sz="4" w:space="0"/>
                </w:tcBorders>
                <w:vAlign w:val="center"/>
              </w:tcPr>
              <w:p>
                <w:pPr>
                  <w:jc w:val="right"/>
                  <w:rPr>
                    <w:sz w:val="24"/>
                  </w:rPr>
                </w:pPr>
                <w:r>
                  <w:t>101,901,032.33</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102,500.00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fd195ee4a8be4228aad7b7bd4a201d76"/>
                <w:id w:val="23924528"/>
                <w:lock w:val="sdtLocked"/>
              </w:sdtPr>
              <w:sdtContent>
                <w:tc>
                  <w:tcPr>
                    <w:tcW w:w="1969"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rFonts w:hint="eastAsia"/>
                        <w:szCs w:val="21"/>
                      </w:rPr>
                      <w:t>合计</w:t>
                    </w:r>
                  </w:p>
                </w:tc>
              </w:sdtContent>
            </w:sdt>
            <w:tc>
              <w:tcPr>
                <w:tcW w:w="1302" w:type="pct"/>
                <w:tcBorders>
                  <w:top w:val="single" w:color="auto" w:sz="4" w:space="0"/>
                  <w:left w:val="single" w:color="auto" w:sz="4" w:space="0"/>
                  <w:bottom w:val="single" w:color="auto" w:sz="4" w:space="0"/>
                  <w:right w:val="single" w:color="auto" w:sz="4" w:space="0"/>
                </w:tcBorders>
              </w:tcPr>
              <w:p>
                <w:pPr>
                  <w:jc w:val="right"/>
                  <w:rPr>
                    <w:szCs w:val="21"/>
                  </w:rPr>
                </w:pPr>
                <w:r>
                  <w:rPr>
                    <w:szCs w:val="21"/>
                  </w:rPr>
                  <w:t>6,546,759,745.07</w:t>
                </w:r>
              </w:p>
            </w:tc>
            <w:tc>
              <w:tcPr>
                <w:tcW w:w="1729" w:type="pct"/>
                <w:tcBorders>
                  <w:top w:val="single" w:color="auto" w:sz="4" w:space="0"/>
                  <w:left w:val="single" w:color="auto" w:sz="4" w:space="0"/>
                  <w:bottom w:val="single" w:color="auto" w:sz="4" w:space="0"/>
                  <w:right w:val="single" w:color="auto" w:sz="4" w:space="0"/>
                </w:tcBorders>
                <w:vAlign w:val="center"/>
              </w:tcPr>
              <w:p>
                <w:pPr>
                  <w:jc w:val="right"/>
                  <w:rPr>
                    <w:sz w:val="24"/>
                  </w:rPr>
                </w:pPr>
                <w:r>
                  <w:t>7,410,915,671.40</w:t>
                </w:r>
              </w:p>
            </w:tc>
          </w:tr>
        </w:tbl>
        <w:p/>
        <w:p/>
      </w:sdtContent>
    </w:sdt>
    <w:sdt>
      <w:sdtPr>
        <w:rPr>
          <w:rFonts w:hint="eastAsia" w:ascii="宋体" w:hAnsi="宋体" w:eastAsia="宋体" w:cs="宋体"/>
          <w:b w:val="0"/>
          <w:bCs w:val="0"/>
          <w:kern w:val="0"/>
          <w:szCs w:val="24"/>
        </w:rPr>
        <w:alias w:val="模块:按款项性质分类情况"/>
        <w:tag w:val="_SEC_71c0adb787a04266be2102ec385a07d9"/>
        <w:id w:val="-1217349279"/>
        <w:lock w:val="sdtLocked"/>
        <w:placeholder>
          <w:docPart w:val="GBC22222222222222222222222222222"/>
        </w:placeholder>
      </w:sdtPr>
      <w:sdtEndPr>
        <w:rPr>
          <w:rFonts w:hint="eastAsia" w:ascii="宋体" w:hAnsi="宋体" w:eastAsia="宋体" w:cs="宋体"/>
          <w:b w:val="0"/>
          <w:bCs w:val="0"/>
          <w:kern w:val="0"/>
          <w:szCs w:val="24"/>
        </w:rPr>
      </w:sdtEndPr>
      <w:sdtContent>
        <w:p>
          <w:pPr>
            <w:pStyle w:val="115"/>
            <w:numPr>
              <w:ilvl w:val="0"/>
              <w:numId w:val="136"/>
            </w:numPr>
          </w:pPr>
          <w:r>
            <w:rPr>
              <w:rFonts w:hint="eastAsia"/>
            </w:rPr>
            <w:t>按款项性质分类情况</w:t>
          </w:r>
        </w:p>
        <w:p>
          <w:sdt>
            <w:sdtPr>
              <w:alias w:val="是否适用：母公司其他应收款按款项性质分类情况[双击切换]"/>
              <w:tag w:val="_GBC_a5e5418d19394a1c8f8093184d9b360a"/>
              <w:id w:val="-547761894"/>
              <w:lock w:val="sdtLocked"/>
              <w:placeholder>
                <w:docPart w:val="GBC22222222222222222222222222222"/>
              </w:placeholder>
            </w:sdtPr>
            <w:sdtContent>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sdtContent>
          </w:sdt>
        </w:p>
        <w:p>
          <w:pPr>
            <w:jc w:val="right"/>
          </w:pPr>
          <w:r>
            <w:rPr>
              <w:rFonts w:hint="eastAsia"/>
            </w:rPr>
            <w:t>单位：</w:t>
          </w:r>
          <w:sdt>
            <w:sdtPr>
              <w:rPr>
                <w:rFonts w:hint="eastAsia"/>
              </w:rPr>
              <w:alias w:val="单位：财务附注：母公司其他应收款按款项性质分类情况"/>
              <w:tag w:val="_GBC_451485fc33dc4b2c9be5a44730242ca7"/>
              <w:id w:val="69813128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19035948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0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00"/>
            <w:gridCol w:w="2809"/>
            <w:gridCol w:w="2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a2a2127303b4deebb2bcaea193eb6d9"/>
                <w:id w:val="-748503735"/>
                <w:lock w:val="sdtLocked"/>
              </w:sdtPr>
              <w:sdtContent>
                <w:tc>
                  <w:tcPr>
                    <w:tcW w:w="1700" w:type="pct"/>
                  </w:tcPr>
                  <w:p>
                    <w:pPr>
                      <w:widowControl w:val="0"/>
                      <w:jc w:val="center"/>
                    </w:pPr>
                    <w:r>
                      <w:rPr>
                        <w:rFonts w:hint="eastAsia"/>
                      </w:rPr>
                      <w:t>款项性质</w:t>
                    </w:r>
                  </w:p>
                </w:tc>
              </w:sdtContent>
            </w:sdt>
            <w:sdt>
              <w:sdtPr>
                <w:tag w:val="_PLD_aa55d719329144e5a0eafd36222d0851"/>
                <w:id w:val="-116835736"/>
                <w:lock w:val="sdtLocked"/>
              </w:sdtPr>
              <w:sdtContent>
                <w:tc>
                  <w:tcPr>
                    <w:tcW w:w="1647" w:type="pct"/>
                  </w:tcPr>
                  <w:p>
                    <w:pPr>
                      <w:widowControl w:val="0"/>
                      <w:jc w:val="center"/>
                    </w:pPr>
                    <w:r>
                      <w:rPr>
                        <w:rFonts w:hint="eastAsia"/>
                      </w:rPr>
                      <w:t>期末账面余额</w:t>
                    </w:r>
                  </w:p>
                </w:tc>
              </w:sdtContent>
            </w:sdt>
            <w:sdt>
              <w:sdtPr>
                <w:tag w:val="_PLD_146282129b6a4b52a6963dad9647679a"/>
                <w:id w:val="-384331350"/>
                <w:lock w:val="sdtLocked"/>
              </w:sdtPr>
              <w:sdtContent>
                <w:tc>
                  <w:tcPr>
                    <w:tcW w:w="1653" w:type="pct"/>
                  </w:tcPr>
                  <w:p>
                    <w:pPr>
                      <w:widowControl w:val="0"/>
                      <w:jc w:val="center"/>
                    </w:pPr>
                    <w:r>
                      <w:rPr>
                        <w:rFonts w:hint="eastAsia"/>
                      </w:rPr>
                      <w:t>期初账面余额</w:t>
                    </w:r>
                  </w:p>
                </w:tc>
              </w:sdtContent>
            </w:sdt>
          </w:tr>
          <w:sdt>
            <w:sdtPr>
              <w:rPr>
                <w:rFonts w:hint="eastAsia" w:asciiTheme="minorHAnsi" w:hAnsiTheme="minorHAnsi" w:eastAsiaTheme="minorEastAsia" w:cstheme="minorBidi"/>
                <w:kern w:val="2"/>
                <w:szCs w:val="22"/>
              </w:rPr>
              <w:alias w:val="其他应收款按款项性质分类情况明细"/>
              <w:tag w:val="_TUP_48f6c039e4a84e3fbd2e75f4cdeeeb67"/>
              <w:id w:val="-1915617002"/>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highlight w:val="yellow"/>
                      </w:rPr>
                    </w:pPr>
                    <w:r>
                      <w:t>押金及保证金</w:t>
                    </w:r>
                  </w:p>
                </w:tc>
                <w:tc>
                  <w:tcPr>
                    <w:tcW w:w="1647" w:type="pct"/>
                  </w:tcPr>
                  <w:p>
                    <w:pPr>
                      <w:widowControl w:val="0"/>
                      <w:jc w:val="right"/>
                    </w:pPr>
                    <w:r>
                      <w:t>127,500.00</w:t>
                    </w:r>
                  </w:p>
                </w:tc>
                <w:tc>
                  <w:tcPr>
                    <w:tcW w:w="1653" w:type="pct"/>
                  </w:tcPr>
                  <w:p>
                    <w:pPr>
                      <w:widowControl w:val="0"/>
                      <w:jc w:val="right"/>
                    </w:pPr>
                    <w:r>
                      <w:t>27,500.00</w:t>
                    </w:r>
                  </w:p>
                </w:tc>
              </w:tr>
            </w:sdtContent>
          </w:sdt>
          <w:sdt>
            <w:sdtPr>
              <w:rPr>
                <w:rFonts w:hint="eastAsia" w:asciiTheme="minorHAnsi" w:hAnsiTheme="minorHAnsi" w:eastAsiaTheme="minorEastAsia" w:cstheme="minorBidi"/>
                <w:kern w:val="2"/>
                <w:szCs w:val="22"/>
              </w:rPr>
              <w:alias w:val="其他应收款按款项性质分类情况明细"/>
              <w:tag w:val="_TUP_48f6c039e4a84e3fbd2e75f4cdeeeb67"/>
              <w:id w:val="-266088587"/>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highlight w:val="yellow"/>
                      </w:rPr>
                    </w:pPr>
                    <w:r>
                      <w:t>往来款</w:t>
                    </w:r>
                  </w:p>
                </w:tc>
                <w:tc>
                  <w:tcPr>
                    <w:tcW w:w="1647" w:type="pct"/>
                  </w:tcPr>
                  <w:p>
                    <w:pPr>
                      <w:widowControl w:val="0"/>
                      <w:jc w:val="right"/>
                    </w:pPr>
                    <w:r>
                      <w:t>6,543,190,270.21</w:t>
                    </w:r>
                  </w:p>
                </w:tc>
                <w:tc>
                  <w:tcPr>
                    <w:tcW w:w="1653" w:type="pct"/>
                  </w:tcPr>
                  <w:p>
                    <w:pPr>
                      <w:widowControl w:val="0"/>
                      <w:jc w:val="right"/>
                    </w:pPr>
                    <w:r>
                      <w:t>6,578,603,827.36</w:t>
                    </w:r>
                  </w:p>
                </w:tc>
              </w:tr>
            </w:sdtContent>
          </w:sdt>
          <w:sdt>
            <w:sdtPr>
              <w:rPr>
                <w:rFonts w:hint="eastAsia" w:asciiTheme="minorHAnsi" w:hAnsiTheme="minorHAnsi" w:eastAsiaTheme="minorEastAsia" w:cstheme="minorBidi"/>
                <w:kern w:val="2"/>
                <w:szCs w:val="22"/>
              </w:rPr>
              <w:alias w:val="其他应收款按款项性质分类情况明细"/>
              <w:tag w:val="_TUP_48f6c039e4a84e3fbd2e75f4cdeeeb67"/>
              <w:id w:val="588507028"/>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highlight w:val="yellow"/>
                      </w:rPr>
                    </w:pPr>
                    <w:r>
                      <w:t>备用金</w:t>
                    </w:r>
                  </w:p>
                </w:tc>
                <w:tc>
                  <w:tcPr>
                    <w:tcW w:w="1647" w:type="pct"/>
                  </w:tcPr>
                  <w:p>
                    <w:pPr>
                      <w:widowControl w:val="0"/>
                      <w:jc w:val="right"/>
                    </w:pPr>
                    <w:r>
                      <w:t>98,800.00</w:t>
                    </w:r>
                  </w:p>
                </w:tc>
                <w:tc>
                  <w:tcPr>
                    <w:tcW w:w="1653" w:type="pct"/>
                  </w:tcPr>
                  <w:p>
                    <w:pPr>
                      <w:widowControl w:val="0"/>
                      <w:jc w:val="right"/>
                    </w:pPr>
                    <w:r>
                      <w:t>178,800.00</w:t>
                    </w:r>
                  </w:p>
                </w:tc>
              </w:tr>
            </w:sdtContent>
          </w:sdt>
          <w:sdt>
            <w:sdtPr>
              <w:rPr>
                <w:rFonts w:hint="eastAsia" w:asciiTheme="minorHAnsi" w:hAnsiTheme="minorHAnsi" w:eastAsiaTheme="minorEastAsia" w:cstheme="minorBidi"/>
                <w:kern w:val="2"/>
                <w:szCs w:val="22"/>
              </w:rPr>
              <w:alias w:val="其他应收款按款项性质分类情况明细"/>
              <w:tag w:val="_TUP_48f6c039e4a84e3fbd2e75f4cdeeeb67"/>
              <w:id w:val="2102142828"/>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highlight w:val="yellow"/>
                      </w:rPr>
                    </w:pPr>
                    <w:r>
                      <w:t>应收股权转让款</w:t>
                    </w:r>
                  </w:p>
                </w:tc>
                <w:tc>
                  <w:tcPr>
                    <w:tcW w:w="1647" w:type="pct"/>
                  </w:tcPr>
                  <w:p>
                    <w:pPr>
                      <w:widowControl w:val="0"/>
                      <w:jc w:val="right"/>
                    </w:pPr>
                    <w:r>
                      <w:t>3,336,421.22</w:t>
                    </w:r>
                  </w:p>
                </w:tc>
                <w:tc>
                  <w:tcPr>
                    <w:tcW w:w="1653" w:type="pct"/>
                  </w:tcPr>
                  <w:p>
                    <w:pPr>
                      <w:widowControl w:val="0"/>
                      <w:jc w:val="right"/>
                    </w:pPr>
                    <w:r>
                      <w:t>79,552,000.00</w:t>
                    </w:r>
                  </w:p>
                </w:tc>
              </w:tr>
            </w:sdtContent>
          </w:sdt>
          <w:sdt>
            <w:sdtPr>
              <w:rPr>
                <w:rFonts w:hint="eastAsia" w:asciiTheme="minorHAnsi" w:hAnsiTheme="minorHAnsi" w:eastAsiaTheme="minorEastAsia" w:cstheme="minorBidi"/>
                <w:kern w:val="2"/>
                <w:szCs w:val="22"/>
              </w:rPr>
              <w:alias w:val="其他应收款按款项性质分类情况明细"/>
              <w:tag w:val="_TUP_48f6c039e4a84e3fbd2e75f4cdeeeb67"/>
              <w:id w:val="-1619607408"/>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highlight w:val="yellow"/>
                      </w:rPr>
                    </w:pPr>
                    <w:r>
                      <w:t>应收管理人账户资金</w:t>
                    </w:r>
                  </w:p>
                </w:tc>
                <w:tc>
                  <w:tcPr>
                    <w:tcW w:w="1647" w:type="pct"/>
                  </w:tcPr>
                  <w:p>
                    <w:pPr>
                      <w:widowControl w:val="0"/>
                      <w:jc w:val="right"/>
                    </w:pPr>
                  </w:p>
                </w:tc>
                <w:tc>
                  <w:tcPr>
                    <w:tcW w:w="1653" w:type="pct"/>
                  </w:tcPr>
                  <w:p>
                    <w:pPr>
                      <w:widowControl w:val="0"/>
                      <w:jc w:val="right"/>
                    </w:pPr>
                    <w:r>
                      <w:t>752,546,990.29</w:t>
                    </w:r>
                  </w:p>
                </w:tc>
              </w:tr>
            </w:sdtContent>
          </w:sdt>
          <w:sdt>
            <w:sdtPr>
              <w:rPr>
                <w:rFonts w:hint="eastAsia" w:asciiTheme="minorHAnsi" w:hAnsiTheme="minorHAnsi" w:eastAsiaTheme="minorEastAsia" w:cstheme="minorBidi"/>
                <w:kern w:val="2"/>
                <w:szCs w:val="22"/>
              </w:rPr>
              <w:alias w:val="其他应收款按款项性质分类情况明细"/>
              <w:tag w:val="_TUP_48f6c039e4a84e3fbd2e75f4cdeeeb67"/>
              <w:id w:val="-1126310566"/>
              <w:lock w:val="sdtLocked"/>
            </w:sdtPr>
            <w:sdtEndPr>
              <w:rPr>
                <w:rFonts w:hint="eastAsia"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0" w:type="pct"/>
                  </w:tcPr>
                  <w:p>
                    <w:pPr>
                      <w:widowControl w:val="0"/>
                      <w:jc w:val="center"/>
                      <w:rPr>
                        <w:highlight w:val="yellow"/>
                      </w:rPr>
                    </w:pPr>
                    <w:r>
                      <w:t>其他</w:t>
                    </w:r>
                  </w:p>
                </w:tc>
                <w:tc>
                  <w:tcPr>
                    <w:tcW w:w="1647" w:type="pct"/>
                  </w:tcPr>
                  <w:p>
                    <w:pPr>
                      <w:widowControl w:val="0"/>
                      <w:jc w:val="right"/>
                    </w:pPr>
                    <w:r>
                      <w:t>6,753.64</w:t>
                    </w:r>
                  </w:p>
                </w:tc>
                <w:tc>
                  <w:tcPr>
                    <w:tcW w:w="1653" w:type="pct"/>
                  </w:tcPr>
                  <w:p>
                    <w:pPr>
                      <w:widowControl w:val="0"/>
                      <w:jc w:val="right"/>
                    </w:pPr>
                    <w:r>
                      <w:t>6,553.75</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1f66553994c94872937c5863bb704857"/>
                <w:id w:val="575175735"/>
                <w:lock w:val="sdtLocked"/>
              </w:sdtPr>
              <w:sdtContent>
                <w:tc>
                  <w:tcPr>
                    <w:tcW w:w="1700" w:type="pct"/>
                  </w:tcPr>
                  <w:p>
                    <w:pPr>
                      <w:widowControl w:val="0"/>
                      <w:jc w:val="center"/>
                    </w:pPr>
                    <w:r>
                      <w:t>合计</w:t>
                    </w:r>
                  </w:p>
                </w:tc>
              </w:sdtContent>
            </w:sdt>
            <w:tc>
              <w:tcPr>
                <w:tcW w:w="1647" w:type="pct"/>
                <w:vAlign w:val="center"/>
              </w:tcPr>
              <w:p>
                <w:pPr>
                  <w:widowControl w:val="0"/>
                  <w:jc w:val="right"/>
                  <w:rPr>
                    <w:sz w:val="24"/>
                  </w:rPr>
                </w:pPr>
                <w:r>
                  <w:t>6,546,759,745.07</w:t>
                </w:r>
              </w:p>
            </w:tc>
            <w:tc>
              <w:tcPr>
                <w:tcW w:w="1653" w:type="pct"/>
                <w:vAlign w:val="center"/>
              </w:tcPr>
              <w:p>
                <w:pPr>
                  <w:widowControl w:val="0"/>
                  <w:jc w:val="right"/>
                  <w:rPr>
                    <w:sz w:val="24"/>
                  </w:rPr>
                </w:pPr>
                <w:r>
                  <w:t>7,410,915,671.40</w:t>
                </w:r>
              </w:p>
            </w:tc>
          </w:tr>
        </w:tbl>
        <w:p/>
      </w:sdtContent>
    </w:sdt>
    <w:bookmarkEnd w:id="241"/>
    <w:sdt>
      <w:sdtPr>
        <w:rPr>
          <w:rFonts w:hint="eastAsia" w:ascii="宋体" w:hAnsi="宋体" w:eastAsia="宋体" w:cs="宋体"/>
          <w:b w:val="0"/>
          <w:bCs w:val="0"/>
          <w:kern w:val="0"/>
          <w:szCs w:val="24"/>
        </w:rPr>
        <w:alias w:val="模块:坏账准备的期初期末调节表"/>
        <w:tag w:val="_SEC_fa119e5c9017431b9876ee9427039406"/>
        <w:id w:val="-896120283"/>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0"/>
              <w:numId w:val="136"/>
            </w:numPr>
          </w:pPr>
          <w:bookmarkStart w:id="242" w:name="_Hlk533870927"/>
          <w:r>
            <w:rPr>
              <w:rFonts w:hint="eastAsia" w:ascii="宋体" w:hAnsi="宋体" w:eastAsia="宋体" w:cs="宋体"/>
              <w:bCs w:val="0"/>
              <w:kern w:val="0"/>
              <w:szCs w:val="24"/>
            </w:rPr>
            <w:t>坏账准备计提情况</w:t>
          </w:r>
        </w:p>
        <w:sdt>
          <w:sdtPr>
            <w:alias w:val="是否适用：母公司其他应收款坏账准备调节表[双击切换]"/>
            <w:tag w:val="_GBC_34d55fda2adc4508bb77a03583cd3d2d"/>
            <w:id w:val="792324806"/>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autoSpaceDE w:val="0"/>
            <w:autoSpaceDN w:val="0"/>
            <w:adjustRightInd w:val="0"/>
            <w:ind w:right="105" w:rightChars="50"/>
            <w:jc w:val="right"/>
            <w:rPr>
              <w:szCs w:val="21"/>
            </w:rPr>
          </w:pPr>
          <w:r>
            <w:rPr>
              <w:rFonts w:hint="eastAsia"/>
              <w:szCs w:val="21"/>
            </w:rPr>
            <w:t>单位：</w:t>
          </w:r>
          <w:sdt>
            <w:sdtPr>
              <w:rPr>
                <w:rFonts w:hint="eastAsia"/>
                <w:szCs w:val="21"/>
              </w:rPr>
              <w:alias w:val="单位：母公司其他应收款坏账准备调节表"/>
              <w:tag w:val="_GBC_b494dbb0c2794f39b9fb29a12fc478f8"/>
              <w:id w:val="3603335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其他应收款坏账准备调节表"/>
              <w:tag w:val="_GBC_a5fe64b13e1448e3b1446e3cf0428cfc"/>
              <w:id w:val="-7586030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284"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2"/>
            <w:gridCol w:w="1686"/>
            <w:gridCol w:w="1773"/>
            <w:gridCol w:w="1774"/>
            <w:gridCol w:w="1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b2d66f9e3e44f9a3867e2f9fa483ea"/>
                <w:id w:val="-1652667458"/>
                <w:lock w:val="sdtLocked"/>
              </w:sdtPr>
              <w:sdtContent>
                <w:tc>
                  <w:tcPr>
                    <w:tcW w:w="1161" w:type="pct"/>
                    <w:vMerge w:val="restart"/>
                    <w:vAlign w:val="center"/>
                  </w:tcPr>
                  <w:p>
                    <w:pPr>
                      <w:pStyle w:val="185"/>
                      <w:spacing w:after="0"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坏账准备</w:t>
                    </w:r>
                  </w:p>
                </w:tc>
              </w:sdtContent>
            </w:sdt>
            <w:sdt>
              <w:sdtPr>
                <w:tag w:val="_PLD_34b0b4bcbee6472f945ee1ca26e45970"/>
                <w:id w:val="78637305"/>
                <w:lock w:val="sdtLocked"/>
              </w:sdtPr>
              <w:sdtContent>
                <w:tc>
                  <w:tcPr>
                    <w:tcW w:w="935" w:type="pct"/>
                    <w:vAlign w:val="center"/>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第一阶段</w:t>
                    </w:r>
                  </w:p>
                </w:tc>
              </w:sdtContent>
            </w:sdt>
            <w:sdt>
              <w:sdtPr>
                <w:tag w:val="_PLD_aa89fd65169d424f824fd7e383c25916"/>
                <w:id w:val="209467889"/>
                <w:lock w:val="sdtLocked"/>
              </w:sdtPr>
              <w:sdtContent>
                <w:tc>
                  <w:tcPr>
                    <w:tcW w:w="984" w:type="pct"/>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第二阶段</w:t>
                    </w:r>
                  </w:p>
                </w:tc>
              </w:sdtContent>
            </w:sdt>
            <w:sdt>
              <w:sdtPr>
                <w:tag w:val="_PLD_12639a93161546c79f54a930c0ece668"/>
                <w:id w:val="857464343"/>
                <w:lock w:val="sdtLocked"/>
              </w:sdtPr>
              <w:sdtContent>
                <w:tc>
                  <w:tcPr>
                    <w:tcW w:w="985" w:type="pct"/>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第三阶段</w:t>
                    </w:r>
                  </w:p>
                </w:tc>
              </w:sdtContent>
            </w:sdt>
            <w:sdt>
              <w:sdtPr>
                <w:tag w:val="_PLD_5a93d463a9c749a7a3988972a030308e"/>
                <w:id w:val="-2074037878"/>
                <w:lock w:val="sdtLocked"/>
              </w:sdtPr>
              <w:sdtContent>
                <w:tc>
                  <w:tcPr>
                    <w:tcW w:w="935" w:type="pct"/>
                    <w:vMerge w:val="restart"/>
                    <w:vAlign w:val="center"/>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合计</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pct"/>
                <w:vMerge w:val="continue"/>
                <w:vAlign w:val="center"/>
              </w:tcPr>
              <w:p>
                <w:pPr>
                  <w:jc w:val="center"/>
                  <w:rPr>
                    <w:color w:val="008000"/>
                    <w:szCs w:val="21"/>
                  </w:rPr>
                </w:pPr>
              </w:p>
            </w:tc>
            <w:sdt>
              <w:sdtPr>
                <w:tag w:val="_PLD_6c31319b241149a587899b0690e3641d"/>
                <w:id w:val="1738196691"/>
                <w:lock w:val="sdtLocked"/>
              </w:sdtPr>
              <w:sdtContent>
                <w:tc>
                  <w:tcPr>
                    <w:tcW w:w="935" w:type="pct"/>
                    <w:vAlign w:val="center"/>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未来12个月预期信用损失</w:t>
                    </w:r>
                  </w:p>
                </w:tc>
              </w:sdtContent>
            </w:sdt>
            <w:sdt>
              <w:sdtPr>
                <w:tag w:val="_PLD_4c23d250a4214769af939ed6c6506e15"/>
                <w:id w:val="-208335950"/>
                <w:lock w:val="sdtLocked"/>
              </w:sdtPr>
              <w:sdtContent>
                <w:tc>
                  <w:tcPr>
                    <w:tcW w:w="984" w:type="pct"/>
                    <w:vAlign w:val="center"/>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整个存续期预期信用损失(未发生信用减值)</w:t>
                    </w:r>
                  </w:p>
                </w:tc>
              </w:sdtContent>
            </w:sdt>
            <w:sdt>
              <w:sdtPr>
                <w:tag w:val="_PLD_96f4d1ff5d1541a5bcedcc9d7d297735"/>
                <w:id w:val="-247350155"/>
                <w:lock w:val="sdtLocked"/>
              </w:sdtPr>
              <w:sdtContent>
                <w:tc>
                  <w:tcPr>
                    <w:tcW w:w="985" w:type="pct"/>
                    <w:vAlign w:val="center"/>
                  </w:tcPr>
                  <w:p>
                    <w:pPr>
                      <w:pStyle w:val="185"/>
                      <w:spacing w:line="240" w:lineRule="auto"/>
                      <w:jc w:val="center"/>
                      <w:rPr>
                        <w:rFonts w:ascii="宋体" w:hAnsi="宋体" w:eastAsia="宋体" w:cs="宋体"/>
                        <w:sz w:val="21"/>
                        <w:szCs w:val="21"/>
                        <w:lang w:eastAsia="zh-CN"/>
                      </w:rPr>
                    </w:pPr>
                    <w:r>
                      <w:rPr>
                        <w:rFonts w:hint="eastAsia" w:ascii="宋体" w:hAnsi="宋体" w:eastAsia="宋体" w:cs="宋体"/>
                        <w:sz w:val="21"/>
                        <w:szCs w:val="21"/>
                        <w:lang w:eastAsia="zh-CN"/>
                      </w:rPr>
                      <w:t>整个存续期预期信用损失(已发生信用减值)</w:t>
                    </w:r>
                  </w:p>
                </w:tc>
              </w:sdtContent>
            </w:sdt>
            <w:tc>
              <w:tcPr>
                <w:tcW w:w="935" w:type="pct"/>
                <w:vMerge w:val="continue"/>
              </w:tcPr>
              <w:p>
                <w:pPr>
                  <w:jc w:val="center"/>
                  <w:rPr>
                    <w:color w:val="008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36c6852b25a4d6c858770d90584cecd"/>
                <w:id w:val="799884979"/>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ascii="宋体" w:hAnsi="宋体" w:eastAsia="宋体" w:cs="宋体"/>
                        <w:sz w:val="21"/>
                        <w:szCs w:val="21"/>
                        <w:lang w:eastAsia="zh-CN"/>
                      </w:rPr>
                      <w:t>2021年</w:t>
                    </w:r>
                    <w:r>
                      <w:rPr>
                        <w:rFonts w:hint="eastAsia" w:ascii="宋体" w:hAnsi="宋体" w:eastAsia="宋体" w:cs="宋体"/>
                        <w:sz w:val="21"/>
                        <w:szCs w:val="21"/>
                        <w:lang w:eastAsia="zh-CN"/>
                      </w:rPr>
                      <w:t>1月1日余额</w:t>
                    </w:r>
                  </w:p>
                </w:tc>
              </w:sdtContent>
            </w:sdt>
            <w:tc>
              <w:tcPr>
                <w:tcW w:w="935" w:type="pct"/>
                <w:vAlign w:val="center"/>
              </w:tcPr>
              <w:p>
                <w:pPr>
                  <w:jc w:val="right"/>
                  <w:rPr>
                    <w:sz w:val="24"/>
                  </w:rPr>
                </w:pPr>
                <w:r>
                  <w:t>89,758,018.26</w:t>
                </w:r>
              </w:p>
            </w:tc>
            <w:tc>
              <w:tcPr>
                <w:tcW w:w="984" w:type="pct"/>
                <w:vAlign w:val="center"/>
              </w:tcPr>
              <w:p>
                <w:pPr>
                  <w:jc w:val="right"/>
                  <w:rPr>
                    <w:sz w:val="24"/>
                  </w:rPr>
                </w:pPr>
              </w:p>
            </w:tc>
            <w:tc>
              <w:tcPr>
                <w:tcW w:w="985" w:type="pct"/>
                <w:vAlign w:val="center"/>
              </w:tcPr>
              <w:p>
                <w:pPr>
                  <w:jc w:val="right"/>
                  <w:rPr>
                    <w:sz w:val="24"/>
                  </w:rPr>
                </w:pPr>
              </w:p>
            </w:tc>
            <w:tc>
              <w:tcPr>
                <w:tcW w:w="935" w:type="pct"/>
                <w:vAlign w:val="center"/>
              </w:tcPr>
              <w:p>
                <w:pPr>
                  <w:jc w:val="right"/>
                  <w:rPr>
                    <w:sz w:val="24"/>
                  </w:rPr>
                </w:pPr>
                <w:r>
                  <w:t>89,758,018.26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d76e101f18446c7aefc9b77547c240d"/>
                <w:id w:val="-1796590576"/>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2021年1月1日余额在本期</w:t>
                    </w:r>
                  </w:p>
                </w:tc>
              </w:sdtContent>
            </w:sdt>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e010be371bc49ac988bdf2cd90316dd"/>
                <w:id w:val="-1396731963"/>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--转入第二阶段</w:t>
                    </w:r>
                  </w:p>
                </w:tc>
              </w:sdtContent>
            </w:sdt>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3738a038d3449bca2847d835279dc89"/>
                <w:id w:val="-608126966"/>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--转入第三阶段</w:t>
                    </w:r>
                  </w:p>
                </w:tc>
              </w:sdtContent>
            </w:sdt>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fa70f36c93c48438cc961eb5a2a425b"/>
                <w:id w:val="-1285890309"/>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--转回第二阶段</w:t>
                    </w:r>
                  </w:p>
                </w:tc>
              </w:sdtContent>
            </w:sdt>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e20cbca965349efad48e278ca08bce9"/>
                <w:id w:val="-1476438513"/>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--转回第一阶段</w:t>
                    </w:r>
                  </w:p>
                </w:tc>
              </w:sdtContent>
            </w:sdt>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c9dbe685d24b538a9f91471f897441"/>
                <w:id w:val="-979844242"/>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本期计提</w:t>
                    </w:r>
                  </w:p>
                </w:tc>
              </w:sdtContent>
            </w:sdt>
            <w:tc>
              <w:tcPr>
                <w:tcW w:w="935" w:type="pct"/>
                <w:vAlign w:val="center"/>
              </w:tcPr>
              <w:p>
                <w:pPr>
                  <w:jc w:val="right"/>
                  <w:rPr>
                    <w:sz w:val="24"/>
                  </w:rPr>
                </w:pPr>
                <w:r>
                  <w:t>-88,151,166.29</w:t>
                </w:r>
              </w:p>
            </w:tc>
            <w:tc>
              <w:tcPr>
                <w:tcW w:w="984" w:type="pct"/>
                <w:vAlign w:val="center"/>
              </w:tcPr>
              <w:p>
                <w:pPr>
                  <w:jc w:val="right"/>
                  <w:rPr>
                    <w:sz w:val="24"/>
                  </w:rPr>
                </w:pPr>
              </w:p>
            </w:tc>
            <w:tc>
              <w:tcPr>
                <w:tcW w:w="985" w:type="pct"/>
                <w:vAlign w:val="center"/>
              </w:tcPr>
              <w:p>
                <w:pPr>
                  <w:jc w:val="right"/>
                  <w:rPr>
                    <w:sz w:val="24"/>
                  </w:rPr>
                </w:pPr>
              </w:p>
            </w:tc>
            <w:tc>
              <w:tcPr>
                <w:tcW w:w="935" w:type="pct"/>
                <w:vAlign w:val="center"/>
              </w:tcPr>
              <w:p>
                <w:pPr>
                  <w:jc w:val="right"/>
                  <w:rPr>
                    <w:sz w:val="24"/>
                  </w:rPr>
                </w:pPr>
                <w:r>
                  <w:t>-88,151,166.29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pct"/>
                <w:vAlign w:val="center"/>
              </w:tcPr>
              <w:sdt>
                <w:sdtPr>
                  <w:rPr>
                    <w:rFonts w:hint="eastAsia" w:asciiTheme="minorEastAsia" w:hAnsiTheme="minorEastAsia" w:eastAsiaTheme="minorEastAsia"/>
                    <w:sz w:val="21"/>
                    <w:szCs w:val="21"/>
                    <w:lang w:eastAsia="zh-CN"/>
                  </w:rPr>
                  <w:tag w:val="_PLD_79504f893fac4dabb6855f65540330eb"/>
                  <w:id w:val="-1214267815"/>
                  <w:lock w:val="sdtLocked"/>
                </w:sdtPr>
                <w:sdtEndPr>
                  <w:rPr>
                    <w:rFonts w:hint="eastAsia" w:asciiTheme="minorEastAsia" w:hAnsiTheme="minorEastAsia" w:eastAsiaTheme="minorEastAsia"/>
                    <w:sz w:val="21"/>
                    <w:szCs w:val="21"/>
                    <w:lang w:eastAsia="zh-CN"/>
                  </w:rPr>
                </w:sdtEndPr>
                <w:sdtContent>
                  <w:p>
                    <w:pPr>
                      <w:pStyle w:val="185"/>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本期转回</w:t>
                    </w:r>
                  </w:p>
                </w:sdtContent>
              </w:sdt>
            </w:tc>
            <w:tc>
              <w:tcPr>
                <w:tcW w:w="935" w:type="pct"/>
                <w:vAlign w:val="center"/>
              </w:tcPr>
              <w:p>
                <w:pPr>
                  <w:jc w:val="right"/>
                  <w:rPr>
                    <w:szCs w:val="21"/>
                  </w:rPr>
                </w:pPr>
                <w:r>
                  <w:rPr>
                    <w:szCs w:val="21"/>
                  </w:rPr>
                  <w:t>171,904.00</w:t>
                </w: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r>
                  <w:rPr>
                    <w:szCs w:val="21"/>
                  </w:rPr>
                  <w:t>171,904.00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5397d5def24e16954d676c7af7c2a1"/>
                <w:id w:val="-1354794364"/>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本期转销</w:t>
                    </w:r>
                  </w:p>
                </w:tc>
              </w:sdtContent>
            </w:sdt>
            <w:tc>
              <w:tcPr>
                <w:tcW w:w="935" w:type="pct"/>
                <w:vAlign w:val="center"/>
              </w:tcPr>
              <w:p>
                <w:pPr>
                  <w:jc w:val="right"/>
                  <w:rPr>
                    <w:sz w:val="24"/>
                  </w:rPr>
                </w:pPr>
              </w:p>
            </w:tc>
            <w:tc>
              <w:tcPr>
                <w:tcW w:w="984" w:type="pct"/>
                <w:vAlign w:val="center"/>
              </w:tcPr>
              <w:p>
                <w:pPr>
                  <w:jc w:val="right"/>
                  <w:rPr>
                    <w:sz w:val="24"/>
                  </w:rPr>
                </w:pPr>
              </w:p>
            </w:tc>
            <w:tc>
              <w:tcPr>
                <w:tcW w:w="985" w:type="pct"/>
                <w:vAlign w:val="center"/>
              </w:tcPr>
              <w:p>
                <w:pPr>
                  <w:jc w:val="right"/>
                  <w:rPr>
                    <w:sz w:val="24"/>
                  </w:rPr>
                </w:pPr>
              </w:p>
            </w:tc>
            <w:tc>
              <w:tcPr>
                <w:tcW w:w="935" w:type="pct"/>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1" w:type="pct"/>
                <w:vAlign w:val="center"/>
              </w:tcPr>
              <w:sdt>
                <w:sdtPr>
                  <w:rPr>
                    <w:rFonts w:hint="eastAsia" w:asciiTheme="minorEastAsia" w:hAnsiTheme="minorEastAsia" w:eastAsiaTheme="minorEastAsia"/>
                    <w:sz w:val="21"/>
                    <w:szCs w:val="21"/>
                    <w:lang w:eastAsia="zh-CN"/>
                  </w:rPr>
                  <w:tag w:val="_PLD_cb7c12fe888d4a778dd9f6f245a14b28"/>
                  <w:id w:val="2071062916"/>
                  <w:lock w:val="sdtLocked"/>
                </w:sdtPr>
                <w:sdtEndPr>
                  <w:rPr>
                    <w:rFonts w:hint="eastAsia" w:asciiTheme="minorEastAsia" w:hAnsiTheme="minorEastAsia" w:eastAsiaTheme="minorEastAsia"/>
                    <w:sz w:val="21"/>
                    <w:szCs w:val="21"/>
                    <w:lang w:eastAsia="zh-CN"/>
                  </w:rPr>
                </w:sdtEndPr>
                <w:sdtContent>
                  <w:p>
                    <w:pPr>
                      <w:pStyle w:val="185"/>
                      <w:spacing w:after="0" w:line="240" w:lineRule="auto"/>
                      <w:jc w:val="both"/>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本期核销</w:t>
                    </w:r>
                  </w:p>
                </w:sdtContent>
              </w:sdt>
            </w:tc>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d1e6581892848cf98bea9d0e50db1c2"/>
                <w:id w:val="-346569406"/>
                <w:lock w:val="sdtLocked"/>
              </w:sdtPr>
              <w:sdtContent>
                <w:tc>
                  <w:tcPr>
                    <w:tcW w:w="1161" w:type="pct"/>
                    <w:vAlign w:val="center"/>
                  </w:tcPr>
                  <w:p>
                    <w:pPr>
                      <w:pStyle w:val="185"/>
                      <w:spacing w:after="0" w:line="240" w:lineRule="auto"/>
                      <w:jc w:val="both"/>
                      <w:rPr>
                        <w:rFonts w:ascii="宋体" w:hAnsi="宋体" w:eastAsia="宋体" w:cs="宋体"/>
                        <w:sz w:val="21"/>
                        <w:szCs w:val="21"/>
                        <w:lang w:eastAsia="zh-CN"/>
                      </w:rPr>
                    </w:pPr>
                    <w:r>
                      <w:rPr>
                        <w:rFonts w:hint="eastAsia" w:ascii="宋体" w:hAnsi="宋体" w:eastAsia="宋体" w:cs="宋体"/>
                        <w:sz w:val="21"/>
                        <w:szCs w:val="21"/>
                        <w:lang w:eastAsia="zh-CN"/>
                      </w:rPr>
                      <w:t>其他变动</w:t>
                    </w:r>
                  </w:p>
                </w:tc>
              </w:sdtContent>
            </w:sdt>
            <w:tc>
              <w:tcPr>
                <w:tcW w:w="935" w:type="pct"/>
                <w:vAlign w:val="center"/>
              </w:tcPr>
              <w:p>
                <w:pPr>
                  <w:jc w:val="right"/>
                  <w:rPr>
                    <w:szCs w:val="21"/>
                  </w:rPr>
                </w:pPr>
              </w:p>
            </w:tc>
            <w:tc>
              <w:tcPr>
                <w:tcW w:w="984" w:type="pct"/>
                <w:vAlign w:val="center"/>
              </w:tcPr>
              <w:p>
                <w:pPr>
                  <w:jc w:val="right"/>
                  <w:rPr>
                    <w:szCs w:val="21"/>
                  </w:rPr>
                </w:pPr>
              </w:p>
            </w:tc>
            <w:tc>
              <w:tcPr>
                <w:tcW w:w="985" w:type="pct"/>
                <w:vAlign w:val="center"/>
              </w:tcPr>
              <w:p>
                <w:pPr>
                  <w:jc w:val="right"/>
                  <w:rPr>
                    <w:szCs w:val="21"/>
                  </w:rPr>
                </w:pPr>
              </w:p>
            </w:tc>
            <w:tc>
              <w:tcPr>
                <w:tcW w:w="935"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1c7357707ce462eb575e4dfd7b344fa"/>
                <w:id w:val="-332073844"/>
                <w:lock w:val="sdtLocked"/>
              </w:sdtPr>
              <w:sdtContent>
                <w:tc>
                  <w:tcPr>
                    <w:tcW w:w="1161" w:type="pct"/>
                    <w:vAlign w:val="center"/>
                  </w:tcPr>
                  <w:p>
                    <w:pPr>
                      <w:pStyle w:val="185"/>
                      <w:spacing w:after="0" w:line="240" w:lineRule="auto"/>
                      <w:rPr>
                        <w:rFonts w:ascii="宋体" w:hAnsi="宋体" w:eastAsia="宋体" w:cs="宋体"/>
                        <w:sz w:val="21"/>
                        <w:szCs w:val="21"/>
                        <w:lang w:eastAsia="zh-CN"/>
                      </w:rPr>
                    </w:pPr>
                    <w:r>
                      <w:rPr>
                        <w:rFonts w:ascii="宋体" w:hAnsi="宋体" w:eastAsia="宋体" w:cs="宋体"/>
                        <w:sz w:val="21"/>
                        <w:szCs w:val="21"/>
                        <w:lang w:eastAsia="zh-CN"/>
                      </w:rPr>
                      <w:t>2021年12月31日</w:t>
                    </w:r>
                    <w:r>
                      <w:rPr>
                        <w:rFonts w:hint="eastAsia" w:ascii="宋体" w:hAnsi="宋体" w:eastAsia="宋体" w:cs="宋体"/>
                        <w:sz w:val="21"/>
                        <w:szCs w:val="21"/>
                        <w:lang w:eastAsia="zh-CN"/>
                      </w:rPr>
                      <w:t>余额</w:t>
                    </w:r>
                  </w:p>
                </w:tc>
              </w:sdtContent>
            </w:sdt>
            <w:tc>
              <w:tcPr>
                <w:tcW w:w="935" w:type="pct"/>
                <w:vAlign w:val="center"/>
              </w:tcPr>
              <w:p>
                <w:pPr>
                  <w:jc w:val="right"/>
                  <w:rPr>
                    <w:sz w:val="24"/>
                  </w:rPr>
                </w:pPr>
                <w:r>
                  <w:t>1,778,755.97</w:t>
                </w:r>
              </w:p>
            </w:tc>
            <w:tc>
              <w:tcPr>
                <w:tcW w:w="984" w:type="pct"/>
                <w:vAlign w:val="center"/>
              </w:tcPr>
              <w:p>
                <w:pPr>
                  <w:jc w:val="right"/>
                  <w:rPr>
                    <w:sz w:val="24"/>
                  </w:rPr>
                </w:pPr>
              </w:p>
            </w:tc>
            <w:tc>
              <w:tcPr>
                <w:tcW w:w="985" w:type="pct"/>
                <w:vAlign w:val="center"/>
              </w:tcPr>
              <w:p>
                <w:pPr>
                  <w:jc w:val="right"/>
                  <w:rPr>
                    <w:sz w:val="24"/>
                  </w:rPr>
                </w:pPr>
              </w:p>
            </w:tc>
            <w:tc>
              <w:tcPr>
                <w:tcW w:w="935" w:type="pct"/>
                <w:vAlign w:val="center"/>
              </w:tcPr>
              <w:p>
                <w:pPr>
                  <w:jc w:val="right"/>
                  <w:rPr>
                    <w:sz w:val="24"/>
                  </w:rPr>
                </w:pPr>
                <w:r>
                  <w:t>1,778,755.97</w:t>
                </w:r>
              </w:p>
            </w:tc>
          </w:tr>
        </w:tbl>
        <w:p>
          <w:pPr>
            <w:jc w:val="right"/>
          </w:pPr>
        </w:p>
        <w:p>
          <w:pPr>
            <w:pStyle w:val="281"/>
            <w:widowControl w:val="0"/>
            <w:tabs>
              <w:tab w:val="clear" w:pos="1273"/>
            </w:tabs>
            <w:spacing w:before="120" w:beforeLines="50" w:line="360" w:lineRule="auto"/>
            <w:ind w:left="0" w:leftChars="0" w:firstLine="0" w:firstLineChars="0"/>
            <w:outlineLvl w:val="3"/>
            <w:rPr>
              <w:rFonts w:ascii="Times New Roman" w:hAnsi="Times New Roman"/>
            </w:rPr>
          </w:pPr>
          <w:r>
            <w:rPr>
              <w:rFonts w:hint="eastAsia"/>
            </w:rPr>
            <w:t>1）</w:t>
          </w:r>
          <w:r>
            <w:rPr>
              <w:rFonts w:hint="eastAsia" w:ascii="Times New Roman" w:hAnsi="Times New Roman"/>
            </w:rPr>
            <w:t>按坏账准备计提方法分</w:t>
          </w:r>
          <w:r>
            <w:rPr>
              <w:rFonts w:ascii="Times New Roman" w:hAnsi="Times New Roman"/>
            </w:rPr>
            <w:t>类披露</w:t>
          </w:r>
        </w:p>
        <w:p>
          <w:pPr>
            <w:jc w:val="right"/>
          </w:pPr>
          <w:r>
            <w:rPr>
              <w:rFonts w:hint="eastAsia"/>
            </w:rPr>
            <w:t>单位：元  币种：人民币</w:t>
          </w:r>
        </w:p>
        <w:tbl>
          <w:tblPr>
            <w:tblStyle w:val="36"/>
            <w:tblW w:w="52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4"/>
            <w:gridCol w:w="1896"/>
            <w:gridCol w:w="846"/>
            <w:gridCol w:w="1476"/>
            <w:gridCol w:w="636"/>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Merge w:val="restart"/>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rPr>
                  <w:t>类别</w:t>
                </w:r>
              </w:p>
            </w:tc>
            <w:tc>
              <w:tcPr>
                <w:tcW w:w="3786" w:type="pct"/>
                <w:gridSpan w:val="5"/>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期末余额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Merge w:val="continue"/>
                <w:vAlign w:val="center"/>
              </w:tcPr>
              <w:p>
                <w:pPr>
                  <w:snapToGrid w:val="0"/>
                  <w:rPr>
                    <w:rFonts w:asciiTheme="minorEastAsia" w:hAnsiTheme="minorEastAsia" w:eastAsiaTheme="minorEastAsia"/>
                    <w:szCs w:val="21"/>
                  </w:rPr>
                </w:pPr>
              </w:p>
            </w:tc>
            <w:tc>
              <w:tcPr>
                <w:tcW w:w="1538" w:type="pct"/>
                <w:gridSpan w:val="2"/>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账面余额</w:t>
                </w:r>
              </w:p>
            </w:tc>
            <w:tc>
              <w:tcPr>
                <w:tcW w:w="1185" w:type="pct"/>
                <w:gridSpan w:val="2"/>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坏账准备</w:t>
                </w:r>
              </w:p>
            </w:tc>
            <w:tc>
              <w:tcPr>
                <w:tcW w:w="1063" w:type="pct"/>
                <w:vMerge w:val="restart"/>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账面价值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Merge w:val="continue"/>
                <w:vAlign w:val="center"/>
              </w:tcPr>
              <w:p>
                <w:pPr>
                  <w:snapToGrid w:val="0"/>
                  <w:rPr>
                    <w:rFonts w:asciiTheme="minorEastAsia" w:hAnsiTheme="minorEastAsia" w:eastAsiaTheme="minorEastAsia"/>
                    <w:szCs w:val="21"/>
                  </w:rPr>
                </w:pPr>
              </w:p>
            </w:tc>
            <w:tc>
              <w:tcPr>
                <w:tcW w:w="1063" w:type="pct"/>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金额</w:t>
                </w:r>
              </w:p>
            </w:tc>
            <w:tc>
              <w:tcPr>
                <w:tcW w:w="474" w:type="pct"/>
                <w:vAlign w:val="center"/>
              </w:tcPr>
              <w:p>
                <w:pPr>
                  <w:snapToGrid w:val="0"/>
                  <w:ind w:left="-63" w:leftChars="-30" w:right="-63" w:rightChars="-30"/>
                  <w:jc w:val="center"/>
                  <w:rPr>
                    <w:rFonts w:asciiTheme="minorEastAsia" w:hAnsiTheme="minorEastAsia" w:eastAsiaTheme="minorEastAsia"/>
                    <w:szCs w:val="21"/>
                  </w:rPr>
                </w:pPr>
                <w:r>
                  <w:rPr>
                    <w:rFonts w:asciiTheme="minorEastAsia" w:hAnsiTheme="minorEastAsia" w:eastAsiaTheme="minorEastAsia"/>
                  </w:rPr>
                  <w:t>比例（%）</w:t>
                </w:r>
              </w:p>
            </w:tc>
            <w:tc>
              <w:tcPr>
                <w:tcW w:w="828" w:type="pct"/>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金额</w:t>
                </w:r>
              </w:p>
            </w:tc>
            <w:tc>
              <w:tcPr>
                <w:tcW w:w="357" w:type="pct"/>
                <w:vAlign w:val="center"/>
              </w:tcPr>
              <w:p>
                <w:pPr>
                  <w:snapToGrid w:val="0"/>
                  <w:ind w:left="-63" w:leftChars="-30" w:right="-63" w:rightChars="-30"/>
                  <w:jc w:val="center"/>
                  <w:rPr>
                    <w:rFonts w:asciiTheme="minorEastAsia" w:hAnsiTheme="minorEastAsia" w:eastAsiaTheme="minorEastAsia"/>
                    <w:szCs w:val="21"/>
                  </w:rPr>
                </w:pPr>
                <w:r>
                  <w:rPr>
                    <w:rFonts w:asciiTheme="minorEastAsia" w:hAnsiTheme="minorEastAsia" w:eastAsiaTheme="minorEastAsia"/>
                  </w:rPr>
                  <w:t>计提比例（%）</w:t>
                </w:r>
              </w:p>
            </w:tc>
            <w:tc>
              <w:tcPr>
                <w:tcW w:w="1063" w:type="pct"/>
                <w:vMerge w:val="continue"/>
                <w:vAlign w:val="center"/>
              </w:tcPr>
              <w:p>
                <w:pPr>
                  <w:snapToGrid w:val="0"/>
                  <w:ind w:left="-63" w:leftChars="-30" w:right="-63" w:rightChars="-30"/>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Align w:val="center"/>
              </w:tcPr>
              <w:p>
                <w:pPr>
                  <w:snapToGrid w:val="0"/>
                  <w:rPr>
                    <w:rFonts w:asciiTheme="minorEastAsia" w:hAnsiTheme="minorEastAsia" w:eastAsiaTheme="minorEastAsia"/>
                    <w:szCs w:val="21"/>
                  </w:rPr>
                </w:pPr>
                <w:r>
                  <w:rPr>
                    <w:rFonts w:hint="eastAsia" w:asciiTheme="minorEastAsia" w:hAnsiTheme="minorEastAsia" w:eastAsiaTheme="minorEastAsia"/>
                  </w:rPr>
                  <w:t>单项计提预期信用损失</w:t>
                </w:r>
                <w:r>
                  <w:rPr>
                    <w:rFonts w:asciiTheme="minorEastAsia" w:hAnsiTheme="minorEastAsia" w:eastAsiaTheme="minorEastAsia"/>
                  </w:rPr>
                  <w:t>的</w:t>
                </w:r>
                <w:r>
                  <w:rPr>
                    <w:rFonts w:hint="eastAsia" w:asciiTheme="minorEastAsia" w:hAnsiTheme="minorEastAsia" w:eastAsiaTheme="minorEastAsia"/>
                  </w:rPr>
                  <w:t>其他应收款</w:t>
                </w:r>
              </w:p>
            </w:tc>
            <w:tc>
              <w:tcPr>
                <w:tcW w:w="1063" w:type="pct"/>
                <w:vAlign w:val="center"/>
              </w:tcPr>
              <w:p>
                <w:pPr>
                  <w:snapToGrid w:val="0"/>
                  <w:jc w:val="right"/>
                  <w:rPr>
                    <w:rFonts w:asciiTheme="minorEastAsia" w:hAnsiTheme="minorEastAsia" w:eastAsiaTheme="minorEastAsia"/>
                    <w:szCs w:val="21"/>
                  </w:rPr>
                </w:pPr>
              </w:p>
            </w:tc>
            <w:tc>
              <w:tcPr>
                <w:tcW w:w="474" w:type="pct"/>
                <w:vAlign w:val="center"/>
              </w:tcPr>
              <w:p>
                <w:pPr>
                  <w:snapToGrid w:val="0"/>
                  <w:ind w:left="-63" w:leftChars="-30" w:right="-63" w:rightChars="-30"/>
                  <w:jc w:val="right"/>
                  <w:rPr>
                    <w:rFonts w:asciiTheme="minorEastAsia" w:hAnsiTheme="minorEastAsia" w:eastAsiaTheme="minorEastAsia"/>
                    <w:szCs w:val="21"/>
                  </w:rPr>
                </w:pPr>
              </w:p>
            </w:tc>
            <w:tc>
              <w:tcPr>
                <w:tcW w:w="828" w:type="pct"/>
                <w:vAlign w:val="center"/>
              </w:tcPr>
              <w:p>
                <w:pPr>
                  <w:snapToGrid w:val="0"/>
                  <w:jc w:val="right"/>
                  <w:rPr>
                    <w:rFonts w:asciiTheme="minorEastAsia" w:hAnsiTheme="minorEastAsia" w:eastAsiaTheme="minorEastAsia"/>
                    <w:szCs w:val="21"/>
                  </w:rPr>
                </w:pPr>
              </w:p>
            </w:tc>
            <w:tc>
              <w:tcPr>
                <w:tcW w:w="357" w:type="pct"/>
                <w:vAlign w:val="center"/>
              </w:tcPr>
              <w:p>
                <w:pPr>
                  <w:snapToGrid w:val="0"/>
                  <w:ind w:left="-63" w:leftChars="-30" w:right="-63" w:rightChars="-30"/>
                  <w:jc w:val="right"/>
                  <w:rPr>
                    <w:rFonts w:asciiTheme="minorEastAsia" w:hAnsiTheme="minorEastAsia" w:eastAsiaTheme="minorEastAsia"/>
                    <w:szCs w:val="21"/>
                  </w:rPr>
                </w:pPr>
              </w:p>
            </w:tc>
            <w:tc>
              <w:tcPr>
                <w:tcW w:w="1063" w:type="pct"/>
                <w:vAlign w:val="center"/>
              </w:tcPr>
              <w:p>
                <w:pPr>
                  <w:snapToGrid w:val="0"/>
                  <w:ind w:left="-63" w:leftChars="-30" w:right="-63" w:rightChars="-30"/>
                  <w:jc w:val="right"/>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Align w:val="center"/>
              </w:tcPr>
              <w:p>
                <w:pPr>
                  <w:snapToGrid w:val="0"/>
                  <w:rPr>
                    <w:rFonts w:asciiTheme="minorEastAsia" w:hAnsiTheme="minorEastAsia" w:eastAsiaTheme="minorEastAsia"/>
                    <w:szCs w:val="21"/>
                  </w:rPr>
                </w:pPr>
                <w:r>
                  <w:rPr>
                    <w:rFonts w:hint="eastAsia" w:asciiTheme="minorEastAsia" w:hAnsiTheme="minorEastAsia" w:eastAsiaTheme="minorEastAsia"/>
                  </w:rPr>
                  <w:t>按组合计提预期信用损失</w:t>
                </w:r>
                <w:r>
                  <w:rPr>
                    <w:rFonts w:asciiTheme="minorEastAsia" w:hAnsiTheme="minorEastAsia" w:eastAsiaTheme="minorEastAsia"/>
                  </w:rPr>
                  <w:t>的</w:t>
                </w:r>
                <w:r>
                  <w:rPr>
                    <w:rFonts w:hint="eastAsia" w:asciiTheme="minorEastAsia" w:hAnsiTheme="minorEastAsia" w:eastAsiaTheme="minorEastAsia"/>
                  </w:rPr>
                  <w:t>其他应收款</w:t>
                </w:r>
              </w:p>
            </w:tc>
            <w:tc>
              <w:tcPr>
                <w:tcW w:w="1063"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6,546,759,745.07</w:t>
                </w:r>
              </w:p>
            </w:tc>
            <w:tc>
              <w:tcPr>
                <w:tcW w:w="474" w:type="pct"/>
                <w:vAlign w:val="center"/>
              </w:tcPr>
              <w:p>
                <w:pPr>
                  <w:snapToGrid w:val="0"/>
                  <w:ind w:left="-63" w:leftChars="-30" w:right="-63" w:rightChars="-30"/>
                  <w:jc w:val="right"/>
                  <w:rPr>
                    <w:rFonts w:asciiTheme="minorEastAsia" w:hAnsiTheme="minorEastAsia" w:eastAsiaTheme="minorEastAsia"/>
                    <w:szCs w:val="21"/>
                  </w:rPr>
                </w:pPr>
                <w:r>
                  <w:rPr>
                    <w:rFonts w:asciiTheme="minorEastAsia" w:hAnsiTheme="minorEastAsia" w:eastAsiaTheme="minorEastAsia"/>
                  </w:rPr>
                  <w:t>100.00</w:t>
                </w:r>
              </w:p>
            </w:tc>
            <w:tc>
              <w:tcPr>
                <w:tcW w:w="828"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1,778,755.97</w:t>
                </w:r>
              </w:p>
            </w:tc>
            <w:tc>
              <w:tcPr>
                <w:tcW w:w="357" w:type="pct"/>
                <w:vAlign w:val="center"/>
              </w:tcPr>
              <w:p>
                <w:pPr>
                  <w:snapToGrid w:val="0"/>
                  <w:ind w:left="-63" w:leftChars="-30" w:right="-63" w:rightChars="-30"/>
                  <w:jc w:val="right"/>
                  <w:rPr>
                    <w:rFonts w:asciiTheme="minorEastAsia" w:hAnsiTheme="minorEastAsia" w:eastAsiaTheme="minorEastAsia"/>
                    <w:szCs w:val="21"/>
                  </w:rPr>
                </w:pPr>
                <w:r>
                  <w:rPr>
                    <w:rFonts w:asciiTheme="minorEastAsia" w:hAnsiTheme="minorEastAsia" w:eastAsiaTheme="minorEastAsia"/>
                  </w:rPr>
                  <w:t>0.03</w:t>
                </w:r>
              </w:p>
            </w:tc>
            <w:tc>
              <w:tcPr>
                <w:tcW w:w="1063" w:type="pct"/>
                <w:vAlign w:val="center"/>
              </w:tcPr>
              <w:p>
                <w:pPr>
                  <w:snapToGrid w:val="0"/>
                  <w:ind w:left="-63" w:leftChars="-30" w:right="-63" w:rightChars="-30"/>
                  <w:jc w:val="right"/>
                  <w:rPr>
                    <w:rFonts w:asciiTheme="minorEastAsia" w:hAnsiTheme="minorEastAsia" w:eastAsiaTheme="minorEastAsia"/>
                    <w:szCs w:val="21"/>
                  </w:rPr>
                </w:pPr>
                <w:r>
                  <w:rPr>
                    <w:rFonts w:asciiTheme="minorEastAsia" w:hAnsiTheme="minorEastAsia" w:eastAsiaTheme="minorEastAsia"/>
                  </w:rPr>
                  <w:t>6,544,980,989.10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Align w:val="center"/>
              </w:tcPr>
              <w:p>
                <w:pPr>
                  <w:snapToGrid w:val="0"/>
                  <w:rPr>
                    <w:rFonts w:asciiTheme="minorEastAsia" w:hAnsiTheme="minorEastAsia" w:eastAsiaTheme="minorEastAsia"/>
                    <w:szCs w:val="21"/>
                  </w:rPr>
                </w:pPr>
                <w:r>
                  <w:rPr>
                    <w:rFonts w:asciiTheme="minorEastAsia" w:hAnsiTheme="minorEastAsia" w:eastAsiaTheme="minorEastAsia"/>
                  </w:rPr>
                  <w:t>其中：</w:t>
                </w:r>
                <w:r>
                  <w:rPr>
                    <w:rFonts w:hint="eastAsia" w:asciiTheme="minorEastAsia" w:hAnsiTheme="minorEastAsia" w:eastAsiaTheme="minorEastAsia"/>
                  </w:rPr>
                  <w:t>低风险</w:t>
                </w:r>
                <w:r>
                  <w:rPr>
                    <w:rFonts w:asciiTheme="minorEastAsia" w:hAnsiTheme="minorEastAsia" w:eastAsiaTheme="minorEastAsia"/>
                  </w:rPr>
                  <w:t>组合</w:t>
                </w:r>
              </w:p>
            </w:tc>
            <w:tc>
              <w:tcPr>
                <w:tcW w:w="1063"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6,462,794,917.01</w:t>
                </w:r>
              </w:p>
            </w:tc>
            <w:tc>
              <w:tcPr>
                <w:tcW w:w="474" w:type="pct"/>
                <w:vAlign w:val="center"/>
              </w:tcPr>
              <w:p>
                <w:pPr>
                  <w:snapToGrid w:val="0"/>
                  <w:ind w:left="-63" w:leftChars="-30" w:right="-63" w:rightChars="-30"/>
                  <w:jc w:val="right"/>
                  <w:rPr>
                    <w:rFonts w:asciiTheme="minorEastAsia" w:hAnsiTheme="minorEastAsia" w:eastAsiaTheme="minorEastAsia"/>
                    <w:szCs w:val="21"/>
                  </w:rPr>
                </w:pPr>
                <w:r>
                  <w:rPr>
                    <w:rFonts w:asciiTheme="minorEastAsia" w:hAnsiTheme="minorEastAsia" w:eastAsiaTheme="minorEastAsia"/>
                  </w:rPr>
                  <w:t>98.72</w:t>
                </w:r>
              </w:p>
            </w:tc>
            <w:tc>
              <w:tcPr>
                <w:tcW w:w="828" w:type="pct"/>
                <w:vAlign w:val="center"/>
              </w:tcPr>
              <w:p>
                <w:pPr>
                  <w:snapToGrid w:val="0"/>
                  <w:jc w:val="right"/>
                  <w:rPr>
                    <w:rFonts w:asciiTheme="minorEastAsia" w:hAnsiTheme="minorEastAsia" w:eastAsiaTheme="minorEastAsia"/>
                    <w:szCs w:val="21"/>
                  </w:rPr>
                </w:pPr>
              </w:p>
            </w:tc>
            <w:tc>
              <w:tcPr>
                <w:tcW w:w="357" w:type="pct"/>
                <w:vAlign w:val="center"/>
              </w:tcPr>
              <w:p>
                <w:pPr>
                  <w:snapToGrid w:val="0"/>
                  <w:ind w:left="-63" w:leftChars="-30" w:right="-63" w:rightChars="-30"/>
                  <w:jc w:val="right"/>
                  <w:rPr>
                    <w:rFonts w:asciiTheme="minorEastAsia" w:hAnsiTheme="minorEastAsia" w:eastAsiaTheme="minorEastAsia"/>
                    <w:szCs w:val="21"/>
                  </w:rPr>
                </w:pPr>
                <w:r>
                  <w:rPr>
                    <w:rFonts w:asciiTheme="minorEastAsia" w:hAnsiTheme="minorEastAsia" w:eastAsiaTheme="minorEastAsia"/>
                  </w:rPr>
                  <w:t> </w:t>
                </w:r>
              </w:p>
            </w:tc>
            <w:tc>
              <w:tcPr>
                <w:tcW w:w="1063" w:type="pct"/>
                <w:vAlign w:val="center"/>
              </w:tcPr>
              <w:p>
                <w:pPr>
                  <w:snapToGrid w:val="0"/>
                  <w:ind w:left="-63" w:leftChars="-30" w:right="-63" w:rightChars="-30"/>
                  <w:jc w:val="right"/>
                  <w:rPr>
                    <w:rFonts w:asciiTheme="minorEastAsia" w:hAnsiTheme="minorEastAsia" w:eastAsiaTheme="minorEastAsia"/>
                    <w:szCs w:val="21"/>
                  </w:rPr>
                </w:pPr>
                <w:r>
                  <w:rPr>
                    <w:rFonts w:asciiTheme="minorEastAsia" w:hAnsiTheme="minorEastAsia" w:eastAsiaTheme="minorEastAsia"/>
                  </w:rPr>
                  <w:t>6,462,794,917.01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Align w:val="center"/>
              </w:tcPr>
              <w:p>
                <w:pPr>
                  <w:snapToGrid w:val="0"/>
                  <w:jc w:val="center"/>
                  <w:rPr>
                    <w:rFonts w:asciiTheme="minorEastAsia" w:hAnsiTheme="minorEastAsia" w:eastAsiaTheme="minorEastAsia"/>
                    <w:szCs w:val="21"/>
                  </w:rPr>
                </w:pPr>
                <w:r>
                  <w:rPr>
                    <w:rFonts w:asciiTheme="minorEastAsia" w:hAnsiTheme="minorEastAsia" w:eastAsiaTheme="minorEastAsia"/>
                  </w:rPr>
                  <w:t>账龄组合</w:t>
                </w:r>
              </w:p>
            </w:tc>
            <w:tc>
              <w:tcPr>
                <w:tcW w:w="1063"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83,964,828.06</w:t>
                </w:r>
              </w:p>
            </w:tc>
            <w:tc>
              <w:tcPr>
                <w:tcW w:w="474"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1.28</w:t>
                </w:r>
              </w:p>
            </w:tc>
            <w:tc>
              <w:tcPr>
                <w:tcW w:w="828"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1,778,755.97</w:t>
                </w:r>
              </w:p>
            </w:tc>
            <w:tc>
              <w:tcPr>
                <w:tcW w:w="357"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2.12</w:t>
                </w:r>
              </w:p>
            </w:tc>
            <w:tc>
              <w:tcPr>
                <w:tcW w:w="1063"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82,186,072.09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4" w:type="pct"/>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rPr>
                  <w:t>合计</w:t>
                </w:r>
              </w:p>
            </w:tc>
            <w:tc>
              <w:tcPr>
                <w:tcW w:w="1063"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6,546,759,745.07</w:t>
                </w:r>
              </w:p>
            </w:tc>
            <w:tc>
              <w:tcPr>
                <w:tcW w:w="474"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100.00</w:t>
                </w:r>
              </w:p>
            </w:tc>
            <w:tc>
              <w:tcPr>
                <w:tcW w:w="828"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1,778,755.97</w:t>
                </w:r>
              </w:p>
            </w:tc>
            <w:tc>
              <w:tcPr>
                <w:tcW w:w="357"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0.03</w:t>
                </w:r>
              </w:p>
            </w:tc>
            <w:tc>
              <w:tcPr>
                <w:tcW w:w="1063" w:type="pct"/>
                <w:vAlign w:val="center"/>
              </w:tcPr>
              <w:p>
                <w:pPr>
                  <w:snapToGrid w:val="0"/>
                  <w:jc w:val="right"/>
                  <w:rPr>
                    <w:rFonts w:asciiTheme="minorEastAsia" w:hAnsiTheme="minorEastAsia" w:eastAsiaTheme="minorEastAsia"/>
                    <w:szCs w:val="21"/>
                  </w:rPr>
                </w:pPr>
                <w:r>
                  <w:rPr>
                    <w:rFonts w:asciiTheme="minorEastAsia" w:hAnsiTheme="minorEastAsia" w:eastAsiaTheme="minorEastAsia"/>
                  </w:rPr>
                  <w:t>6,544,980,989.10</w:t>
                </w:r>
              </w:p>
            </w:tc>
          </w:tr>
        </w:tbl>
        <w:p/>
        <w:p>
          <w:r>
            <w:rPr>
              <w:rFonts w:hint="eastAsia"/>
            </w:rPr>
            <w:t>续：</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7"/>
            <w:gridCol w:w="1896"/>
            <w:gridCol w:w="846"/>
            <w:gridCol w:w="1581"/>
            <w:gridCol w:w="741"/>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Merge w:val="restart"/>
                <w:vAlign w:val="center"/>
              </w:tcPr>
              <w:p>
                <w:pPr>
                  <w:widowControl w:val="0"/>
                  <w:snapToGrid w:val="0"/>
                  <w:jc w:val="center"/>
                  <w:rPr>
                    <w:rFonts w:asciiTheme="minorEastAsia" w:hAnsiTheme="minorEastAsia" w:eastAsiaTheme="minorEastAsia"/>
                    <w:kern w:val="2"/>
                    <w:szCs w:val="21"/>
                  </w:rPr>
                </w:pPr>
                <w:r>
                  <w:rPr>
                    <w:rFonts w:hint="eastAsia" w:asciiTheme="minorEastAsia" w:hAnsiTheme="minorEastAsia" w:eastAsiaTheme="minorEastAsia"/>
                  </w:rPr>
                  <w:t>类别</w:t>
                </w:r>
              </w:p>
            </w:tc>
            <w:tc>
              <w:tcPr>
                <w:tcW w:w="3636" w:type="pct"/>
                <w:gridSpan w:val="5"/>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期初余额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Merge w:val="continue"/>
                <w:vAlign w:val="center"/>
              </w:tcPr>
              <w:p>
                <w:pPr>
                  <w:widowControl w:val="0"/>
                  <w:snapToGrid w:val="0"/>
                  <w:rPr>
                    <w:rFonts w:asciiTheme="minorEastAsia" w:hAnsiTheme="minorEastAsia" w:eastAsiaTheme="minorEastAsia"/>
                    <w:kern w:val="2"/>
                    <w:szCs w:val="21"/>
                  </w:rPr>
                </w:pPr>
              </w:p>
            </w:tc>
            <w:tc>
              <w:tcPr>
                <w:tcW w:w="1380" w:type="pct"/>
                <w:gridSpan w:val="2"/>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账面余额</w:t>
                </w:r>
              </w:p>
            </w:tc>
            <w:tc>
              <w:tcPr>
                <w:tcW w:w="1343" w:type="pct"/>
                <w:gridSpan w:val="2"/>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坏账准备</w:t>
                </w:r>
              </w:p>
            </w:tc>
            <w:tc>
              <w:tcPr>
                <w:tcW w:w="913" w:type="pct"/>
                <w:vMerge w:val="restar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账面价值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Merge w:val="continue"/>
                <w:vAlign w:val="center"/>
              </w:tcPr>
              <w:p>
                <w:pPr>
                  <w:widowControl w:val="0"/>
                  <w:snapToGrid w:val="0"/>
                  <w:rPr>
                    <w:rFonts w:asciiTheme="minorEastAsia" w:hAnsiTheme="minorEastAsia" w:eastAsiaTheme="minorEastAsia"/>
                    <w:kern w:val="2"/>
                    <w:szCs w:val="21"/>
                  </w:rPr>
                </w:pPr>
              </w:p>
            </w:tc>
            <w:tc>
              <w:tcPr>
                <w:tcW w:w="913"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金额</w:t>
                </w:r>
              </w:p>
            </w:tc>
            <w:tc>
              <w:tcPr>
                <w:tcW w:w="467" w:type="pct"/>
                <w:vAlign w:val="center"/>
              </w:tcPr>
              <w:p>
                <w:pPr>
                  <w:widowControl w:val="0"/>
                  <w:snapToGrid w:val="0"/>
                  <w:ind w:left="-63" w:leftChars="-30" w:right="-63" w:rightChars="-30"/>
                  <w:jc w:val="center"/>
                  <w:rPr>
                    <w:rFonts w:asciiTheme="minorEastAsia" w:hAnsiTheme="minorEastAsia" w:eastAsiaTheme="minorEastAsia"/>
                    <w:kern w:val="2"/>
                    <w:szCs w:val="21"/>
                  </w:rPr>
                </w:pPr>
                <w:r>
                  <w:rPr>
                    <w:rFonts w:asciiTheme="minorEastAsia" w:hAnsiTheme="minorEastAsia" w:eastAsiaTheme="minorEastAsia"/>
                  </w:rPr>
                  <w:t>比例（%）</w:t>
                </w:r>
              </w:p>
            </w:tc>
            <w:tc>
              <w:tcPr>
                <w:tcW w:w="875"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金额</w:t>
                </w:r>
              </w:p>
            </w:tc>
            <w:tc>
              <w:tcPr>
                <w:tcW w:w="468" w:type="pct"/>
                <w:vAlign w:val="center"/>
              </w:tcPr>
              <w:p>
                <w:pPr>
                  <w:widowControl w:val="0"/>
                  <w:snapToGrid w:val="0"/>
                  <w:ind w:left="-63" w:leftChars="-30" w:right="-63" w:rightChars="-30"/>
                  <w:jc w:val="center"/>
                  <w:rPr>
                    <w:rFonts w:asciiTheme="minorEastAsia" w:hAnsiTheme="minorEastAsia" w:eastAsiaTheme="minorEastAsia"/>
                    <w:kern w:val="2"/>
                    <w:szCs w:val="21"/>
                  </w:rPr>
                </w:pPr>
                <w:r>
                  <w:rPr>
                    <w:rFonts w:asciiTheme="minorEastAsia" w:hAnsiTheme="minorEastAsia" w:eastAsiaTheme="minorEastAsia"/>
                  </w:rPr>
                  <w:t>计提比例（%）</w:t>
                </w:r>
              </w:p>
            </w:tc>
            <w:tc>
              <w:tcPr>
                <w:tcW w:w="913" w:type="pct"/>
                <w:vMerge w:val="continue"/>
                <w:vAlign w:val="center"/>
              </w:tcPr>
              <w:p>
                <w:pPr>
                  <w:widowControl w:val="0"/>
                  <w:snapToGrid w:val="0"/>
                  <w:ind w:left="-63" w:leftChars="-30" w:right="-63" w:rightChars="-30"/>
                  <w:jc w:val="center"/>
                  <w:rPr>
                    <w:rFonts w:asciiTheme="minorEastAsia" w:hAnsiTheme="minorEastAsia" w:eastAsiaTheme="minorEastAsia"/>
                    <w:kern w:val="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Align w:val="center"/>
              </w:tcPr>
              <w:p>
                <w:pPr>
                  <w:widowControl w:val="0"/>
                  <w:snapToGrid w:val="0"/>
                  <w:rPr>
                    <w:rFonts w:asciiTheme="minorEastAsia" w:hAnsiTheme="minorEastAsia" w:eastAsiaTheme="minorEastAsia"/>
                    <w:kern w:val="2"/>
                    <w:szCs w:val="21"/>
                  </w:rPr>
                </w:pPr>
                <w:r>
                  <w:rPr>
                    <w:rFonts w:asciiTheme="minorEastAsia" w:hAnsiTheme="minorEastAsia" w:eastAsiaTheme="minorEastAsia"/>
                  </w:rPr>
                  <w:t>单项计提预期信用损失的其他应收款</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752,546,990.29</w:t>
                </w:r>
              </w:p>
            </w:tc>
            <w:tc>
              <w:tcPr>
                <w:tcW w:w="467"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10.15</w:t>
                </w:r>
              </w:p>
            </w:tc>
            <w:tc>
              <w:tcPr>
                <w:tcW w:w="875" w:type="pct"/>
                <w:vAlign w:val="center"/>
              </w:tcPr>
              <w:p>
                <w:pPr>
                  <w:widowControl w:val="0"/>
                  <w:snapToGrid w:val="0"/>
                  <w:jc w:val="right"/>
                  <w:rPr>
                    <w:rFonts w:asciiTheme="minorEastAsia" w:hAnsiTheme="minorEastAsia" w:eastAsiaTheme="minorEastAsia"/>
                    <w:kern w:val="2"/>
                    <w:szCs w:val="21"/>
                  </w:rPr>
                </w:pPr>
              </w:p>
            </w:tc>
            <w:tc>
              <w:tcPr>
                <w:tcW w:w="468" w:type="pct"/>
                <w:vAlign w:val="center"/>
              </w:tcPr>
              <w:p>
                <w:pPr>
                  <w:widowControl w:val="0"/>
                  <w:snapToGrid w:val="0"/>
                  <w:jc w:val="right"/>
                  <w:rPr>
                    <w:rFonts w:asciiTheme="minorEastAsia" w:hAnsiTheme="minorEastAsia" w:eastAsiaTheme="minorEastAsia"/>
                    <w:kern w:val="2"/>
                    <w:szCs w:val="21"/>
                  </w:rPr>
                </w:pP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752,546,990.29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Align w:val="center"/>
              </w:tcPr>
              <w:p>
                <w:pPr>
                  <w:widowControl w:val="0"/>
                  <w:snapToGrid w:val="0"/>
                  <w:rPr>
                    <w:rFonts w:asciiTheme="minorEastAsia" w:hAnsiTheme="minorEastAsia" w:eastAsiaTheme="minorEastAsia"/>
                    <w:kern w:val="2"/>
                    <w:szCs w:val="21"/>
                  </w:rPr>
                </w:pPr>
                <w:r>
                  <w:rPr>
                    <w:rFonts w:asciiTheme="minorEastAsia" w:hAnsiTheme="minorEastAsia" w:eastAsiaTheme="minorEastAsia"/>
                  </w:rPr>
                  <w:t>按组合计提预期信用损失的其他应收款</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6,658,368,681.11</w:t>
                </w:r>
              </w:p>
            </w:tc>
            <w:tc>
              <w:tcPr>
                <w:tcW w:w="467"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89.85</w:t>
                </w:r>
              </w:p>
            </w:tc>
            <w:tc>
              <w:tcPr>
                <w:tcW w:w="875"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89,758,018.26</w:t>
                </w:r>
              </w:p>
            </w:tc>
            <w:tc>
              <w:tcPr>
                <w:tcW w:w="468"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1.35</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6,568,610,662.85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Align w:val="center"/>
              </w:tcPr>
              <w:p>
                <w:pPr>
                  <w:widowControl w:val="0"/>
                  <w:snapToGrid w:val="0"/>
                  <w:rPr>
                    <w:rFonts w:asciiTheme="minorEastAsia" w:hAnsiTheme="minorEastAsia" w:eastAsiaTheme="minorEastAsia"/>
                    <w:kern w:val="2"/>
                    <w:szCs w:val="21"/>
                  </w:rPr>
                </w:pPr>
                <w:r>
                  <w:rPr>
                    <w:rFonts w:asciiTheme="minorEastAsia" w:hAnsiTheme="minorEastAsia" w:eastAsiaTheme="minorEastAsia"/>
                  </w:rPr>
                  <w:t>其中：</w:t>
                </w:r>
                <w:r>
                  <w:rPr>
                    <w:rFonts w:hint="eastAsia" w:asciiTheme="minorEastAsia" w:hAnsiTheme="minorEastAsia" w:eastAsiaTheme="minorEastAsia"/>
                  </w:rPr>
                  <w:t>低风险</w:t>
                </w:r>
                <w:r>
                  <w:rPr>
                    <w:rFonts w:asciiTheme="minorEastAsia" w:hAnsiTheme="minorEastAsia" w:eastAsiaTheme="minorEastAsia"/>
                  </w:rPr>
                  <w:t>组合</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6,578,603,827.36</w:t>
                </w:r>
              </w:p>
            </w:tc>
            <w:tc>
              <w:tcPr>
                <w:tcW w:w="467"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88.77</w:t>
                </w:r>
              </w:p>
            </w:tc>
            <w:tc>
              <w:tcPr>
                <w:tcW w:w="875"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65,786,038.26</w:t>
                </w:r>
              </w:p>
            </w:tc>
            <w:tc>
              <w:tcPr>
                <w:tcW w:w="468"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1.00</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6,512,817,789.10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Align w:val="center"/>
              </w:tcPr>
              <w:p>
                <w:pPr>
                  <w:widowControl w:val="0"/>
                  <w:snapToGrid w:val="0"/>
                  <w:rPr>
                    <w:rFonts w:asciiTheme="minorEastAsia" w:hAnsiTheme="minorEastAsia" w:eastAsiaTheme="minorEastAsia"/>
                    <w:kern w:val="2"/>
                    <w:szCs w:val="21"/>
                  </w:rPr>
                </w:pPr>
                <w:r>
                  <w:rPr>
                    <w:rFonts w:asciiTheme="minorEastAsia" w:hAnsiTheme="minorEastAsia" w:eastAsiaTheme="minorEastAsia"/>
                  </w:rPr>
                  <w:t>账龄组合</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79,764,853.75</w:t>
                </w:r>
              </w:p>
            </w:tc>
            <w:tc>
              <w:tcPr>
                <w:tcW w:w="467"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1.08</w:t>
                </w:r>
              </w:p>
            </w:tc>
            <w:tc>
              <w:tcPr>
                <w:tcW w:w="875"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23,971,980.00</w:t>
                </w:r>
              </w:p>
            </w:tc>
            <w:tc>
              <w:tcPr>
                <w:tcW w:w="468"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30.05</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55,792,873.75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64" w:type="pct"/>
                <w:vAlign w:val="center"/>
              </w:tcPr>
              <w:p>
                <w:pPr>
                  <w:widowControl w:val="0"/>
                  <w:snapToGrid w:val="0"/>
                  <w:jc w:val="center"/>
                  <w:rPr>
                    <w:rFonts w:asciiTheme="minorEastAsia" w:hAnsiTheme="minorEastAsia" w:eastAsiaTheme="minorEastAsia"/>
                    <w:kern w:val="2"/>
                    <w:szCs w:val="21"/>
                  </w:rPr>
                </w:pPr>
                <w:r>
                  <w:rPr>
                    <w:rFonts w:asciiTheme="minorEastAsia" w:hAnsiTheme="minorEastAsia" w:eastAsiaTheme="minorEastAsia"/>
                  </w:rPr>
                  <w:t>合计</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7,410,915,671.40</w:t>
                </w:r>
              </w:p>
            </w:tc>
            <w:tc>
              <w:tcPr>
                <w:tcW w:w="467"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100.00</w:t>
                </w:r>
              </w:p>
            </w:tc>
            <w:tc>
              <w:tcPr>
                <w:tcW w:w="875"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89,758,018.26</w:t>
                </w:r>
              </w:p>
            </w:tc>
            <w:tc>
              <w:tcPr>
                <w:tcW w:w="468" w:type="pct"/>
                <w:vAlign w:val="center"/>
              </w:tcPr>
              <w:p>
                <w:pPr>
                  <w:widowControl w:val="0"/>
                  <w:snapToGrid w:val="0"/>
                  <w:jc w:val="right"/>
                  <w:rPr>
                    <w:rFonts w:asciiTheme="minorEastAsia" w:hAnsiTheme="minorEastAsia" w:eastAsiaTheme="minorEastAsia"/>
                    <w:kern w:val="2"/>
                    <w:szCs w:val="21"/>
                  </w:rPr>
                </w:pPr>
                <w:r>
                  <w:rPr>
                    <w:rFonts w:hint="eastAsia" w:asciiTheme="minorEastAsia" w:hAnsiTheme="minorEastAsia" w:eastAsiaTheme="minorEastAsia"/>
                  </w:rPr>
                  <w:t>1.21</w:t>
                </w:r>
              </w:p>
            </w:tc>
            <w:tc>
              <w:tcPr>
                <w:tcW w:w="913" w:type="pct"/>
                <w:vAlign w:val="center"/>
              </w:tcPr>
              <w:p>
                <w:pPr>
                  <w:widowControl w:val="0"/>
                  <w:snapToGrid w:val="0"/>
                  <w:jc w:val="right"/>
                  <w:rPr>
                    <w:rFonts w:asciiTheme="minorEastAsia" w:hAnsiTheme="minorEastAsia" w:eastAsiaTheme="minorEastAsia"/>
                    <w:kern w:val="2"/>
                    <w:szCs w:val="21"/>
                  </w:rPr>
                </w:pPr>
                <w:r>
                  <w:rPr>
                    <w:rFonts w:asciiTheme="minorEastAsia" w:hAnsiTheme="minorEastAsia" w:eastAsiaTheme="minorEastAsia"/>
                  </w:rPr>
                  <w:t>7,321,157,653.14</w:t>
                </w:r>
              </w:p>
            </w:tc>
          </w:tr>
        </w:tbl>
        <w:p/>
        <w:p>
          <w:pPr>
            <w:pStyle w:val="281"/>
            <w:widowControl w:val="0"/>
            <w:numPr>
              <w:ilvl w:val="0"/>
              <w:numId w:val="137"/>
            </w:numPr>
            <w:tabs>
              <w:tab w:val="clear" w:pos="1273"/>
            </w:tabs>
            <w:spacing w:before="120" w:beforeLines="50" w:line="360" w:lineRule="auto"/>
            <w:ind w:leftChars="0" w:firstLineChars="0"/>
            <w:jc w:val="both"/>
            <w:outlineLvl w:val="3"/>
            <w:rPr>
              <w:rFonts w:ascii="Times New Roman" w:hAnsi="Times New Roman"/>
            </w:rPr>
          </w:pPr>
          <w:r>
            <w:rPr>
              <w:rFonts w:hint="eastAsia" w:ascii="Times New Roman" w:hAnsi="Times New Roman"/>
            </w:rPr>
            <w:t>按组合计提预期信用损失的其他应收款</w:t>
          </w:r>
        </w:p>
        <w:p>
          <w:pPr>
            <w:pStyle w:val="284"/>
            <w:widowControl w:val="0"/>
            <w:tabs>
              <w:tab w:val="left" w:pos="196"/>
              <w:tab w:val="left" w:pos="426"/>
            </w:tabs>
            <w:spacing w:line="360" w:lineRule="auto"/>
            <w:ind w:left="0" w:leftChars="0" w:firstLine="310" w:firstLineChars="147"/>
            <w:jc w:val="both"/>
            <w:rPr>
              <w:rFonts w:ascii="Times New Roman" w:hAnsi="Times New Roman"/>
              <w:b/>
            </w:rPr>
          </w:pPr>
          <w:r>
            <w:rPr>
              <w:rFonts w:hint="eastAsia" w:ascii="Times New Roman" w:hAnsi="Times New Roman"/>
              <w:b/>
            </w:rPr>
            <w:t>a.合并范围内关联方组合</w:t>
          </w:r>
        </w:p>
        <w:p>
          <w:pPr>
            <w:pStyle w:val="55"/>
            <w:ind w:left="1697" w:right="105" w:firstLine="0" w:firstLineChars="0"/>
            <w:jc w:val="right"/>
          </w:pPr>
          <w:r>
            <w:rPr>
              <w:rFonts w:hint="eastAsia"/>
            </w:rPr>
            <w:t>单位：元币种：人民币</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2558"/>
            <w:gridCol w:w="1990"/>
            <w:gridCol w:w="1990"/>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restar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账龄</w:t>
                </w:r>
              </w:p>
            </w:tc>
            <w:tc>
              <w:tcPr>
                <w:tcW w:w="3500" w:type="pct"/>
                <w:gridSpan w:val="3"/>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期末余额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continue"/>
                <w:shd w:val="clear" w:color="000000" w:fill="auto"/>
                <w:vAlign w:val="center"/>
              </w:tcPr>
              <w:p>
                <w:pPr>
                  <w:widowControl w:val="0"/>
                  <w:tabs>
                    <w:tab w:val="left" w:pos="196"/>
                    <w:tab w:val="left" w:pos="426"/>
                  </w:tabs>
                  <w:snapToGrid w:val="0"/>
                  <w:rPr>
                    <w:rFonts w:asciiTheme="minorEastAsia" w:hAnsiTheme="minorEastAsia" w:eastAsiaTheme="minorEastAsia"/>
                    <w:szCs w:val="21"/>
                  </w:rPr>
                </w:pPr>
              </w:p>
            </w:tc>
            <w:tc>
              <w:tcPr>
                <w:tcW w:w="1167"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账面余额</w:t>
                </w:r>
              </w:p>
            </w:tc>
            <w:tc>
              <w:tcPr>
                <w:tcW w:w="1167" w:type="pct"/>
                <w:shd w:val="clear" w:color="000000" w:fill="auto"/>
                <w:vAlign w:val="center"/>
              </w:tcPr>
              <w:p>
                <w:pPr>
                  <w:widowControl w:val="0"/>
                  <w:tabs>
                    <w:tab w:val="left" w:pos="196"/>
                    <w:tab w:val="left" w:pos="426"/>
                  </w:tabs>
                  <w:snapToGrid w:val="0"/>
                  <w:ind w:left="-63" w:leftChars="-30" w:right="-63" w:rightChars="-30"/>
                  <w:jc w:val="center"/>
                  <w:rPr>
                    <w:rFonts w:asciiTheme="minorEastAsia" w:hAnsiTheme="minorEastAsia" w:eastAsiaTheme="minorEastAsia"/>
                    <w:szCs w:val="21"/>
                  </w:rPr>
                </w:pPr>
                <w:r>
                  <w:rPr>
                    <w:rFonts w:asciiTheme="minorEastAsia" w:hAnsiTheme="minorEastAsia" w:eastAsiaTheme="minorEastAsia"/>
                    <w:szCs w:val="21"/>
                  </w:rPr>
                  <w:t>坏账准备</w:t>
                </w:r>
              </w:p>
            </w:tc>
            <w:tc>
              <w:tcPr>
                <w:tcW w:w="1166"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计提比例（%）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0-6个月</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 xml:space="preserve">3,099,017,167.43 </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6个月-1年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 xml:space="preserve"> 23,933,690.78 </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1-2年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 xml:space="preserve">2,572,287,083.53 </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2-3年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3-4年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4-5年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 xml:space="preserve"> 665,758,442.94 </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5年以上</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 xml:space="preserve"> 101,798,532.33 </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 xml:space="preserve">6,462,794,917.01 </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bl>
        <w:p>
          <w:pPr>
            <w:pStyle w:val="284"/>
            <w:widowControl w:val="0"/>
            <w:tabs>
              <w:tab w:val="left" w:pos="196"/>
              <w:tab w:val="left" w:pos="426"/>
            </w:tabs>
            <w:spacing w:before="120" w:beforeLines="50" w:line="360" w:lineRule="auto"/>
            <w:ind w:left="0" w:leftChars="0" w:firstLine="310" w:firstLineChars="147"/>
            <w:rPr>
              <w:rFonts w:ascii="Times New Roman" w:hAnsi="Times New Roman"/>
              <w:b/>
            </w:rPr>
          </w:pPr>
          <w:r>
            <w:rPr>
              <w:rFonts w:hint="eastAsia" w:ascii="Times New Roman" w:hAnsi="Times New Roman"/>
              <w:b/>
            </w:rPr>
            <w:t>b.账龄组合</w:t>
          </w:r>
        </w:p>
        <w:p>
          <w:pPr>
            <w:ind w:left="1277"/>
            <w:jc w:val="right"/>
            <w:rPr>
              <w:rFonts w:ascii="Times New Roman" w:hAnsi="Times New Roman"/>
            </w:rPr>
          </w:pPr>
          <w:r>
            <w:rPr>
              <w:rFonts w:hint="eastAsia"/>
            </w:rPr>
            <w:t>单位：元  币种：人民币</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Layout w:type="autofit"/>
            <w:tblCellMar>
              <w:top w:w="0" w:type="dxa"/>
              <w:left w:w="108" w:type="dxa"/>
              <w:bottom w:w="0" w:type="dxa"/>
              <w:right w:w="108" w:type="dxa"/>
            </w:tblCellMar>
          </w:tblPr>
          <w:tblGrid>
            <w:gridCol w:w="2558"/>
            <w:gridCol w:w="1990"/>
            <w:gridCol w:w="1990"/>
            <w:gridCol w:w="19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000000" w:fill="auto"/>
              <w:tblCellMar>
                <w:top w:w="0" w:type="dxa"/>
                <w:left w:w="108" w:type="dxa"/>
                <w:bottom w:w="0" w:type="dxa"/>
                <w:right w:w="108" w:type="dxa"/>
              </w:tblCellMar>
            </w:tblPrEx>
            <w:trPr>
              <w:trHeight w:val="397" w:hRule="atLeast"/>
              <w:tblHeader/>
              <w:jc w:val="center"/>
            </w:trPr>
            <w:tc>
              <w:tcPr>
                <w:tcW w:w="1500" w:type="pct"/>
                <w:vMerge w:val="restar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组合</w:t>
                </w:r>
                <w:r>
                  <w:rPr>
                    <w:rFonts w:asciiTheme="minorEastAsia" w:hAnsiTheme="minorEastAsia" w:eastAsiaTheme="minorEastAsia"/>
                    <w:szCs w:val="21"/>
                  </w:rPr>
                  <w:t>名称</w:t>
                </w:r>
              </w:p>
            </w:tc>
            <w:tc>
              <w:tcPr>
                <w:tcW w:w="3500" w:type="pct"/>
                <w:gridSpan w:val="3"/>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期末余额</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500" w:type="pct"/>
                <w:vMerge w:val="continue"/>
                <w:shd w:val="clear" w:color="000000" w:fill="auto"/>
                <w:vAlign w:val="center"/>
              </w:tcPr>
              <w:p>
                <w:pPr>
                  <w:widowControl w:val="0"/>
                  <w:tabs>
                    <w:tab w:val="left" w:pos="196"/>
                    <w:tab w:val="left" w:pos="426"/>
                  </w:tabs>
                  <w:snapToGrid w:val="0"/>
                  <w:rPr>
                    <w:rFonts w:asciiTheme="minorEastAsia" w:hAnsiTheme="minorEastAsia" w:eastAsiaTheme="minorEastAsia"/>
                    <w:szCs w:val="21"/>
                  </w:rPr>
                </w:pPr>
              </w:p>
            </w:tc>
            <w:tc>
              <w:tcPr>
                <w:tcW w:w="1167"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hint="eastAsia" w:asciiTheme="minorEastAsia" w:hAnsiTheme="minorEastAsia" w:eastAsiaTheme="minorEastAsia"/>
                    <w:szCs w:val="21"/>
                  </w:rPr>
                  <w:t>账面余额</w:t>
                </w:r>
              </w:p>
            </w:tc>
            <w:tc>
              <w:tcPr>
                <w:tcW w:w="1167" w:type="pct"/>
                <w:shd w:val="clear" w:color="000000" w:fill="auto"/>
                <w:vAlign w:val="center"/>
              </w:tcPr>
              <w:p>
                <w:pPr>
                  <w:widowControl w:val="0"/>
                  <w:tabs>
                    <w:tab w:val="left" w:pos="196"/>
                    <w:tab w:val="left" w:pos="426"/>
                  </w:tabs>
                  <w:snapToGrid w:val="0"/>
                  <w:ind w:left="-63" w:leftChars="-30" w:right="-63" w:rightChars="-30"/>
                  <w:jc w:val="center"/>
                  <w:rPr>
                    <w:rFonts w:asciiTheme="minorEastAsia" w:hAnsiTheme="minorEastAsia" w:eastAsiaTheme="minorEastAsia"/>
                    <w:szCs w:val="21"/>
                  </w:rPr>
                </w:pPr>
                <w:r>
                  <w:rPr>
                    <w:rFonts w:asciiTheme="minorEastAsia" w:hAnsiTheme="minorEastAsia" w:eastAsiaTheme="minorEastAsia"/>
                    <w:szCs w:val="21"/>
                  </w:rPr>
                  <w:t>坏账准备</w:t>
                </w:r>
              </w:p>
            </w:tc>
            <w:tc>
              <w:tcPr>
                <w:tcW w:w="1166"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计提比例（%）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1年以内</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80,395,353.20</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1－2年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100,200.00</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5,010.00</w:t>
                </w: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2－3年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30,353.64</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3,035.36</w:t>
                </w: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3－4年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4－5年</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3,336,421.22</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1,668,210.61</w:t>
                </w: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50.00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5年以上</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102,500.00</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102,500.00</w:t>
                </w: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100.00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00" w:type="pct"/>
                <w:shd w:val="clear" w:color="000000" w:fill="auto"/>
                <w:vAlign w:val="center"/>
              </w:tcPr>
              <w:p>
                <w:pPr>
                  <w:widowControl w:val="0"/>
                  <w:tabs>
                    <w:tab w:val="left" w:pos="196"/>
                    <w:tab w:val="left" w:pos="426"/>
                  </w:tabs>
                  <w:snapToGrid w:val="0"/>
                  <w:jc w:val="center"/>
                  <w:rPr>
                    <w:rFonts w:asciiTheme="minorEastAsia" w:hAnsiTheme="minorEastAsia" w:eastAsiaTheme="minorEastAsia"/>
                    <w:szCs w:val="21"/>
                  </w:rPr>
                </w:pPr>
                <w:r>
                  <w:rPr>
                    <w:rFonts w:asciiTheme="minorEastAsia" w:hAnsiTheme="minorEastAsia" w:eastAsiaTheme="minorEastAsia"/>
                    <w:szCs w:val="21"/>
                  </w:rPr>
                  <w:t>合计</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83,964,828.06</w:t>
                </w:r>
              </w:p>
            </w:tc>
            <w:tc>
              <w:tcPr>
                <w:tcW w:w="1167"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1,778,755.97</w:t>
                </w:r>
              </w:p>
            </w:tc>
            <w:tc>
              <w:tcPr>
                <w:tcW w:w="1166" w:type="pct"/>
                <w:shd w:val="clear" w:color="000000" w:fill="auto"/>
                <w:vAlign w:val="center"/>
              </w:tcPr>
              <w:p>
                <w:pPr>
                  <w:widowControl w:val="0"/>
                  <w:tabs>
                    <w:tab w:val="left" w:pos="196"/>
                    <w:tab w:val="left" w:pos="426"/>
                  </w:tabs>
                  <w:snapToGrid w:val="0"/>
                  <w:jc w:val="right"/>
                  <w:rPr>
                    <w:rFonts w:asciiTheme="minorEastAsia" w:hAnsiTheme="minorEastAsia" w:eastAsiaTheme="minorEastAsia"/>
                    <w:szCs w:val="21"/>
                  </w:rPr>
                </w:pPr>
                <w:r>
                  <w:rPr>
                    <w:rFonts w:asciiTheme="minorEastAsia" w:hAnsiTheme="minorEastAsia" w:eastAsiaTheme="minorEastAsia"/>
                    <w:szCs w:val="21"/>
                  </w:rPr>
                  <w:t>2.12</w:t>
                </w:r>
              </w:p>
            </w:tc>
          </w:tr>
        </w:tbl>
        <w:p/>
        <w:p/>
        <w:p>
          <w:pPr>
            <w:pStyle w:val="173"/>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521445411"/>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2"/>
    <w:sdt>
      <w:sdtPr>
        <w:alias w:val="模块:本期坏账准备计提金额以及评估金融工具的信用风险是否显著增加的采用依据"/>
        <w:tag w:val="_SEC_fbab0742fc2c44e3ad68d85a2a28dba0"/>
        <w:id w:val="-1541968828"/>
        <w:lock w:val="sdtLocked"/>
        <w:placeholder>
          <w:docPart w:val="GBC22222222222222222222222222222"/>
        </w:placeholder>
      </w:sdtPr>
      <w:sdtContent>
        <w:p>
          <w:bookmarkStart w:id="243" w:name="_Hlk53480689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132319682"/>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3"/>
    <w:sdt>
      <w:sdtPr>
        <w:rPr>
          <w:rFonts w:hint="eastAsia" w:ascii="宋体" w:hAnsi="宋体" w:eastAsia="宋体" w:cs="宋体"/>
          <w:b w:val="0"/>
          <w:bCs w:val="0"/>
          <w:kern w:val="0"/>
          <w:szCs w:val="24"/>
        </w:rPr>
        <w:alias w:val="模块:坏账准备的情况"/>
        <w:tag w:val="_SEC_f423d6eb34fc4ed68280e4e283cb023a"/>
        <w:id w:val="1494910887"/>
        <w:lock w:val="sdtLocked"/>
        <w:placeholder>
          <w:docPart w:val="GBC22222222222222222222222222222"/>
        </w:placeholder>
      </w:sdtPr>
      <w:sdtEndPr>
        <w:rPr>
          <w:rFonts w:hint="default" w:ascii="宋体" w:hAnsi="宋体" w:eastAsia="宋体" w:cs="宋体"/>
          <w:b w:val="0"/>
          <w:bCs w:val="0"/>
          <w:kern w:val="0"/>
          <w:szCs w:val="21"/>
        </w:rPr>
      </w:sdtEndPr>
      <w:sdtContent>
        <w:p>
          <w:pPr>
            <w:pStyle w:val="115"/>
            <w:numPr>
              <w:ilvl w:val="0"/>
              <w:numId w:val="136"/>
            </w:numPr>
          </w:pPr>
          <w:bookmarkStart w:id="244" w:name="_Hlk533797618"/>
          <w:r>
            <w:rPr>
              <w:rFonts w:hint="eastAsia"/>
            </w:rPr>
            <w:t>坏账准备的情况</w:t>
          </w:r>
        </w:p>
        <w:sdt>
          <w:sdtPr>
            <w:alias w:val="是否适用：母公司其他应收款坏账准备情况[双击切换]"/>
            <w:tag w:val="_GBC_fe964b2b8e824335995eaad4df852022"/>
            <w:id w:val="-1181271125"/>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ind w:left="425"/>
            <w:jc w:val="right"/>
            <w:rPr>
              <w:szCs w:val="21"/>
            </w:rPr>
          </w:pPr>
          <w:r>
            <w:rPr>
              <w:rFonts w:hint="eastAsia"/>
              <w:szCs w:val="21"/>
            </w:rPr>
            <w:t>单位：</w:t>
          </w:r>
          <w:sdt>
            <w:sdtPr>
              <w:rPr>
                <w:rFonts w:hint="eastAsia"/>
                <w:szCs w:val="21"/>
              </w:rPr>
              <w:alias w:val="单位：母公司其他应收款坏账准备情况"/>
              <w:tag w:val="_GBC_80ca06374aba4f0bbde29d70a0ac7a15"/>
              <w:id w:val="1868256105"/>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币种：</w:t>
          </w:r>
          <w:sdt>
            <w:sdtPr>
              <w:rPr>
                <w:rFonts w:hint="eastAsia"/>
                <w:szCs w:val="21"/>
              </w:rPr>
              <w:alias w:val="币种：母公司其他应收款坏账准备情况"/>
              <w:tag w:val="_GBC_e2ca206ffc72482a9cbe8c86c5688b1f"/>
              <w:id w:val="114709616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567" w:type="pct"/>
            <w:tblInd w:w="-4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3" w:type="dxa"/>
              <w:bottom w:w="0" w:type="dxa"/>
              <w:right w:w="113" w:type="dxa"/>
            </w:tblCellMar>
          </w:tblPr>
          <w:tblGrid>
            <w:gridCol w:w="1530"/>
            <w:gridCol w:w="1738"/>
            <w:gridCol w:w="1700"/>
            <w:gridCol w:w="1418"/>
            <w:gridCol w:w="795"/>
            <w:gridCol w:w="667"/>
            <w:gridCol w:w="16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599b4552113b431d9950cc345fc3c771"/>
                <w:id w:val="1845513754"/>
                <w:lock w:val="sdtLocked"/>
              </w:sdtPr>
              <w:sdtContent>
                <w:tc>
                  <w:tcPr>
                    <w:tcW w:w="805" w:type="pct"/>
                    <w:vMerge w:val="restart"/>
                    <w:shd w:val="clear" w:color="auto" w:fill="FFFFFF"/>
                    <w:vAlign w:val="center"/>
                  </w:tcPr>
                  <w:p>
                    <w:pPr>
                      <w:jc w:val="center"/>
                    </w:pPr>
                    <w:r>
                      <w:t>类别</w:t>
                    </w:r>
                  </w:p>
                </w:tc>
              </w:sdtContent>
            </w:sdt>
            <w:sdt>
              <w:sdtPr>
                <w:tag w:val="_PLD_b04fb91e27324be18dbb1170501ea7c2"/>
                <w:id w:val="2131809325"/>
                <w:lock w:val="sdtLocked"/>
              </w:sdtPr>
              <w:sdtContent>
                <w:tc>
                  <w:tcPr>
                    <w:tcW w:w="914" w:type="pct"/>
                    <w:vMerge w:val="restart"/>
                    <w:shd w:val="clear" w:color="auto" w:fill="FFFFFF"/>
                    <w:vAlign w:val="center"/>
                  </w:tcPr>
                  <w:p>
                    <w:pPr>
                      <w:jc w:val="center"/>
                    </w:pPr>
                    <w:r>
                      <w:t>期初余额</w:t>
                    </w:r>
                  </w:p>
                </w:tc>
              </w:sdtContent>
            </w:sdt>
            <w:sdt>
              <w:sdtPr>
                <w:tag w:val="_PLD_3162774660ba4bd791229ed0557bee42"/>
                <w:id w:val="887143265"/>
                <w:lock w:val="sdtLocked"/>
              </w:sdtPr>
              <w:sdtContent>
                <w:tc>
                  <w:tcPr>
                    <w:tcW w:w="2409" w:type="pct"/>
                    <w:gridSpan w:val="4"/>
                    <w:shd w:val="clear" w:color="auto" w:fill="FFFFFF"/>
                    <w:vAlign w:val="center"/>
                  </w:tcPr>
                  <w:p>
                    <w:pPr>
                      <w:jc w:val="center"/>
                    </w:pPr>
                    <w:r>
                      <w:rPr>
                        <w:rFonts w:hint="eastAsia"/>
                      </w:rPr>
                      <w:t>本期变动</w:t>
                    </w:r>
                    <w:r>
                      <w:t>金额</w:t>
                    </w:r>
                  </w:p>
                </w:tc>
              </w:sdtContent>
            </w:sdt>
            <w:sdt>
              <w:sdtPr>
                <w:tag w:val="_PLD_d14d39f809c34e24be6fc317d43acf45"/>
                <w:id w:val="-830294187"/>
                <w:lock w:val="sdtLocked"/>
              </w:sdtPr>
              <w:sdtContent>
                <w:tc>
                  <w:tcPr>
                    <w:tcW w:w="872" w:type="pct"/>
                    <w:vMerge w:val="restart"/>
                    <w:shd w:val="clear" w:color="auto" w:fill="FFFFFF"/>
                    <w:vAlign w:val="center"/>
                  </w:tcPr>
                  <w:p>
                    <w:pPr>
                      <w:jc w:val="center"/>
                    </w:pPr>
                    <w:r>
                      <w:t>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5" w:type="pct"/>
                <w:vMerge w:val="continue"/>
                <w:shd w:val="clear" w:color="auto" w:fill="FFFFFF"/>
              </w:tcPr>
              <w:p>
                <w:pPr>
                  <w:jc w:val="center"/>
                </w:pPr>
              </w:p>
            </w:tc>
            <w:tc>
              <w:tcPr>
                <w:tcW w:w="914" w:type="pct"/>
                <w:vMerge w:val="continue"/>
                <w:shd w:val="clear" w:color="auto" w:fill="FFFFFF"/>
              </w:tcPr>
              <w:p>
                <w:pPr>
                  <w:jc w:val="center"/>
                </w:pPr>
              </w:p>
            </w:tc>
            <w:sdt>
              <w:sdtPr>
                <w:tag w:val="_PLD_f408f7d036804cc28ba43a0439189aa1"/>
                <w:id w:val="-1970659204"/>
                <w:lock w:val="sdtLocked"/>
              </w:sdtPr>
              <w:sdtContent>
                <w:tc>
                  <w:tcPr>
                    <w:tcW w:w="894" w:type="pct"/>
                    <w:shd w:val="clear" w:color="auto" w:fill="FFFFFF"/>
                    <w:vAlign w:val="center"/>
                  </w:tcPr>
                  <w:p>
                    <w:pPr>
                      <w:jc w:val="center"/>
                    </w:pPr>
                    <w:r>
                      <w:t>计提</w:t>
                    </w:r>
                  </w:p>
                </w:tc>
              </w:sdtContent>
            </w:sdt>
            <w:sdt>
              <w:sdtPr>
                <w:tag w:val="_PLD_694fce967684431e964389b1fbfd7773"/>
                <w:id w:val="-1826123379"/>
                <w:lock w:val="sdtLocked"/>
              </w:sdtPr>
              <w:sdtContent>
                <w:tc>
                  <w:tcPr>
                    <w:tcW w:w="746" w:type="pct"/>
                    <w:shd w:val="clear" w:color="auto" w:fill="FFFFFF"/>
                    <w:vAlign w:val="center"/>
                  </w:tcPr>
                  <w:p>
                    <w:pPr>
                      <w:jc w:val="center"/>
                    </w:pPr>
                    <w:r>
                      <w:rPr>
                        <w:rFonts w:hint="eastAsia"/>
                      </w:rPr>
                      <w:t>收回或转回</w:t>
                    </w:r>
                  </w:p>
                </w:tc>
              </w:sdtContent>
            </w:sdt>
            <w:sdt>
              <w:sdtPr>
                <w:tag w:val="_PLD_59153f559aba461288ad06bff0782b2d"/>
                <w:id w:val="899710155"/>
                <w:lock w:val="sdtLocked"/>
              </w:sdtPr>
              <w:sdtContent>
                <w:tc>
                  <w:tcPr>
                    <w:tcW w:w="418" w:type="pct"/>
                    <w:shd w:val="clear" w:color="auto" w:fill="FFFFFF"/>
                    <w:vAlign w:val="center"/>
                  </w:tcPr>
                  <w:p>
                    <w:pPr>
                      <w:jc w:val="center"/>
                    </w:pPr>
                    <w:r>
                      <w:rPr>
                        <w:rFonts w:hint="eastAsia"/>
                      </w:rPr>
                      <w:t>转销或核销</w:t>
                    </w:r>
                  </w:p>
                </w:tc>
              </w:sdtContent>
            </w:sdt>
            <w:tc>
              <w:tcPr>
                <w:tcW w:w="351" w:type="pct"/>
                <w:shd w:val="clear" w:color="auto" w:fill="FFFFFF"/>
                <w:vAlign w:val="center"/>
              </w:tcPr>
              <w:sdt>
                <w:sdtPr>
                  <w:rPr>
                    <w:rFonts w:hint="eastAsia"/>
                  </w:rPr>
                  <w:tag w:val="_PLD_51a0476d1e2f444f8723da1988f813f5"/>
                  <w:id w:val="-948155429"/>
                  <w:lock w:val="sdtLocked"/>
                </w:sdtPr>
                <w:sdtEndPr>
                  <w:rPr>
                    <w:rFonts w:hint="eastAsia"/>
                  </w:rPr>
                </w:sdtEndPr>
                <w:sdtContent>
                  <w:p>
                    <w:pPr>
                      <w:jc w:val="right"/>
                    </w:pPr>
                    <w:r>
                      <w:rPr>
                        <w:rFonts w:hint="eastAsia"/>
                      </w:rPr>
                      <w:t>其他变动</w:t>
                    </w:r>
                  </w:p>
                </w:sdtContent>
              </w:sdt>
            </w:tc>
            <w:tc>
              <w:tcPr>
                <w:tcW w:w="872" w:type="pct"/>
                <w:vMerge w:val="continue"/>
                <w:shd w:val="clear" w:color="auto" w:fill="FFFFFF"/>
              </w:tcPr>
              <w:p>
                <w:pPr>
                  <w:jc w:val="right"/>
                </w:pPr>
              </w:p>
            </w:tc>
          </w:tr>
          <w:sdt>
            <w:sdtPr>
              <w:rPr>
                <w:rFonts w:asciiTheme="minorHAnsi" w:hAnsiTheme="minorHAnsi" w:eastAsiaTheme="minorEastAsia" w:cstheme="minorBidi"/>
                <w:kern w:val="2"/>
                <w:szCs w:val="22"/>
              </w:rPr>
              <w:alias w:val="其他应收款坏账准备明细"/>
              <w:tag w:val="_TUP_6f56b657771645c385c6c7407469a695"/>
              <w:id w:val="1412119395"/>
              <w:lock w:val="sdtLocked"/>
            </w:sdtPr>
            <w:sdtEndPr>
              <w:rPr>
                <w:rFonts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5" w:type="pct"/>
                    <w:shd w:val="clear" w:color="auto" w:fill="auto"/>
                  </w:tcPr>
                  <w:p>
                    <w:r>
                      <w:t>单项计提预期信用损失的其他应收款</w:t>
                    </w:r>
                  </w:p>
                </w:tc>
                <w:tc>
                  <w:tcPr>
                    <w:tcW w:w="914" w:type="pct"/>
                    <w:shd w:val="clear" w:color="auto" w:fill="auto"/>
                  </w:tcPr>
                  <w:p>
                    <w:pPr>
                      <w:jc w:val="right"/>
                    </w:pPr>
                  </w:p>
                </w:tc>
                <w:tc>
                  <w:tcPr>
                    <w:tcW w:w="894" w:type="pct"/>
                    <w:shd w:val="clear" w:color="auto" w:fill="auto"/>
                  </w:tcPr>
                  <w:p>
                    <w:pPr>
                      <w:jc w:val="right"/>
                    </w:pPr>
                  </w:p>
                </w:tc>
                <w:tc>
                  <w:tcPr>
                    <w:tcW w:w="746" w:type="pct"/>
                    <w:shd w:val="clear" w:color="auto" w:fill="auto"/>
                  </w:tcPr>
                  <w:p>
                    <w:pPr>
                      <w:jc w:val="right"/>
                    </w:pPr>
                  </w:p>
                </w:tc>
                <w:tc>
                  <w:tcPr>
                    <w:tcW w:w="418" w:type="pct"/>
                  </w:tcPr>
                  <w:p>
                    <w:pPr>
                      <w:jc w:val="right"/>
                    </w:pPr>
                  </w:p>
                </w:tc>
                <w:tc>
                  <w:tcPr>
                    <w:tcW w:w="351" w:type="pct"/>
                  </w:tcPr>
                  <w:p>
                    <w:pPr>
                      <w:jc w:val="right"/>
                    </w:pPr>
                  </w:p>
                </w:tc>
                <w:tc>
                  <w:tcPr>
                    <w:tcW w:w="872" w:type="pct"/>
                    <w:shd w:val="clear" w:color="auto" w:fill="auto"/>
                  </w:tcPr>
                  <w:p>
                    <w:pPr>
                      <w:jc w:val="right"/>
                    </w:pPr>
                  </w:p>
                </w:tc>
              </w:tr>
            </w:sdtContent>
          </w:sdt>
          <w:sdt>
            <w:sdtPr>
              <w:rPr>
                <w:rFonts w:asciiTheme="minorHAnsi" w:hAnsiTheme="minorHAnsi" w:eastAsiaTheme="minorEastAsia" w:cstheme="minorBidi"/>
                <w:kern w:val="2"/>
                <w:szCs w:val="22"/>
              </w:rPr>
              <w:alias w:val="其他应收款坏账准备明细"/>
              <w:tag w:val="_TUP_6f56b657771645c385c6c7407469a695"/>
              <w:id w:val="-1728833719"/>
              <w:lock w:val="sdtLocked"/>
            </w:sdtPr>
            <w:sdtEndPr>
              <w:rPr>
                <w:rFonts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5" w:type="pct"/>
                    <w:shd w:val="clear" w:color="auto" w:fill="auto"/>
                  </w:tcPr>
                  <w:p>
                    <w:r>
                      <w:t>按组合计提预期信用损失的其他应收款</w:t>
                    </w:r>
                  </w:p>
                </w:tc>
                <w:tc>
                  <w:tcPr>
                    <w:tcW w:w="914" w:type="pct"/>
                    <w:shd w:val="clear" w:color="auto" w:fill="auto"/>
                    <w:vAlign w:val="center"/>
                  </w:tcPr>
                  <w:p>
                    <w:pPr>
                      <w:rPr>
                        <w:sz w:val="24"/>
                      </w:rPr>
                    </w:pPr>
                  </w:p>
                </w:tc>
                <w:tc>
                  <w:tcPr>
                    <w:tcW w:w="894" w:type="pct"/>
                    <w:shd w:val="clear" w:color="auto" w:fill="auto"/>
                    <w:vAlign w:val="center"/>
                  </w:tcPr>
                  <w:p/>
                </w:tc>
                <w:tc>
                  <w:tcPr>
                    <w:tcW w:w="746" w:type="pct"/>
                    <w:shd w:val="clear" w:color="auto" w:fill="auto"/>
                    <w:vAlign w:val="center"/>
                  </w:tcPr>
                  <w:p/>
                </w:tc>
                <w:tc>
                  <w:tcPr>
                    <w:tcW w:w="418" w:type="pct"/>
                    <w:vAlign w:val="center"/>
                  </w:tcPr>
                  <w:p/>
                </w:tc>
                <w:tc>
                  <w:tcPr>
                    <w:tcW w:w="351" w:type="pct"/>
                    <w:vAlign w:val="center"/>
                  </w:tcPr>
                  <w:p/>
                </w:tc>
                <w:tc>
                  <w:tcPr>
                    <w:tcW w:w="872" w:type="pct"/>
                    <w:shd w:val="clear" w:color="auto" w:fill="auto"/>
                    <w:vAlign w:val="center"/>
                  </w:tcPr>
                  <w:p>
                    <w:pPr>
                      <w:ind w:right="1680"/>
                      <w:jc w:val="center"/>
                    </w:pPr>
                  </w:p>
                </w:tc>
              </w:tr>
            </w:sdtContent>
          </w:sdt>
          <w:sdt>
            <w:sdtPr>
              <w:rPr>
                <w:rFonts w:asciiTheme="minorHAnsi" w:hAnsiTheme="minorHAnsi" w:eastAsiaTheme="minorEastAsia" w:cstheme="minorBidi"/>
                <w:kern w:val="2"/>
                <w:szCs w:val="22"/>
              </w:rPr>
              <w:alias w:val="其他应收款坏账准备明细"/>
              <w:tag w:val="_TUP_6f56b657771645c385c6c7407469a695"/>
              <w:id w:val="-1617445287"/>
              <w:lock w:val="sdtLocked"/>
            </w:sdtPr>
            <w:sdtEndPr>
              <w:rPr>
                <w:rFonts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5" w:type="pct"/>
                    <w:shd w:val="clear" w:color="auto" w:fill="auto"/>
                  </w:tcPr>
                  <w:p>
                    <w:r>
                      <w:t>其中：</w:t>
                    </w:r>
                    <w:r>
                      <w:rPr>
                        <w:rFonts w:hint="eastAsia"/>
                      </w:rPr>
                      <w:t>低风险组合</w:t>
                    </w:r>
                  </w:p>
                </w:tc>
                <w:tc>
                  <w:tcPr>
                    <w:tcW w:w="914" w:type="pct"/>
                    <w:shd w:val="clear" w:color="auto" w:fill="auto"/>
                    <w:vAlign w:val="center"/>
                  </w:tcPr>
                  <w:p>
                    <w:pPr>
                      <w:jc w:val="right"/>
                      <w:rPr>
                        <w:sz w:val="24"/>
                      </w:rPr>
                    </w:pPr>
                    <w:r>
                      <w:t>65,786,038.26</w:t>
                    </w:r>
                  </w:p>
                </w:tc>
                <w:tc>
                  <w:tcPr>
                    <w:tcW w:w="894" w:type="pct"/>
                    <w:shd w:val="clear" w:color="auto" w:fill="auto"/>
                    <w:vAlign w:val="center"/>
                  </w:tcPr>
                  <w:p>
                    <w:pPr>
                      <w:jc w:val="right"/>
                    </w:pPr>
                    <w:r>
                      <w:t>-65,786,038.26</w:t>
                    </w:r>
                  </w:p>
                </w:tc>
                <w:tc>
                  <w:tcPr>
                    <w:tcW w:w="746" w:type="pct"/>
                    <w:shd w:val="clear" w:color="auto" w:fill="auto"/>
                    <w:vAlign w:val="center"/>
                  </w:tcPr>
                  <w:p>
                    <w:pPr>
                      <w:jc w:val="right"/>
                    </w:pPr>
                  </w:p>
                </w:tc>
                <w:tc>
                  <w:tcPr>
                    <w:tcW w:w="418" w:type="pct"/>
                    <w:vAlign w:val="center"/>
                  </w:tcPr>
                  <w:p>
                    <w:pPr>
                      <w:jc w:val="right"/>
                    </w:pPr>
                  </w:p>
                </w:tc>
                <w:tc>
                  <w:tcPr>
                    <w:tcW w:w="351" w:type="pct"/>
                    <w:vAlign w:val="center"/>
                  </w:tcPr>
                  <w:p>
                    <w:pPr>
                      <w:jc w:val="right"/>
                    </w:pPr>
                  </w:p>
                </w:tc>
                <w:tc>
                  <w:tcPr>
                    <w:tcW w:w="872" w:type="pct"/>
                    <w:shd w:val="clear" w:color="auto" w:fill="auto"/>
                    <w:vAlign w:val="center"/>
                  </w:tcPr>
                  <w:p>
                    <w:pPr>
                      <w:jc w:val="right"/>
                    </w:pPr>
                    <w:r>
                      <w:rPr>
                        <w:rFonts w:hint="eastAsia"/>
                      </w:rPr>
                      <w:t>0.00</w:t>
                    </w:r>
                  </w:p>
                </w:tc>
              </w:tr>
            </w:sdtContent>
          </w:sdt>
          <w:sdt>
            <w:sdtPr>
              <w:rPr>
                <w:rFonts w:asciiTheme="minorHAnsi" w:hAnsiTheme="minorHAnsi" w:eastAsiaTheme="minorEastAsia" w:cstheme="minorBidi"/>
                <w:kern w:val="2"/>
                <w:szCs w:val="22"/>
              </w:rPr>
              <w:alias w:val="其他应收款坏账准备明细"/>
              <w:tag w:val="_TUP_6f56b657771645c385c6c7407469a695"/>
              <w:id w:val="-871382552"/>
              <w:lock w:val="sdtLocked"/>
            </w:sdtPr>
            <w:sdtEndPr>
              <w:rPr>
                <w:rFonts w:asciiTheme="minorHAnsi" w:hAnsiTheme="minorHAnsi" w:eastAsiaTheme="minorEastAsia" w:cstheme="minorBidi"/>
                <w:kern w:val="2"/>
                <w:szCs w:val="22"/>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c>
                  <w:tcPr>
                    <w:tcW w:w="805" w:type="pct"/>
                    <w:shd w:val="clear" w:color="auto" w:fill="auto"/>
                  </w:tcPr>
                  <w:p>
                    <w:r>
                      <w:t>  账龄组合</w:t>
                    </w:r>
                  </w:p>
                </w:tc>
                <w:tc>
                  <w:tcPr>
                    <w:tcW w:w="914" w:type="pct"/>
                    <w:shd w:val="clear" w:color="auto" w:fill="auto"/>
                    <w:vAlign w:val="center"/>
                  </w:tcPr>
                  <w:p>
                    <w:pPr>
                      <w:jc w:val="right"/>
                      <w:rPr>
                        <w:sz w:val="24"/>
                      </w:rPr>
                    </w:pPr>
                    <w:r>
                      <w:t>23,971,980.00</w:t>
                    </w:r>
                  </w:p>
                </w:tc>
                <w:tc>
                  <w:tcPr>
                    <w:tcW w:w="894" w:type="pct"/>
                    <w:shd w:val="clear" w:color="auto" w:fill="auto"/>
                    <w:vAlign w:val="center"/>
                  </w:tcPr>
                  <w:p>
                    <w:pPr>
                      <w:jc w:val="right"/>
                    </w:pPr>
                    <w:r>
                      <w:t>-22,365,128.03</w:t>
                    </w:r>
                  </w:p>
                </w:tc>
                <w:tc>
                  <w:tcPr>
                    <w:tcW w:w="746" w:type="pct"/>
                    <w:shd w:val="clear" w:color="auto" w:fill="auto"/>
                    <w:vAlign w:val="center"/>
                  </w:tcPr>
                  <w:p>
                    <w:pPr>
                      <w:jc w:val="right"/>
                    </w:pPr>
                    <w:r>
                      <w:t>171,904.00</w:t>
                    </w:r>
                  </w:p>
                </w:tc>
                <w:tc>
                  <w:tcPr>
                    <w:tcW w:w="418" w:type="pct"/>
                    <w:vAlign w:val="center"/>
                  </w:tcPr>
                  <w:p>
                    <w:pPr>
                      <w:jc w:val="right"/>
                    </w:pPr>
                  </w:p>
                </w:tc>
                <w:tc>
                  <w:tcPr>
                    <w:tcW w:w="351" w:type="pct"/>
                    <w:vAlign w:val="center"/>
                  </w:tcPr>
                  <w:p>
                    <w:pPr>
                      <w:jc w:val="right"/>
                    </w:pPr>
                  </w:p>
                </w:tc>
                <w:tc>
                  <w:tcPr>
                    <w:tcW w:w="872" w:type="pct"/>
                    <w:shd w:val="clear" w:color="auto" w:fill="auto"/>
                    <w:vAlign w:val="center"/>
                  </w:tcPr>
                  <w:p>
                    <w:pPr>
                      <w:jc w:val="right"/>
                    </w:pPr>
                    <w:r>
                      <w:t>1,778,755.97</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sdt>
              <w:sdtPr>
                <w:tag w:val="_PLD_0d6a18f5af5d4d138b36d154b7e8d801"/>
                <w:id w:val="1304352138"/>
                <w:lock w:val="sdtLocked"/>
              </w:sdtPr>
              <w:sdtContent>
                <w:tc>
                  <w:tcPr>
                    <w:tcW w:w="805" w:type="pct"/>
                    <w:shd w:val="clear" w:color="auto" w:fill="auto"/>
                  </w:tcPr>
                  <w:p>
                    <w:pPr>
                      <w:jc w:val="center"/>
                    </w:pPr>
                    <w:r>
                      <w:rPr>
                        <w:rFonts w:hint="eastAsia"/>
                      </w:rPr>
                      <w:t>合计</w:t>
                    </w:r>
                  </w:p>
                </w:tc>
              </w:sdtContent>
            </w:sdt>
            <w:tc>
              <w:tcPr>
                <w:tcW w:w="914" w:type="pct"/>
                <w:shd w:val="clear" w:color="auto" w:fill="auto"/>
                <w:vAlign w:val="center"/>
              </w:tcPr>
              <w:p>
                <w:pPr>
                  <w:jc w:val="right"/>
                  <w:rPr>
                    <w:sz w:val="24"/>
                  </w:rPr>
                </w:pPr>
                <w:r>
                  <w:t>89,758,018.26</w:t>
                </w:r>
              </w:p>
            </w:tc>
            <w:tc>
              <w:tcPr>
                <w:tcW w:w="894" w:type="pct"/>
                <w:shd w:val="clear" w:color="auto" w:fill="auto"/>
                <w:vAlign w:val="center"/>
              </w:tcPr>
              <w:p>
                <w:pPr>
                  <w:jc w:val="right"/>
                  <w:rPr>
                    <w:sz w:val="24"/>
                  </w:rPr>
                </w:pPr>
                <w:r>
                  <w:t>-88,151,166.29</w:t>
                </w:r>
              </w:p>
            </w:tc>
            <w:tc>
              <w:tcPr>
                <w:tcW w:w="746" w:type="pct"/>
                <w:shd w:val="clear" w:color="auto" w:fill="auto"/>
                <w:vAlign w:val="center"/>
              </w:tcPr>
              <w:p>
                <w:pPr>
                  <w:jc w:val="right"/>
                  <w:rPr>
                    <w:szCs w:val="21"/>
                  </w:rPr>
                </w:pPr>
                <w:r>
                  <w:rPr>
                    <w:szCs w:val="21"/>
                  </w:rPr>
                  <w:t>171,904.00</w:t>
                </w:r>
              </w:p>
            </w:tc>
            <w:tc>
              <w:tcPr>
                <w:tcW w:w="418" w:type="pct"/>
                <w:vAlign w:val="center"/>
              </w:tcPr>
              <w:p>
                <w:pPr>
                  <w:jc w:val="right"/>
                  <w:rPr>
                    <w:sz w:val="24"/>
                  </w:rPr>
                </w:pPr>
              </w:p>
            </w:tc>
            <w:tc>
              <w:tcPr>
                <w:tcW w:w="351" w:type="pct"/>
                <w:vAlign w:val="center"/>
              </w:tcPr>
              <w:p>
                <w:pPr>
                  <w:jc w:val="right"/>
                  <w:rPr>
                    <w:sz w:val="24"/>
                  </w:rPr>
                </w:pPr>
              </w:p>
            </w:tc>
            <w:tc>
              <w:tcPr>
                <w:tcW w:w="872" w:type="pct"/>
                <w:shd w:val="clear" w:color="auto" w:fill="auto"/>
                <w:vAlign w:val="center"/>
              </w:tcPr>
              <w:p>
                <w:pPr>
                  <w:jc w:val="right"/>
                  <w:rPr>
                    <w:sz w:val="24"/>
                  </w:rPr>
                </w:pPr>
                <w:r>
                  <w:t>1,778,755.97</w:t>
                </w:r>
              </w:p>
            </w:tc>
          </w:tr>
        </w:tbl>
        <w:p/>
        <w:p>
          <w:r>
            <w:rPr>
              <w:rFonts w:hint="eastAsia"/>
            </w:rPr>
            <w:t>其中本期坏账准备转回或收回金额重要的：</w:t>
          </w:r>
        </w:p>
        <w:sdt>
          <w:sdtPr>
            <w:alias w:val="是否适用：母公司其他应收款坏账准备转回或收回金额重要的[双击切换]"/>
            <w:tag w:val="_GBC_f8ce6c07169e42188641fc1bc1ab86d4"/>
            <w:id w:val="686884750"/>
            <w:lock w:val="sdtLocked"/>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highlight w:val="yellow"/>
            </w:rPr>
          </w:pPr>
          <w:r>
            <w:rPr>
              <w:rFonts w:hint="eastAsia"/>
            </w:rPr>
            <w:t>单位：</w:t>
          </w:r>
          <w:sdt>
            <w:sdtPr>
              <w:rPr>
                <w:rFonts w:hint="eastAsia"/>
              </w:rPr>
              <w:alias w:val="单位：母公司其他应收款坏账准备转回或收回金额重要的"/>
              <w:tag w:val="_GBC_b8d9d7fad9944e7e9793424f67f27c27"/>
              <w:id w:val="298730991"/>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其他应收款坏账准备转回或收回金额重要的"/>
              <w:tag w:val="_GBC_1832d7d7a74f4bbea3af0d795f8eb24b"/>
              <w:id w:val="7700575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2879"/>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5b0eaa2898f4a688e68647b8427b4df"/>
                <w:id w:val="-243037175"/>
                <w:lock w:val="sdtLocked"/>
              </w:sdtPr>
              <w:sdtContent>
                <w:tc>
                  <w:tcPr>
                    <w:tcW w:w="1625" w:type="pct"/>
                    <w:vAlign w:val="center"/>
                  </w:tcPr>
                  <w:p>
                    <w:pPr>
                      <w:jc w:val="center"/>
                      <w:rPr>
                        <w:szCs w:val="21"/>
                      </w:rPr>
                    </w:pPr>
                    <w:r>
                      <w:rPr>
                        <w:rFonts w:hint="eastAsia"/>
                        <w:szCs w:val="21"/>
                      </w:rPr>
                      <w:t>单位名称</w:t>
                    </w:r>
                  </w:p>
                </w:tc>
              </w:sdtContent>
            </w:sdt>
            <w:sdt>
              <w:sdtPr>
                <w:tag w:val="_PLD_530699891fa84ba4b2d75e9bb31a4290"/>
                <w:id w:val="-2072263723"/>
                <w:lock w:val="sdtLocked"/>
              </w:sdtPr>
              <w:sdtContent>
                <w:tc>
                  <w:tcPr>
                    <w:tcW w:w="1688" w:type="pct"/>
                    <w:vAlign w:val="center"/>
                  </w:tcPr>
                  <w:p>
                    <w:pPr>
                      <w:jc w:val="center"/>
                      <w:rPr>
                        <w:szCs w:val="21"/>
                      </w:rPr>
                    </w:pPr>
                    <w:r>
                      <w:rPr>
                        <w:rFonts w:hint="eastAsia"/>
                        <w:szCs w:val="21"/>
                      </w:rPr>
                      <w:t>转回或收回金额</w:t>
                    </w:r>
                  </w:p>
                </w:tc>
              </w:sdtContent>
            </w:sdt>
            <w:sdt>
              <w:sdtPr>
                <w:tag w:val="_PLD_851b9e0f97b24fe290c8c8fe22f713a1"/>
                <w:id w:val="897786553"/>
                <w:lock w:val="sdtLocked"/>
              </w:sdtPr>
              <w:sdtContent>
                <w:tc>
                  <w:tcPr>
                    <w:tcW w:w="1687" w:type="pct"/>
                    <w:vAlign w:val="center"/>
                  </w:tcPr>
                  <w:p>
                    <w:pPr>
                      <w:jc w:val="center"/>
                      <w:rPr>
                        <w:szCs w:val="21"/>
                      </w:rPr>
                    </w:pPr>
                    <w:r>
                      <w:rPr>
                        <w:rFonts w:hint="eastAsia"/>
                        <w:szCs w:val="21"/>
                      </w:rPr>
                      <w:t>收回方式</w:t>
                    </w:r>
                  </w:p>
                </w:tc>
              </w:sdtContent>
            </w:sdt>
          </w:tr>
          <w:sdt>
            <w:sdtPr>
              <w:rPr>
                <w:rFonts w:asciiTheme="minorHAnsi" w:hAnsiTheme="minorHAnsi" w:eastAsiaTheme="minorEastAsia" w:cstheme="minorBidi"/>
                <w:kern w:val="2"/>
                <w:szCs w:val="21"/>
              </w:rPr>
              <w:alias w:val="转回或收回的其他应收账款明细"/>
              <w:tag w:val="_TUP_b0ebc99562e1457ea367f6dbe07f4512"/>
              <w:id w:val="1438175912"/>
              <w:lock w:val="sdtLocked"/>
            </w:sdtPr>
            <w:sdtEndPr>
              <w:rPr>
                <w:rFonts w:asciiTheme="minorHAnsi" w:hAnsiTheme="minorHAnsi" w:eastAsiaTheme="minorEastAsia" w:cstheme="minorBidi"/>
                <w:kern w:val="2"/>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25" w:type="pct"/>
                  </w:tcPr>
                  <w:p>
                    <w:pPr>
                      <w:rPr>
                        <w:szCs w:val="21"/>
                      </w:rPr>
                    </w:pPr>
                    <w:r>
                      <w:rPr>
                        <w:rFonts w:hint="eastAsia"/>
                      </w:rPr>
                      <w:t>客户六</w:t>
                    </w:r>
                  </w:p>
                </w:tc>
                <w:tc>
                  <w:tcPr>
                    <w:tcW w:w="1688" w:type="pct"/>
                  </w:tcPr>
                  <w:p>
                    <w:pPr>
                      <w:jc w:val="right"/>
                      <w:rPr>
                        <w:szCs w:val="21"/>
                      </w:rPr>
                    </w:pPr>
                    <w:r>
                      <w:t>171,904.00</w:t>
                    </w:r>
                  </w:p>
                </w:tc>
                <w:tc>
                  <w:tcPr>
                    <w:tcW w:w="1687" w:type="pct"/>
                  </w:tcPr>
                  <w:p>
                    <w:pPr>
                      <w:jc w:val="center"/>
                      <w:rPr>
                        <w:szCs w:val="21"/>
                      </w:rPr>
                    </w:pPr>
                    <w:r>
                      <w:t>银行存款</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8d8677622854686a77588113fd51996"/>
                <w:id w:val="-1792429266"/>
                <w:lock w:val="sdtLocked"/>
              </w:sdtPr>
              <w:sdtContent>
                <w:tc>
                  <w:tcPr>
                    <w:tcW w:w="1625" w:type="pct"/>
                    <w:vAlign w:val="center"/>
                  </w:tcPr>
                  <w:p>
                    <w:pPr>
                      <w:jc w:val="center"/>
                      <w:rPr>
                        <w:szCs w:val="21"/>
                      </w:rPr>
                    </w:pPr>
                    <w:r>
                      <w:rPr>
                        <w:szCs w:val="21"/>
                      </w:rPr>
                      <w:t>合计</w:t>
                    </w:r>
                  </w:p>
                </w:tc>
              </w:sdtContent>
            </w:sdt>
            <w:tc>
              <w:tcPr>
                <w:tcW w:w="1688" w:type="pct"/>
              </w:tcPr>
              <w:p>
                <w:pPr>
                  <w:jc w:val="right"/>
                </w:pPr>
                <w:r>
                  <w:t>171,904.00</w:t>
                </w:r>
              </w:p>
            </w:tc>
            <w:tc>
              <w:tcPr>
                <w:tcW w:w="1687" w:type="pct"/>
              </w:tcPr>
              <w:p>
                <w:pPr>
                  <w:jc w:val="center"/>
                  <w:rPr>
                    <w:szCs w:val="21"/>
                  </w:rPr>
                </w:pPr>
                <w:r>
                  <w:rPr>
                    <w:rFonts w:hint="eastAsia"/>
                    <w:szCs w:val="21"/>
                  </w:rPr>
                  <w:t>/</w:t>
                </w:r>
              </w:p>
            </w:tc>
          </w:tr>
        </w:tbl>
        <w:p>
          <w:pPr>
            <w:rPr>
              <w:szCs w:val="21"/>
            </w:rPr>
          </w:pPr>
        </w:p>
      </w:sdtContent>
    </w:sdt>
    <w:bookmarkEnd w:id="244"/>
    <w:sdt>
      <w:sdtPr>
        <w:rPr>
          <w:rFonts w:hint="eastAsia" w:eastAsia="宋体" w:cs="宋体" w:asciiTheme="minorHAnsi" w:hAnsiTheme="minorHAnsi"/>
          <w:b w:val="0"/>
          <w:bCs w:val="0"/>
          <w:kern w:val="0"/>
          <w:szCs w:val="22"/>
        </w:rPr>
        <w:alias w:val="模块:本报告期实际核销的其他应收款情况"/>
        <w:tag w:val="_SEC_95497f8a3ba04097840502fb3e809791"/>
        <w:id w:val="644631885"/>
        <w:lock w:val="sdtLocked"/>
        <w:placeholder>
          <w:docPart w:val="GBC22222222222222222222222222222"/>
        </w:placeholder>
      </w:sdtPr>
      <w:sdtEndPr>
        <w:rPr>
          <w:rFonts w:hint="eastAsia" w:ascii="Times New Roman" w:hAnsi="Times New Roman" w:eastAsia="宋体" w:cs="Times New Roman"/>
          <w:b w:val="0"/>
          <w:bCs w:val="0"/>
          <w:kern w:val="2"/>
          <w:szCs w:val="24"/>
        </w:rPr>
      </w:sdtEndPr>
      <w:sdtContent>
        <w:p>
          <w:pPr>
            <w:pStyle w:val="115"/>
            <w:numPr>
              <w:ilvl w:val="0"/>
              <w:numId w:val="136"/>
            </w:numPr>
          </w:pPr>
          <w:r>
            <w:rPr>
              <w:rFonts w:hint="eastAsia"/>
            </w:rPr>
            <w:t>本期实际核销的其他应收款情况</w:t>
          </w:r>
        </w:p>
        <w:sdt>
          <w:sdtPr>
            <w:alias w:val="是否适用：母公司本期实际核销的其他应收款情况[双击切换]"/>
            <w:tag w:val="_GBC_1513ed448adb4dda8e855e090428591f"/>
            <w:id w:val="1653567055"/>
            <w:lock w:val="sdtLocked"/>
            <w:placeholder>
              <w:docPart w:val="GBC22222222222222222222222222222"/>
            </w:placeholder>
          </w:sdtPr>
          <w:sdtContent>
            <w:p>
              <w:pPr>
                <w:rPr>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sdtContent>
    </w:sdt>
    <w:sdt>
      <w:sdtPr>
        <w:rPr>
          <w:rFonts w:hint="eastAsia" w:ascii="宋体" w:hAnsi="宋体" w:eastAsia="宋体" w:cs="宋体"/>
          <w:b w:val="0"/>
          <w:bCs w:val="0"/>
          <w:kern w:val="0"/>
          <w:szCs w:val="24"/>
        </w:rPr>
        <w:alias w:val="模块:按欠款方归集的期末余额前五名的其他应收款情况"/>
        <w:tag w:val="_SEC_6f759e5be9a9426cadf575a65a7d3434"/>
        <w:id w:val="-167849071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0"/>
              <w:numId w:val="136"/>
            </w:numPr>
          </w:pPr>
          <w:r>
            <w:rPr>
              <w:rFonts w:hint="eastAsia"/>
            </w:rPr>
            <w:t>按欠款方归集的期末余额前五名的其他应收款情况</w:t>
          </w:r>
        </w:p>
        <w:sdt>
          <w:sdtPr>
            <w:alias w:val="是否适用：母公司按欠款方归集的期末余额前五名的其他应收款情况[双击切换]"/>
            <w:tag w:val="_GBC_40b667221c1442478b0cdaa57feca3d8"/>
            <w:id w:val="-57458842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pPr>
          <w:r>
            <w:rPr>
              <w:rFonts w:hint="eastAsia"/>
            </w:rPr>
            <w:t>单位：</w:t>
          </w:r>
          <w:sdt>
            <w:sdtPr>
              <w:rPr>
                <w:rFonts w:hint="eastAsia"/>
              </w:rPr>
              <w:alias w:val="单位：母公司财务附注：其他应收账款前五名欠款情况"/>
              <w:tag w:val="_GBC_a5049697dafb47839070e9dec68636fd"/>
              <w:id w:val="156830231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20325266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3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1071"/>
            <w:gridCol w:w="2048"/>
            <w:gridCol w:w="3073"/>
            <w:gridCol w:w="1069"/>
            <w:gridCol w:w="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5d9d48950c334f3ebe69358594de6f5a"/>
                <w:id w:val="-1135017180"/>
                <w:lock w:val="sdtLocked"/>
              </w:sdtPr>
              <w:sdtContent>
                <w:tc>
                  <w:tcPr>
                    <w:tcW w:w="687" w:type="pct"/>
                    <w:vAlign w:val="center"/>
                  </w:tcPr>
                  <w:p>
                    <w:pPr>
                      <w:ind w:right="105"/>
                      <w:jc w:val="center"/>
                      <w:rPr>
                        <w:szCs w:val="21"/>
                      </w:rPr>
                    </w:pPr>
                    <w:r>
                      <w:rPr>
                        <w:rFonts w:hint="eastAsia"/>
                        <w:szCs w:val="21"/>
                      </w:rPr>
                      <w:t>单位名称</w:t>
                    </w:r>
                  </w:p>
                </w:tc>
              </w:sdtContent>
            </w:sdt>
            <w:sdt>
              <w:sdtPr>
                <w:tag w:val="_PLD_df4099a15e4547eca8a8712932025d41"/>
                <w:id w:val="-1000890888"/>
                <w:lock w:val="sdtLocked"/>
              </w:sdtPr>
              <w:sdtContent>
                <w:tc>
                  <w:tcPr>
                    <w:tcW w:w="592" w:type="pct"/>
                    <w:vAlign w:val="center"/>
                  </w:tcPr>
                  <w:p>
                    <w:pPr>
                      <w:ind w:right="73"/>
                      <w:jc w:val="center"/>
                      <w:rPr>
                        <w:szCs w:val="21"/>
                      </w:rPr>
                    </w:pPr>
                    <w:r>
                      <w:rPr>
                        <w:rFonts w:hint="eastAsia"/>
                        <w:szCs w:val="21"/>
                      </w:rPr>
                      <w:t>款项的性质</w:t>
                    </w:r>
                  </w:p>
                </w:tc>
              </w:sdtContent>
            </w:sdt>
            <w:sdt>
              <w:sdtPr>
                <w:tag w:val="_PLD_bddd90579b9f4693b33fb01a34a3cc74"/>
                <w:id w:val="-1614900866"/>
                <w:lock w:val="sdtLocked"/>
              </w:sdtPr>
              <w:sdtContent>
                <w:tc>
                  <w:tcPr>
                    <w:tcW w:w="1132" w:type="pct"/>
                    <w:vAlign w:val="center"/>
                  </w:tcPr>
                  <w:p>
                    <w:pPr>
                      <w:ind w:right="73"/>
                      <w:jc w:val="center"/>
                      <w:rPr>
                        <w:szCs w:val="21"/>
                      </w:rPr>
                    </w:pPr>
                    <w:r>
                      <w:rPr>
                        <w:rFonts w:hint="eastAsia"/>
                        <w:szCs w:val="21"/>
                      </w:rPr>
                      <w:t>期末余额</w:t>
                    </w:r>
                  </w:p>
                </w:tc>
              </w:sdtContent>
            </w:sdt>
            <w:sdt>
              <w:sdtPr>
                <w:tag w:val="_PLD_ebce2f2b8a5b44c0a8efa1f8472d726f"/>
                <w:id w:val="-16469863"/>
                <w:lock w:val="sdtLocked"/>
              </w:sdtPr>
              <w:sdtContent>
                <w:tc>
                  <w:tcPr>
                    <w:tcW w:w="1699" w:type="pct"/>
                    <w:vAlign w:val="center"/>
                  </w:tcPr>
                  <w:p>
                    <w:pPr>
                      <w:ind w:right="73"/>
                      <w:jc w:val="center"/>
                      <w:rPr>
                        <w:szCs w:val="21"/>
                      </w:rPr>
                    </w:pPr>
                    <w:r>
                      <w:rPr>
                        <w:rFonts w:hint="eastAsia"/>
                        <w:szCs w:val="21"/>
                      </w:rPr>
                      <w:t>账龄</w:t>
                    </w:r>
                  </w:p>
                </w:tc>
              </w:sdtContent>
            </w:sdt>
            <w:sdt>
              <w:sdtPr>
                <w:tag w:val="_PLD_4ee275521dbe4dc2baaaf49d9294de38"/>
                <w:id w:val="793641741"/>
                <w:lock w:val="sdtLocked"/>
              </w:sdtPr>
              <w:sdtContent>
                <w:tc>
                  <w:tcPr>
                    <w:tcW w:w="591" w:type="pct"/>
                    <w:vAlign w:val="center"/>
                  </w:tcPr>
                  <w:p>
                    <w:pPr>
                      <w:jc w:val="center"/>
                      <w:rPr>
                        <w:szCs w:val="21"/>
                      </w:rPr>
                    </w:pPr>
                    <w:r>
                      <w:rPr>
                        <w:rFonts w:hint="eastAsia"/>
                        <w:szCs w:val="21"/>
                      </w:rPr>
                      <w:t>占其他应收款期末余额合计数的比例(</w:t>
                    </w:r>
                    <w:r>
                      <w:rPr>
                        <w:szCs w:val="21"/>
                      </w:rPr>
                      <w:t>%)</w:t>
                    </w:r>
                  </w:p>
                </w:tc>
              </w:sdtContent>
            </w:sdt>
            <w:sdt>
              <w:sdtPr>
                <w:tag w:val="_PLD_f63b55aec3964290829b6afe171881b8"/>
                <w:id w:val="1251234315"/>
                <w:lock w:val="sdtLocked"/>
              </w:sdtPr>
              <w:sdtContent>
                <w:tc>
                  <w:tcPr>
                    <w:tcW w:w="299" w:type="pct"/>
                    <w:vAlign w:val="center"/>
                  </w:tcPr>
                  <w:p>
                    <w:pPr>
                      <w:jc w:val="center"/>
                      <w:rPr>
                        <w:szCs w:val="21"/>
                      </w:rPr>
                    </w:pPr>
                    <w:r>
                      <w:rPr>
                        <w:rFonts w:hint="eastAsia"/>
                        <w:szCs w:val="21"/>
                      </w:rPr>
                      <w:t>坏账准备</w:t>
                    </w:r>
                  </w:p>
                  <w:p>
                    <w:pPr>
                      <w:jc w:val="center"/>
                      <w:rPr>
                        <w:szCs w:val="21"/>
                      </w:rPr>
                    </w:pPr>
                    <w:r>
                      <w:rPr>
                        <w:rFonts w:hint="eastAsia"/>
                        <w:szCs w:val="21"/>
                      </w:rPr>
                      <w:t>期末余额</w:t>
                    </w:r>
                  </w:p>
                </w:tc>
              </w:sdtContent>
            </w:sdt>
          </w:tr>
          <w:sdt>
            <w:sdtPr>
              <w:rPr>
                <w:rFonts w:hint="eastAsia"/>
                <w:szCs w:val="21"/>
              </w:rPr>
              <w:alias w:val="其他应收款欠款户"/>
              <w:tag w:val="_TUP_0146960361f9400f96cf10884e0c6b7e"/>
              <w:id w:val="-1178273184"/>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Align w:val="center"/>
                  </w:tcPr>
                  <w:p>
                    <w:pPr>
                      <w:ind w:right="105"/>
                      <w:rPr>
                        <w:szCs w:val="21"/>
                      </w:rPr>
                    </w:pPr>
                    <w:r>
                      <w:rPr>
                        <w:rFonts w:hint="eastAsia"/>
                      </w:rPr>
                      <w:t>重庆力帆乘用车有限公司</w:t>
                    </w:r>
                  </w:p>
                </w:tc>
                <w:tc>
                  <w:tcPr>
                    <w:tcW w:w="592" w:type="pct"/>
                    <w:vAlign w:val="center"/>
                  </w:tcPr>
                  <w:p>
                    <w:pPr>
                      <w:ind w:right="73"/>
                      <w:jc w:val="center"/>
                      <w:rPr>
                        <w:szCs w:val="21"/>
                      </w:rPr>
                    </w:pPr>
                    <w:r>
                      <w:t>关联方往来款</w:t>
                    </w:r>
                  </w:p>
                </w:tc>
                <w:tc>
                  <w:tcPr>
                    <w:tcW w:w="1132" w:type="pct"/>
                    <w:vAlign w:val="center"/>
                  </w:tcPr>
                  <w:p>
                    <w:pPr>
                      <w:ind w:right="73"/>
                      <w:jc w:val="right"/>
                      <w:rPr>
                        <w:szCs w:val="21"/>
                      </w:rPr>
                    </w:pPr>
                    <w:r>
                      <w:t>3,980,006,834.10</w:t>
                    </w:r>
                  </w:p>
                </w:tc>
                <w:tc>
                  <w:tcPr>
                    <w:tcW w:w="1699" w:type="pct"/>
                    <w:vAlign w:val="center"/>
                  </w:tcPr>
                  <w:p>
                    <w:pPr>
                      <w:ind w:right="73"/>
                    </w:pPr>
                    <w:r>
                      <w:t>0-6个月2,358,431,773.29元</w:t>
                    </w:r>
                  </w:p>
                  <w:p>
                    <w:pPr>
                      <w:ind w:right="73"/>
                    </w:pPr>
                    <w:r>
                      <w:t>6个月-1年19,139,535.66元</w:t>
                    </w:r>
                  </w:p>
                  <w:p>
                    <w:pPr>
                      <w:ind w:right="73"/>
                      <w:rPr>
                        <w:szCs w:val="21"/>
                      </w:rPr>
                    </w:pPr>
                    <w:r>
                      <w:t>1-2年1,602,435,525.15元</w:t>
                    </w:r>
                  </w:p>
                </w:tc>
                <w:tc>
                  <w:tcPr>
                    <w:tcW w:w="591" w:type="pct"/>
                    <w:vAlign w:val="center"/>
                  </w:tcPr>
                  <w:p>
                    <w:pPr>
                      <w:jc w:val="center"/>
                      <w:rPr>
                        <w:sz w:val="24"/>
                      </w:rPr>
                    </w:pPr>
                    <w:r>
                      <w:t>60.79</w:t>
                    </w:r>
                  </w:p>
                </w:tc>
                <w:tc>
                  <w:tcPr>
                    <w:tcW w:w="299" w:type="pct"/>
                    <w:vAlign w:val="center"/>
                  </w:tcPr>
                  <w:p>
                    <w:pPr>
                      <w:jc w:val="both"/>
                      <w:rPr>
                        <w:szCs w:val="21"/>
                      </w:rPr>
                    </w:pPr>
                  </w:p>
                </w:tc>
              </w:tr>
            </w:sdtContent>
          </w:sdt>
          <w:sdt>
            <w:sdtPr>
              <w:rPr>
                <w:rFonts w:hint="eastAsia"/>
                <w:szCs w:val="21"/>
              </w:rPr>
              <w:alias w:val="其他应收款欠款户"/>
              <w:tag w:val="_TUP_0146960361f9400f96cf10884e0c6b7e"/>
              <w:id w:val="-1662613035"/>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Align w:val="center"/>
                  </w:tcPr>
                  <w:p>
                    <w:pPr>
                      <w:ind w:right="105"/>
                      <w:rPr>
                        <w:szCs w:val="21"/>
                      </w:rPr>
                    </w:pPr>
                    <w:r>
                      <w:rPr>
                        <w:rFonts w:hint="eastAsia"/>
                      </w:rPr>
                      <w:t>重庆力帆实业（集团）进出口有限公司</w:t>
                    </w:r>
                  </w:p>
                </w:tc>
                <w:tc>
                  <w:tcPr>
                    <w:tcW w:w="592" w:type="pct"/>
                    <w:vAlign w:val="center"/>
                  </w:tcPr>
                  <w:p>
                    <w:pPr>
                      <w:ind w:right="73"/>
                      <w:jc w:val="center"/>
                      <w:rPr>
                        <w:szCs w:val="21"/>
                      </w:rPr>
                    </w:pPr>
                    <w:r>
                      <w:t>关联方往来款</w:t>
                    </w:r>
                  </w:p>
                </w:tc>
                <w:tc>
                  <w:tcPr>
                    <w:tcW w:w="1132" w:type="pct"/>
                    <w:vAlign w:val="center"/>
                  </w:tcPr>
                  <w:p>
                    <w:pPr>
                      <w:ind w:right="73"/>
                      <w:jc w:val="right"/>
                      <w:rPr>
                        <w:szCs w:val="21"/>
                      </w:rPr>
                    </w:pPr>
                    <w:r>
                      <w:t>1,475,731,650.77</w:t>
                    </w:r>
                  </w:p>
                </w:tc>
                <w:tc>
                  <w:tcPr>
                    <w:tcW w:w="1699" w:type="pct"/>
                    <w:vAlign w:val="center"/>
                  </w:tcPr>
                  <w:p>
                    <w:pPr>
                      <w:ind w:right="73"/>
                    </w:pPr>
                    <w:r>
                      <w:t>0-6个月691504763.78元</w:t>
                    </w:r>
                  </w:p>
                  <w:p>
                    <w:pPr>
                      <w:ind w:right="73"/>
                    </w:pPr>
                    <w:r>
                      <w:t>6个月-1年4,789,017.96元</w:t>
                    </w:r>
                  </w:p>
                  <w:p>
                    <w:pPr>
                      <w:ind w:right="73"/>
                      <w:rPr>
                        <w:szCs w:val="21"/>
                      </w:rPr>
                    </w:pPr>
                    <w:r>
                      <w:t>1-2年779,437,869.03元</w:t>
                    </w:r>
                  </w:p>
                </w:tc>
                <w:tc>
                  <w:tcPr>
                    <w:tcW w:w="591" w:type="pct"/>
                    <w:vAlign w:val="center"/>
                  </w:tcPr>
                  <w:p>
                    <w:pPr>
                      <w:jc w:val="center"/>
                      <w:rPr>
                        <w:sz w:val="24"/>
                      </w:rPr>
                    </w:pPr>
                    <w:r>
                      <w:t>22.54</w:t>
                    </w:r>
                  </w:p>
                </w:tc>
                <w:tc>
                  <w:tcPr>
                    <w:tcW w:w="299" w:type="pct"/>
                    <w:vAlign w:val="center"/>
                  </w:tcPr>
                  <w:p>
                    <w:pPr>
                      <w:jc w:val="both"/>
                      <w:rPr>
                        <w:szCs w:val="21"/>
                      </w:rPr>
                    </w:pPr>
                  </w:p>
                </w:tc>
              </w:tr>
            </w:sdtContent>
          </w:sdt>
          <w:sdt>
            <w:sdtPr>
              <w:rPr>
                <w:rFonts w:hint="eastAsia"/>
                <w:szCs w:val="21"/>
              </w:rPr>
              <w:alias w:val="其他应收款欠款户"/>
              <w:tag w:val="_TUP_0146960361f9400f96cf10884e0c6b7e"/>
              <w:id w:val="272836917"/>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Align w:val="center"/>
                  </w:tcPr>
                  <w:p>
                    <w:pPr>
                      <w:ind w:right="105"/>
                      <w:rPr>
                        <w:szCs w:val="21"/>
                      </w:rPr>
                    </w:pPr>
                    <w:r>
                      <w:rPr>
                        <w:rFonts w:hint="eastAsia"/>
                      </w:rPr>
                      <w:t>力帆国际（控股）有限公司</w:t>
                    </w:r>
                  </w:p>
                </w:tc>
                <w:tc>
                  <w:tcPr>
                    <w:tcW w:w="592" w:type="pct"/>
                    <w:vAlign w:val="center"/>
                  </w:tcPr>
                  <w:p>
                    <w:pPr>
                      <w:ind w:right="73"/>
                      <w:jc w:val="center"/>
                      <w:rPr>
                        <w:szCs w:val="21"/>
                      </w:rPr>
                    </w:pPr>
                    <w:r>
                      <w:t>关联方往来款</w:t>
                    </w:r>
                  </w:p>
                </w:tc>
                <w:tc>
                  <w:tcPr>
                    <w:tcW w:w="1132" w:type="pct"/>
                    <w:vAlign w:val="center"/>
                  </w:tcPr>
                  <w:p>
                    <w:pPr>
                      <w:ind w:right="73"/>
                      <w:jc w:val="right"/>
                      <w:rPr>
                        <w:szCs w:val="21"/>
                      </w:rPr>
                    </w:pPr>
                    <w:r>
                      <w:t>767,556,975.27</w:t>
                    </w:r>
                  </w:p>
                </w:tc>
                <w:tc>
                  <w:tcPr>
                    <w:tcW w:w="1699" w:type="pct"/>
                    <w:vAlign w:val="center"/>
                  </w:tcPr>
                  <w:p>
                    <w:pPr>
                      <w:ind w:right="73"/>
                    </w:pPr>
                    <w:r>
                      <w:t>4-5年665,758,442.94元</w:t>
                    </w:r>
                  </w:p>
                  <w:p>
                    <w:pPr>
                      <w:ind w:right="73"/>
                      <w:rPr>
                        <w:szCs w:val="21"/>
                      </w:rPr>
                    </w:pPr>
                    <w:r>
                      <w:t>5年以上101,798,532.33元</w:t>
                    </w:r>
                  </w:p>
                </w:tc>
                <w:tc>
                  <w:tcPr>
                    <w:tcW w:w="591" w:type="pct"/>
                    <w:vAlign w:val="center"/>
                  </w:tcPr>
                  <w:p>
                    <w:pPr>
                      <w:jc w:val="center"/>
                      <w:rPr>
                        <w:sz w:val="24"/>
                      </w:rPr>
                    </w:pPr>
                    <w:r>
                      <w:t>11.72</w:t>
                    </w:r>
                  </w:p>
                </w:tc>
                <w:tc>
                  <w:tcPr>
                    <w:tcW w:w="299" w:type="pct"/>
                    <w:vAlign w:val="center"/>
                  </w:tcPr>
                  <w:p>
                    <w:pPr>
                      <w:jc w:val="both"/>
                      <w:rPr>
                        <w:szCs w:val="21"/>
                      </w:rPr>
                    </w:pPr>
                  </w:p>
                </w:tc>
              </w:tr>
            </w:sdtContent>
          </w:sdt>
          <w:sdt>
            <w:sdtPr>
              <w:rPr>
                <w:rFonts w:hint="eastAsia"/>
                <w:szCs w:val="21"/>
              </w:rPr>
              <w:alias w:val="其他应收款欠款户"/>
              <w:tag w:val="_TUP_0146960361f9400f96cf10884e0c6b7e"/>
              <w:id w:val="925229702"/>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Align w:val="center"/>
                  </w:tcPr>
                  <w:p>
                    <w:pPr>
                      <w:ind w:right="105"/>
                      <w:rPr>
                        <w:szCs w:val="21"/>
                      </w:rPr>
                    </w:pPr>
                    <w:r>
                      <w:rPr>
                        <w:rFonts w:hint="eastAsia"/>
                      </w:rPr>
                      <w:t>重庆润田房地产开发有限公司</w:t>
                    </w:r>
                  </w:p>
                </w:tc>
                <w:tc>
                  <w:tcPr>
                    <w:tcW w:w="592" w:type="pct"/>
                    <w:vAlign w:val="center"/>
                  </w:tcPr>
                  <w:p>
                    <w:pPr>
                      <w:ind w:right="73"/>
                      <w:jc w:val="center"/>
                      <w:rPr>
                        <w:szCs w:val="21"/>
                      </w:rPr>
                    </w:pPr>
                    <w:r>
                      <w:t>关联方往来款</w:t>
                    </w:r>
                  </w:p>
                </w:tc>
                <w:tc>
                  <w:tcPr>
                    <w:tcW w:w="1132" w:type="pct"/>
                    <w:vAlign w:val="center"/>
                  </w:tcPr>
                  <w:p>
                    <w:pPr>
                      <w:ind w:right="73"/>
                      <w:jc w:val="right"/>
                      <w:rPr>
                        <w:szCs w:val="21"/>
                      </w:rPr>
                    </w:pPr>
                    <w:r>
                      <w:t>158,619,817.46</w:t>
                    </w:r>
                  </w:p>
                </w:tc>
                <w:tc>
                  <w:tcPr>
                    <w:tcW w:w="1699" w:type="pct"/>
                    <w:vAlign w:val="center"/>
                  </w:tcPr>
                  <w:p>
                    <w:pPr>
                      <w:ind w:right="73"/>
                      <w:rPr>
                        <w:szCs w:val="21"/>
                      </w:rPr>
                    </w:pPr>
                    <w:r>
                      <w:t>1-2年</w:t>
                    </w:r>
                  </w:p>
                </w:tc>
                <w:tc>
                  <w:tcPr>
                    <w:tcW w:w="591" w:type="pct"/>
                    <w:vAlign w:val="center"/>
                  </w:tcPr>
                  <w:p>
                    <w:pPr>
                      <w:jc w:val="center"/>
                      <w:rPr>
                        <w:sz w:val="24"/>
                      </w:rPr>
                    </w:pPr>
                    <w:r>
                      <w:t>2.42</w:t>
                    </w:r>
                  </w:p>
                </w:tc>
                <w:tc>
                  <w:tcPr>
                    <w:tcW w:w="299" w:type="pct"/>
                    <w:vAlign w:val="center"/>
                  </w:tcPr>
                  <w:p>
                    <w:pPr>
                      <w:jc w:val="both"/>
                      <w:rPr>
                        <w:szCs w:val="21"/>
                      </w:rPr>
                    </w:pPr>
                  </w:p>
                </w:tc>
              </w:tr>
            </w:sdtContent>
          </w:sdt>
          <w:sdt>
            <w:sdtPr>
              <w:rPr>
                <w:rFonts w:hint="eastAsia"/>
                <w:szCs w:val="21"/>
              </w:rPr>
              <w:alias w:val="其他应收款欠款户"/>
              <w:tag w:val="_TUP_0146960361f9400f96cf10884e0c6b7e"/>
              <w:id w:val="-418335001"/>
              <w:lock w:val="sdtLocked"/>
            </w:sdtPr>
            <w:sdtEndPr>
              <w:rPr>
                <w:rFonts w:hint="eastAsia"/>
                <w:szCs w:val="21"/>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87" w:type="pct"/>
                    <w:vAlign w:val="center"/>
                  </w:tcPr>
                  <w:p>
                    <w:pPr>
                      <w:ind w:right="105"/>
                      <w:rPr>
                        <w:szCs w:val="21"/>
                      </w:rPr>
                    </w:pPr>
                    <w:r>
                      <w:rPr>
                        <w:rFonts w:hint="eastAsia"/>
                      </w:rPr>
                      <w:t>力帆融资租赁（上海）有限公司</w:t>
                    </w:r>
                  </w:p>
                </w:tc>
                <w:tc>
                  <w:tcPr>
                    <w:tcW w:w="592" w:type="pct"/>
                    <w:vAlign w:val="center"/>
                  </w:tcPr>
                  <w:p>
                    <w:pPr>
                      <w:ind w:right="73"/>
                      <w:jc w:val="center"/>
                      <w:rPr>
                        <w:szCs w:val="21"/>
                      </w:rPr>
                    </w:pPr>
                    <w:r>
                      <w:t>关联方往来款</w:t>
                    </w:r>
                  </w:p>
                </w:tc>
                <w:tc>
                  <w:tcPr>
                    <w:tcW w:w="1132" w:type="pct"/>
                    <w:vAlign w:val="center"/>
                  </w:tcPr>
                  <w:p>
                    <w:pPr>
                      <w:jc w:val="right"/>
                      <w:rPr>
                        <w:sz w:val="24"/>
                      </w:rPr>
                    </w:pPr>
                    <w:r>
                      <w:t>71,359,997.64</w:t>
                    </w:r>
                  </w:p>
                </w:tc>
                <w:tc>
                  <w:tcPr>
                    <w:tcW w:w="1699" w:type="pct"/>
                    <w:vAlign w:val="center"/>
                  </w:tcPr>
                  <w:p>
                    <w:pPr>
                      <w:ind w:right="73"/>
                      <w:rPr>
                        <w:szCs w:val="21"/>
                      </w:rPr>
                    </w:pPr>
                    <w:r>
                      <w:t>0-6个月</w:t>
                    </w:r>
                  </w:p>
                </w:tc>
                <w:tc>
                  <w:tcPr>
                    <w:tcW w:w="591" w:type="pct"/>
                    <w:vAlign w:val="center"/>
                  </w:tcPr>
                  <w:p>
                    <w:pPr>
                      <w:jc w:val="center"/>
                      <w:rPr>
                        <w:sz w:val="24"/>
                      </w:rPr>
                    </w:pPr>
                    <w:r>
                      <w:t>1.09</w:t>
                    </w:r>
                  </w:p>
                </w:tc>
                <w:tc>
                  <w:tcPr>
                    <w:tcW w:w="299" w:type="pct"/>
                    <w:vAlign w:val="center"/>
                  </w:tcPr>
                  <w:p>
                    <w:pPr>
                      <w:jc w:val="both"/>
                      <w:rPr>
                        <w:szCs w:val="21"/>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a7f472d740c84362a157258c79bd0672"/>
                <w:id w:val="364492636"/>
                <w:lock w:val="sdtLocked"/>
              </w:sdtPr>
              <w:sdtContent>
                <w:tc>
                  <w:tcPr>
                    <w:tcW w:w="687" w:type="pct"/>
                    <w:vAlign w:val="center"/>
                  </w:tcPr>
                  <w:p>
                    <w:pPr>
                      <w:ind w:right="105"/>
                      <w:jc w:val="center"/>
                      <w:rPr>
                        <w:szCs w:val="21"/>
                      </w:rPr>
                    </w:pPr>
                    <w:r>
                      <w:rPr>
                        <w:rFonts w:hint="eastAsia"/>
                        <w:szCs w:val="21"/>
                      </w:rPr>
                      <w:t>合计</w:t>
                    </w:r>
                  </w:p>
                </w:tc>
              </w:sdtContent>
            </w:sdt>
            <w:tc>
              <w:tcPr>
                <w:tcW w:w="592" w:type="pct"/>
              </w:tcPr>
              <w:p>
                <w:pPr>
                  <w:ind w:right="73"/>
                  <w:jc w:val="center"/>
                  <w:rPr>
                    <w:szCs w:val="21"/>
                  </w:rPr>
                </w:pPr>
                <w:r>
                  <w:rPr>
                    <w:szCs w:val="21"/>
                  </w:rPr>
                  <w:t>/</w:t>
                </w:r>
              </w:p>
            </w:tc>
            <w:tc>
              <w:tcPr>
                <w:tcW w:w="1132" w:type="pct"/>
                <w:vAlign w:val="center"/>
              </w:tcPr>
              <w:p>
                <w:pPr>
                  <w:jc w:val="right"/>
                  <w:rPr>
                    <w:sz w:val="24"/>
                  </w:rPr>
                </w:pPr>
                <w:r>
                  <w:t>6,453,275,275.24</w:t>
                </w:r>
              </w:p>
            </w:tc>
            <w:tc>
              <w:tcPr>
                <w:tcW w:w="1699" w:type="pct"/>
              </w:tcPr>
              <w:p>
                <w:pPr>
                  <w:ind w:right="73"/>
                  <w:jc w:val="center"/>
                  <w:rPr>
                    <w:szCs w:val="21"/>
                  </w:rPr>
                </w:pPr>
                <w:r>
                  <w:rPr>
                    <w:szCs w:val="21"/>
                  </w:rPr>
                  <w:t>/</w:t>
                </w:r>
              </w:p>
            </w:tc>
            <w:tc>
              <w:tcPr>
                <w:tcW w:w="591" w:type="pct"/>
                <w:vAlign w:val="center"/>
              </w:tcPr>
              <w:p>
                <w:pPr>
                  <w:jc w:val="center"/>
                  <w:rPr>
                    <w:sz w:val="24"/>
                  </w:rPr>
                </w:pPr>
                <w:r>
                  <w:t>98.56</w:t>
                </w:r>
              </w:p>
            </w:tc>
            <w:tc>
              <w:tcPr>
                <w:tcW w:w="299" w:type="pct"/>
                <w:vAlign w:val="center"/>
              </w:tcPr>
              <w:p>
                <w:pPr>
                  <w:jc w:val="both"/>
                  <w:rPr>
                    <w:szCs w:val="21"/>
                  </w:rPr>
                </w:pPr>
              </w:p>
            </w:tc>
          </w:tr>
        </w:tbl>
        <w:p/>
      </w:sdtContent>
    </w:sdt>
    <w:sdt>
      <w:sdtPr>
        <w:rPr>
          <w:rFonts w:hint="eastAsia" w:ascii="Times New Roman" w:hAnsi="Times New Roman" w:eastAsia="宋体" w:cs="宋体"/>
          <w:b w:val="0"/>
          <w:bCs w:val="0"/>
          <w:kern w:val="0"/>
          <w:szCs w:val="24"/>
        </w:rPr>
        <w:alias w:val="模块:按应收金额确认的政府补助"/>
        <w:tag w:val="_SEC_c503ea1b9c7e4198b86f2abbf23b2ab9"/>
        <w:id w:val="1967308054"/>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115"/>
            <w:numPr>
              <w:ilvl w:val="0"/>
              <w:numId w:val="136"/>
            </w:numPr>
          </w:pPr>
          <w:r>
            <w:rPr>
              <w:rFonts w:hint="eastAsia"/>
            </w:rPr>
            <w:t>涉及政府补助的应收款项</w:t>
          </w:r>
        </w:p>
        <w:sdt>
          <w:sdtPr>
            <w:alias w:val="是否适用：母公司涉及政府补助的应收款项[双击切换]"/>
            <w:tag w:val="_GBC_5e2cfb8b8db54872b314bf1b01b59f87"/>
            <w:id w:val="286314973"/>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snapToGrid w:val="0"/>
            <w:spacing w:line="240" w:lineRule="atLeast"/>
          </w:pPr>
        </w:p>
      </w:sdtContent>
    </w:sdt>
    <w:sdt>
      <w:sdtPr>
        <w:rPr>
          <w:rFonts w:ascii="Times New Roman" w:hAnsi="Times New Roman" w:eastAsia="宋体" w:cs="宋体"/>
          <w:b w:val="0"/>
          <w:bCs w:val="0"/>
          <w:kern w:val="0"/>
          <w:szCs w:val="24"/>
        </w:rPr>
        <w:alias w:val="模块:因金融资产转移而终止确认的其他应收款"/>
        <w:tag w:val="_SEC_7f211e4933374e0fb33af86ebc3ae729"/>
        <w:id w:val="855466332"/>
        <w:lock w:val="sdtLocked"/>
        <w:placeholder>
          <w:docPart w:val="GBC22222222222222222222222222222"/>
        </w:placeholder>
      </w:sdtPr>
      <w:sdtEndPr>
        <w:rPr>
          <w:rFonts w:ascii="Times New Roman" w:hAnsi="Times New Roman" w:eastAsia="宋体" w:cs="宋体"/>
          <w:b w:val="0"/>
          <w:bCs w:val="0"/>
          <w:kern w:val="0"/>
          <w:szCs w:val="24"/>
        </w:rPr>
      </w:sdtEndPr>
      <w:sdtContent>
        <w:p>
          <w:pPr>
            <w:pStyle w:val="115"/>
            <w:numPr>
              <w:ilvl w:val="0"/>
              <w:numId w:val="136"/>
            </w:numPr>
          </w:pPr>
          <w:r>
            <w:rPr>
              <w:rFonts w:hint="eastAsia"/>
            </w:rPr>
            <w:t>因金融资产转移而终止确认的其他应收款</w:t>
          </w:r>
        </w:p>
        <w:sdt>
          <w:sdtPr>
            <w:rPr>
              <w:rFonts w:hint="eastAsia"/>
              <w:szCs w:val="21"/>
            </w:rPr>
            <w:alias w:val="是否适用：母公司因金融资产转移而终止确认的其他应收款[双击切换]"/>
            <w:tag w:val="_GBC_a1072f4ea6b0466c87fd57cea2a97c32"/>
            <w:id w:val="1819525587"/>
            <w:lock w:val="sdtLocked"/>
            <w:placeholder>
              <w:docPart w:val="GBC22222222222222222222222222222"/>
            </w:placeholder>
          </w:sdtPr>
          <w:sdtEndPr>
            <w:rPr>
              <w:rFonts w:hint="eastAsia"/>
              <w:szCs w:val="21"/>
            </w:rPr>
          </w:sdtEndPr>
          <w:sdtContent>
            <w:p>
              <w:pPr>
                <w:ind w:right="57"/>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ind w:right="57"/>
            <w:rPr>
              <w:szCs w:val="21"/>
            </w:rPr>
          </w:pPr>
        </w:p>
      </w:sdtContent>
    </w:sdt>
    <w:sdt>
      <w:sdtPr>
        <w:rPr>
          <w:rFonts w:hint="eastAsia" w:ascii="Times New Roman" w:hAnsi="Times New Roman" w:eastAsia="宋体" w:cs="宋体"/>
          <w:b w:val="0"/>
          <w:bCs w:val="0"/>
          <w:kern w:val="0"/>
          <w:szCs w:val="24"/>
        </w:rPr>
        <w:alias w:val="模块:转移其他应收款且继续涉入的，分项列示继续涉入形成的资产、负债..."/>
        <w:tag w:val="_SEC_f556994e476e4a6caca86b06f3c7242b"/>
        <w:id w:val="1371646937"/>
        <w:lock w:val="sdtLocked"/>
        <w:placeholder>
          <w:docPart w:val="GBC22222222222222222222222222222"/>
        </w:placeholder>
      </w:sdtPr>
      <w:sdtEndPr>
        <w:rPr>
          <w:rFonts w:hint="eastAsia" w:ascii="Times New Roman" w:hAnsi="Times New Roman" w:eastAsia="宋体" w:cs="宋体"/>
          <w:b w:val="0"/>
          <w:bCs w:val="0"/>
          <w:kern w:val="0"/>
          <w:szCs w:val="24"/>
        </w:rPr>
      </w:sdtEndPr>
      <w:sdtContent>
        <w:p>
          <w:pPr>
            <w:pStyle w:val="115"/>
            <w:numPr>
              <w:ilvl w:val="0"/>
              <w:numId w:val="136"/>
            </w:numPr>
          </w:pPr>
          <w:r>
            <w:rPr>
              <w:rFonts w:hint="eastAsia"/>
            </w:rPr>
            <w:t>转移其他应收款且继续涉入形成的资产、负债金额</w:t>
          </w:r>
        </w:p>
        <w:p>
          <w:pPr>
            <w:rPr>
              <w:szCs w:val="21"/>
            </w:rPr>
          </w:pPr>
        </w:p>
      </w:sdtContent>
    </w:sdt>
    <w:sdt>
      <w:sdtPr>
        <w:rPr>
          <w:rFonts w:hint="eastAsia" w:ascii="Times New Roman" w:hAnsi="Times New Roman"/>
          <w:b/>
          <w:bCs/>
        </w:rPr>
        <w:alias w:val="模块:其他应收款其他说明"/>
        <w:tag w:val="_SEC_57c4dfafa9d0491a91f70b4527c847b3"/>
        <w:id w:val="135377586"/>
        <w:lock w:val="sdtLocked"/>
        <w:placeholder>
          <w:docPart w:val="GBC22222222222222222222222222222"/>
        </w:placeholder>
      </w:sdtPr>
      <w:sdtEndPr>
        <w:rPr>
          <w:rFonts w:hint="eastAsia" w:ascii="Times New Roman" w:hAnsi="Times New Roman"/>
          <w:b w:val="0"/>
          <w:bCs w:val="0"/>
        </w:rPr>
      </w:sdtEndPr>
      <w:sdtContent>
        <w:p>
          <w:r>
            <w:rPr>
              <w:rFonts w:hint="eastAsia"/>
            </w:rPr>
            <w:t>其他</w:t>
          </w:r>
          <w:r>
            <w:t>说明：</w:t>
          </w:r>
        </w:p>
        <w:sdt>
          <w:sdtPr>
            <w:rPr>
              <w:rFonts w:hint="eastAsia"/>
              <w:szCs w:val="21"/>
            </w:rPr>
            <w:alias w:val="是否适用：母公司其他应收款的其他说明[双击切换]"/>
            <w:tag w:val="_GBC_479bc9ed241548c695a3905f38eb23fd"/>
            <w:id w:val="103319220"/>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rPr>
              <w:szCs w:val="21"/>
            </w:rPr>
          </w:pPr>
        </w:p>
      </w:sdtContent>
    </w:sdt>
    <w:p>
      <w:pPr>
        <w:pStyle w:val="114"/>
        <w:numPr>
          <w:ilvl w:val="0"/>
          <w:numId w:val="133"/>
        </w:numPr>
        <w:ind w:left="142"/>
        <w:rPr>
          <w:rFonts w:ascii="宋体" w:hAnsi="宋体"/>
          <w:szCs w:val="21"/>
        </w:rPr>
      </w:pPr>
      <w:r>
        <w:rPr>
          <w:rFonts w:hint="eastAsia" w:ascii="宋体" w:hAnsi="宋体"/>
          <w:szCs w:val="21"/>
        </w:rPr>
        <w:t>长期股权投资</w:t>
      </w:r>
    </w:p>
    <w:sdt>
      <w:sdtPr>
        <w:alias w:val="是否适用：母公司长期股权投资[双击切换]"/>
        <w:tag w:val="_GBC_57a2f87498c64eab83308bdf3afc6268"/>
        <w:id w:val="-1029951790"/>
        <w:lock w:val="sdtConten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
      <w:sdtPr>
        <w:rPr>
          <w:rFonts w:hint="eastAsia"/>
          <w:b/>
          <w:bCs/>
          <w:szCs w:val="21"/>
        </w:rPr>
        <w:alias w:val="模块:长期股权投资按成本法核算"/>
        <w:tag w:val="_SEC_315fa330edb445329400b10ee17c89ff"/>
        <w:id w:val="98298612"/>
        <w:lock w:val="sdtLocked"/>
        <w:placeholder>
          <w:docPart w:val="GBC22222222222222222222222222222"/>
        </w:placeholder>
      </w:sdtPr>
      <w:sdtEndPr>
        <w:rPr>
          <w:rFonts w:hint="eastAsia"/>
          <w:b w:val="0"/>
          <w:bCs w:val="0"/>
          <w:szCs w:val="21"/>
        </w:rPr>
      </w:sdtEndPr>
      <w:sdtContent>
        <w:p>
          <w:pPr>
            <w:jc w:val="right"/>
            <w:rPr>
              <w:szCs w:val="21"/>
            </w:rPr>
          </w:pPr>
          <w:r>
            <w:rPr>
              <w:rFonts w:hint="eastAsia"/>
              <w:szCs w:val="21"/>
            </w:rPr>
            <w:t>单位：</w:t>
          </w:r>
          <w:sdt>
            <w:sdtPr>
              <w:rPr>
                <w:rFonts w:hint="eastAsia"/>
                <w:szCs w:val="21"/>
              </w:rPr>
              <w:alias w:val="单位：母公司财务附注：长期股权投资"/>
              <w:tag w:val="_GBC_9d11e81055cb4017a0055a75ae95ae64"/>
              <w:id w:val="200893493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8582727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6324" w:type="pct"/>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656"/>
            <w:gridCol w:w="1656"/>
            <w:gridCol w:w="1656"/>
            <w:gridCol w:w="1656"/>
            <w:gridCol w:w="1656"/>
            <w:gridCol w:w="1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tag w:val="_PLD_0747ffd7336145fcb6d5e622fab54966"/>
                <w:id w:val="-1307621519"/>
                <w:lock w:val="sdtLocked"/>
              </w:sdtPr>
              <w:sdtContent>
                <w:tc>
                  <w:tcPr>
                    <w:tcW w:w="394" w:type="pct"/>
                    <w:vMerge w:val="restart"/>
                    <w:shd w:val="clear" w:color="auto" w:fill="auto"/>
                    <w:vAlign w:val="center"/>
                  </w:tcPr>
                  <w:p>
                    <w:pPr>
                      <w:jc w:val="center"/>
                    </w:pPr>
                    <w:r>
                      <w:rPr>
                        <w:rFonts w:hint="eastAsia"/>
                      </w:rPr>
                      <w:t>项目</w:t>
                    </w:r>
                  </w:p>
                </w:tc>
              </w:sdtContent>
            </w:sdt>
            <w:sdt>
              <w:sdtPr>
                <w:tag w:val="_PLD_0b9f6f6d89c44029bf1de3ed5f6a4aa0"/>
                <w:id w:val="327639680"/>
                <w:lock w:val="sdtLocked"/>
              </w:sdtPr>
              <w:sdtContent>
                <w:tc>
                  <w:tcPr>
                    <w:tcW w:w="2303" w:type="pct"/>
                    <w:gridSpan w:val="3"/>
                    <w:shd w:val="clear" w:color="auto" w:fill="auto"/>
                    <w:vAlign w:val="center"/>
                  </w:tcPr>
                  <w:p>
                    <w:pPr>
                      <w:jc w:val="center"/>
                    </w:pPr>
                    <w:r>
                      <w:rPr>
                        <w:rFonts w:hint="eastAsia"/>
                      </w:rPr>
                      <w:t>期末余额</w:t>
                    </w:r>
                  </w:p>
                </w:tc>
              </w:sdtContent>
            </w:sdt>
            <w:sdt>
              <w:sdtPr>
                <w:tag w:val="_PLD_d1ebeae29ff34029a10a8e0c447a171b"/>
                <w:id w:val="553285067"/>
                <w:lock w:val="sdtLocked"/>
              </w:sdtPr>
              <w:sdtContent>
                <w:tc>
                  <w:tcPr>
                    <w:tcW w:w="2303" w:type="pct"/>
                    <w:gridSpan w:val="3"/>
                    <w:shd w:val="clear" w:color="auto" w:fill="auto"/>
                    <w:vAlign w:val="center"/>
                  </w:tcPr>
                  <w:p>
                    <w:pPr>
                      <w:jc w:val="center"/>
                    </w:pPr>
                    <w:r>
                      <w:rPr>
                        <w:rFonts w:hint="eastAsia"/>
                      </w:rPr>
                      <w:t>期初余额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94" w:type="pct"/>
                <w:vMerge w:val="continue"/>
                <w:shd w:val="clear" w:color="auto" w:fill="auto"/>
                <w:vAlign w:val="center"/>
              </w:tcPr>
              <w:p>
                <w:pPr>
                  <w:jc w:val="center"/>
                </w:pPr>
              </w:p>
            </w:tc>
            <w:sdt>
              <w:sdtPr>
                <w:tag w:val="_PLD_dd00c7deeb1e4ede9c3e40d64760a230"/>
                <w:id w:val="1149718569"/>
                <w:lock w:val="sdtLocked"/>
              </w:sdtPr>
              <w:sdtContent>
                <w:tc>
                  <w:tcPr>
                    <w:tcW w:w="768" w:type="pct"/>
                    <w:shd w:val="clear" w:color="auto" w:fill="auto"/>
                    <w:vAlign w:val="center"/>
                  </w:tcPr>
                  <w:p>
                    <w:pPr>
                      <w:jc w:val="center"/>
                    </w:pPr>
                    <w:r>
                      <w:rPr>
                        <w:rFonts w:hint="eastAsia"/>
                      </w:rPr>
                      <w:t>账面余额</w:t>
                    </w:r>
                  </w:p>
                </w:tc>
              </w:sdtContent>
            </w:sdt>
            <w:sdt>
              <w:sdtPr>
                <w:tag w:val="_PLD_dc4e6ed6511949b7a546924cafae2546"/>
                <w:id w:val="2122561549"/>
                <w:lock w:val="sdtLocked"/>
              </w:sdtPr>
              <w:sdtContent>
                <w:tc>
                  <w:tcPr>
                    <w:tcW w:w="768" w:type="pct"/>
                    <w:shd w:val="clear" w:color="auto" w:fill="auto"/>
                    <w:vAlign w:val="center"/>
                  </w:tcPr>
                  <w:p>
                    <w:pPr>
                      <w:jc w:val="center"/>
                    </w:pPr>
                    <w:r>
                      <w:rPr>
                        <w:rFonts w:hint="eastAsia"/>
                      </w:rPr>
                      <w:t>减值准备</w:t>
                    </w:r>
                  </w:p>
                </w:tc>
              </w:sdtContent>
            </w:sdt>
            <w:sdt>
              <w:sdtPr>
                <w:tag w:val="_PLD_1d7bbdc4e6144c95a3fcb7369904bea6"/>
                <w:id w:val="797114891"/>
                <w:lock w:val="sdtLocked"/>
              </w:sdtPr>
              <w:sdtContent>
                <w:tc>
                  <w:tcPr>
                    <w:tcW w:w="768" w:type="pct"/>
                    <w:shd w:val="clear" w:color="auto" w:fill="auto"/>
                    <w:vAlign w:val="center"/>
                  </w:tcPr>
                  <w:p>
                    <w:pPr>
                      <w:jc w:val="center"/>
                    </w:pPr>
                    <w:r>
                      <w:rPr>
                        <w:rFonts w:hint="eastAsia"/>
                      </w:rPr>
                      <w:t>账面价值</w:t>
                    </w:r>
                  </w:p>
                </w:tc>
              </w:sdtContent>
            </w:sdt>
            <w:sdt>
              <w:sdtPr>
                <w:tag w:val="_PLD_bd8a9c944702423e9ff20ddba1c4b3aa"/>
                <w:id w:val="-1243181786"/>
                <w:lock w:val="sdtLocked"/>
              </w:sdtPr>
              <w:sdtContent>
                <w:tc>
                  <w:tcPr>
                    <w:tcW w:w="768" w:type="pct"/>
                    <w:shd w:val="clear" w:color="auto" w:fill="auto"/>
                    <w:vAlign w:val="center"/>
                  </w:tcPr>
                  <w:p>
                    <w:pPr>
                      <w:jc w:val="center"/>
                    </w:pPr>
                    <w:r>
                      <w:rPr>
                        <w:rFonts w:hint="eastAsia"/>
                      </w:rPr>
                      <w:t>账面余额</w:t>
                    </w:r>
                  </w:p>
                </w:tc>
              </w:sdtContent>
            </w:sdt>
            <w:sdt>
              <w:sdtPr>
                <w:tag w:val="_PLD_708c7153bc9a48c792e109da0ba5f2f8"/>
                <w:id w:val="1051496516"/>
                <w:lock w:val="sdtLocked"/>
              </w:sdtPr>
              <w:sdtContent>
                <w:tc>
                  <w:tcPr>
                    <w:tcW w:w="768" w:type="pct"/>
                    <w:shd w:val="clear" w:color="auto" w:fill="auto"/>
                    <w:vAlign w:val="center"/>
                  </w:tcPr>
                  <w:p>
                    <w:pPr>
                      <w:jc w:val="center"/>
                    </w:pPr>
                    <w:r>
                      <w:rPr>
                        <w:rFonts w:hint="eastAsia"/>
                      </w:rPr>
                      <w:t>减值准备</w:t>
                    </w:r>
                  </w:p>
                </w:tc>
              </w:sdtContent>
            </w:sdt>
            <w:sdt>
              <w:sdtPr>
                <w:tag w:val="_PLD_1516e7000a9747a28074e3f321fa96a7"/>
                <w:id w:val="-567805913"/>
                <w:lock w:val="sdtLocked"/>
              </w:sdtPr>
              <w:sdtContent>
                <w:tc>
                  <w:tcPr>
                    <w:tcW w:w="768" w:type="pct"/>
                    <w:shd w:val="clear" w:color="auto" w:fill="auto"/>
                    <w:vAlign w:val="center"/>
                  </w:tcPr>
                  <w:p>
                    <w:pPr>
                      <w:jc w:val="center"/>
                    </w:pPr>
                    <w:r>
                      <w:rPr>
                        <w:rFonts w:hint="eastAsia"/>
                      </w:rPr>
                      <w:t>账面价值</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4ebe1ee9ac3f4ad385baa94779730fbb"/>
                <w:id w:val="1427691285"/>
                <w:lock w:val="sdtLocked"/>
              </w:sdtPr>
              <w:sdtEndPr>
                <w:rPr>
                  <w:sz w:val="18"/>
                  <w:szCs w:val="18"/>
                </w:rPr>
              </w:sdtEndPr>
              <w:sdtContent>
                <w:tc>
                  <w:tcPr>
                    <w:tcW w:w="394" w:type="pct"/>
                    <w:shd w:val="clear" w:color="auto" w:fill="auto"/>
                  </w:tcPr>
                  <w:p>
                    <w:pPr>
                      <w:rPr>
                        <w:sz w:val="18"/>
                        <w:szCs w:val="18"/>
                      </w:rPr>
                    </w:pPr>
                    <w:r>
                      <w:rPr>
                        <w:rFonts w:hint="eastAsia"/>
                        <w:sz w:val="18"/>
                        <w:szCs w:val="18"/>
                      </w:rPr>
                      <w:t>对子公司投资</w:t>
                    </w:r>
                  </w:p>
                </w:tc>
              </w:sdtContent>
            </w:sdt>
            <w:tc>
              <w:tcPr>
                <w:tcW w:w="768" w:type="pct"/>
                <w:shd w:val="clear" w:color="auto" w:fill="auto"/>
                <w:vAlign w:val="center"/>
              </w:tcPr>
              <w:p>
                <w:pPr>
                  <w:jc w:val="right"/>
                  <w:rPr>
                    <w:sz w:val="18"/>
                    <w:szCs w:val="18"/>
                  </w:rPr>
                </w:pPr>
                <w:r>
                  <w:rPr>
                    <w:sz w:val="18"/>
                    <w:szCs w:val="18"/>
                  </w:rPr>
                  <w:t>3,333,582,025.43</w:t>
                </w:r>
              </w:p>
            </w:tc>
            <w:tc>
              <w:tcPr>
                <w:tcW w:w="768" w:type="pct"/>
                <w:shd w:val="clear" w:color="auto" w:fill="auto"/>
                <w:vAlign w:val="center"/>
              </w:tcPr>
              <w:p>
                <w:pPr>
                  <w:jc w:val="right"/>
                  <w:rPr>
                    <w:sz w:val="18"/>
                    <w:szCs w:val="18"/>
                  </w:rPr>
                </w:pPr>
                <w:r>
                  <w:rPr>
                    <w:sz w:val="18"/>
                    <w:szCs w:val="18"/>
                  </w:rPr>
                  <w:t>20,491,698.32</w:t>
                </w:r>
              </w:p>
            </w:tc>
            <w:tc>
              <w:tcPr>
                <w:tcW w:w="768" w:type="pct"/>
                <w:shd w:val="clear" w:color="auto" w:fill="auto"/>
                <w:vAlign w:val="center"/>
              </w:tcPr>
              <w:p>
                <w:pPr>
                  <w:jc w:val="right"/>
                  <w:rPr>
                    <w:sz w:val="18"/>
                    <w:szCs w:val="18"/>
                  </w:rPr>
                </w:pPr>
                <w:r>
                  <w:rPr>
                    <w:sz w:val="18"/>
                    <w:szCs w:val="18"/>
                  </w:rPr>
                  <w:t>3,313,090,327.11</w:t>
                </w:r>
              </w:p>
            </w:tc>
            <w:tc>
              <w:tcPr>
                <w:tcW w:w="768" w:type="pct"/>
                <w:shd w:val="clear" w:color="auto" w:fill="auto"/>
                <w:vAlign w:val="center"/>
              </w:tcPr>
              <w:p>
                <w:pPr>
                  <w:jc w:val="right"/>
                  <w:rPr>
                    <w:sz w:val="18"/>
                    <w:szCs w:val="18"/>
                  </w:rPr>
                </w:pPr>
                <w:r>
                  <w:rPr>
                    <w:sz w:val="18"/>
                    <w:szCs w:val="18"/>
                  </w:rPr>
                  <w:t>3,364,238,622.46</w:t>
                </w:r>
              </w:p>
            </w:tc>
            <w:tc>
              <w:tcPr>
                <w:tcW w:w="768" w:type="pct"/>
                <w:shd w:val="clear" w:color="auto" w:fill="auto"/>
                <w:vAlign w:val="center"/>
              </w:tcPr>
              <w:p>
                <w:pPr>
                  <w:jc w:val="right"/>
                  <w:rPr>
                    <w:sz w:val="18"/>
                    <w:szCs w:val="18"/>
                  </w:rPr>
                </w:pPr>
                <w:r>
                  <w:rPr>
                    <w:sz w:val="18"/>
                    <w:szCs w:val="18"/>
                  </w:rPr>
                  <w:t>20,491,698.32</w:t>
                </w:r>
              </w:p>
            </w:tc>
            <w:tc>
              <w:tcPr>
                <w:tcW w:w="768" w:type="pct"/>
                <w:shd w:val="clear" w:color="auto" w:fill="auto"/>
                <w:vAlign w:val="center"/>
              </w:tcPr>
              <w:p>
                <w:pPr>
                  <w:jc w:val="right"/>
                  <w:rPr>
                    <w:sz w:val="18"/>
                    <w:szCs w:val="18"/>
                  </w:rPr>
                </w:pPr>
                <w:r>
                  <w:rPr>
                    <w:sz w:val="18"/>
                    <w:szCs w:val="18"/>
                  </w:rPr>
                  <w:t>3,343,746,924.14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9263aaad34014fc5b2f7cd8ae963698b"/>
                <w:id w:val="-1689121719"/>
                <w:lock w:val="sdtLocked"/>
              </w:sdtPr>
              <w:sdtEndPr>
                <w:rPr>
                  <w:sz w:val="18"/>
                  <w:szCs w:val="18"/>
                </w:rPr>
              </w:sdtEndPr>
              <w:sdtContent>
                <w:tc>
                  <w:tcPr>
                    <w:tcW w:w="394" w:type="pct"/>
                    <w:shd w:val="clear" w:color="auto" w:fill="auto"/>
                  </w:tcPr>
                  <w:p>
                    <w:pPr>
                      <w:rPr>
                        <w:sz w:val="18"/>
                        <w:szCs w:val="18"/>
                      </w:rPr>
                    </w:pPr>
                    <w:r>
                      <w:rPr>
                        <w:rFonts w:hint="eastAsia"/>
                        <w:sz w:val="18"/>
                        <w:szCs w:val="18"/>
                      </w:rPr>
                      <w:t>对联营、合营企业投资</w:t>
                    </w:r>
                  </w:p>
                </w:tc>
              </w:sdtContent>
            </w:sdt>
            <w:tc>
              <w:tcPr>
                <w:tcW w:w="768" w:type="pct"/>
                <w:shd w:val="clear" w:color="auto" w:fill="auto"/>
                <w:vAlign w:val="center"/>
              </w:tcPr>
              <w:p>
                <w:pPr>
                  <w:jc w:val="right"/>
                  <w:rPr>
                    <w:sz w:val="18"/>
                    <w:szCs w:val="18"/>
                  </w:rPr>
                </w:pPr>
                <w:r>
                  <w:rPr>
                    <w:sz w:val="18"/>
                    <w:szCs w:val="18"/>
                  </w:rPr>
                  <w:t>3,282,231,564.45</w:t>
                </w:r>
              </w:p>
            </w:tc>
            <w:tc>
              <w:tcPr>
                <w:tcW w:w="768" w:type="pct"/>
                <w:shd w:val="clear" w:color="auto" w:fill="auto"/>
                <w:vAlign w:val="center"/>
              </w:tcPr>
              <w:p>
                <w:pPr>
                  <w:jc w:val="right"/>
                  <w:rPr>
                    <w:sz w:val="18"/>
                    <w:szCs w:val="18"/>
                  </w:rPr>
                </w:pPr>
                <w:r>
                  <w:rPr>
                    <w:sz w:val="18"/>
                    <w:szCs w:val="18"/>
                  </w:rPr>
                  <w:t>1,487,651,030.22</w:t>
                </w:r>
              </w:p>
            </w:tc>
            <w:tc>
              <w:tcPr>
                <w:tcW w:w="768" w:type="pct"/>
                <w:shd w:val="clear" w:color="auto" w:fill="auto"/>
                <w:vAlign w:val="center"/>
              </w:tcPr>
              <w:p>
                <w:pPr>
                  <w:jc w:val="right"/>
                  <w:rPr>
                    <w:sz w:val="18"/>
                    <w:szCs w:val="18"/>
                  </w:rPr>
                </w:pPr>
                <w:r>
                  <w:rPr>
                    <w:sz w:val="18"/>
                    <w:szCs w:val="18"/>
                  </w:rPr>
                  <w:t>1,794,580,534.23</w:t>
                </w:r>
              </w:p>
            </w:tc>
            <w:tc>
              <w:tcPr>
                <w:tcW w:w="768" w:type="pct"/>
                <w:shd w:val="clear" w:color="auto" w:fill="auto"/>
                <w:vAlign w:val="center"/>
              </w:tcPr>
              <w:p>
                <w:pPr>
                  <w:jc w:val="right"/>
                  <w:rPr>
                    <w:sz w:val="18"/>
                    <w:szCs w:val="18"/>
                  </w:rPr>
                </w:pPr>
                <w:r>
                  <w:rPr>
                    <w:sz w:val="18"/>
                    <w:szCs w:val="18"/>
                  </w:rPr>
                  <w:t>3,249,853,746.56</w:t>
                </w:r>
              </w:p>
            </w:tc>
            <w:tc>
              <w:tcPr>
                <w:tcW w:w="768" w:type="pct"/>
                <w:shd w:val="clear" w:color="auto" w:fill="auto"/>
                <w:vAlign w:val="center"/>
              </w:tcPr>
              <w:p>
                <w:pPr>
                  <w:jc w:val="right"/>
                  <w:rPr>
                    <w:sz w:val="18"/>
                    <w:szCs w:val="18"/>
                  </w:rPr>
                </w:pPr>
                <w:r>
                  <w:rPr>
                    <w:sz w:val="18"/>
                    <w:szCs w:val="18"/>
                  </w:rPr>
                  <w:t>1,487,651,030.22</w:t>
                </w:r>
              </w:p>
            </w:tc>
            <w:tc>
              <w:tcPr>
                <w:tcW w:w="768" w:type="pct"/>
                <w:shd w:val="clear" w:color="auto" w:fill="auto"/>
                <w:vAlign w:val="center"/>
              </w:tcPr>
              <w:p>
                <w:pPr>
                  <w:jc w:val="right"/>
                  <w:rPr>
                    <w:sz w:val="18"/>
                    <w:szCs w:val="18"/>
                  </w:rPr>
                </w:pPr>
                <w:r>
                  <w:rPr>
                    <w:sz w:val="18"/>
                    <w:szCs w:val="18"/>
                  </w:rPr>
                  <w:t>1,762,202,716.34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sdt>
              <w:sdtPr>
                <w:rPr>
                  <w:sz w:val="18"/>
                  <w:szCs w:val="18"/>
                </w:rPr>
                <w:tag w:val="_PLD_5ced5d3fd2d845df89e0e68805ac19fe"/>
                <w:id w:val="-1899809947"/>
                <w:lock w:val="sdtLocked"/>
              </w:sdtPr>
              <w:sdtEndPr>
                <w:rPr>
                  <w:sz w:val="18"/>
                  <w:szCs w:val="18"/>
                </w:rPr>
              </w:sdtEndPr>
              <w:sdtContent>
                <w:tc>
                  <w:tcPr>
                    <w:tcW w:w="394" w:type="pct"/>
                    <w:shd w:val="clear" w:color="auto" w:fill="auto"/>
                    <w:vAlign w:val="center"/>
                  </w:tcPr>
                  <w:p>
                    <w:pPr>
                      <w:jc w:val="center"/>
                      <w:rPr>
                        <w:sz w:val="18"/>
                        <w:szCs w:val="18"/>
                      </w:rPr>
                    </w:pPr>
                    <w:r>
                      <w:rPr>
                        <w:rFonts w:hint="eastAsia"/>
                        <w:sz w:val="18"/>
                        <w:szCs w:val="18"/>
                      </w:rPr>
                      <w:t>合计</w:t>
                    </w:r>
                  </w:p>
                </w:tc>
              </w:sdtContent>
            </w:sdt>
            <w:tc>
              <w:tcPr>
                <w:tcW w:w="768" w:type="pct"/>
                <w:shd w:val="clear" w:color="auto" w:fill="auto"/>
                <w:vAlign w:val="center"/>
              </w:tcPr>
              <w:p>
                <w:pPr>
                  <w:jc w:val="right"/>
                  <w:rPr>
                    <w:sz w:val="18"/>
                    <w:szCs w:val="18"/>
                  </w:rPr>
                </w:pPr>
                <w:r>
                  <w:rPr>
                    <w:sz w:val="18"/>
                    <w:szCs w:val="18"/>
                  </w:rPr>
                  <w:t>6,615,813,589.88</w:t>
                </w:r>
              </w:p>
            </w:tc>
            <w:tc>
              <w:tcPr>
                <w:tcW w:w="768" w:type="pct"/>
                <w:shd w:val="clear" w:color="auto" w:fill="auto"/>
                <w:vAlign w:val="center"/>
              </w:tcPr>
              <w:p>
                <w:pPr>
                  <w:jc w:val="right"/>
                  <w:rPr>
                    <w:sz w:val="18"/>
                    <w:szCs w:val="18"/>
                  </w:rPr>
                </w:pPr>
                <w:r>
                  <w:rPr>
                    <w:sz w:val="18"/>
                    <w:szCs w:val="18"/>
                  </w:rPr>
                  <w:t>1,508,142,728.54</w:t>
                </w:r>
              </w:p>
            </w:tc>
            <w:tc>
              <w:tcPr>
                <w:tcW w:w="768" w:type="pct"/>
                <w:shd w:val="clear" w:color="auto" w:fill="auto"/>
                <w:vAlign w:val="center"/>
              </w:tcPr>
              <w:p>
                <w:pPr>
                  <w:jc w:val="right"/>
                  <w:rPr>
                    <w:sz w:val="18"/>
                    <w:szCs w:val="18"/>
                  </w:rPr>
                </w:pPr>
                <w:r>
                  <w:rPr>
                    <w:sz w:val="18"/>
                    <w:szCs w:val="18"/>
                  </w:rPr>
                  <w:t>5,107,670,861.34</w:t>
                </w:r>
              </w:p>
            </w:tc>
            <w:tc>
              <w:tcPr>
                <w:tcW w:w="768" w:type="pct"/>
                <w:shd w:val="clear" w:color="auto" w:fill="auto"/>
                <w:vAlign w:val="center"/>
              </w:tcPr>
              <w:p>
                <w:pPr>
                  <w:jc w:val="right"/>
                  <w:rPr>
                    <w:sz w:val="18"/>
                    <w:szCs w:val="18"/>
                  </w:rPr>
                </w:pPr>
                <w:r>
                  <w:rPr>
                    <w:sz w:val="18"/>
                    <w:szCs w:val="18"/>
                  </w:rPr>
                  <w:t>6,614,092,369.02</w:t>
                </w:r>
              </w:p>
            </w:tc>
            <w:tc>
              <w:tcPr>
                <w:tcW w:w="768" w:type="pct"/>
                <w:shd w:val="clear" w:color="auto" w:fill="auto"/>
                <w:vAlign w:val="center"/>
              </w:tcPr>
              <w:p>
                <w:pPr>
                  <w:jc w:val="right"/>
                  <w:rPr>
                    <w:sz w:val="18"/>
                    <w:szCs w:val="18"/>
                  </w:rPr>
                </w:pPr>
                <w:r>
                  <w:rPr>
                    <w:sz w:val="18"/>
                    <w:szCs w:val="18"/>
                  </w:rPr>
                  <w:t>1,508,142,728.54</w:t>
                </w:r>
              </w:p>
            </w:tc>
            <w:tc>
              <w:tcPr>
                <w:tcW w:w="768" w:type="pct"/>
                <w:shd w:val="clear" w:color="auto" w:fill="auto"/>
                <w:vAlign w:val="center"/>
              </w:tcPr>
              <w:p>
                <w:pPr>
                  <w:jc w:val="right"/>
                  <w:rPr>
                    <w:sz w:val="18"/>
                    <w:szCs w:val="18"/>
                  </w:rPr>
                </w:pPr>
                <w:r>
                  <w:rPr>
                    <w:sz w:val="18"/>
                    <w:szCs w:val="18"/>
                  </w:rPr>
                  <w:t>5,105,949,640.48</w:t>
                </w:r>
              </w:p>
            </w:tc>
          </w:tr>
        </w:tbl>
        <w:p>
          <w:pPr>
            <w:rPr>
              <w:szCs w:val="21"/>
            </w:rPr>
          </w:pPr>
        </w:p>
      </w:sdtContent>
    </w:sdt>
    <w:sdt>
      <w:sdtPr>
        <w:rPr>
          <w:rFonts w:hint="eastAsia" w:ascii="宋体" w:hAnsi="宋体" w:eastAsia="宋体" w:cs="宋体"/>
          <w:b w:val="0"/>
          <w:bCs w:val="0"/>
          <w:kern w:val="0"/>
          <w:szCs w:val="24"/>
        </w:rPr>
        <w:alias w:val="模块:对子公司投资"/>
        <w:tag w:val="_SEC_f8a5b8b7954e47eb81f4b0c9ee167266"/>
        <w:id w:val="-1200311775"/>
        <w:lock w:val="sdtLocked"/>
        <w:placeholder>
          <w:docPart w:val="GBC22222222222222222222222222222"/>
        </w:placeholder>
      </w:sdtPr>
      <w:sdtEndPr>
        <w:rPr>
          <w:rFonts w:hint="eastAsia" w:cs="Times New Roman" w:asciiTheme="minorEastAsia" w:hAnsiTheme="minorEastAsia" w:eastAsiaTheme="minorEastAsia"/>
          <w:b/>
          <w:bCs/>
          <w:kern w:val="2"/>
          <w:szCs w:val="21"/>
        </w:rPr>
      </w:sdtEndPr>
      <w:sdtContent>
        <w:p>
          <w:pPr>
            <w:pStyle w:val="115"/>
            <w:numPr>
              <w:ilvl w:val="0"/>
              <w:numId w:val="138"/>
            </w:numPr>
          </w:pPr>
          <w:r>
            <w:rPr>
              <w:rFonts w:hint="eastAsia"/>
            </w:rPr>
            <w:t>对子公司投资</w:t>
          </w:r>
        </w:p>
        <w:sdt>
          <w:sdtPr>
            <w:alias w:val="是否适用：母公司对子公司投资[双击切换]"/>
            <w:tag w:val="_GBC_db6ca6099b0a42bca0cbba7ead69557f"/>
            <w:id w:val="-248585205"/>
            <w:lock w:val="sdtLocked"/>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子公司投资"/>
              <w:tag w:val="_GBC_744810ff600d4176af7d45c0bf0b7978"/>
              <w:id w:val="-412094928"/>
              <w:lock w:val="sdtLocked"/>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29241242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6566" w:type="pct"/>
            <w:tblInd w:w="-1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702"/>
            <w:gridCol w:w="1743"/>
            <w:gridCol w:w="1523"/>
            <w:gridCol w:w="1416"/>
            <w:gridCol w:w="1698"/>
            <w:gridCol w:w="759"/>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3f5c326f4e64acb83b7062be90601f4"/>
                <w:id w:val="-1448772383"/>
                <w:lock w:val="sdtLocked"/>
              </w:sdtPr>
              <w:sdtContent>
                <w:tc>
                  <w:tcPr>
                    <w:tcW w:w="3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被投资单位</w:t>
                    </w:r>
                  </w:p>
                </w:tc>
              </w:sdtContent>
            </w:sdt>
            <w:tc>
              <w:tcPr>
                <w:tcW w:w="76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初始投资成本</w:t>
                </w:r>
              </w:p>
            </w:tc>
            <w:sdt>
              <w:sdtPr>
                <w:tag w:val="_PLD_bfc01ff1dea540d68a163c0b4f2658e7"/>
                <w:id w:val="293567725"/>
                <w:lock w:val="sdtLocked"/>
              </w:sdtPr>
              <w:sdtContent>
                <w:tc>
                  <w:tcPr>
                    <w:tcW w:w="77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期初余额</w:t>
                    </w:r>
                  </w:p>
                </w:tc>
              </w:sdtContent>
            </w:sdt>
            <w:sdt>
              <w:sdtPr>
                <w:tag w:val="_PLD_2868730cdc514c8c888f9e5fbbf1861b"/>
                <w:id w:val="-292595830"/>
                <w:lock w:val="sdtLocked"/>
              </w:sdtPr>
              <w:sdtContent>
                <w:tc>
                  <w:tcPr>
                    <w:tcW w:w="68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本期增加</w:t>
                    </w:r>
                  </w:p>
                </w:tc>
              </w:sdtContent>
            </w:sdt>
            <w:sdt>
              <w:sdtPr>
                <w:tag w:val="_PLD_53aab3e541434694890e1daaef86892e"/>
                <w:id w:val="-1371599938"/>
                <w:lock w:val="sdtLocked"/>
              </w:sdtPr>
              <w:sdtContent>
                <w:tc>
                  <w:tcPr>
                    <w:tcW w:w="63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本期减少</w:t>
                    </w:r>
                  </w:p>
                </w:tc>
              </w:sdtContent>
            </w:sdt>
            <w:sdt>
              <w:sdtPr>
                <w:tag w:val="_PLD_eeaa6cf867964b44953ca6fa9f1417b3"/>
                <w:id w:val="-879080781"/>
                <w:lock w:val="sdtLocked"/>
              </w:sdtPr>
              <w:sdtContent>
                <w:tc>
                  <w:tcPr>
                    <w:tcW w:w="7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期末余额</w:t>
                    </w:r>
                  </w:p>
                </w:tc>
              </w:sdtContent>
            </w:sdt>
            <w:sdt>
              <w:sdtPr>
                <w:tag w:val="_PLD_4365562ff41a4c1fbb543509a4ea61f6"/>
                <w:id w:val="-85467616"/>
                <w:lock w:val="sdtLocked"/>
              </w:sdtPr>
              <w:sdtContent>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rPr>
                      <w:t>本期计提减值准备</w:t>
                    </w:r>
                  </w:p>
                </w:tc>
              </w:sdtContent>
            </w:sdt>
            <w:sdt>
              <w:sdtPr>
                <w:tag w:val="_PLD_1d05d35b40794516842b0264b05f0a95"/>
                <w:id w:val="-752276914"/>
                <w:lock w:val="sdtLocked"/>
              </w:sdtPr>
              <w:sdtContent>
                <w:tc>
                  <w:tcPr>
                    <w:tcW w:w="67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pPr>
                    <w:r>
                      <w:rPr>
                        <w:rFonts w:hint="eastAsia"/>
                      </w:rPr>
                      <w:t>减值准备期末余额</w:t>
                    </w:r>
                  </w:p>
                </w:tc>
              </w:sdtContent>
            </w:sdt>
          </w:tr>
          <w:sdt>
            <w:sdtPr>
              <w:rPr>
                <w:rFonts w:asciiTheme="minorEastAsia" w:hAnsiTheme="minorEastAsia" w:eastAsiaTheme="minorEastAsia" w:cstheme="minorBidi"/>
                <w:kern w:val="2"/>
                <w:sz w:val="18"/>
                <w:szCs w:val="18"/>
              </w:rPr>
              <w:alias w:val="长期股权投资明细"/>
              <w:tag w:val="_TUP_ffd53d91c32d4e5ea37a6c2ca799f0e2"/>
              <w:id w:val="-247429299"/>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重庆无线绿洲通信技术有限公司</w:t>
                    </w:r>
                  </w:p>
                </w:tc>
                <w:sdt>
                  <w:sdtPr>
                    <w:rPr>
                      <w:rFonts w:asciiTheme="minorEastAsia" w:hAnsiTheme="minorEastAsia" w:eastAsiaTheme="minorEastAsia"/>
                      <w:sz w:val="18"/>
                      <w:szCs w:val="18"/>
                    </w:rPr>
                    <w:alias w:val="初始投资成本"/>
                    <w:tag w:val="_GBC_765dcf49622143e7a33579bca986a920"/>
                    <w:id w:val="1045800657"/>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300,170,152.12</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300,572,821.33</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300,572,821.33</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201529762"/>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重庆力帆摩托车发动机有限公司</w:t>
                    </w:r>
                  </w:p>
                </w:tc>
                <w:sdt>
                  <w:sdtPr>
                    <w:rPr>
                      <w:rFonts w:asciiTheme="minorEastAsia" w:hAnsiTheme="minorEastAsia" w:eastAsiaTheme="minorEastAsia"/>
                      <w:sz w:val="18"/>
                      <w:szCs w:val="18"/>
                    </w:rPr>
                    <w:alias w:val="初始投资成本"/>
                    <w:tag w:val="_GBC_765dcf49622143e7a33579bca986a920"/>
                    <w:id w:val="-249514866"/>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208,142,628.40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219,239,522.13</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219,239,522.13</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131829160"/>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重庆移峰能源有限公司</w:t>
                    </w:r>
                  </w:p>
                </w:tc>
                <w:sdt>
                  <w:sdtPr>
                    <w:rPr>
                      <w:rFonts w:asciiTheme="minorEastAsia" w:hAnsiTheme="minorEastAsia" w:eastAsiaTheme="minorEastAsia"/>
                      <w:sz w:val="18"/>
                      <w:szCs w:val="18"/>
                    </w:rPr>
                    <w:alias w:val="初始投资成本"/>
                    <w:tag w:val="_GBC_765dcf49622143e7a33579bca986a920"/>
                    <w:id w:val="-1751806208"/>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168,070,498.25</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168,673,159.44</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168,673,159.44</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842012930"/>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重庆力帆实业集团销售有限公司</w:t>
                    </w:r>
                  </w:p>
                </w:tc>
                <w:sdt>
                  <w:sdtPr>
                    <w:rPr>
                      <w:rFonts w:asciiTheme="minorEastAsia" w:hAnsiTheme="minorEastAsia" w:eastAsiaTheme="minorEastAsia"/>
                      <w:sz w:val="18"/>
                      <w:szCs w:val="18"/>
                    </w:rPr>
                    <w:alias w:val="初始投资成本"/>
                    <w:tag w:val="_GBC_765dcf49622143e7a33579bca986a920"/>
                    <w:id w:val="588819089"/>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4,000,000.00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4,000,000.00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4,000,000.00</w:t>
                    </w: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174449907"/>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重庆力帆速骓进出口贸易有限公司</w:t>
                    </w:r>
                  </w:p>
                </w:tc>
                <w:sdt>
                  <w:sdtPr>
                    <w:rPr>
                      <w:rFonts w:asciiTheme="minorEastAsia" w:hAnsiTheme="minorEastAsia" w:eastAsiaTheme="minorEastAsia"/>
                      <w:sz w:val="18"/>
                      <w:szCs w:val="18"/>
                    </w:rPr>
                    <w:alias w:val="初始投资成本"/>
                    <w:tag w:val="_GBC_765dcf49622143e7a33579bca986a920"/>
                    <w:id w:val="-51394305"/>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190,195.30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376,042.63</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376,042.63</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444115982"/>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重庆力帆电喷软件有限公司</w:t>
                    </w:r>
                  </w:p>
                </w:tc>
                <w:sdt>
                  <w:sdtPr>
                    <w:rPr>
                      <w:rFonts w:asciiTheme="minorEastAsia" w:hAnsiTheme="minorEastAsia" w:eastAsiaTheme="minorEastAsia"/>
                      <w:sz w:val="18"/>
                      <w:szCs w:val="18"/>
                    </w:rPr>
                    <w:alias w:val="初始投资成本"/>
                    <w:tag w:val="_GBC_765dcf49622143e7a33579bca986a920"/>
                    <w:id w:val="-240947200"/>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16,423,882.72</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16,423,882.72</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16,423,882.72</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858652003"/>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重庆力帆丰顺汽车销售有限公司</w:t>
                    </w:r>
                  </w:p>
                </w:tc>
                <w:sdt>
                  <w:sdtPr>
                    <w:rPr>
                      <w:rFonts w:asciiTheme="minorEastAsia" w:hAnsiTheme="minorEastAsia" w:eastAsiaTheme="minorEastAsia"/>
                      <w:sz w:val="18"/>
                      <w:szCs w:val="18"/>
                    </w:rPr>
                    <w:alias w:val="初始投资成本"/>
                    <w:tag w:val="_GBC_765dcf49622143e7a33579bca986a920"/>
                    <w:id w:val="179938303"/>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520,993.57</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520,993.57</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520,993.57</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718267129"/>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重庆力帆摩托车产销有限公司</w:t>
                    </w:r>
                  </w:p>
                </w:tc>
                <w:sdt>
                  <w:sdtPr>
                    <w:rPr>
                      <w:rFonts w:asciiTheme="minorEastAsia" w:hAnsiTheme="minorEastAsia" w:eastAsiaTheme="minorEastAsia"/>
                      <w:sz w:val="18"/>
                      <w:szCs w:val="18"/>
                    </w:rPr>
                    <w:alias w:val="初始投资成本"/>
                    <w:tag w:val="_GBC_765dcf49622143e7a33579bca986a920"/>
                    <w:id w:val="-1714799306"/>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802,673,825.89</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802,673,825.89</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802,673,825.89</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984995533"/>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重庆力帆内燃机有限公司</w:t>
                    </w:r>
                  </w:p>
                </w:tc>
                <w:sdt>
                  <w:sdtPr>
                    <w:rPr>
                      <w:rFonts w:asciiTheme="minorEastAsia" w:hAnsiTheme="minorEastAsia" w:eastAsiaTheme="minorEastAsia"/>
                      <w:sz w:val="18"/>
                      <w:szCs w:val="18"/>
                    </w:rPr>
                    <w:alias w:val="初始投资成本"/>
                    <w:tag w:val="_GBC_765dcf49622143e7a33579bca986a920"/>
                    <w:id w:val="-2112505514"/>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128,391,952.49</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129,241,997.66</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129,241,997.66</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747581181"/>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重庆力帆汽车发动机有限公司</w:t>
                    </w:r>
                  </w:p>
                </w:tc>
                <w:sdt>
                  <w:sdtPr>
                    <w:rPr>
                      <w:rFonts w:asciiTheme="minorEastAsia" w:hAnsiTheme="minorEastAsia" w:eastAsiaTheme="minorEastAsia"/>
                      <w:sz w:val="18"/>
                      <w:szCs w:val="18"/>
                    </w:rPr>
                    <w:alias w:val="初始投资成本"/>
                    <w:tag w:val="_GBC_765dcf49622143e7a33579bca986a920"/>
                    <w:id w:val="-2101399325"/>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2,632,906.86</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5,368,602.65</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5,368,602.65</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865584434"/>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重庆力帆汽车销售有限公司</w:t>
                    </w:r>
                  </w:p>
                </w:tc>
                <w:sdt>
                  <w:sdtPr>
                    <w:rPr>
                      <w:rFonts w:asciiTheme="minorEastAsia" w:hAnsiTheme="minorEastAsia" w:eastAsiaTheme="minorEastAsia"/>
                      <w:sz w:val="18"/>
                      <w:szCs w:val="18"/>
                    </w:rPr>
                    <w:alias w:val="初始投资成本"/>
                    <w:tag w:val="_GBC_765dcf49622143e7a33579bca986a920"/>
                    <w:id w:val="-847172066"/>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302,924,721.59</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5,674,943.13</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5,674,943.13</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906442225"/>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重庆力帆三轮摩托车有限公司</w:t>
                    </w:r>
                  </w:p>
                </w:tc>
                <w:sdt>
                  <w:sdtPr>
                    <w:rPr>
                      <w:rFonts w:asciiTheme="minorEastAsia" w:hAnsiTheme="minorEastAsia" w:eastAsiaTheme="minorEastAsia"/>
                      <w:sz w:val="18"/>
                      <w:szCs w:val="18"/>
                    </w:rPr>
                    <w:alias w:val="初始投资成本"/>
                    <w:tag w:val="_GBC_765dcf49622143e7a33579bca986a920"/>
                    <w:id w:val="-502429317"/>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10,200,000.00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10,200,000.00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10,200,000.00</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218782032"/>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重庆力帆资产管理有限公司</w:t>
                    </w:r>
                  </w:p>
                </w:tc>
                <w:sdt>
                  <w:sdtPr>
                    <w:rPr>
                      <w:rFonts w:asciiTheme="minorEastAsia" w:hAnsiTheme="minorEastAsia" w:eastAsiaTheme="minorEastAsia"/>
                      <w:sz w:val="18"/>
                      <w:szCs w:val="18"/>
                    </w:rPr>
                    <w:alias w:val="初始投资成本"/>
                    <w:tag w:val="_GBC_765dcf49622143e7a33579bca986a920"/>
                    <w:id w:val="-1718819813"/>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274,641,600.00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274,641,600.00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274,641,600.00</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687600683"/>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江门气派进出口有限公司</w:t>
                    </w:r>
                  </w:p>
                </w:tc>
                <w:sdt>
                  <w:sdtPr>
                    <w:rPr>
                      <w:rFonts w:asciiTheme="minorEastAsia" w:hAnsiTheme="minorEastAsia" w:eastAsiaTheme="minorEastAsia"/>
                      <w:sz w:val="18"/>
                      <w:szCs w:val="18"/>
                    </w:rPr>
                    <w:alias w:val="初始投资成本"/>
                    <w:tag w:val="_GBC_765dcf49622143e7a33579bca986a920"/>
                    <w:id w:val="272137799"/>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161,410.08</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388,937.92</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388,937.92</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28580553"/>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力帆集团重庆万光新能源科技有限公司</w:t>
                    </w:r>
                  </w:p>
                </w:tc>
                <w:sdt>
                  <w:sdtPr>
                    <w:rPr>
                      <w:rFonts w:asciiTheme="minorEastAsia" w:hAnsiTheme="minorEastAsia" w:eastAsiaTheme="minorEastAsia"/>
                      <w:sz w:val="18"/>
                      <w:szCs w:val="18"/>
                    </w:rPr>
                    <w:alias w:val="初始投资成本"/>
                    <w:tag w:val="_GBC_765dcf49622143e7a33579bca986a920"/>
                    <w:id w:val="840056815"/>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16,285,620.62</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1,105,196,607.39</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1,105,196,607.39</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9,391,318.43</w:t>
                    </w: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524756737"/>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力帆摩托车制造贸易有限公司</w:t>
                    </w:r>
                  </w:p>
                </w:tc>
                <w:sdt>
                  <w:sdtPr>
                    <w:rPr>
                      <w:rFonts w:asciiTheme="minorEastAsia" w:hAnsiTheme="minorEastAsia" w:eastAsiaTheme="minorEastAsia"/>
                      <w:sz w:val="18"/>
                      <w:szCs w:val="18"/>
                    </w:rPr>
                    <w:alias w:val="初始投资成本"/>
                    <w:tag w:val="_GBC_765dcf49622143e7a33579bca986a920"/>
                    <w:id w:val="-938137325"/>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1,511,255.63</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16,833,375.63</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16,833,375.63</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825320729"/>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力帆-越南摩托车制造联营公司</w:t>
                    </w:r>
                  </w:p>
                </w:tc>
                <w:sdt>
                  <w:sdtPr>
                    <w:rPr>
                      <w:rFonts w:asciiTheme="minorEastAsia" w:hAnsiTheme="minorEastAsia" w:eastAsiaTheme="minorEastAsia"/>
                      <w:sz w:val="18"/>
                      <w:szCs w:val="18"/>
                    </w:rPr>
                    <w:alias w:val="初始投资成本"/>
                    <w:tag w:val="_GBC_765dcf49622143e7a33579bca986a920"/>
                    <w:id w:val="-1414239722"/>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11,100,379.89</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11,100,379.89</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11,100,379.89</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11,100,379.89</w:t>
                    </w: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768431169"/>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上海新概念出租汽车有限公司</w:t>
                    </w:r>
                  </w:p>
                </w:tc>
                <w:sdt>
                  <w:sdtPr>
                    <w:rPr>
                      <w:rFonts w:asciiTheme="minorEastAsia" w:hAnsiTheme="minorEastAsia" w:eastAsiaTheme="minorEastAsia"/>
                      <w:sz w:val="18"/>
                      <w:szCs w:val="18"/>
                    </w:rPr>
                    <w:alias w:val="初始投资成本"/>
                    <w:tag w:val="_GBC_765dcf49622143e7a33579bca986a920"/>
                    <w:id w:val="-926966515"/>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21,285,504.20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21,285,504.20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21,285,504.20</w:t>
                    </w: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727718258"/>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河南力帆树民车业有限公司</w:t>
                    </w:r>
                  </w:p>
                </w:tc>
                <w:sdt>
                  <w:sdtPr>
                    <w:rPr>
                      <w:rFonts w:asciiTheme="minorEastAsia" w:hAnsiTheme="minorEastAsia" w:eastAsiaTheme="minorEastAsia"/>
                      <w:sz w:val="18"/>
                      <w:szCs w:val="18"/>
                    </w:rPr>
                    <w:alias w:val="初始投资成本"/>
                    <w:tag w:val="_GBC_765dcf49622143e7a33579bca986a920"/>
                    <w:id w:val="-161553454"/>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99,000,000.00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99,000,000.00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54,628,907.17</w:t>
                    </w: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153,628,907.17</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633518378"/>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重庆力帆新能源汽车有限公司</w:t>
                    </w:r>
                  </w:p>
                </w:tc>
                <w:sdt>
                  <w:sdtPr>
                    <w:rPr>
                      <w:rFonts w:asciiTheme="minorEastAsia" w:hAnsiTheme="minorEastAsia" w:eastAsiaTheme="minorEastAsia"/>
                      <w:sz w:val="18"/>
                      <w:szCs w:val="18"/>
                    </w:rPr>
                    <w:alias w:val="初始投资成本"/>
                    <w:tag w:val="_GBC_765dcf49622143e7a33579bca986a920"/>
                    <w:id w:val="-103802300"/>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5,889,334.24</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6,631,571.48</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6,631,571.48</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747852252"/>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力帆俄罗斯车辆有限责任公司</w:t>
                    </w:r>
                  </w:p>
                </w:tc>
                <w:sdt>
                  <w:sdtPr>
                    <w:rPr>
                      <w:rFonts w:asciiTheme="minorEastAsia" w:hAnsiTheme="minorEastAsia" w:eastAsiaTheme="minorEastAsia"/>
                      <w:sz w:val="18"/>
                      <w:szCs w:val="18"/>
                    </w:rPr>
                    <w:alias w:val="初始投资成本"/>
                    <w:tag w:val="_GBC_765dcf49622143e7a33579bca986a920"/>
                    <w:id w:val="814602762"/>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3,865,838.75</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3,865,838.75</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3,865,838.75</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590417963"/>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重庆力帆车辆研究院有限公司</w:t>
                    </w:r>
                  </w:p>
                </w:tc>
                <w:sdt>
                  <w:sdtPr>
                    <w:rPr>
                      <w:rFonts w:asciiTheme="minorEastAsia" w:hAnsiTheme="minorEastAsia" w:eastAsiaTheme="minorEastAsia"/>
                      <w:sz w:val="18"/>
                      <w:szCs w:val="18"/>
                    </w:rPr>
                    <w:alias w:val="初始投资成本"/>
                    <w:tag w:val="_GBC_765dcf49622143e7a33579bca986a920"/>
                    <w:id w:val="-1105262017"/>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100,000,000.00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100,000,000.00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100,000,000.00</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804434471"/>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河南力帆新能源电动车有限公司</w:t>
                    </w:r>
                  </w:p>
                </w:tc>
                <w:sdt>
                  <w:sdtPr>
                    <w:rPr>
                      <w:rFonts w:asciiTheme="minorEastAsia" w:hAnsiTheme="minorEastAsia" w:eastAsiaTheme="minorEastAsia"/>
                      <w:sz w:val="18"/>
                      <w:szCs w:val="18"/>
                    </w:rPr>
                    <w:alias w:val="初始投资成本"/>
                    <w:tag w:val="_GBC_765dcf49622143e7a33579bca986a920"/>
                    <w:id w:val="416833155"/>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602,076.75</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2,255,577.41</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2,255,577.41</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1576943079"/>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重庆轰轰烈摩托车销售有限公司</w:t>
                    </w:r>
                  </w:p>
                </w:tc>
                <w:sdt>
                  <w:sdtPr>
                    <w:rPr>
                      <w:rFonts w:asciiTheme="minorEastAsia" w:hAnsiTheme="minorEastAsia" w:eastAsiaTheme="minorEastAsia"/>
                      <w:sz w:val="18"/>
                      <w:szCs w:val="18"/>
                    </w:rPr>
                    <w:alias w:val="初始投资成本"/>
                    <w:tag w:val="_GBC_765dcf49622143e7a33579bca986a920"/>
                    <w:id w:val="-318568494"/>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21,814.38</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73,438.64</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73,438.64</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4751241"/>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重庆力帆速盈机械制造有限公司</w:t>
                    </w:r>
                  </w:p>
                </w:tc>
                <w:sdt>
                  <w:sdtPr>
                    <w:rPr>
                      <w:rFonts w:asciiTheme="minorEastAsia" w:hAnsiTheme="minorEastAsia" w:eastAsiaTheme="minorEastAsia"/>
                      <w:sz w:val="18"/>
                      <w:szCs w:val="18"/>
                    </w:rPr>
                    <w:alias w:val="初始投资成本"/>
                    <w:tag w:val="_GBC_765dcf49622143e7a33579bca986a920"/>
                    <w:id w:val="629755501"/>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sdt>
            <w:sdtPr>
              <w:rPr>
                <w:rFonts w:asciiTheme="minorEastAsia" w:hAnsiTheme="minorEastAsia" w:eastAsiaTheme="minorEastAsia" w:cstheme="minorBidi"/>
                <w:kern w:val="2"/>
                <w:sz w:val="18"/>
                <w:szCs w:val="18"/>
              </w:rPr>
              <w:alias w:val="长期股权投资明细"/>
              <w:tag w:val="_TUP_ffd53d91c32d4e5ea37a6c2ca799f0e2"/>
              <w:id w:val="799269264"/>
              <w:lock w:val="sdtLocked"/>
            </w:sdtPr>
            <w:sdtEndPr>
              <w:rPr>
                <w:rFonts w:asciiTheme="minorEastAsia" w:hAnsiTheme="minorEastAsia" w:eastAsiaTheme="minorEastAsia" w:cstheme="minorBidi"/>
                <w:kern w:val="2"/>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 w:type="pct"/>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sz w:val="18"/>
                        <w:szCs w:val="18"/>
                      </w:rPr>
                    </w:pPr>
                    <w:r>
                      <w:rPr>
                        <w:rFonts w:asciiTheme="minorEastAsia" w:hAnsiTheme="minorEastAsia" w:eastAsiaTheme="minorEastAsia"/>
                        <w:sz w:val="18"/>
                        <w:szCs w:val="18"/>
                      </w:rPr>
                      <w:t>重庆力帆速博机械制造有限公司</w:t>
                    </w:r>
                  </w:p>
                </w:tc>
                <w:sdt>
                  <w:sdtPr>
                    <w:rPr>
                      <w:rFonts w:asciiTheme="minorEastAsia" w:hAnsiTheme="minorEastAsia" w:eastAsiaTheme="minorEastAsia"/>
                      <w:sz w:val="18"/>
                      <w:szCs w:val="18"/>
                    </w:rPr>
                    <w:alias w:val="初始投资成本"/>
                    <w:tag w:val="_GBC_765dcf49622143e7a33579bca986a920"/>
                    <w:id w:val="-1617280219"/>
                    <w:lock w:val="sdtLocked"/>
                  </w:sdtPr>
                  <w:sdtEndPr>
                    <w:rPr>
                      <w:rFonts w:asciiTheme="minorEastAsia" w:hAnsiTheme="minorEastAsia" w:eastAsiaTheme="minorEastAsia"/>
                      <w:sz w:val="18"/>
                      <w:szCs w:val="18"/>
                    </w:rPr>
                  </w:sdtEndPr>
                  <w:sdtConten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sdtContent>
                </w:sdt>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30,000,000.00</w:t>
                    </w: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sdt>
              <w:sdtPr>
                <w:rPr>
                  <w:rFonts w:asciiTheme="minorEastAsia" w:hAnsiTheme="minorEastAsia" w:eastAsiaTheme="minorEastAsia"/>
                  <w:sz w:val="18"/>
                  <w:szCs w:val="18"/>
                </w:rPr>
                <w:tag w:val="_PLD_6d78abc7997f45e2969ef24257800aca"/>
                <w:id w:val="-931890201"/>
                <w:lock w:val="sdtLocked"/>
              </w:sdtPr>
              <w:sdtEndPr>
                <w:rPr>
                  <w:rFonts w:asciiTheme="minorEastAsia" w:hAnsiTheme="minorEastAsia" w:eastAsiaTheme="minorEastAsia"/>
                  <w:sz w:val="18"/>
                  <w:szCs w:val="18"/>
                </w:rPr>
              </w:sdtEndPr>
              <w:sdtContent>
                <w:tc>
                  <w:tcPr>
                    <w:tcW w:w="379"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合计</w:t>
                    </w:r>
                  </w:p>
                </w:tc>
              </w:sdtContent>
            </w:sdt>
            <w:tc>
              <w:tcPr>
                <w:tcW w:w="76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2,538,706,591.73</w:t>
                </w:r>
              </w:p>
            </w:tc>
            <w:tc>
              <w:tcPr>
                <w:tcW w:w="77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3,364,238,622.46</w:t>
                </w:r>
              </w:p>
            </w:tc>
            <w:tc>
              <w:tcPr>
                <w:tcW w:w="680"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54,628,907.17</w:t>
                </w:r>
              </w:p>
            </w:tc>
            <w:tc>
              <w:tcPr>
                <w:tcW w:w="632"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85,285,504.20</w:t>
                </w:r>
              </w:p>
            </w:tc>
            <w:tc>
              <w:tcPr>
                <w:tcW w:w="758"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3,333,582,025.43</w:t>
                </w:r>
              </w:p>
            </w:tc>
            <w:tc>
              <w:tcPr>
                <w:tcW w:w="339"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p>
            </w:tc>
            <w:tc>
              <w:tcPr>
                <w:tcW w:w="674" w:type="pct"/>
                <w:tcBorders>
                  <w:top w:val="single" w:color="auto" w:sz="4" w:space="0"/>
                  <w:left w:val="single" w:color="auto" w:sz="4" w:space="0"/>
                  <w:bottom w:val="single" w:color="auto" w:sz="4" w:space="0"/>
                  <w:right w:val="single" w:color="auto" w:sz="4" w:space="0"/>
                </w:tcBorders>
                <w:vAlign w:val="center"/>
              </w:tcPr>
              <w:p>
                <w:pPr>
                  <w:jc w:val="right"/>
                  <w:rPr>
                    <w:rFonts w:asciiTheme="minorEastAsia" w:hAnsiTheme="minorEastAsia" w:eastAsiaTheme="minorEastAsia"/>
                    <w:sz w:val="18"/>
                    <w:szCs w:val="18"/>
                  </w:rPr>
                </w:pPr>
                <w:r>
                  <w:rPr>
                    <w:rFonts w:asciiTheme="minorEastAsia" w:hAnsiTheme="minorEastAsia" w:eastAsiaTheme="minorEastAsia"/>
                    <w:sz w:val="18"/>
                    <w:szCs w:val="18"/>
                  </w:rPr>
                  <w:t>20,491,698.32</w:t>
                </w:r>
              </w:p>
            </w:tc>
          </w:tr>
        </w:tbl>
        <w:p>
          <w:pPr>
            <w:pStyle w:val="115"/>
            <w:rPr>
              <w:szCs w:val="21"/>
            </w:rPr>
          </w:pPr>
        </w:p>
        <w:p>
          <w:pPr>
            <w:rPr>
              <w:rFonts w:cs="Times New Roman" w:asciiTheme="minorEastAsia" w:hAnsiTheme="minorEastAsia" w:eastAsiaTheme="minorEastAsia"/>
              <w:b/>
              <w:bCs/>
              <w:kern w:val="2"/>
              <w:szCs w:val="21"/>
            </w:rPr>
          </w:pPr>
          <w:r>
            <w:rPr>
              <w:szCs w:val="21"/>
            </w:rPr>
            <w:br w:type="page"/>
          </w:r>
        </w:p>
        <w:p>
          <w:pPr>
            <w:pStyle w:val="115"/>
            <w:rPr>
              <w:szCs w:val="21"/>
            </w:rPr>
            <w:sectPr>
              <w:pgSz w:w="11906" w:h="16838"/>
              <w:pgMar w:top="1724" w:right="1797" w:bottom="1440" w:left="1797" w:header="856" w:footer="992" w:gutter="0"/>
              <w:cols w:space="425" w:num="1"/>
              <w:docGrid w:linePitch="312" w:charSpace="0"/>
            </w:sectPr>
          </w:pPr>
        </w:p>
        <w:p>
          <w:pPr>
            <w:pStyle w:val="115"/>
            <w:rPr>
              <w:szCs w:val="21"/>
            </w:rPr>
          </w:pPr>
        </w:p>
      </w:sdtContent>
    </w:sdt>
    <w:sdt>
      <w:sdtPr>
        <w:rPr>
          <w:rFonts w:hint="eastAsia" w:ascii="宋体" w:hAnsi="宋体" w:eastAsia="宋体" w:cs="宋体"/>
          <w:b w:val="0"/>
          <w:bCs w:val="0"/>
          <w:kern w:val="0"/>
          <w:szCs w:val="24"/>
        </w:rPr>
        <w:alias w:val="模块:对联营、合营企业投资"/>
        <w:tag w:val="_SEC_4a653049f75d481585b4f9d9da6a8d0e"/>
        <w:id w:val="566463448"/>
        <w:lock w:val="sdtLocked"/>
        <w:placeholder>
          <w:docPart w:val="GBC22222222222222222222222222222"/>
        </w:placeholder>
      </w:sdtPr>
      <w:sdtEndPr>
        <w:rPr>
          <w:rFonts w:hint="eastAsia" w:ascii="宋体" w:hAnsi="宋体" w:eastAsia="宋体" w:cs="宋体"/>
          <w:b w:val="0"/>
          <w:bCs w:val="0"/>
          <w:kern w:val="0"/>
          <w:szCs w:val="21"/>
        </w:rPr>
      </w:sdtEndPr>
      <w:sdtContent>
        <w:p>
          <w:pPr>
            <w:pStyle w:val="115"/>
            <w:numPr>
              <w:ilvl w:val="0"/>
              <w:numId w:val="138"/>
            </w:numPr>
          </w:pPr>
          <w:r>
            <w:rPr>
              <w:rFonts w:hint="eastAsia"/>
            </w:rPr>
            <w:t>对联营、合营企业投资</w:t>
          </w:r>
        </w:p>
        <w:sdt>
          <w:sdtPr>
            <w:alias w:val="是否适用：母公司对联营、合营企业投资[双击切换]"/>
            <w:tag w:val="_GBC_2e4760cb979247e69579530b3868e897"/>
            <w:id w:val="290949665"/>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62003064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9376453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868" w:type="pct"/>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1682"/>
            <w:gridCol w:w="854"/>
            <w:gridCol w:w="854"/>
            <w:gridCol w:w="1412"/>
            <w:gridCol w:w="1562"/>
            <w:gridCol w:w="1161"/>
            <w:gridCol w:w="1421"/>
            <w:gridCol w:w="1193"/>
            <w:gridCol w:w="1496"/>
            <w:gridCol w:w="1728"/>
            <w:gridCol w:w="1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ddf860d624b41069bef0850b92b7db2"/>
                <w:id w:val="-217521154"/>
                <w:lock w:val="sdtLocked"/>
              </w:sdtPr>
              <w:sdtContent>
                <w:tc>
                  <w:tcPr>
                    <w:tcW w:w="387"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投资</w:t>
                    </w:r>
                  </w:p>
                  <w:p>
                    <w:pPr>
                      <w:jc w:val="center"/>
                      <w:rPr>
                        <w:szCs w:val="21"/>
                      </w:rPr>
                    </w:pPr>
                    <w:r>
                      <w:rPr>
                        <w:rFonts w:hint="eastAsia"/>
                        <w:szCs w:val="21"/>
                      </w:rPr>
                      <w:t>单位</w:t>
                    </w:r>
                  </w:p>
                </w:tc>
              </w:sdtContent>
            </w:sdt>
            <w:sdt>
              <w:sdtPr>
                <w:tag w:val="_PLD_1e9893e3e3854470a87271f1c7db6cdb"/>
                <w:id w:val="18902368"/>
                <w:lock w:val="sdtLocked"/>
              </w:sdtPr>
              <w:sdtContent>
                <w:tc>
                  <w:tcPr>
                    <w:tcW w:w="516"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期初</w:t>
                    </w:r>
                  </w:p>
                  <w:p>
                    <w:pPr>
                      <w:jc w:val="center"/>
                      <w:rPr>
                        <w:szCs w:val="21"/>
                      </w:rPr>
                    </w:pPr>
                    <w:r>
                      <w:rPr>
                        <w:rFonts w:hint="eastAsia"/>
                        <w:szCs w:val="21"/>
                      </w:rPr>
                      <w:t>余额</w:t>
                    </w:r>
                  </w:p>
                </w:tc>
              </w:sdtContent>
            </w:sdt>
            <w:sdt>
              <w:sdtPr>
                <w:tag w:val="_PLD_51e202fa7d4541e8b1073ad1aab00e23"/>
                <w:id w:val="1420527508"/>
                <w:lock w:val="sdtLocked"/>
              </w:sdtPr>
              <w:sdtContent>
                <w:tc>
                  <w:tcPr>
                    <w:tcW w:w="3053"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本期增减变动</w:t>
                    </w:r>
                  </w:p>
                </w:tc>
              </w:sdtContent>
            </w:sdt>
            <w:sdt>
              <w:sdtPr>
                <w:tag w:val="_PLD_fb68ab3bfe254cb4ac4728b9c324a1ea"/>
                <w:id w:val="-1816944258"/>
                <w:lock w:val="sdtLocked"/>
              </w:sdtPr>
              <w:sdtContent>
                <w:tc>
                  <w:tcPr>
                    <w:tcW w:w="530"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期末</w:t>
                    </w:r>
                  </w:p>
                  <w:p>
                    <w:pPr>
                      <w:jc w:val="center"/>
                      <w:rPr>
                        <w:szCs w:val="21"/>
                      </w:rPr>
                    </w:pPr>
                    <w:r>
                      <w:rPr>
                        <w:rFonts w:hint="eastAsia"/>
                        <w:szCs w:val="21"/>
                      </w:rPr>
                      <w:t>余额</w:t>
                    </w:r>
                  </w:p>
                </w:tc>
              </w:sdtContent>
            </w:sdt>
            <w:sdt>
              <w:sdtPr>
                <w:tag w:val="_PLD_79ea6426597c4707b961bbd96c8cf19f"/>
                <w:id w:val="-1092622417"/>
                <w:lock w:val="sdtLocked"/>
              </w:sdtPr>
              <w:sdtContent>
                <w:tc>
                  <w:tcPr>
                    <w:tcW w:w="513"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减值准备期末余额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516"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sdt>
              <w:sdtPr>
                <w:tag w:val="_PLD_759fe0f59b6046308988b932a5f90e06"/>
                <w:id w:val="-2036807194"/>
                <w:lock w:val="sdtLocked"/>
              </w:sdtPr>
              <w:sdtContent>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追加</w:t>
                    </w:r>
                  </w:p>
                  <w:p>
                    <w:pPr>
                      <w:jc w:val="center"/>
                      <w:rPr>
                        <w:szCs w:val="21"/>
                      </w:rPr>
                    </w:pPr>
                    <w:r>
                      <w:rPr>
                        <w:rFonts w:hint="eastAsia"/>
                        <w:szCs w:val="21"/>
                      </w:rPr>
                      <w:t>投资</w:t>
                    </w:r>
                  </w:p>
                </w:tc>
              </w:sdtContent>
            </w:sdt>
            <w:sdt>
              <w:sdtPr>
                <w:tag w:val="_PLD_6f033bedb79a4bd7bc36dc52845a5ea0"/>
                <w:id w:val="-663558311"/>
                <w:lock w:val="sdtLocked"/>
              </w:sdtPr>
              <w:sdtContent>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减少</w:t>
                    </w:r>
                  </w:p>
                  <w:p>
                    <w:pPr>
                      <w:jc w:val="center"/>
                      <w:rPr>
                        <w:szCs w:val="21"/>
                      </w:rPr>
                    </w:pPr>
                    <w:r>
                      <w:rPr>
                        <w:rFonts w:hint="eastAsia"/>
                        <w:szCs w:val="21"/>
                      </w:rPr>
                      <w:t>投资</w:t>
                    </w:r>
                  </w:p>
                </w:tc>
              </w:sdtContent>
            </w:sdt>
            <w:sdt>
              <w:sdtPr>
                <w:tag w:val="_PLD_67e4baac3d05451d940d328c18f19014"/>
                <w:id w:val="-1593008612"/>
                <w:lock w:val="sdtLocked"/>
              </w:sdtPr>
              <w:sdtContent>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权益法下确认的投资损益</w:t>
                    </w:r>
                  </w:p>
                </w:tc>
              </w:sdtContent>
            </w:sdt>
            <w:sdt>
              <w:sdtPr>
                <w:tag w:val="_PLD_700419003e5b4596b973710043374374"/>
                <w:id w:val="-307086551"/>
                <w:lock w:val="sdtLocked"/>
              </w:sdtPr>
              <w:sdtContent>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其他综合收益调整</w:t>
                    </w:r>
                  </w:p>
                </w:tc>
              </w:sdtContent>
            </w:sdt>
            <w:sdt>
              <w:sdtPr>
                <w:tag w:val="_PLD_9318c7f257d249e0a0b9bf70263601d5"/>
                <w:id w:val="-444469699"/>
                <w:lock w:val="sdtLocked"/>
              </w:sdtPr>
              <w:sdtContent>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其他权益变动</w:t>
                    </w:r>
                  </w:p>
                </w:tc>
              </w:sdtContent>
            </w:sdt>
            <w:sdt>
              <w:sdtPr>
                <w:tag w:val="_PLD_efb3a8c8f6b64ad1a5fbb4cf67eb4c96"/>
                <w:id w:val="-154301160"/>
                <w:lock w:val="sdtLocked"/>
              </w:sdtPr>
              <w:sdtContent>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宣告发放现金股利或利润</w:t>
                    </w:r>
                  </w:p>
                </w:tc>
              </w:sdtContent>
            </w:sdt>
            <w:sdt>
              <w:sdtPr>
                <w:tag w:val="_PLD_2cc45ca82119420bb4d261a3eb788ba0"/>
                <w:id w:val="551896900"/>
                <w:lock w:val="sdtLocked"/>
              </w:sdtPr>
              <w:sdtContent>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计提减值准备</w:t>
                    </w:r>
                  </w:p>
                </w:tc>
              </w:sdtContent>
            </w:sdt>
            <w:sdt>
              <w:sdtPr>
                <w:tag w:val="_PLD_85d3aa0f514447b38d92097f7a30e385"/>
                <w:id w:val="1236675713"/>
                <w:lock w:val="sdtLocked"/>
              </w:sdtPr>
              <w:sdtContent>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其他</w:t>
                    </w:r>
                  </w:p>
                </w:tc>
              </w:sdtContent>
            </w:sdt>
            <w:tc>
              <w:tcPr>
                <w:tcW w:w="530"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c>
              <w:tcPr>
                <w:tcW w:w="513" w:type="pct"/>
                <w:vMerge w:val="continue"/>
                <w:tcBorders>
                  <w:left w:val="single" w:color="auto" w:sz="4" w:space="0"/>
                  <w:bottom w:val="single" w:color="auto" w:sz="4" w:space="0"/>
                  <w:right w:val="single" w:color="auto" w:sz="4" w:space="0"/>
                </w:tcBorders>
                <w:shd w:val="clear" w:color="auto" w:fill="auto"/>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5de7a3b12554dad8d8701df843651f7"/>
                <w:id w:val="-1588537368"/>
                <w:lock w:val="sdtLocked"/>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一、合营企业</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5532ff6de38446798c10c6b50f591fc"/>
                <w:id w:val="240534148"/>
                <w:lock w:val="sdtLocked"/>
              </w:sdtPr>
              <w:sdtContent>
                <w:tc>
                  <w:tcPr>
                    <w:tcW w:w="387"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小计</w:t>
                    </w:r>
                  </w:p>
                </w:tc>
              </w:sdtContent>
            </w:sdt>
            <w:tc>
              <w:tcPr>
                <w:tcW w:w="51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79"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5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3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366"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458"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530"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c>
              <w:tcPr>
                <w:tcW w:w="513" w:type="pct"/>
                <w:tcBorders>
                  <w:top w:val="single" w:color="auto" w:sz="4" w:space="0"/>
                  <w:left w:val="single" w:color="auto" w:sz="4" w:space="0"/>
                  <w:bottom w:val="single" w:color="auto" w:sz="4" w:space="0"/>
                  <w:right w:val="single" w:color="auto" w:sz="4" w:space="0"/>
                </w:tcBorders>
                <w:shd w:val="clear" w:color="auto" w:fill="auto"/>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73021cffa734643a0c35649ee4b5043"/>
                <w:id w:val="352469027"/>
                <w:lock w:val="sdtLocked"/>
              </w:sdtPr>
              <w:sdtContent>
                <w:tc>
                  <w:tcPr>
                    <w:tcW w:w="5000" w:type="pct"/>
                    <w:gridSpan w:val="12"/>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二、联营企业</w:t>
                    </w:r>
                  </w:p>
                </w:tc>
              </w:sdtContent>
            </w:sdt>
          </w:tr>
          <w:sdt>
            <w:sdtPr>
              <w:rPr>
                <w:rFonts w:hint="eastAsia"/>
                <w:szCs w:val="21"/>
              </w:rPr>
              <w:alias w:val="联营企业投资信息明细"/>
              <w:tag w:val="_TUP_eaba507245ee4361a2dbb347dbaafb94"/>
              <w:id w:val="-537581180"/>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sz w:val="18"/>
                        <w:szCs w:val="18"/>
                      </w:rPr>
                      <w:t>山东恒宇新能源有限公司</w:t>
                    </w:r>
                  </w:p>
                </w:tc>
                <w:tc>
                  <w:tcPr>
                    <w:tcW w:w="51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83,387,762.99</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3"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79"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35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36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58"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530"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83,387,762.99</w:t>
                    </w:r>
                  </w:p>
                </w:tc>
                <w:tc>
                  <w:tcPr>
                    <w:tcW w:w="513"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83,387,762.99</w:t>
                    </w:r>
                  </w:p>
                </w:tc>
              </w:tr>
            </w:sdtContent>
          </w:sdt>
          <w:sdt>
            <w:sdtPr>
              <w:rPr>
                <w:rFonts w:hint="eastAsia"/>
                <w:sz w:val="18"/>
                <w:szCs w:val="18"/>
              </w:rPr>
              <w:alias w:val="联营企业投资信息明细"/>
              <w:tag w:val="_TUP_eaba507245ee4361a2dbb347dbaafb94"/>
              <w:id w:val="-163552918"/>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重庆银行股份有限公司</w:t>
                    </w:r>
                  </w:p>
                </w:tc>
                <w:tc>
                  <w:tcPr>
                    <w:tcW w:w="51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1,566,680,678.18</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163,017,658.07</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11,516,253.06</w:t>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232,392.43</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48,327,719.64</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-7,947,125.04</w:t>
                    </w:r>
                  </w:p>
                </w:tc>
                <w:tc>
                  <w:tcPr>
                    <w:tcW w:w="530"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1,685,172,137.06</w:t>
                    </w:r>
                  </w:p>
                </w:tc>
                <w:tc>
                  <w:tcPr>
                    <w:tcW w:w="513"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r>
            </w:sdtContent>
          </w:sdt>
          <w:sdt>
            <w:sdtPr>
              <w:rPr>
                <w:rFonts w:hint="eastAsia"/>
                <w:sz w:val="18"/>
                <w:szCs w:val="18"/>
              </w:rPr>
              <w:alias w:val="联营企业投资信息明细"/>
              <w:tag w:val="_TUP_eaba507245ee4361a2dbb347dbaafb94"/>
              <w:id w:val="-2052686814"/>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力帆融资租赁上海有限公司</w:t>
                    </w:r>
                  </w:p>
                </w:tc>
                <w:tc>
                  <w:tcPr>
                    <w:tcW w:w="51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99,443,606.79</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-24,237,098.27</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35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36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58"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530"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75,206,508.52</w:t>
                    </w:r>
                  </w:p>
                </w:tc>
                <w:tc>
                  <w:tcPr>
                    <w:tcW w:w="513"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r>
            </w:sdtContent>
          </w:sdt>
          <w:sdt>
            <w:sdtPr>
              <w:rPr>
                <w:rFonts w:hint="eastAsia"/>
                <w:sz w:val="18"/>
                <w:szCs w:val="18"/>
              </w:rPr>
              <w:alias w:val="联营企业投资信息明细"/>
              <w:tag w:val="_TUP_eaba507245ee4361a2dbb347dbaafb94"/>
              <w:id w:val="-2132081402"/>
              <w:lock w:val="sdtLocked"/>
            </w:sdtPr>
            <w:sdtEndPr>
              <w:rPr>
                <w:rFonts w:hint="default"/>
                <w:sz w:val="18"/>
                <w:szCs w:val="18"/>
              </w:rPr>
            </w:sdtEndPr>
            <w:sdtConten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pct"/>
                    <w:tcBorders>
                      <w:top w:val="single" w:color="auto" w:sz="4" w:space="0"/>
                      <w:left w:val="single" w:color="auto" w:sz="4" w:space="0"/>
                      <w:bottom w:val="single" w:color="auto" w:sz="4" w:space="0"/>
                      <w:right w:val="single" w:color="auto" w:sz="4" w:space="0"/>
                    </w:tcBorders>
                    <w:shd w:val="clear" w:color="auto" w:fill="auto"/>
                  </w:tcPr>
                  <w:p>
                    <w:pPr>
                      <w:rPr>
                        <w:sz w:val="18"/>
                        <w:szCs w:val="18"/>
                      </w:rPr>
                    </w:pPr>
                    <w:r>
                      <w:rPr>
                        <w:sz w:val="18"/>
                        <w:szCs w:val="18"/>
                      </w:rPr>
                      <w:t>重庆力帆财务有限公司</w:t>
                    </w:r>
                  </w:p>
                </w:tc>
                <w:tc>
                  <w:tcPr>
                    <w:tcW w:w="51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1,500,341,698.60</w:t>
                    </w: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262"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-61,876,542.72</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35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3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366"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458"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p>
                </w:tc>
                <w:tc>
                  <w:tcPr>
                    <w:tcW w:w="530"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1,438,465,155.88</w:t>
                    </w:r>
                  </w:p>
                </w:tc>
                <w:tc>
                  <w:tcPr>
                    <w:tcW w:w="513" w:type="pct"/>
                    <w:tcBorders>
                      <w:top w:val="single" w:color="auto" w:sz="4" w:space="0"/>
                      <w:left w:val="single" w:color="auto" w:sz="4" w:space="0"/>
                      <w:bottom w:val="single" w:color="auto" w:sz="4" w:space="0"/>
                      <w:right w:val="single" w:color="auto" w:sz="4" w:space="0"/>
                    </w:tcBorders>
                    <w:shd w:val="clear" w:color="auto" w:fill="auto"/>
                  </w:tcPr>
                  <w:p>
                    <w:pPr>
                      <w:jc w:val="right"/>
                      <w:rPr>
                        <w:sz w:val="18"/>
                        <w:szCs w:val="18"/>
                      </w:rPr>
                    </w:pPr>
                    <w:r>
                      <w:rPr>
                        <w:sz w:val="18"/>
                        <w:szCs w:val="18"/>
                      </w:rPr>
                      <w:t>1,404,263,267.23</w:t>
                    </w:r>
                  </w:p>
                </w:tc>
              </w:tr>
            </w:sdtContent>
          </w:sdt>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8383730084541adb8db21cc185c3f8a"/>
                <w:id w:val="194515662"/>
                <w:lock w:val="sdtLocked"/>
              </w:sdtPr>
              <w:sdtContent>
                <w:tc>
                  <w:tcPr>
                    <w:tcW w:w="387" w:type="pct"/>
                    <w:tcBorders>
                      <w:top w:val="single" w:color="auto" w:sz="4" w:space="0"/>
                      <w:left w:val="single" w:color="auto" w:sz="4" w:space="0"/>
                      <w:bottom w:val="single" w:color="auto" w:sz="4" w:space="0"/>
                      <w:right w:val="single" w:color="auto" w:sz="4" w:space="0"/>
                    </w:tcBorders>
                    <w:shd w:val="clear" w:color="auto" w:fill="auto"/>
                  </w:tcPr>
                  <w:p>
                    <w:pPr>
                      <w:rPr>
                        <w:szCs w:val="21"/>
                      </w:rPr>
                    </w:pPr>
                    <w:r>
                      <w:rPr>
                        <w:rFonts w:hint="eastAsia"/>
                        <w:szCs w:val="21"/>
                      </w:rPr>
                      <w:t>小计</w:t>
                    </w:r>
                  </w:p>
                </w:tc>
              </w:sdtContent>
            </w:sdt>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3,249,853,746.56</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76,904,017.08</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11,516,253.06</w:t>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232,392.43</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48,327,719.64</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-7,947,125.04</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3,282,231,564.45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1,487,651,030.22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sdt>
              <w:sdtPr>
                <w:tag w:val="_PLD_4b0583c56526447a8a37f554e73cdf58"/>
                <w:id w:val="-1312788880"/>
                <w:lock w:val="sdtLocked"/>
              </w:sdtPr>
              <w:sdtContent>
                <w:tc>
                  <w:tcPr>
                    <w:tcW w:w="38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3,249,853,746.56</w:t>
                </w: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262"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43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76,904,017.08</w:t>
                </w:r>
              </w:p>
            </w:tc>
            <w:tc>
              <w:tcPr>
                <w:tcW w:w="479"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11,516,253.06</w:t>
                </w:r>
              </w:p>
            </w:tc>
            <w:tc>
              <w:tcPr>
                <w:tcW w:w="35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232,392.43</w:t>
                </w:r>
              </w:p>
            </w:tc>
            <w:tc>
              <w:tcPr>
                <w:tcW w:w="43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48,327,719.64</w:t>
                </w:r>
              </w:p>
            </w:tc>
            <w:tc>
              <w:tcPr>
                <w:tcW w:w="366"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p>
            </w:tc>
            <w:tc>
              <w:tcPr>
                <w:tcW w:w="458"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-7,947,125.04</w:t>
                </w:r>
              </w:p>
            </w:tc>
            <w:tc>
              <w:tcPr>
                <w:tcW w:w="530"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3,282,231,564.45</w:t>
                </w:r>
              </w:p>
            </w:tc>
            <w:tc>
              <w:tcPr>
                <w:tcW w:w="513" w:type="pct"/>
                <w:tcBorders>
                  <w:top w:val="single" w:color="auto" w:sz="4" w:space="0"/>
                  <w:left w:val="single" w:color="auto" w:sz="4" w:space="0"/>
                  <w:bottom w:val="single" w:color="auto" w:sz="4" w:space="0"/>
                  <w:right w:val="single" w:color="auto" w:sz="4" w:space="0"/>
                </w:tcBorders>
                <w:shd w:val="clear" w:color="auto" w:fill="auto"/>
                <w:vAlign w:val="center"/>
              </w:tcPr>
              <w:p>
                <w:pPr>
                  <w:rPr>
                    <w:sz w:val="18"/>
                    <w:szCs w:val="18"/>
                  </w:rPr>
                </w:pPr>
                <w:r>
                  <w:rPr>
                    <w:sz w:val="18"/>
                    <w:szCs w:val="18"/>
                  </w:rPr>
                  <w:t>1,487,651,030.22</w:t>
                </w:r>
              </w:p>
            </w:tc>
          </w:tr>
        </w:tbl>
        <w:p>
          <w:pPr>
            <w:rPr>
              <w:szCs w:val="21"/>
            </w:rPr>
          </w:pPr>
        </w:p>
      </w:sdtContent>
    </w:sdt>
    <w:sdt>
      <w:sdtPr>
        <w:rPr>
          <w:rFonts w:hint="eastAsia"/>
          <w:szCs w:val="21"/>
        </w:rPr>
        <w:alias w:val="模块:长期股权投资的说明"/>
        <w:tag w:val="_SEC_fd3a826cdca04967a4205d04f587b774"/>
        <w:id w:val="-804624894"/>
        <w:lock w:val="sdtLocked"/>
        <w:placeholder>
          <w:docPart w:val="GBC22222222222222222222222222222"/>
        </w:placeholder>
      </w:sdtPr>
      <w:sdtEndPr>
        <w:rPr>
          <w:rFonts w:hint="eastAsia"/>
          <w:szCs w:val="21"/>
        </w:rPr>
      </w:sdtEndPr>
      <w:sdtContent>
        <w:p>
          <w:pPr>
            <w:rPr>
              <w:szCs w:val="21"/>
            </w:rPr>
          </w:pPr>
          <w:r>
            <w:rPr>
              <w:rFonts w:hint="eastAsia"/>
              <w:szCs w:val="21"/>
            </w:rPr>
            <w:t>其他说明：</w:t>
          </w:r>
        </w:p>
        <w:sdt>
          <w:sdtPr>
            <w:rPr>
              <w:rFonts w:hint="eastAsia"/>
              <w:szCs w:val="21"/>
            </w:rPr>
            <w:alias w:val="长期股权投资的说明"/>
            <w:tag w:val="_GBC_938f2ac679ca480c83553ff73f8b80b6"/>
            <w:id w:val="911589200"/>
            <w:lock w:val="sdtLocked"/>
            <w:placeholder>
              <w:docPart w:val="GBC22222222222222222222222222222"/>
            </w:placeholder>
          </w:sdtPr>
          <w:sdtEndPr>
            <w:rPr>
              <w:rFonts w:hint="eastAsia"/>
              <w:szCs w:val="21"/>
            </w:rPr>
          </w:sdtEndPr>
          <w:sdtContent>
            <w:p>
              <w:pPr>
                <w:rPr>
                  <w:szCs w:val="21"/>
                </w:rPr>
              </w:pPr>
              <w:r>
                <w:rPr>
                  <w:rFonts w:hint="eastAsia"/>
                  <w:szCs w:val="21"/>
                </w:rPr>
                <w:t>无</w:t>
              </w:r>
            </w:p>
          </w:sdtContent>
        </w:sdt>
      </w:sdtContent>
    </w:sdt>
    <w:p>
      <w:pPr>
        <w:rPr>
          <w:szCs w:val="21"/>
        </w:rPr>
      </w:pPr>
      <w:r>
        <w:rPr>
          <w:szCs w:val="21"/>
        </w:rPr>
        <w:br w:type="page"/>
      </w:r>
    </w:p>
    <w:p>
      <w:pPr>
        <w:rPr>
          <w:szCs w:val="21"/>
        </w:rPr>
        <w:sectPr>
          <w:pgSz w:w="16838" w:h="11906" w:orient="landscape"/>
          <w:pgMar w:top="1797" w:right="1724" w:bottom="1797" w:left="1440" w:header="856" w:footer="992" w:gutter="0"/>
          <w:cols w:space="425" w:num="1"/>
          <w:docGrid w:linePitch="312" w:charSpace="0"/>
        </w:sectPr>
      </w:pPr>
    </w:p>
    <w:p>
      <w:pPr>
        <w:rPr>
          <w:szCs w:val="21"/>
        </w:rPr>
      </w:pPr>
    </w:p>
    <w:sdt>
      <w:sdtPr>
        <w:rPr>
          <w:rFonts w:hint="eastAsia" w:ascii="宋体" w:hAnsi="宋体" w:cs="宋体"/>
          <w:b w:val="0"/>
          <w:bCs w:val="0"/>
          <w:kern w:val="0"/>
          <w:szCs w:val="24"/>
        </w:rPr>
        <w:alias w:val="模块:营业收入"/>
        <w:tag w:val="_SEC_167f1b451fcb4d4d88898ec4d506ea2d"/>
        <w:id w:val="261876152"/>
        <w:lock w:val="sdtLocked"/>
        <w:placeholder>
          <w:docPart w:val="GBC22222222222222222222222222222"/>
        </w:placeholder>
      </w:sdtPr>
      <w:sdtEndPr>
        <w:rPr>
          <w:rFonts w:hint="default" w:ascii="宋体" w:hAnsi="宋体" w:cs="宋体"/>
          <w:b w:val="0"/>
          <w:bCs w:val="0"/>
          <w:kern w:val="0"/>
          <w:szCs w:val="24"/>
        </w:rPr>
      </w:sdtEndPr>
      <w:sdtContent>
        <w:p>
          <w:pPr>
            <w:pStyle w:val="114"/>
            <w:numPr>
              <w:ilvl w:val="0"/>
              <w:numId w:val="133"/>
            </w:numPr>
            <w:ind w:left="426"/>
          </w:pPr>
          <w:r>
            <w:rPr>
              <w:rFonts w:hint="eastAsia"/>
            </w:rPr>
            <w:t>营业收入和营业成本</w:t>
          </w:r>
        </w:p>
        <w:p>
          <w:pPr>
            <w:pStyle w:val="115"/>
            <w:numPr>
              <w:ilvl w:val="0"/>
              <w:numId w:val="139"/>
            </w:numPr>
          </w:pPr>
          <w:r>
            <w:rPr>
              <w:rFonts w:hint="eastAsia"/>
            </w:rPr>
            <w:t>营业收入和营业成本情况</w:t>
          </w:r>
        </w:p>
        <w:sdt>
          <w:sdtPr>
            <w:rPr>
              <w:rFonts w:hint="eastAsia" w:ascii="宋体" w:hAnsi="宋体"/>
              <w:bCs/>
              <w:szCs w:val="21"/>
            </w:rPr>
            <w:alias w:val="是否适用：母公司营业收入和营业成本[双击切换]"/>
            <w:tag w:val="_GBC_3cf10265cb614c79a538bd06daf8da74"/>
            <w:id w:val="-1268539855"/>
            <w:lock w:val="sdtLocked"/>
            <w:placeholder>
              <w:docPart w:val="GBC22222222222222222222222222222"/>
            </w:placeholder>
          </w:sdtPr>
          <w:sdtEndPr>
            <w:rPr>
              <w:rFonts w:hint="eastAsia" w:ascii="宋体" w:hAnsi="宋体"/>
              <w:bCs/>
              <w:szCs w:val="21"/>
            </w:rPr>
          </w:sdtEndPr>
          <w:sdtContent>
            <w:p>
              <w:pPr>
                <w:pStyle w:val="158"/>
                <w:ind w:firstLine="0" w:firstLineChars="0"/>
                <w:jc w:val="left"/>
                <w:rPr>
                  <w:rFonts w:ascii="宋体" w:hAnsi="宋体"/>
                  <w:bCs/>
                  <w:szCs w:val="21"/>
                </w:rPr>
              </w:pPr>
              <w:r>
                <w:rPr>
                  <w:rFonts w:ascii="宋体" w:hAnsi="宋体"/>
                  <w:bCs/>
                  <w:szCs w:val="21"/>
                </w:rPr>
                <w:fldChar w:fldCharType="begin"/>
              </w:r>
              <w:r>
                <w:rPr>
                  <w:rFonts w:ascii="宋体" w:hAnsi="宋体"/>
                  <w:bCs/>
                  <w:szCs w:val="21"/>
                </w:rPr>
                <w:instrText xml:space="preserve">MACROBUTTON  SnrToggleCheckbox √适用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pPr>
            <w:pStyle w:val="158"/>
            <w:ind w:firstLine="0" w:firstLineChars="0"/>
            <w:jc w:val="right"/>
            <w:rPr>
              <w:rFonts w:ascii="宋体" w:hAnsi="宋体"/>
              <w:kern w:val="0"/>
              <w:szCs w:val="21"/>
            </w:rPr>
          </w:pPr>
          <w:r>
            <w:rPr>
              <w:rFonts w:hint="eastAsia" w:ascii="宋体" w:hAnsi="宋体"/>
              <w:bCs/>
              <w:szCs w:val="21"/>
            </w:rPr>
            <w:t>单位：</w:t>
          </w:r>
          <w:sdt>
            <w:sdtPr>
              <w:rPr>
                <w:rFonts w:hint="eastAsia" w:ascii="宋体" w:hAnsi="宋体"/>
                <w:bCs/>
                <w:szCs w:val="21"/>
              </w:rPr>
              <w:alias w:val="单位：母公司财务附注：营业收入"/>
              <w:tag w:val="_GBC_5e6e6011a00b4111b618be40fba11dc1"/>
              <w:id w:val="70776156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ascii="宋体" w:hAnsi="宋体"/>
                <w:bCs/>
                <w:szCs w:val="21"/>
              </w:rPr>
            </w:sdtEndPr>
            <w:sdtContent>
              <w:r>
                <w:rPr>
                  <w:rFonts w:hint="eastAsia" w:ascii="宋体" w:hAnsi="宋体"/>
                  <w:bCs/>
                  <w:szCs w:val="21"/>
                </w:rPr>
                <w:t>元</w:t>
              </w:r>
            </w:sdtContent>
          </w:sdt>
          <w:r>
            <w:rPr>
              <w:rFonts w:hint="eastAsia" w:ascii="宋体" w:hAnsi="宋体"/>
              <w:bCs/>
              <w:szCs w:val="21"/>
            </w:rPr>
            <w:t xml:space="preserve">  币种：</w:t>
          </w:r>
          <w:sdt>
            <w:sdtPr>
              <w:rPr>
                <w:rFonts w:hint="eastAsia" w:ascii="宋体" w:hAnsi="宋体"/>
                <w:bCs/>
                <w:szCs w:val="21"/>
              </w:rPr>
              <w:alias w:val="币种：母公司财务附注：营业收入"/>
              <w:tag w:val="_GBC_5940d445dfb6426f97376a89f3df08e7"/>
              <w:id w:val="10183531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ascii="宋体" w:hAnsi="宋体"/>
                <w:bCs/>
                <w:szCs w:val="21"/>
              </w:rPr>
            </w:sdtEndPr>
            <w:sdtContent>
              <w:r>
                <w:rPr>
                  <w:rFonts w:hint="eastAsia" w:ascii="宋体" w:hAnsi="宋体"/>
                  <w:bCs/>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4"/>
            <w:gridCol w:w="1581"/>
            <w:gridCol w:w="1581"/>
            <w:gridCol w:w="1581"/>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d52d676cf8435a8f7a530f92cd7617"/>
                <w:id w:val="197904133"/>
                <w:lock w:val="sdtLocked"/>
              </w:sdtPr>
              <w:sdtContent>
                <w:tc>
                  <w:tcPr>
                    <w:tcW w:w="1570" w:type="pct"/>
                    <w:vMerge w:val="restart"/>
                    <w:tcBorders>
                      <w:top w:val="single" w:color="auto" w:sz="4" w:space="0"/>
                      <w:left w:val="single" w:color="auto" w:sz="4" w:space="0"/>
                      <w:right w:val="single" w:color="auto" w:sz="4" w:space="0"/>
                    </w:tcBorders>
                    <w:shd w:val="clear" w:color="auto" w:fill="auto"/>
                    <w:vAlign w:val="center"/>
                  </w:tcPr>
                  <w:p>
                    <w:pPr>
                      <w:jc w:val="center"/>
                      <w:rPr>
                        <w:szCs w:val="21"/>
                      </w:rPr>
                    </w:pPr>
                    <w:r>
                      <w:rPr>
                        <w:rFonts w:hint="eastAsia"/>
                        <w:szCs w:val="21"/>
                      </w:rPr>
                      <w:t>项目</w:t>
                    </w:r>
                  </w:p>
                </w:tc>
              </w:sdtContent>
            </w:sdt>
            <w:sdt>
              <w:sdtPr>
                <w:tag w:val="_PLD_32b5faadfe0b45d19044be5526af3c2d"/>
                <w:id w:val="1744448696"/>
                <w:lock w:val="sdtLocked"/>
              </w:sdtPr>
              <w:sdtContent>
                <w:tc>
                  <w:tcPr>
                    <w:tcW w:w="184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本期发生额</w:t>
                    </w:r>
                  </w:p>
                </w:tc>
              </w:sdtContent>
            </w:sdt>
            <w:sdt>
              <w:sdtPr>
                <w:tag w:val="_PLD_5e3b95dc7e564cbabd77bf88c8a43781"/>
                <w:id w:val="-467669593"/>
                <w:lock w:val="sdtLocked"/>
              </w:sdtPr>
              <w:sdtContent>
                <w:tc>
                  <w:tcPr>
                    <w:tcW w:w="159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0" w:type="pct"/>
                <w:vMerge w:val="continue"/>
                <w:tcBorders>
                  <w:left w:val="single" w:color="auto" w:sz="4" w:space="0"/>
                  <w:bottom w:val="single" w:color="auto" w:sz="4" w:space="0"/>
                  <w:right w:val="single" w:color="auto" w:sz="4" w:space="0"/>
                </w:tcBorders>
                <w:shd w:val="clear" w:color="auto" w:fill="auto"/>
                <w:vAlign w:val="center"/>
              </w:tcPr>
              <w:p>
                <w:pPr>
                  <w:jc w:val="center"/>
                  <w:rPr>
                    <w:szCs w:val="21"/>
                  </w:rPr>
                </w:pPr>
              </w:p>
            </w:tc>
            <w:sdt>
              <w:sdtPr>
                <w:tag w:val="_PLD_35d68e9def174e9fb111f9c26dc6e586"/>
                <w:id w:val="634369315"/>
                <w:lock w:val="sdtLocked"/>
              </w:sdt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bca4c40811a6455bb6f684093a6c0c7d"/>
                <w:id w:val="1883441453"/>
                <w:lock w:val="sdtLocked"/>
              </w:sdtPr>
              <w:sdtConten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sdt>
              <w:sdtPr>
                <w:tag w:val="_PLD_913bf231029842ff9aedaf2297b238c1"/>
                <w:id w:val="1138294519"/>
                <w:lock w:val="sdtLocked"/>
              </w:sdtPr>
              <w:sdtContent>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收入</w:t>
                    </w:r>
                  </w:p>
                </w:tc>
              </w:sdtContent>
            </w:sdt>
            <w:sdt>
              <w:sdtPr>
                <w:tag w:val="_PLD_f626f406150145439510a3b7f1a71e39"/>
                <w:id w:val="-1198156229"/>
                <w:lock w:val="sdtLocked"/>
              </w:sdtPr>
              <w:sdtContent>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成本</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e96be68b278431da8715a6c739b83b7"/>
                <w:id w:val="-1228836022"/>
                <w:lock w:val="sdtLocked"/>
              </w:sdt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主营业务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1,141.17</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1,141.17</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22,928,432.32</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26,528,395.10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bfc9b53230c4537ab9d4895c4ac21b6"/>
                <w:id w:val="1149789324"/>
                <w:lock w:val="sdtLocked"/>
              </w:sdtPr>
              <w:sdtContent>
                <w:tc>
                  <w:tcPr>
                    <w:tcW w:w="1570" w:type="pct"/>
                    <w:tcBorders>
                      <w:top w:val="single" w:color="auto" w:sz="4" w:space="0"/>
                      <w:left w:val="single" w:color="auto" w:sz="4" w:space="0"/>
                      <w:bottom w:val="single" w:color="auto" w:sz="4" w:space="0"/>
                      <w:right w:val="single" w:color="auto" w:sz="4" w:space="0"/>
                    </w:tcBorders>
                    <w:shd w:val="clear" w:color="auto" w:fill="auto"/>
                  </w:tcPr>
                  <w:p>
                    <w:pPr>
                      <w:jc w:val="center"/>
                      <w:rPr>
                        <w:szCs w:val="21"/>
                      </w:rPr>
                    </w:pPr>
                    <w:r>
                      <w:rPr>
                        <w:rFonts w:hint="eastAsia"/>
                        <w:szCs w:val="21"/>
                      </w:rPr>
                      <w:t>其他业务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53,335,527.16</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23,942,285.03</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15,449,939.79</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d72589b11fca4f8e9290f2128cc382b9"/>
                <w:id w:val="-1627005867"/>
                <w:lock w:val="sdtLocked"/>
              </w:sdtPr>
              <w:sdtContent>
                <w:tc>
                  <w:tcPr>
                    <w:tcW w:w="157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szCs w:val="21"/>
                      </w:rPr>
                    </w:pPr>
                    <w:r>
                      <w:rPr>
                        <w:rFonts w:hint="eastAsia"/>
                        <w:szCs w:val="21"/>
                      </w:rPr>
                      <w:t>合计</w:t>
                    </w:r>
                  </w:p>
                </w:tc>
              </w:sdtContent>
            </w:sdt>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53,336,668.33</w:t>
                </w:r>
              </w:p>
            </w:tc>
            <w:tc>
              <w:tcPr>
                <w:tcW w:w="920"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23,943,426.20</w:t>
                </w:r>
              </w:p>
            </w:tc>
            <w:tc>
              <w:tcPr>
                <w:tcW w:w="837"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38,378,372.11</w:t>
                </w:r>
              </w:p>
            </w:tc>
            <w:tc>
              <w:tcPr>
                <w:tcW w:w="753"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sz w:val="24"/>
                  </w:rPr>
                </w:pPr>
                <w:r>
                  <w:t>26,528,395.10</w:t>
                </w:r>
              </w:p>
            </w:tc>
          </w:tr>
        </w:tbl>
        <w:p/>
      </w:sdtContent>
    </w:sdt>
    <w:sdt>
      <w:sdtPr>
        <w:rPr>
          <w:rFonts w:hint="eastAsia" w:ascii="宋体" w:hAnsi="宋体" w:eastAsia="宋体" w:cs="宋体"/>
          <w:b w:val="0"/>
          <w:bCs w:val="0"/>
          <w:kern w:val="0"/>
          <w:szCs w:val="24"/>
        </w:rPr>
        <w:alias w:val="模块:合同产生的收入的情况"/>
        <w:tag w:val="_SEC_a0a33d96e9f9469a9966c7cb475fdfc4"/>
        <w:id w:val="2082026727"/>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0"/>
              <w:numId w:val="139"/>
            </w:numPr>
          </w:pPr>
          <w:bookmarkStart w:id="245" w:name="_Hlk533798810"/>
          <w:r>
            <w:rPr>
              <w:rFonts w:hint="eastAsia"/>
            </w:rPr>
            <w:t>合同产生的收入的情况</w:t>
          </w:r>
        </w:p>
        <w:sdt>
          <w:sdtPr>
            <w:rPr>
              <w:rFonts w:ascii="宋体" w:hAnsi="宋体"/>
              <w:szCs w:val="21"/>
            </w:rPr>
            <w:alias w:val="是否适用：母公司合同产生的收入[双击切换]"/>
            <w:tag w:val="_GBC_f459dad39f414a73aa2c0673b99e3d8b"/>
            <w:id w:val="-1804690209"/>
            <w:lock w:val="sdtLocked"/>
            <w:placeholder>
              <w:docPart w:val="GBC22222222222222222222222222222"/>
            </w:placeholder>
          </w:sdtPr>
          <w:sdtEndPr>
            <w:rPr>
              <w:rFonts w:ascii="宋体" w:hAnsi="宋体"/>
              <w:szCs w:val="21"/>
            </w:rPr>
          </w:sdtEndPr>
          <w:sdtContent>
            <w:p>
              <w:pPr>
                <w:pStyle w:val="158"/>
                <w:ind w:firstLine="0" w:firstLineChars="0"/>
                <w:jc w:val="left"/>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sdtContent>
    </w:sdt>
    <w:bookmarkEnd w:id="245"/>
    <w:sdt>
      <w:sdtPr>
        <w:rPr>
          <w:rFonts w:hint="eastAsia" w:ascii="宋体" w:hAnsi="宋体" w:eastAsia="宋体" w:cs="宋体"/>
          <w:b w:val="0"/>
          <w:bCs w:val="0"/>
          <w:kern w:val="0"/>
          <w:szCs w:val="24"/>
        </w:rPr>
        <w:alias w:val="模块:履约义务的说明"/>
        <w:tag w:val="_SEC_52d2e3e0b9aa4fa7a4925852d3c67b9d"/>
        <w:id w:val="-835452272"/>
        <w:lock w:val="sdtLocked"/>
        <w:placeholder>
          <w:docPart w:val="GBC22222222222222222222222222222"/>
        </w:placeholder>
      </w:sdtPr>
      <w:sdtEndPr>
        <w:rPr>
          <w:rFonts w:hint="default" w:ascii="宋体" w:hAnsi="宋体" w:eastAsia="宋体" w:cs="宋体"/>
          <w:b w:val="0"/>
          <w:bCs w:val="0"/>
          <w:kern w:val="0"/>
          <w:szCs w:val="24"/>
        </w:rPr>
      </w:sdtEndPr>
      <w:sdtContent>
        <w:p>
          <w:pPr>
            <w:pStyle w:val="115"/>
            <w:numPr>
              <w:ilvl w:val="0"/>
              <w:numId w:val="139"/>
            </w:numPr>
          </w:pPr>
          <w:bookmarkStart w:id="246" w:name="_Hlk533798917"/>
          <w:r>
            <w:rPr>
              <w:rFonts w:hint="eastAsia"/>
            </w:rPr>
            <w:t>履约义务的说明</w:t>
          </w:r>
        </w:p>
        <w:sdt>
          <w:sdtPr>
            <w:alias w:val="是否适用：母公司履约义务的说明[双击切换]"/>
            <w:tag w:val="_GBC_2fc3f5c164844c5a8203f2c7e77870c1"/>
            <w:id w:val="-643126139"/>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sdtContent>
    </w:sdt>
    <w:bookmarkEnd w:id="246"/>
    <w:sdt>
      <w:sdtPr>
        <w:rPr>
          <w:rFonts w:hint="eastAsia" w:ascii="宋体" w:hAnsi="宋体" w:eastAsia="宋体" w:cs="宋体"/>
          <w:b w:val="0"/>
          <w:bCs w:val="0"/>
          <w:kern w:val="0"/>
          <w:szCs w:val="24"/>
        </w:rPr>
        <w:alias w:val="模块:分摊至剩余履约义务的说明"/>
        <w:tag w:val="_SEC_b803be9d61b44303b6da1e3330ef906c"/>
        <w:id w:val="-1479840550"/>
        <w:lock w:val="sdtLocked"/>
        <w:placeholder>
          <w:docPart w:val="GBC22222222222222222222222222222"/>
        </w:placeholder>
      </w:sdtPr>
      <w:sdtEndPr>
        <w:rPr>
          <w:rFonts w:hint="eastAsia" w:ascii="Arial" w:hAnsi="Arial" w:eastAsia="宋体" w:cs="宋体"/>
          <w:b w:val="0"/>
          <w:bCs w:val="0"/>
          <w:kern w:val="0"/>
          <w:szCs w:val="21"/>
        </w:rPr>
      </w:sdtEndPr>
      <w:sdtContent>
        <w:p>
          <w:pPr>
            <w:pStyle w:val="115"/>
            <w:numPr>
              <w:ilvl w:val="0"/>
              <w:numId w:val="139"/>
            </w:numPr>
          </w:pPr>
          <w:bookmarkStart w:id="247" w:name="_Hlk533798958"/>
          <w:r>
            <w:rPr>
              <w:rFonts w:hint="eastAsia"/>
            </w:rPr>
            <w:t>分摊至剩余履约义务的说明</w:t>
          </w:r>
        </w:p>
        <w:sdt>
          <w:sdtPr>
            <w:alias w:val="是否适用：母公司分摊至剩余履约义务的说明[双击切换]"/>
            <w:tag w:val="_GBC_7f0a9adae5ea4624a849a396f1ce90b1"/>
            <w:id w:val="-1510752259"/>
            <w:lock w:val="sdtLocked"/>
            <w:placeholder>
              <w:docPart w:val="GBC22222222222222222222222222222"/>
            </w:placeholder>
          </w:sdtPr>
          <w:sdtContent>
            <w:p>
              <w:pPr>
                <w:rPr>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rPr>
              <w:rFonts w:ascii="Arial" w:hAnsi="Arial"/>
              <w:szCs w:val="21"/>
            </w:rPr>
          </w:pPr>
        </w:p>
      </w:sdtContent>
    </w:sdt>
    <w:bookmarkEnd w:id="247"/>
    <w:sdt>
      <w:sdtPr>
        <w:rPr>
          <w:szCs w:val="21"/>
        </w:rPr>
        <w:alias w:val="模块:营业收入和营业成本其他说明"/>
        <w:tag w:val="_SEC_7467cf4c7aa441d78594101b88f0996b"/>
        <w:id w:val="-763292609"/>
        <w:lock w:val="sdtLocked"/>
        <w:placeholder>
          <w:docPart w:val="GBC22222222222222222222222222222"/>
        </w:placeholder>
      </w:sdtPr>
      <w:sdtEndPr>
        <w:rPr>
          <w:szCs w:val="21"/>
        </w:rPr>
      </w:sdtEndPr>
      <w:sdtContent>
        <w:p>
          <w:pPr>
            <w:spacing w:before="60" w:after="60"/>
            <w:rPr>
              <w:szCs w:val="21"/>
            </w:rPr>
          </w:pPr>
          <w:bookmarkStart w:id="248" w:name="_Hlk533798751"/>
          <w:r>
            <w:rPr>
              <w:rFonts w:hint="eastAsia"/>
              <w:szCs w:val="21"/>
            </w:rPr>
            <w:t>其他说明：</w:t>
          </w:r>
        </w:p>
        <w:p>
          <w:pPr>
            <w:rPr>
              <w:szCs w:val="21"/>
            </w:rPr>
          </w:pPr>
          <w:sdt>
            <w:sdtPr>
              <w:rPr>
                <w:szCs w:val="21"/>
              </w:rPr>
              <w:alias w:val="主营业务说明"/>
              <w:tag w:val="_GBC_fd583c7468404a3e83de872adae134a2"/>
              <w:id w:val="854397233"/>
              <w:lock w:val="sdtLocked"/>
              <w:placeholder>
                <w:docPart w:val="GBC22222222222222222222222222222"/>
              </w:placeholder>
            </w:sdtPr>
            <w:sdtEndPr>
              <w:rPr>
                <w:szCs w:val="21"/>
              </w:rPr>
            </w:sdtEndPr>
            <w:sdtContent>
              <w:r>
                <w:rPr>
                  <w:rFonts w:hint="eastAsia"/>
                  <w:szCs w:val="21"/>
                </w:rPr>
                <w:t>无</w:t>
              </w:r>
            </w:sdtContent>
          </w:sdt>
        </w:p>
        <w:p>
          <w:pPr>
            <w:rPr>
              <w:szCs w:val="21"/>
            </w:rPr>
          </w:pPr>
        </w:p>
      </w:sdtContent>
    </w:sdt>
    <w:bookmarkEnd w:id="248"/>
    <w:sdt>
      <w:sdtPr>
        <w:rPr>
          <w:rFonts w:ascii="宋体" w:hAnsi="宋体" w:cs="宋体"/>
          <w:b w:val="0"/>
          <w:bCs w:val="0"/>
          <w:kern w:val="0"/>
          <w:szCs w:val="21"/>
        </w:rPr>
        <w:alias w:val="模块:"/>
        <w:tag w:val="_SEC_0ba2a4db50ed47afbd78e67c0a069c58"/>
        <w:id w:val="-1404990120"/>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133"/>
            </w:numPr>
            <w:ind w:left="0" w:firstLine="0"/>
            <w:rPr>
              <w:rFonts w:ascii="宋体" w:hAnsi="宋体"/>
              <w:szCs w:val="21"/>
            </w:rPr>
          </w:pPr>
          <w:bookmarkStart w:id="249" w:name="OLE_LINK6"/>
          <w:bookmarkStart w:id="250" w:name="_Hlk10548739"/>
          <w:bookmarkStart w:id="251" w:name="_Hlk24031063"/>
          <w:r>
            <w:rPr>
              <w:rFonts w:hint="eastAsia" w:ascii="宋体" w:hAnsi="宋体"/>
              <w:szCs w:val="21"/>
            </w:rPr>
            <w:t>投资收益</w:t>
          </w:r>
          <w:bookmarkEnd w:id="249"/>
        </w:p>
        <w:sdt>
          <w:sdtPr>
            <w:alias w:val="是否适用：母公司投资收益[双击切换]"/>
            <w:tag w:val="_GBC_c2bb46ec06e343088b38ac6340f45fb2"/>
            <w:id w:val="75411577"/>
            <w:lock w:val="sdtLocked"/>
            <w:placeholder>
              <w:docPart w:val="GBC22222222222222222222222222222"/>
            </w:placeholder>
          </w:sdtPr>
          <w:sdtContent>
            <w:p>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172748657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rPr>
                  <w:rFonts w:hint="eastAsia"/>
                </w:rPr>
                <w:t>元</w:t>
              </w:r>
            </w:sdtContent>
          </w:sdt>
          <w:r>
            <w:t xml:space="preserve">  币种</w:t>
          </w:r>
          <w:r>
            <w:rPr>
              <w:rFonts w:hint="eastAsia"/>
            </w:rPr>
            <w:t>：</w:t>
          </w:r>
          <w:sdt>
            <w:sdtPr>
              <w:rPr>
                <w:rFonts w:hint="eastAsia"/>
              </w:rPr>
              <w:alias w:val="币种：财务附注：会计报表中的投资收益项目增加"/>
              <w:tag w:val="_GBC_4090bf40cd1647838a8c5908dbc544c5"/>
              <w:id w:val="-52879487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Pr>
                  <w:rFonts w:hint="eastAsia"/>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3"/>
            <w:gridCol w:w="2011"/>
            <w:gridCol w:w="20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07ed5c985ab48c59a18c2d57dd68c9c"/>
                <w:id w:val="364099010"/>
                <w:lock w:val="sdtLocked"/>
              </w:sdtPr>
              <w:sdtContent>
                <w:tc>
                  <w:tcPr>
                    <w:tcW w:w="2640" w:type="pct"/>
                    <w:vAlign w:val="center"/>
                  </w:tcPr>
                  <w:p>
                    <w:pPr>
                      <w:ind w:left="420" w:hanging="420"/>
                      <w:jc w:val="center"/>
                      <w:rPr>
                        <w:szCs w:val="21"/>
                      </w:rPr>
                    </w:pPr>
                    <w:bookmarkStart w:id="252" w:name="_Hlk24031106"/>
                    <w:r>
                      <w:rPr>
                        <w:rFonts w:hint="eastAsia"/>
                        <w:szCs w:val="21"/>
                      </w:rPr>
                      <w:t>项目</w:t>
                    </w:r>
                  </w:p>
                </w:tc>
              </w:sdtContent>
            </w:sdt>
            <w:sdt>
              <w:sdtPr>
                <w:tag w:val="_PLD_47187d04b5814de2ac4d8e7ab7f3dcf5"/>
                <w:id w:val="841896616"/>
                <w:lock w:val="sdtLocked"/>
              </w:sdtPr>
              <w:sdtContent>
                <w:tc>
                  <w:tcPr>
                    <w:tcW w:w="1179" w:type="pct"/>
                    <w:vAlign w:val="center"/>
                  </w:tcPr>
                  <w:p>
                    <w:pPr>
                      <w:jc w:val="center"/>
                      <w:rPr>
                        <w:szCs w:val="21"/>
                      </w:rPr>
                    </w:pPr>
                    <w:r>
                      <w:rPr>
                        <w:rFonts w:hint="eastAsia"/>
                        <w:szCs w:val="21"/>
                      </w:rPr>
                      <w:t>本期发生额</w:t>
                    </w:r>
                  </w:p>
                </w:tc>
              </w:sdtContent>
            </w:sdt>
            <w:sdt>
              <w:sdtPr>
                <w:tag w:val="_PLD_9b38c11702ff453c93beb78507ab4be2"/>
                <w:id w:val="1469940672"/>
                <w:lock w:val="sdtLocked"/>
              </w:sdtPr>
              <w:sdtContent>
                <w:tc>
                  <w:tcPr>
                    <w:tcW w:w="1181" w:type="pct"/>
                    <w:vAlign w:val="center"/>
                  </w:tcPr>
                  <w:p>
                    <w:pPr>
                      <w:jc w:val="center"/>
                      <w:rPr>
                        <w:szCs w:val="21"/>
                      </w:rPr>
                    </w:pPr>
                    <w:r>
                      <w:rPr>
                        <w:rFonts w:hint="eastAsia"/>
                        <w:szCs w:val="21"/>
                      </w:rPr>
                      <w:t>上期发生额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tag w:val="_PLD_8cd2c80808be48458043e409ca328206"/>
                  <w:id w:val="-1146201376"/>
                  <w:lock w:val="sdtLocked"/>
                </w:sdtPr>
                <w:sdtContent>
                  <w:p>
                    <w:pPr>
                      <w:jc w:val="center"/>
                    </w:pPr>
                    <w:r>
                      <w:t>成本法核算的长期股权投资收益</w:t>
                    </w:r>
                  </w:p>
                </w:sdtContent>
              </w:sdt>
            </w:tc>
            <w:tc>
              <w:tcPr>
                <w:tcW w:w="1179" w:type="pct"/>
                <w:vAlign w:val="center"/>
              </w:tcPr>
              <w:p>
                <w:pPr>
                  <w:jc w:val="right"/>
                  <w:rPr>
                    <w:sz w:val="24"/>
                  </w:rPr>
                </w:pPr>
                <w:r>
                  <w:t>1,020,000.00</w:t>
                </w:r>
              </w:p>
            </w:tc>
            <w:tc>
              <w:tcPr>
                <w:tcW w:w="1181" w:type="pct"/>
                <w:vAlign w:val="center"/>
              </w:tcPr>
              <w:p>
                <w:pPr>
                  <w:jc w:val="righ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78aae1ee78b444e907d11c241833812"/>
                <w:id w:val="-1569873853"/>
                <w:lock w:val="sdtLocked"/>
              </w:sdtPr>
              <w:sdtContent>
                <w:tc>
                  <w:tcPr>
                    <w:tcW w:w="2640" w:type="pct"/>
                  </w:tcPr>
                  <w:p>
                    <w:pPr>
                      <w:jc w:val="center"/>
                      <w:rPr>
                        <w:szCs w:val="21"/>
                      </w:rPr>
                    </w:pPr>
                    <w:r>
                      <w:rPr>
                        <w:rFonts w:hint="eastAsia"/>
                        <w:szCs w:val="21"/>
                      </w:rPr>
                      <w:t>权益法核算的长期股权投资收益</w:t>
                    </w:r>
                  </w:p>
                </w:tc>
              </w:sdtContent>
            </w:sdt>
            <w:tc>
              <w:tcPr>
                <w:tcW w:w="1179" w:type="pct"/>
                <w:vAlign w:val="center"/>
              </w:tcPr>
              <w:p>
                <w:pPr>
                  <w:jc w:val="right"/>
                  <w:rPr>
                    <w:sz w:val="24"/>
                  </w:rPr>
                </w:pPr>
                <w:r>
                  <w:t>76,904,017.08</w:t>
                </w:r>
              </w:p>
            </w:tc>
            <w:tc>
              <w:tcPr>
                <w:tcW w:w="1181" w:type="pct"/>
                <w:vAlign w:val="center"/>
              </w:tcPr>
              <w:p>
                <w:pPr>
                  <w:jc w:val="right"/>
                  <w:rPr>
                    <w:sz w:val="24"/>
                  </w:rPr>
                </w:pPr>
                <w:r>
                  <w:t>140,512,044.31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ac3541301b34caa9c5158401e6bfd0d"/>
                <w:id w:val="-2044973169"/>
                <w:lock w:val="sdtLocked"/>
              </w:sdtPr>
              <w:sdtContent>
                <w:tc>
                  <w:tcPr>
                    <w:tcW w:w="2640" w:type="pct"/>
                  </w:tcPr>
                  <w:p>
                    <w:pPr>
                      <w:jc w:val="center"/>
                      <w:rPr>
                        <w:szCs w:val="21"/>
                      </w:rPr>
                    </w:pPr>
                    <w:r>
                      <w:rPr>
                        <w:rFonts w:hint="eastAsia"/>
                        <w:szCs w:val="21"/>
                      </w:rPr>
                      <w:t>处置长期股权投资产生的投资收益</w:t>
                    </w:r>
                  </w:p>
                </w:tc>
              </w:sdtContent>
            </w:sdt>
            <w:tc>
              <w:tcPr>
                <w:tcW w:w="1179" w:type="pct"/>
                <w:vAlign w:val="center"/>
              </w:tcPr>
              <w:p>
                <w:pPr>
                  <w:jc w:val="right"/>
                  <w:rPr>
                    <w:sz w:val="24"/>
                  </w:rPr>
                </w:pPr>
                <w:r>
                  <w:t>-7,362,204.20</w:t>
                </w:r>
              </w:p>
            </w:tc>
            <w:tc>
              <w:tcPr>
                <w:tcW w:w="1181" w:type="pct"/>
                <w:vAlign w:val="center"/>
              </w:tcPr>
              <w:p>
                <w:pPr>
                  <w:jc w:val="right"/>
                  <w:rPr>
                    <w:sz w:val="24"/>
                  </w:rPr>
                </w:pPr>
                <w:r>
                  <w:t>-4,201,863,677.87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374e0bfdf40b4b1cb34581f2b2a66168"/>
                  <w:id w:val="-699241481"/>
                  <w:lock w:val="sdtLocked"/>
                </w:sdtPr>
                <w:sdtEndPr>
                  <w:rPr>
                    <w:rFonts w:hint="eastAsia"/>
                  </w:rPr>
                </w:sdtEndPr>
                <w:sdtContent>
                  <w:p>
                    <w:pPr>
                      <w:jc w:val="center"/>
                    </w:pPr>
                    <w:r>
                      <w:rPr>
                        <w:rFonts w:hint="eastAsia"/>
                      </w:rPr>
                      <w:t>交易性金融资产在持有期间的投资收益</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1b350f75b27b4ec1915755daf5ccab96"/>
                  <w:id w:val="777218921"/>
                  <w:lock w:val="sdtLocked"/>
                </w:sdtPr>
                <w:sdtEndPr>
                  <w:rPr>
                    <w:rFonts w:hint="eastAsia"/>
                  </w:rPr>
                </w:sdtEndPr>
                <w:sdtContent>
                  <w:p>
                    <w:pPr>
                      <w:jc w:val="center"/>
                    </w:pPr>
                    <w:r>
                      <w:rPr>
                        <w:rFonts w:hint="eastAsia"/>
                      </w:rPr>
                      <w:t>其他权益工具投资在持有期间取得的股利收入</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631be1516e0b415d8f100eb0dcf09db0"/>
                  <w:id w:val="-65260308"/>
                  <w:lock w:val="sdtLocked"/>
                </w:sdtPr>
                <w:sdtEndPr>
                  <w:rPr>
                    <w:rFonts w:hint="eastAsia"/>
                  </w:rPr>
                </w:sdtEndPr>
                <w:sdtContent>
                  <w:p>
                    <w:pPr>
                      <w:jc w:val="center"/>
                    </w:pPr>
                    <w:r>
                      <w:rPr>
                        <w:rFonts w:hint="eastAsia"/>
                      </w:rPr>
                      <w:t>债权投资在持有期间取得的利息收入</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ee3b83cd3a7249b686afc560545ae359"/>
                  <w:id w:val="-1981612722"/>
                  <w:lock w:val="sdtLocked"/>
                </w:sdtPr>
                <w:sdtEndPr>
                  <w:rPr>
                    <w:rFonts w:hint="eastAsia"/>
                  </w:rPr>
                </w:sdtEndPr>
                <w:sdtContent>
                  <w:p>
                    <w:pPr>
                      <w:jc w:val="center"/>
                    </w:pPr>
                    <w:r>
                      <w:rPr>
                        <w:rFonts w:hint="eastAsia"/>
                      </w:rPr>
                      <w:t>其他债权投资在持有期间取得的利息收入</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758e14bdd66344efaa98853500ab9b1b"/>
                  <w:id w:val="152575170"/>
                  <w:lock w:val="sdtLocked"/>
                </w:sdtPr>
                <w:sdtEndPr>
                  <w:rPr>
                    <w:rFonts w:hint="eastAsia"/>
                  </w:rPr>
                </w:sdtEndPr>
                <w:sdtContent>
                  <w:p>
                    <w:pPr>
                      <w:jc w:val="center"/>
                    </w:pPr>
                    <w:r>
                      <w:rPr>
                        <w:rFonts w:hint="eastAsia"/>
                      </w:rPr>
                      <w:t>处置交易性金融资产取得的投资收益</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58142a07ed7f48d08e7ca9c34b6953c0"/>
                  <w:id w:val="-1931505045"/>
                  <w:lock w:val="sdtLocked"/>
                </w:sdtPr>
                <w:sdtEndPr>
                  <w:rPr>
                    <w:rFonts w:hint="eastAsia"/>
                  </w:rPr>
                </w:sdtEndPr>
                <w:sdtContent>
                  <w:p>
                    <w:pPr>
                      <w:jc w:val="center"/>
                    </w:pPr>
                    <w:r>
                      <w:rPr>
                        <w:rFonts w:hint="eastAsia"/>
                      </w:rPr>
                      <w:t>处置其他权益工具投资取得的投资收益</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dd85e904694c430990d653da7e3d92c5"/>
                  <w:id w:val="1901479483"/>
                  <w:lock w:val="sdtLocked"/>
                </w:sdtPr>
                <w:sdtEndPr>
                  <w:rPr>
                    <w:rFonts w:hint="eastAsia"/>
                  </w:rPr>
                </w:sdtEndPr>
                <w:sdtContent>
                  <w:p>
                    <w:pPr>
                      <w:jc w:val="center"/>
                    </w:pPr>
                    <w:r>
                      <w:rPr>
                        <w:rFonts w:hint="eastAsia"/>
                      </w:rPr>
                      <w:t>处置债权投资取得的投资收益</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cabbb65cd6154c50a0174edd2786682c"/>
                  <w:id w:val="-2009049573"/>
                  <w:lock w:val="sdtLocked"/>
                </w:sdtPr>
                <w:sdtEndPr>
                  <w:rPr>
                    <w:rFonts w:hint="eastAsia"/>
                  </w:rPr>
                </w:sdtEndPr>
                <w:sdtContent>
                  <w:p>
                    <w:pPr>
                      <w:jc w:val="center"/>
                    </w:pPr>
                    <w:r>
                      <w:rPr>
                        <w:rFonts w:hint="eastAsia"/>
                      </w:rPr>
                      <w:t>处置其他债权投资取得的投资收益</w:t>
                    </w:r>
                  </w:p>
                </w:sdtContent>
              </w:sdt>
            </w:tc>
            <w:tc>
              <w:tcPr>
                <w:tcW w:w="1179" w:type="pct"/>
                <w:vAlign w:val="center"/>
              </w:tcPr>
              <w:p>
                <w:pPr>
                  <w:jc w:val="right"/>
                  <w:rPr>
                    <w:szCs w:val="21"/>
                  </w:rPr>
                </w:pPr>
              </w:p>
            </w:tc>
            <w:tc>
              <w:tcPr>
                <w:tcW w:w="1181" w:type="pct"/>
                <w:vAlign w:val="center"/>
              </w:tcPr>
              <w:p>
                <w:pPr>
                  <w:jc w:val="righ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0" w:type="pct"/>
              </w:tcPr>
              <w:sdt>
                <w:sdtPr>
                  <w:rPr>
                    <w:rFonts w:hint="eastAsia"/>
                  </w:rPr>
                  <w:tag w:val="_PLD_ebfd5e63b1a34f1ea8395cc25654112a"/>
                  <w:id w:val="-1899735812"/>
                  <w:lock w:val="sdtLocked"/>
                </w:sdtPr>
                <w:sdtEndPr>
                  <w:rPr>
                    <w:rFonts w:hint="eastAsia"/>
                  </w:rPr>
                </w:sdtEndPr>
                <w:sdtContent>
                  <w:p>
                    <w:pPr>
                      <w:jc w:val="center"/>
                    </w:pPr>
                    <w:r>
                      <w:rPr>
                        <w:rFonts w:hint="eastAsia"/>
                      </w:rPr>
                      <w:t>债务重组收益</w:t>
                    </w:r>
                  </w:p>
                </w:sdtContent>
              </w:sdt>
            </w:tc>
            <w:tc>
              <w:tcPr>
                <w:tcW w:w="1179" w:type="pct"/>
                <w:vAlign w:val="center"/>
              </w:tcPr>
              <w:p>
                <w:pPr>
                  <w:jc w:val="right"/>
                  <w:rPr>
                    <w:sz w:val="24"/>
                  </w:rPr>
                </w:pPr>
                <w:r>
                  <w:t>41,489,206.90</w:t>
                </w:r>
              </w:p>
            </w:tc>
            <w:tc>
              <w:tcPr>
                <w:tcW w:w="1181" w:type="pct"/>
                <w:vAlign w:val="center"/>
              </w:tcPr>
              <w:p>
                <w:pPr>
                  <w:jc w:val="right"/>
                  <w:rPr>
                    <w:sz w:val="24"/>
                  </w:rPr>
                </w:pPr>
                <w:r>
                  <w:t>3,163,759,601.73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7e132d296704c1e97e8e07a1418d74b"/>
                <w:id w:val="322940481"/>
                <w:lock w:val="sdtLocked"/>
              </w:sdtPr>
              <w:sdtContent>
                <w:tc>
                  <w:tcPr>
                    <w:tcW w:w="2640" w:type="pct"/>
                    <w:vAlign w:val="center"/>
                  </w:tcPr>
                  <w:p>
                    <w:pPr>
                      <w:jc w:val="center"/>
                      <w:rPr>
                        <w:szCs w:val="21"/>
                      </w:rPr>
                    </w:pPr>
                    <w:r>
                      <w:rPr>
                        <w:rFonts w:hint="eastAsia"/>
                        <w:szCs w:val="21"/>
                      </w:rPr>
                      <w:t>合计</w:t>
                    </w:r>
                  </w:p>
                </w:tc>
              </w:sdtContent>
            </w:sdt>
            <w:tc>
              <w:tcPr>
                <w:tcW w:w="1179" w:type="pct"/>
                <w:vAlign w:val="center"/>
              </w:tcPr>
              <w:p>
                <w:pPr>
                  <w:jc w:val="right"/>
                  <w:rPr>
                    <w:sz w:val="24"/>
                  </w:rPr>
                </w:pPr>
                <w:r>
                  <w:t>112,051,019.78</w:t>
                </w:r>
              </w:p>
            </w:tc>
            <w:tc>
              <w:tcPr>
                <w:tcW w:w="1181" w:type="pct"/>
                <w:vAlign w:val="center"/>
              </w:tcPr>
              <w:p>
                <w:pPr>
                  <w:jc w:val="right"/>
                  <w:rPr>
                    <w:sz w:val="24"/>
                  </w:rPr>
                </w:pPr>
                <w:r>
                  <w:t>-897,592,031.83</w:t>
                </w:r>
              </w:p>
            </w:tc>
          </w:tr>
          <w:bookmarkEnd w:id="250"/>
          <w:bookmarkEnd w:id="252"/>
        </w:tbl>
        <w:p>
          <w:pPr>
            <w:spacing w:line="360" w:lineRule="exact"/>
            <w:rPr>
              <w:szCs w:val="21"/>
            </w:rPr>
          </w:pPr>
          <w:bookmarkStart w:id="253" w:name="_Hlk10720480"/>
          <w:r>
            <w:rPr>
              <w:rFonts w:hint="eastAsia"/>
              <w:szCs w:val="21"/>
            </w:rPr>
            <w:t>其他说明：</w:t>
          </w:r>
          <w:bookmarkEnd w:id="253"/>
        </w:p>
        <w:sdt>
          <w:sdtPr>
            <w:rPr>
              <w:szCs w:val="21"/>
            </w:rPr>
            <w:alias w:val="投资收益说明"/>
            <w:tag w:val="_GBC_003661b91b5144cfbf329a4aeb060fe6"/>
            <w:id w:val="1374729455"/>
            <w:lock w:val="sdtLocked"/>
            <w:placeholder>
              <w:docPart w:val="GBC22222222222222222222222222222"/>
            </w:placeholder>
          </w:sdtPr>
          <w:sdtEndPr>
            <w:rPr>
              <w:szCs w:val="21"/>
            </w:rPr>
          </w:sdtEndPr>
          <w:sdtContent>
            <w:p>
              <w:pPr>
                <w:rPr>
                  <w:szCs w:val="21"/>
                </w:rPr>
              </w:pPr>
              <w:r>
                <w:rPr>
                  <w:rFonts w:hint="eastAsia"/>
                  <w:szCs w:val="21"/>
                </w:rPr>
                <w:t>无</w:t>
              </w:r>
            </w:p>
          </w:sdtContent>
        </w:sdt>
        <w:p>
          <w:pPr>
            <w:rPr>
              <w:szCs w:val="21"/>
            </w:rPr>
          </w:pPr>
        </w:p>
      </w:sdtContent>
    </w:sdt>
    <w:bookmarkEnd w:id="251"/>
    <w:sdt>
      <w:sdtPr>
        <w:rPr>
          <w:rFonts w:hint="eastAsia" w:ascii="宋体" w:hAnsi="宋体" w:cs="宋体"/>
          <w:b w:val="0"/>
          <w:bCs w:val="0"/>
          <w:kern w:val="0"/>
          <w:szCs w:val="21"/>
        </w:rPr>
        <w:alias w:val="模块:母公司会计报表附注的其他说明事项"/>
        <w:tag w:val="_SEC_f254d1d0764b4d7ab6b701d7ac057625"/>
        <w:id w:val="958613229"/>
        <w:lock w:val="sdtLocked"/>
        <w:placeholder>
          <w:docPart w:val="GBC22222222222222222222222222222"/>
        </w:placeholder>
      </w:sdtPr>
      <w:sdtEndPr>
        <w:rPr>
          <w:rFonts w:hint="eastAsia" w:ascii="宋体" w:hAnsi="宋体" w:cs="宋体"/>
          <w:b w:val="0"/>
          <w:bCs w:val="0"/>
          <w:kern w:val="0"/>
          <w:szCs w:val="21"/>
        </w:rPr>
      </w:sdtEndPr>
      <w:sdtContent>
        <w:p>
          <w:pPr>
            <w:pStyle w:val="114"/>
            <w:numPr>
              <w:ilvl w:val="0"/>
              <w:numId w:val="133"/>
            </w:numPr>
            <w:ind w:left="142" w:firstLine="0"/>
            <w:rPr>
              <w:szCs w:val="21"/>
            </w:rPr>
          </w:pPr>
          <w:r>
            <w:rPr>
              <w:rFonts w:hint="eastAsia"/>
              <w:szCs w:val="21"/>
            </w:rPr>
            <w:t>其他</w:t>
          </w:r>
        </w:p>
        <w:sdt>
          <w:sdtPr>
            <w:rPr>
              <w:rFonts w:hint="eastAsia"/>
              <w:szCs w:val="21"/>
            </w:rPr>
            <w:alias w:val="是否适用：母公司会计报表附注的其他说明事项[双击切换]"/>
            <w:tag w:val="_GBC_da1bbbf487cd4e98b945920735517f12"/>
            <w:id w:val="-920320474"/>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ind w:right="-1594" w:rightChars="-759"/>
        <w:rPr>
          <w:szCs w:val="21"/>
        </w:rPr>
      </w:pPr>
    </w:p>
    <w:p>
      <w:pPr>
        <w:pStyle w:val="113"/>
        <w:numPr>
          <w:ilvl w:val="0"/>
          <w:numId w:val="49"/>
        </w:numPr>
        <w:rPr>
          <w:rFonts w:ascii="宋体" w:hAnsi="宋体"/>
        </w:rPr>
      </w:pPr>
      <w:r>
        <w:rPr>
          <w:rFonts w:hint="eastAsia" w:ascii="宋体" w:hAnsi="宋体"/>
        </w:rPr>
        <w:t>补充资料</w:t>
      </w:r>
    </w:p>
    <w:sdt>
      <w:sdtPr>
        <w:rPr>
          <w:rFonts w:hint="eastAsia" w:ascii="宋体" w:hAnsi="宋体" w:cs="宋体"/>
          <w:b w:val="0"/>
          <w:bCs w:val="0"/>
          <w:kern w:val="0"/>
          <w:szCs w:val="21"/>
        </w:rPr>
        <w:alias w:val="模块:当期非经常性损益明细"/>
        <w:tag w:val="_GBC_08eb8d7076584daebd23121ab43f25e0"/>
        <w:id w:val="-1236014288"/>
        <w:lock w:val="sdtLocked"/>
        <w:placeholder>
          <w:docPart w:val="GBC22222222222222222222222222222"/>
        </w:placeholder>
      </w:sdtPr>
      <w:sdtEndPr>
        <w:rPr>
          <w:rFonts w:hint="eastAsia" w:ascii="宋体" w:hAnsi="宋体" w:cs="宋体"/>
          <w:b w:val="0"/>
          <w:bCs w:val="0"/>
          <w:kern w:val="0"/>
          <w:szCs w:val="24"/>
        </w:rPr>
      </w:sdtEndPr>
      <w:sdtContent>
        <w:p>
          <w:pPr>
            <w:pStyle w:val="114"/>
            <w:numPr>
              <w:ilvl w:val="0"/>
              <w:numId w:val="140"/>
            </w:numPr>
            <w:rPr>
              <w:rFonts w:ascii="宋体" w:hAnsi="宋体"/>
              <w:szCs w:val="21"/>
            </w:rPr>
          </w:pPr>
          <w:r>
            <w:rPr>
              <w:rFonts w:hint="eastAsia" w:ascii="宋体" w:hAnsi="宋体"/>
              <w:szCs w:val="21"/>
            </w:rPr>
            <w:t>当期非经常性损益明细表</w:t>
          </w:r>
        </w:p>
        <w:sdt>
          <w:sdtPr>
            <w:rPr>
              <w:rFonts w:hint="eastAsia"/>
              <w:szCs w:val="21"/>
            </w:rPr>
            <w:alias w:val="是否适用：当期非经常性损益明细表[双击切换]"/>
            <w:tag w:val="_GBC_53fa4135e87442d59ce21ca91ff749e7"/>
            <w:id w:val="1262872427"/>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p>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6783121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szCs w:val="21"/>
              </w:rPr>
            </w:sdtEndPr>
            <w:sdtContent>
              <w:r>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85950788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szCs w:val="21"/>
              </w:rPr>
            </w:sdtEndPr>
            <w:sdtContent>
              <w:r>
                <w:rPr>
                  <w:rFonts w:hint="eastAsia"/>
                  <w:szCs w:val="21"/>
                </w:rPr>
                <w:t>人民币</w:t>
              </w:r>
            </w:sdtContent>
          </w:sdt>
        </w:p>
        <w:tbl>
          <w:tblPr>
            <w:tblStyle w:val="1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3"/>
            <w:gridCol w:w="3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1836bed4dfd441e8a48a625518a8f5f"/>
                <w:id w:val="1828317636"/>
                <w:lock w:val="sdtLocked"/>
              </w:sdtPr>
              <w:sdtContent>
                <w:tc>
                  <w:tcPr>
                    <w:tcW w:w="2933" w:type="pct"/>
                    <w:shd w:val="clear" w:color="auto" w:fill="auto"/>
                    <w:vAlign w:val="center"/>
                  </w:tcPr>
                  <w:p>
                    <w:pPr>
                      <w:jc w:val="center"/>
                      <w:rPr>
                        <w:szCs w:val="21"/>
                      </w:rPr>
                    </w:pPr>
                    <w:r>
                      <w:rPr>
                        <w:rFonts w:hint="eastAsia"/>
                        <w:szCs w:val="21"/>
                      </w:rPr>
                      <w:t>项目</w:t>
                    </w:r>
                  </w:p>
                </w:tc>
              </w:sdtContent>
            </w:sdt>
            <w:sdt>
              <w:sdtPr>
                <w:tag w:val="_PLD_52741206370c4e1799f79141c7f871df"/>
                <w:id w:val="-2145883037"/>
                <w:lock w:val="sdtLocked"/>
              </w:sdtPr>
              <w:sdtContent>
                <w:tc>
                  <w:tcPr>
                    <w:tcW w:w="2067" w:type="pct"/>
                    <w:shd w:val="clear" w:color="auto" w:fill="auto"/>
                  </w:tcPr>
                  <w:p>
                    <w:pPr>
                      <w:jc w:val="center"/>
                      <w:rPr>
                        <w:szCs w:val="21"/>
                      </w:rPr>
                    </w:pPr>
                    <w:r>
                      <w:rPr>
                        <w:rFonts w:hint="eastAsia"/>
                        <w:szCs w:val="21"/>
                      </w:rPr>
                      <w:t>金额</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6d005fae80c40c5b439c091e256805a"/>
                <w:id w:val="-1215661214"/>
                <w:lock w:val="sdtLocked"/>
              </w:sdtPr>
              <w:sdtContent>
                <w:tc>
                  <w:tcPr>
                    <w:tcW w:w="2933" w:type="pct"/>
                    <w:shd w:val="clear" w:color="auto" w:fill="auto"/>
                    <w:vAlign w:val="center"/>
                  </w:tcPr>
                  <w:p>
                    <w:pPr>
                      <w:rPr>
                        <w:szCs w:val="21"/>
                      </w:rPr>
                    </w:pPr>
                    <w:r>
                      <w:rPr>
                        <w:rFonts w:hint="eastAsia"/>
                        <w:szCs w:val="21"/>
                      </w:rPr>
                      <w:t>非流动资产处置损益</w:t>
                    </w:r>
                  </w:p>
                </w:tc>
              </w:sdtContent>
            </w:sdt>
            <w:sdt>
              <w:sdtPr>
                <w:rPr>
                  <w:rFonts w:hint="eastAsia"/>
                  <w:szCs w:val="21"/>
                </w:rPr>
                <w:alias w:val="非流动性资产处置损益，包括已计提资产减值准备的冲销部分（非经常性损益项目）"/>
                <w:tag w:val="_GBC_f045781906b04458b3ad625ee4515c61"/>
                <w:id w:val="-1405518870"/>
                <w:lock w:val="sdtLocked"/>
                <w:text/>
              </w:sdtPr>
              <w:sdtEndPr>
                <w:rPr>
                  <w:rFonts w:hint="eastAsia"/>
                  <w:szCs w:val="21"/>
                </w:rPr>
              </w:sdtEndPr>
              <w:sdtContent>
                <w:tc>
                  <w:tcPr>
                    <w:tcW w:w="2067" w:type="pct"/>
                    <w:shd w:val="clear" w:color="auto" w:fill="auto"/>
                    <w:vAlign w:val="center"/>
                  </w:tcPr>
                  <w:p>
                    <w:pPr>
                      <w:jc w:val="right"/>
                      <w:rPr>
                        <w:szCs w:val="21"/>
                      </w:rPr>
                    </w:pPr>
                    <w:r>
                      <w:rPr>
                        <w:szCs w:val="21"/>
                      </w:rPr>
                      <w:t>-13,250,464.11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3620343c03e4c9cbdbbf7ce4be9b435"/>
                <w:id w:val="-1711411587"/>
                <w:lock w:val="sdtLocked"/>
              </w:sdtPr>
              <w:sdtContent>
                <w:tc>
                  <w:tcPr>
                    <w:tcW w:w="2933" w:type="pct"/>
                    <w:shd w:val="clear" w:color="auto" w:fill="auto"/>
                    <w:vAlign w:val="center"/>
                  </w:tcPr>
                  <w:p>
                    <w:pPr>
                      <w:rPr>
                        <w:szCs w:val="21"/>
                      </w:rPr>
                    </w:pPr>
                    <w:r>
                      <w:rPr>
                        <w:rFonts w:hint="eastAsia"/>
                        <w:szCs w:val="21"/>
                      </w:rPr>
                      <w:t>越权审批或无正式批准文件的税收返还、减免</w:t>
                    </w:r>
                  </w:p>
                </w:tc>
              </w:sdtContent>
            </w:sdt>
            <w:sdt>
              <w:sdtPr>
                <w:rPr>
                  <w:rFonts w:hint="eastAsia"/>
                  <w:szCs w:val="21"/>
                </w:rPr>
                <w:alias w:val="越权审批，或无正式批准文件，或偶发性的税收返还、减免（非经常性损益项目）"/>
                <w:tag w:val="_GBC_739acef0a8fb4cf9ba3480cbf144d0bd"/>
                <w:id w:val="-1717495631"/>
                <w:lock w:val="sdtLocked"/>
                <w:text/>
              </w:sdtPr>
              <w:sdtEndPr>
                <w:rPr>
                  <w:rFonts w:hint="eastAsia"/>
                  <w:szCs w:val="21"/>
                </w:rPr>
              </w:sdtEndPr>
              <w:sdtContent>
                <w:tc>
                  <w:tcPr>
                    <w:tcW w:w="2067" w:type="pct"/>
                    <w:shd w:val="clear" w:color="auto" w:fill="auto"/>
                    <w:vAlign w:val="center"/>
                  </w:tcPr>
                  <w:p>
                    <w:pPr>
                      <w:ind w:right="6"/>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4971661f1d5e4d61b7fad7606c1c1bb7"/>
                <w:id w:val="1925918944"/>
                <w:lock w:val="sdtLocked"/>
              </w:sdtPr>
              <w:sdtContent>
                <w:tc>
                  <w:tcPr>
                    <w:tcW w:w="2933" w:type="pct"/>
                    <w:shd w:val="clear" w:color="auto" w:fill="auto"/>
                    <w:vAlign w:val="center"/>
                  </w:tcPr>
                  <w:p>
                    <w:pPr>
                      <w:rPr>
                        <w:szCs w:val="21"/>
                      </w:rPr>
                    </w:pPr>
                    <w:r>
                      <w:rPr>
                        <w:rFonts w:hint="eastAsia"/>
                        <w:szCs w:val="21"/>
                      </w:rPr>
                      <w:t>计入当期损益的政府补助（与企业业务密切相关，按照国家统一标准定额或定量享受的政府补助除外）</w:t>
                    </w:r>
                  </w:p>
                </w:tc>
              </w:sdtContent>
            </w:sdt>
            <w:sdt>
              <w:sdtPr>
                <w:rPr>
                  <w:rFonts w:hint="eastAsia"/>
                  <w:szCs w:val="21"/>
                </w:rPr>
                <w:alias w:val="计入当期损益的政府补助，但与公司正常经营业务密切相关，符合国家政策规定、按照一定标准定额或定量持续享受的政府补助除外（非经常性损"/>
                <w:tag w:val="_GBC_87d17071bbe748b28c703f8eaec85e23"/>
                <w:id w:val="1393855806"/>
                <w:lock w:val="sdtLocked"/>
                <w:text/>
              </w:sdtPr>
              <w:sdtEndPr>
                <w:rPr>
                  <w:rFonts w:hint="eastAsia"/>
                  <w:szCs w:val="21"/>
                </w:rPr>
              </w:sdtEndPr>
              <w:sdtContent>
                <w:tc>
                  <w:tcPr>
                    <w:tcW w:w="2067" w:type="pct"/>
                    <w:shd w:val="clear" w:color="auto" w:fill="auto"/>
                    <w:vAlign w:val="center"/>
                  </w:tcPr>
                  <w:p>
                    <w:pPr>
                      <w:jc w:val="right"/>
                      <w:rPr>
                        <w:szCs w:val="21"/>
                      </w:rPr>
                    </w:pPr>
                    <w:r>
                      <w:rPr>
                        <w:rFonts w:hint="eastAsia"/>
                        <w:szCs w:val="21"/>
                      </w:rPr>
                      <w:t>8,800,548.36</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96201eca75b4ddd84b118ba8f346132"/>
                <w:id w:val="-610669865"/>
                <w:lock w:val="sdtLocked"/>
              </w:sdtPr>
              <w:sdtContent>
                <w:tc>
                  <w:tcPr>
                    <w:tcW w:w="2933" w:type="pct"/>
                    <w:shd w:val="clear" w:color="auto" w:fill="auto"/>
                    <w:vAlign w:val="center"/>
                  </w:tcPr>
                  <w:p>
                    <w:pPr>
                      <w:rPr>
                        <w:szCs w:val="21"/>
                      </w:rPr>
                    </w:pPr>
                    <w:r>
                      <w:rPr>
                        <w:rFonts w:hint="eastAsia"/>
                        <w:szCs w:val="21"/>
                      </w:rPr>
                      <w:t>计入当期损益的对非金融企业收取的资金占用费</w:t>
                    </w:r>
                  </w:p>
                </w:tc>
              </w:sdtContent>
            </w:sdt>
            <w:sdt>
              <w:sdtPr>
                <w:rPr>
                  <w:rFonts w:hint="eastAsia"/>
                  <w:szCs w:val="21"/>
                </w:rPr>
                <w:alias w:val="计入当期损益的对非金融企业收取的资金占用费（非经常性损益项目）"/>
                <w:tag w:val="_GBC_fa05ceca6bca4dd9a7d215044dce1e08"/>
                <w:id w:val="-1231607112"/>
                <w:lock w:val="sdtLocked"/>
                <w:text/>
              </w:sdtPr>
              <w:sdtEndPr>
                <w:rPr>
                  <w:rFonts w:hint="eastAsia"/>
                  <w:szCs w:val="21"/>
                </w:rPr>
              </w:sdtEndPr>
              <w:sdtContent>
                <w:tc>
                  <w:tcPr>
                    <w:tcW w:w="2067" w:type="pct"/>
                    <w:shd w:val="clear" w:color="auto" w:fill="auto"/>
                    <w:vAlign w:val="center"/>
                  </w:tcPr>
                  <w:p>
                    <w:pPr>
                      <w:jc w:val="right"/>
                      <w:rPr>
                        <w:szCs w:val="21"/>
                      </w:rPr>
                    </w:pPr>
                    <w:r>
                      <w:rPr>
                        <w:szCs w:val="21"/>
                      </w:rPr>
                      <w:t>246,763.72</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04712aa3e2145e7873c6bd060038eb3"/>
                <w:id w:val="-1439598524"/>
                <w:lock w:val="sdtLocked"/>
              </w:sdtPr>
              <w:sdtContent>
                <w:tc>
                  <w:tcPr>
                    <w:tcW w:w="2933" w:type="pct"/>
                    <w:shd w:val="clear" w:color="auto" w:fill="auto"/>
                    <w:vAlign w:val="center"/>
                  </w:tcPr>
                  <w:p>
                    <w:pPr>
                      <w:rPr>
                        <w:szCs w:val="21"/>
                      </w:rPr>
                    </w:pPr>
                    <w:r>
                      <w:rPr>
                        <w:rFonts w:hint="eastAsia"/>
                        <w:szCs w:val="21"/>
                      </w:rPr>
                      <w:t>企业取得子公司、联营企业及合营企业的投资成本小于取得投资时应享有被投资单位可辨认净资产公允价值产生的收益</w:t>
                    </w:r>
                  </w:p>
                </w:tc>
              </w:sdtContent>
            </w:sdt>
            <w:sdt>
              <w:sdtPr>
                <w:rPr>
                  <w:rFonts w:hint="eastAsia"/>
                  <w:szCs w:val="21"/>
                </w:rPr>
                <w:alias w:val="企业取得子公司、联营企业及合营企业的投资成本小于取得投资时应享有被投资单位可辨认净资产公允价值产生的收益（非经常性损益项目）"/>
                <w:tag w:val="_GBC_da8567332bf1414f9b00448bf14a2046"/>
                <w:id w:val="806200409"/>
                <w:lock w:val="sdtLocked"/>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a96b14725f54837a87e61ee4c501071"/>
                <w:id w:val="-1058935101"/>
                <w:lock w:val="sdtLocked"/>
              </w:sdtPr>
              <w:sdtContent>
                <w:tc>
                  <w:tcPr>
                    <w:tcW w:w="2933" w:type="pct"/>
                    <w:shd w:val="clear" w:color="auto" w:fill="auto"/>
                    <w:vAlign w:val="center"/>
                  </w:tcPr>
                  <w:p>
                    <w:pPr>
                      <w:rPr>
                        <w:szCs w:val="21"/>
                      </w:rPr>
                    </w:pPr>
                    <w:r>
                      <w:rPr>
                        <w:rFonts w:hint="eastAsia"/>
                        <w:szCs w:val="21"/>
                      </w:rPr>
                      <w:t>非货币性资产交换损益</w:t>
                    </w:r>
                  </w:p>
                </w:tc>
              </w:sdtContent>
            </w:sdt>
            <w:sdt>
              <w:sdtPr>
                <w:rPr>
                  <w:rFonts w:hint="eastAsia"/>
                  <w:szCs w:val="21"/>
                </w:rPr>
                <w:alias w:val="非货币性资产交换损益（非经常性损益项目）"/>
                <w:tag w:val="_GBC_4cbe5f86242143498e8a8e52a9159cf4"/>
                <w:id w:val="629520275"/>
                <w:lock w:val="sdtLocked"/>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a676c98d931749ce9093d2cc38be0fa2"/>
                <w:id w:val="1006253596"/>
                <w:lock w:val="sdtLocked"/>
              </w:sdtPr>
              <w:sdtContent>
                <w:tc>
                  <w:tcPr>
                    <w:tcW w:w="2933" w:type="pct"/>
                    <w:shd w:val="clear" w:color="auto" w:fill="auto"/>
                    <w:vAlign w:val="center"/>
                  </w:tcPr>
                  <w:p>
                    <w:pPr>
                      <w:rPr>
                        <w:szCs w:val="21"/>
                      </w:rPr>
                    </w:pPr>
                    <w:r>
                      <w:rPr>
                        <w:rFonts w:hint="eastAsia"/>
                        <w:szCs w:val="21"/>
                      </w:rPr>
                      <w:t>委托他人投资或管理资产的损益</w:t>
                    </w:r>
                  </w:p>
                </w:tc>
              </w:sdtContent>
            </w:sdt>
            <w:sdt>
              <w:sdtPr>
                <w:rPr>
                  <w:rFonts w:hint="eastAsia"/>
                  <w:szCs w:val="21"/>
                </w:rPr>
                <w:alias w:val="委托他人投资或管理资产的损益（非经常性损益项目）"/>
                <w:tag w:val="_GBC_d2fd11aa21804a79bf75d80767cb7622"/>
                <w:id w:val="511882881"/>
                <w:lock w:val="sdtLocked"/>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26d12c8a27f5433fa2f660641cd44700"/>
                <w:id w:val="-305477844"/>
                <w:lock w:val="sdtLocked"/>
              </w:sdtPr>
              <w:sdtContent>
                <w:tc>
                  <w:tcPr>
                    <w:tcW w:w="2933" w:type="pct"/>
                    <w:shd w:val="clear" w:color="auto" w:fill="auto"/>
                    <w:vAlign w:val="center"/>
                  </w:tcPr>
                  <w:p>
                    <w:pPr>
                      <w:rPr>
                        <w:szCs w:val="21"/>
                      </w:rPr>
                    </w:pPr>
                    <w:r>
                      <w:rPr>
                        <w:rFonts w:hint="eastAsia"/>
                        <w:szCs w:val="21"/>
                      </w:rPr>
                      <w:t>因不可抗力因素，如遭受自然灾害而计提的各项资产减值准备</w:t>
                    </w:r>
                  </w:p>
                </w:tc>
              </w:sdtContent>
            </w:sdt>
            <w:sdt>
              <w:sdtPr>
                <w:rPr>
                  <w:rFonts w:hint="eastAsia"/>
                  <w:szCs w:val="21"/>
                </w:rPr>
                <w:alias w:val="因不可抗力因素，如遭受自然灾害而计提的各项资产减值准备（非经常性损益项目）"/>
                <w:tag w:val="_GBC_40e59f580b8446b6a448bfa2d9c39106"/>
                <w:id w:val="1078875227"/>
                <w:lock w:val="sdtLocked"/>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bcaae140d1341cdbbecefeb642d9613"/>
                <w:id w:val="873038776"/>
                <w:lock w:val="sdtLocked"/>
              </w:sdtPr>
              <w:sdtContent>
                <w:tc>
                  <w:tcPr>
                    <w:tcW w:w="2933" w:type="pct"/>
                    <w:shd w:val="clear" w:color="auto" w:fill="auto"/>
                    <w:vAlign w:val="center"/>
                  </w:tcPr>
                  <w:p>
                    <w:pPr>
                      <w:rPr>
                        <w:szCs w:val="21"/>
                      </w:rPr>
                    </w:pPr>
                    <w:r>
                      <w:rPr>
                        <w:rFonts w:hint="eastAsia"/>
                        <w:szCs w:val="21"/>
                      </w:rPr>
                      <w:t>债务重组损益</w:t>
                    </w:r>
                  </w:p>
                </w:tc>
              </w:sdtContent>
            </w:sdt>
            <w:sdt>
              <w:sdtPr>
                <w:rPr>
                  <w:rFonts w:hint="eastAsia"/>
                  <w:szCs w:val="21"/>
                </w:rPr>
                <w:alias w:val="债务重组损益（非经常性损益项目）"/>
                <w:tag w:val="_GBC_562f390e991e466084ffd0680a094232"/>
                <w:id w:val="-2062388288"/>
                <w:lock w:val="sdtLocked"/>
                <w:text/>
              </w:sdtPr>
              <w:sdtEndPr>
                <w:rPr>
                  <w:rFonts w:hint="eastAsia"/>
                  <w:szCs w:val="21"/>
                </w:rPr>
              </w:sdtEndPr>
              <w:sdtContent>
                <w:tc>
                  <w:tcPr>
                    <w:tcW w:w="2067" w:type="pct"/>
                    <w:shd w:val="clear" w:color="auto" w:fill="auto"/>
                    <w:vAlign w:val="center"/>
                  </w:tcPr>
                  <w:p>
                    <w:pPr>
                      <w:jc w:val="right"/>
                      <w:rPr>
                        <w:szCs w:val="21"/>
                      </w:rPr>
                    </w:pPr>
                    <w:r>
                      <w:rPr>
                        <w:szCs w:val="21"/>
                      </w:rPr>
                      <w:t>35,402,775.19</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8f7d113d42fb4410b8855e99585354db"/>
                <w:id w:val="814987227"/>
                <w:lock w:val="sdtLocked"/>
              </w:sdtPr>
              <w:sdtContent>
                <w:tc>
                  <w:tcPr>
                    <w:tcW w:w="2933" w:type="pct"/>
                    <w:shd w:val="clear" w:color="auto" w:fill="auto"/>
                    <w:vAlign w:val="center"/>
                  </w:tcPr>
                  <w:p>
                    <w:pPr>
                      <w:rPr>
                        <w:szCs w:val="21"/>
                      </w:rPr>
                    </w:pPr>
                    <w:r>
                      <w:rPr>
                        <w:rFonts w:hint="eastAsia"/>
                        <w:szCs w:val="21"/>
                      </w:rPr>
                      <w:t>企业重组费用，如安置职工的支出、整合费用等</w:t>
                    </w:r>
                  </w:p>
                </w:tc>
              </w:sdtContent>
            </w:sdt>
            <w:sdt>
              <w:sdtPr>
                <w:rPr>
                  <w:rFonts w:hint="eastAsia"/>
                  <w:szCs w:val="21"/>
                </w:rPr>
                <w:alias w:val="企业重组费用，如安置职工的支出、整合费用等（非经常性损益项目）"/>
                <w:tag w:val="_GBC_56ec47ca87774d5abcabbca8deefec34"/>
                <w:id w:val="-1105886000"/>
                <w:lock w:val="sdtLocked"/>
                <w:showingPlcHdr/>
                <w:text/>
              </w:sdtPr>
              <w:sdtEndPr>
                <w:rPr>
                  <w:rFonts w:hint="eastAsia"/>
                  <w:szCs w:val="21"/>
                </w:rPr>
              </w:sdtEndPr>
              <w:sdtContent>
                <w:tc>
                  <w:tcPr>
                    <w:tcW w:w="2067" w:type="pct"/>
                    <w:shd w:val="clear" w:color="auto" w:fill="auto"/>
                    <w:vAlign w:val="center"/>
                  </w:tcPr>
                  <w:p>
                    <w:pPr>
                      <w:jc w:val="right"/>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aaa1b7e693f4556ba93d4252bbe667a"/>
                <w:id w:val="-1427269657"/>
                <w:lock w:val="sdtLocked"/>
              </w:sdtPr>
              <w:sdtContent>
                <w:tc>
                  <w:tcPr>
                    <w:tcW w:w="2933" w:type="pct"/>
                    <w:shd w:val="clear" w:color="auto" w:fill="auto"/>
                    <w:vAlign w:val="center"/>
                  </w:tcPr>
                  <w:p>
                    <w:pPr>
                      <w:rPr>
                        <w:szCs w:val="21"/>
                      </w:rPr>
                    </w:pPr>
                    <w:r>
                      <w:rPr>
                        <w:rFonts w:hint="eastAsia"/>
                        <w:szCs w:val="21"/>
                      </w:rPr>
                      <w:t>交易价格显失公允的交易产生的超过公允价值部分的损益</w:t>
                    </w:r>
                  </w:p>
                </w:tc>
              </w:sdtContent>
            </w:sdt>
            <w:sdt>
              <w:sdtPr>
                <w:rPr>
                  <w:rFonts w:hint="eastAsia"/>
                  <w:szCs w:val="21"/>
                </w:rPr>
                <w:alias w:val="交易价格显失公允的交易产生的超过公允价值部分的损益（非经常性损益项目）"/>
                <w:tag w:val="_GBC_6704ec57bd314db499ba1bfa7fe212ec"/>
                <w:id w:val="-714116474"/>
                <w:lock w:val="sdtLocked"/>
                <w:showingPlcHdr/>
                <w:text/>
              </w:sdtPr>
              <w:sdtEndPr>
                <w:rPr>
                  <w:rFonts w:hint="eastAsia"/>
                  <w:szCs w:val="21"/>
                </w:rPr>
              </w:sdtEndPr>
              <w:sdtContent>
                <w:tc>
                  <w:tcPr>
                    <w:tcW w:w="2067" w:type="pct"/>
                    <w:shd w:val="clear" w:color="auto" w:fill="auto"/>
                    <w:vAlign w:val="center"/>
                  </w:tcPr>
                  <w:p>
                    <w:pPr>
                      <w:jc w:val="right"/>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f7d35e9773ec4a5bbdcaaab7ce867607"/>
                <w:id w:val="1853679877"/>
                <w:lock w:val="sdtLocked"/>
              </w:sdtPr>
              <w:sdtContent>
                <w:tc>
                  <w:tcPr>
                    <w:tcW w:w="2933" w:type="pct"/>
                    <w:shd w:val="clear" w:color="auto" w:fill="auto"/>
                    <w:vAlign w:val="center"/>
                  </w:tcPr>
                  <w:p>
                    <w:pPr>
                      <w:rPr>
                        <w:szCs w:val="21"/>
                      </w:rPr>
                    </w:pPr>
                    <w:r>
                      <w:rPr>
                        <w:rFonts w:hint="eastAsia"/>
                        <w:szCs w:val="21"/>
                      </w:rPr>
                      <w:t>同一控制下企业合并产生的子公司期初至合并日的当期净损益</w:t>
                    </w:r>
                  </w:p>
                </w:tc>
              </w:sdtContent>
            </w:sdt>
            <w:sdt>
              <w:sdtPr>
                <w:rPr>
                  <w:rFonts w:hint="eastAsia"/>
                  <w:szCs w:val="21"/>
                </w:rPr>
                <w:alias w:val="同一控制下企业合并产生的子公司期初至合并日的当期净损益（非经常性损益项目）"/>
                <w:tag w:val="_GBC_41b40e6e0f3848d69f00e71731aaf0e1"/>
                <w:id w:val="-661393973"/>
                <w:lock w:val="sdtLocked"/>
                <w:showingPlcHdr/>
                <w:text/>
              </w:sdtPr>
              <w:sdtEndPr>
                <w:rPr>
                  <w:rFonts w:hint="eastAsia"/>
                  <w:szCs w:val="21"/>
                </w:rPr>
              </w:sdtEndPr>
              <w:sdtContent>
                <w:tc>
                  <w:tcPr>
                    <w:tcW w:w="2067" w:type="pct"/>
                    <w:shd w:val="clear" w:color="auto" w:fill="auto"/>
                    <w:vAlign w:val="center"/>
                  </w:tcPr>
                  <w:p>
                    <w:pPr>
                      <w:jc w:val="right"/>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sdt>
              <w:sdtPr>
                <w:tag w:val="_PLD_821952d95e284af59e77fce066babe2c"/>
                <w:id w:val="-309945451"/>
                <w:lock w:val="sdtLocked"/>
              </w:sdtPr>
              <w:sdtContent>
                <w:tc>
                  <w:tcPr>
                    <w:tcW w:w="2933" w:type="pct"/>
                    <w:shd w:val="clear" w:color="auto" w:fill="auto"/>
                    <w:vAlign w:val="center"/>
                  </w:tcPr>
                  <w:p>
                    <w:pPr>
                      <w:rPr>
                        <w:szCs w:val="21"/>
                      </w:rPr>
                    </w:pPr>
                    <w:r>
                      <w:rPr>
                        <w:rFonts w:hint="eastAsia"/>
                        <w:szCs w:val="21"/>
                      </w:rPr>
                      <w:t>与公司正常经营业务无关的或有事项产生的损益</w:t>
                    </w:r>
                  </w:p>
                </w:tc>
              </w:sdtContent>
            </w:sdt>
            <w:sdt>
              <w:sdtPr>
                <w:rPr>
                  <w:rFonts w:hint="eastAsia"/>
                  <w:szCs w:val="21"/>
                </w:rPr>
                <w:alias w:val="与公司正常经营业务无关的或有事项产生的损益（非经常性损益项目）"/>
                <w:tag w:val="_GBC_87c0e437c14d4dd3bd5dd001c159ec09"/>
                <w:id w:val="-7137666"/>
                <w:lock w:val="sdtLocked"/>
                <w:showingPlcHdr/>
                <w:text/>
              </w:sdtPr>
              <w:sdtEndPr>
                <w:rPr>
                  <w:rFonts w:hint="eastAsia"/>
                  <w:szCs w:val="21"/>
                </w:rPr>
              </w:sdtEndPr>
              <w:sdtContent>
                <w:tc>
                  <w:tcPr>
                    <w:tcW w:w="2067" w:type="pct"/>
                    <w:shd w:val="clear" w:color="auto" w:fill="auto"/>
                    <w:vAlign w:val="center"/>
                  </w:tcPr>
                  <w:p>
                    <w:pPr>
                      <w:jc w:val="right"/>
                      <w:rPr>
                        <w:szCs w:val="21"/>
                      </w:rPr>
                    </w:pPr>
                    <w:r>
                      <w:rPr>
                        <w:rFonts w:hint="eastAsia"/>
                        <w:color w:val="0000FF"/>
                        <w:szCs w:val="21"/>
                      </w:rPr>
                      <w:t>　</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3" w:type="pct"/>
                <w:shd w:val="clear" w:color="auto" w:fill="auto"/>
                <w:vAlign w:val="center"/>
              </w:tcPr>
              <w:sdt>
                <w:sdtPr>
                  <w:rPr>
                    <w:rFonts w:hint="eastAsia"/>
                  </w:rPr>
                  <w:tag w:val="_PLD_38fa6e04d36242f19ed1ab1a61f69468"/>
                  <w:id w:val="-626471613"/>
                  <w:lock w:val="sdtLocked"/>
                </w:sdtPr>
                <w:sdtEndPr>
                  <w:rPr>
                    <w:rFonts w:hint="eastAsia"/>
                  </w:rPr>
                </w:sdtEndPr>
                <w:sdtContent>
                  <w:p>
                    <w:r>
                      <w:rPr>
                        <w:rFonts w:hint="eastAsia"/>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sdtContent>
              </w:sdt>
            </w:tc>
            <w:sdt>
              <w:sdtPr>
                <w:rPr>
                  <w:rFonts w:hint="eastAsia"/>
                  <w:szCs w:val="21"/>
                </w:rPr>
                <w:alias w:val="除同公司正常经营业务相关的有效套期保值业务外，持有交易性金融资产、衍生金融资产、交易性金融负债、衍生金融负债产生的公允价值变动损"/>
                <w:tag w:val="_GBC_a664e906ddd54caa90780ec8ba442193"/>
                <w:id w:val="-218367711"/>
                <w:lock w:val="sdtLocked"/>
                <w:text/>
              </w:sdtPr>
              <w:sdtEndPr>
                <w:rPr>
                  <w:rFonts w:hint="eastAsia"/>
                  <w:szCs w:val="21"/>
                </w:rPr>
              </w:sdtEndPr>
              <w:sdtContent>
                <w:tc>
                  <w:tcPr>
                    <w:tcW w:w="2067" w:type="pct"/>
                    <w:shd w:val="clear" w:color="auto" w:fill="auto"/>
                    <w:vAlign w:val="center"/>
                  </w:tcPr>
                  <w:p>
                    <w:pPr>
                      <w:jc w:val="right"/>
                      <w:rPr>
                        <w:szCs w:val="21"/>
                      </w:rPr>
                    </w:pPr>
                    <w:r>
                      <w:rPr>
                        <w:szCs w:val="21"/>
                      </w:rPr>
                      <w:t>61,717.10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3" w:type="pct"/>
                <w:shd w:val="clear" w:color="auto" w:fill="auto"/>
                <w:vAlign w:val="center"/>
              </w:tcPr>
              <w:sdt>
                <w:sdtPr>
                  <w:rPr>
                    <w:rFonts w:hint="eastAsia"/>
                  </w:rPr>
                  <w:tag w:val="_PLD_a11363d103554f4a9712ef6c15497670"/>
                  <w:id w:val="540951838"/>
                  <w:lock w:val="sdtLocked"/>
                </w:sdtPr>
                <w:sdtEndPr>
                  <w:rPr>
                    <w:rFonts w:hint="eastAsia"/>
                  </w:rPr>
                </w:sdtEndPr>
                <w:sdtContent>
                  <w:p>
                    <w:r>
                      <w:rPr>
                        <w:rFonts w:hint="eastAsia"/>
                      </w:rPr>
                      <w:t>单独进行减值测试的应收款项、合同资产减值准备转回</w:t>
                    </w:r>
                  </w:p>
                </w:sdtContent>
              </w:sdt>
            </w:tc>
            <w:sdt>
              <w:sdtPr>
                <w:rPr>
                  <w:rFonts w:hint="eastAsia"/>
                  <w:szCs w:val="21"/>
                </w:rPr>
                <w:alias w:val="单独进行减值测试的应收款项、合同资产减值准备转回（非经常性损益项目） "/>
                <w:tag w:val="_GBC_d6e61e27dc844df9a58fb06a8bd759ba"/>
                <w:id w:val="-158457738"/>
                <w:lock w:val="sdtLocked"/>
                <w:text/>
              </w:sdtPr>
              <w:sdtEndPr>
                <w:rPr>
                  <w:rFonts w:hint="eastAsia"/>
                  <w:szCs w:val="21"/>
                </w:rPr>
              </w:sdtEndPr>
              <w:sdtContent>
                <w:tc>
                  <w:tcPr>
                    <w:tcW w:w="2067" w:type="pct"/>
                    <w:shd w:val="clear" w:color="auto" w:fill="auto"/>
                    <w:vAlign w:val="center"/>
                  </w:tcPr>
                  <w:p>
                    <w:pPr>
                      <w:jc w:val="right"/>
                      <w:rPr>
                        <w:szCs w:val="21"/>
                      </w:rPr>
                    </w:pPr>
                    <w:r>
                      <w:rPr>
                        <w:rFonts w:hint="eastAsia"/>
                        <w:szCs w:val="21"/>
                      </w:rPr>
                      <w:t>10,172,399.97</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00edb491e0914e1e92443df61931119d"/>
                <w:id w:val="-1582519448"/>
                <w:lock w:val="sdtLocked"/>
              </w:sdtPr>
              <w:sdtContent>
                <w:tc>
                  <w:tcPr>
                    <w:tcW w:w="2933" w:type="pct"/>
                    <w:shd w:val="clear" w:color="auto" w:fill="auto"/>
                    <w:vAlign w:val="center"/>
                  </w:tcPr>
                  <w:p>
                    <w:pPr>
                      <w:rPr>
                        <w:szCs w:val="21"/>
                      </w:rPr>
                    </w:pPr>
                    <w:r>
                      <w:rPr>
                        <w:rFonts w:hint="eastAsia"/>
                        <w:szCs w:val="21"/>
                      </w:rPr>
                      <w:t>对外委托贷款取得的损益</w:t>
                    </w:r>
                  </w:p>
                </w:tc>
              </w:sdtContent>
            </w:sdt>
            <w:sdt>
              <w:sdtPr>
                <w:rPr>
                  <w:rFonts w:hint="eastAsia"/>
                  <w:szCs w:val="21"/>
                </w:rPr>
                <w:alias w:val="对外委托贷款取得的损益（非经常性损益项目）"/>
                <w:tag w:val="_GBC_27b47ed06c97431897415150396a2093"/>
                <w:id w:val="563991500"/>
                <w:lock w:val="sdtLocked"/>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332f963d97a4e5f8bfc7e17443ac5ee"/>
                <w:id w:val="1795709196"/>
                <w:lock w:val="sdtLocked"/>
              </w:sdtPr>
              <w:sdtContent>
                <w:tc>
                  <w:tcPr>
                    <w:tcW w:w="2933" w:type="pct"/>
                    <w:shd w:val="clear" w:color="auto" w:fill="auto"/>
                    <w:vAlign w:val="center"/>
                  </w:tcPr>
                  <w:p>
                    <w:pPr>
                      <w:rPr>
                        <w:szCs w:val="21"/>
                      </w:rPr>
                    </w:pPr>
                    <w:r>
                      <w:rPr>
                        <w:rFonts w:hint="eastAsia"/>
                        <w:szCs w:val="21"/>
                      </w:rPr>
                      <w:t>采用公允价值模式进行后续计量的投资性房地产公允价值变动产生的损益</w:t>
                    </w:r>
                  </w:p>
                </w:tc>
              </w:sdtContent>
            </w:sdt>
            <w:sdt>
              <w:sdtPr>
                <w:rPr>
                  <w:rFonts w:hint="eastAsia"/>
                  <w:szCs w:val="21"/>
                </w:rPr>
                <w:alias w:val="采用公允价值模式进行后续计量的投资性房地产公允价值变动产生的损益（非经常性损益项目）"/>
                <w:tag w:val="_GBC_190716d7e441475687cb1bc366ad6b0c"/>
                <w:id w:val="-2103019924"/>
                <w:lock w:val="sdtLocked"/>
                <w:text/>
              </w:sdtPr>
              <w:sdtEndPr>
                <w:rPr>
                  <w:rFonts w:hint="eastAsia"/>
                  <w:szCs w:val="21"/>
                </w:rPr>
              </w:sdtEndPr>
              <w:sdtContent>
                <w:tc>
                  <w:tcPr>
                    <w:tcW w:w="2067" w:type="pct"/>
                    <w:shd w:val="clear" w:color="auto" w:fill="auto"/>
                    <w:vAlign w:val="center"/>
                  </w:tcPr>
                  <w:p>
                    <w:pPr>
                      <w:jc w:val="right"/>
                      <w:rPr>
                        <w:szCs w:val="21"/>
                      </w:rPr>
                    </w:pPr>
                    <w:r>
                      <w:rPr>
                        <w:rFonts w:hint="eastAsia"/>
                        <w:szCs w:val="21"/>
                      </w:rPr>
                      <w:t>50,677,613.50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b6722851d3af4fe3afc659a8e56d5fb8"/>
                <w:id w:val="-1495417913"/>
                <w:lock w:val="sdtLocked"/>
              </w:sdtPr>
              <w:sdtContent>
                <w:tc>
                  <w:tcPr>
                    <w:tcW w:w="2933" w:type="pct"/>
                    <w:shd w:val="clear" w:color="auto" w:fill="auto"/>
                    <w:vAlign w:val="center"/>
                  </w:tcPr>
                  <w:p>
                    <w:pPr>
                      <w:rPr>
                        <w:szCs w:val="21"/>
                      </w:rPr>
                    </w:pPr>
                    <w:r>
                      <w:rPr>
                        <w:rFonts w:hint="eastAsia"/>
                        <w:szCs w:val="21"/>
                      </w:rPr>
                      <w:t>根据税收、会计等法律、法规的要求对当期损益进行一次性调整对当期损益的影响</w:t>
                    </w:r>
                  </w:p>
                </w:tc>
              </w:sdtContent>
            </w:sdt>
            <w:sdt>
              <w:sdtPr>
                <w:rPr>
                  <w:rFonts w:hint="eastAsia"/>
                  <w:szCs w:val="21"/>
                </w:rPr>
                <w:alias w:val="根据税收、会计等法律、法规的要求对当期损益进行一次性调整对当期损益的影响（非经常性损益项目）"/>
                <w:tag w:val="_GBC_58c2953c03634423ac62d3dec1a8cbf0"/>
                <w:id w:val="334661192"/>
                <w:lock w:val="sdtLocked"/>
                <w:showingPlcHdr/>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c4def2df1c1c46b4a323a839a0727abf"/>
                <w:id w:val="1162511176"/>
                <w:lock w:val="sdtLocked"/>
              </w:sdtPr>
              <w:sdtContent>
                <w:tc>
                  <w:tcPr>
                    <w:tcW w:w="2933" w:type="pct"/>
                    <w:shd w:val="clear" w:color="auto" w:fill="auto"/>
                    <w:vAlign w:val="center"/>
                  </w:tcPr>
                  <w:p>
                    <w:pPr>
                      <w:rPr>
                        <w:szCs w:val="21"/>
                      </w:rPr>
                    </w:pPr>
                    <w:r>
                      <w:rPr>
                        <w:rFonts w:hint="eastAsia"/>
                        <w:szCs w:val="21"/>
                      </w:rPr>
                      <w:t>受托经营取得的托管费收入</w:t>
                    </w:r>
                  </w:p>
                </w:tc>
              </w:sdtContent>
            </w:sdt>
            <w:sdt>
              <w:sdtPr>
                <w:rPr>
                  <w:rFonts w:hint="eastAsia"/>
                  <w:szCs w:val="21"/>
                </w:rPr>
                <w:alias w:val="受托经营取得的托管费收入（非经常性损益项目）"/>
                <w:tag w:val="_GBC_663696f2cd0a4fd2bdca4465abf7993f"/>
                <w:id w:val="-1054460339"/>
                <w:lock w:val="sdtLocked"/>
                <w:text/>
              </w:sdtPr>
              <w:sdtEndPr>
                <w:rPr>
                  <w:rFonts w:hint="eastAsia"/>
                  <w:szCs w:val="21"/>
                </w:rPr>
              </w:sdtEndPr>
              <w:sdtContent>
                <w:tc>
                  <w:tcPr>
                    <w:tcW w:w="2067" w:type="pct"/>
                    <w:shd w:val="clear" w:color="auto" w:fill="auto"/>
                    <w:vAlign w:val="center"/>
                  </w:tcPr>
                  <w:p>
                    <w:pPr>
                      <w:jc w:val="right"/>
                      <w:rPr>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62562e8b8e8748b7bc3bcbcc53f02716"/>
                <w:id w:val="-1059706312"/>
                <w:lock w:val="sdtLocked"/>
              </w:sdtPr>
              <w:sdtContent>
                <w:tc>
                  <w:tcPr>
                    <w:tcW w:w="2933" w:type="pct"/>
                    <w:shd w:val="clear" w:color="auto" w:fill="auto"/>
                    <w:vAlign w:val="center"/>
                  </w:tcPr>
                  <w:p>
                    <w:pPr>
                      <w:rPr>
                        <w:szCs w:val="21"/>
                      </w:rPr>
                    </w:pPr>
                    <w:r>
                      <w:rPr>
                        <w:rFonts w:hint="eastAsia"/>
                        <w:szCs w:val="21"/>
                      </w:rPr>
                      <w:t>除上述各项之外的其他营业外收入和支出</w:t>
                    </w:r>
                  </w:p>
                </w:tc>
              </w:sdtContent>
            </w:sdt>
            <w:sdt>
              <w:sdtPr>
                <w:rPr>
                  <w:rFonts w:hint="eastAsia" w:asciiTheme="minorEastAsia" w:hAnsiTheme="minorEastAsia" w:eastAsiaTheme="minorEastAsia"/>
                  <w:szCs w:val="21"/>
                </w:rPr>
                <w:alias w:val="除上述各项之外的其他营业外收入和支出（非经常性损益项目）"/>
                <w:tag w:val="_GBC_6402a2f652bb4c68acec62c34d96d8ab"/>
                <w:id w:val="-216744571"/>
                <w:lock w:val="sdtLocked"/>
                <w:text/>
              </w:sdtPr>
              <w:sdtEndPr>
                <w:rPr>
                  <w:rFonts w:hint="eastAsia" w:asciiTheme="minorEastAsia" w:hAnsiTheme="minorEastAsia" w:eastAsiaTheme="minorEastAsia"/>
                  <w:szCs w:val="21"/>
                </w:rPr>
              </w:sdtEndPr>
              <w:sdtContent>
                <w:tc>
                  <w:tcPr>
                    <w:tcW w:w="2067" w:type="pct"/>
                    <w:shd w:val="clear" w:color="auto" w:fill="auto"/>
                    <w:vAlign w:val="center"/>
                  </w:tcPr>
                  <w:p>
                    <w:pPr>
                      <w:jc w:val="right"/>
                      <w:rPr>
                        <w:rFonts w:asciiTheme="minorEastAsia" w:hAnsiTheme="minorEastAsia" w:eastAsiaTheme="minorEastAsia"/>
                        <w:szCs w:val="21"/>
                      </w:rPr>
                    </w:pPr>
                    <w:r>
                      <w:rPr>
                        <w:rFonts w:asciiTheme="minorEastAsia" w:hAnsiTheme="minorEastAsia" w:eastAsiaTheme="minorEastAsia"/>
                        <w:szCs w:val="21"/>
                      </w:rPr>
                      <w:t>-3,177,440.11</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5346d1e2f473468580a990d3ad282ce2"/>
                <w:id w:val="-2051298578"/>
                <w:lock w:val="sdtLocked"/>
              </w:sdtPr>
              <w:sdtContent>
                <w:tc>
                  <w:tcPr>
                    <w:tcW w:w="2933" w:type="pct"/>
                    <w:shd w:val="clear" w:color="auto" w:fill="auto"/>
                    <w:vAlign w:val="center"/>
                  </w:tcPr>
                  <w:p>
                    <w:pPr>
                      <w:rPr>
                        <w:szCs w:val="21"/>
                      </w:rPr>
                    </w:pPr>
                    <w:r>
                      <w:rPr>
                        <w:rFonts w:hint="eastAsia"/>
                        <w:szCs w:val="21"/>
                      </w:rPr>
                      <w:t>其他符合非经常性损益定义的损益项目</w:t>
                    </w:r>
                  </w:p>
                </w:tc>
              </w:sdtContent>
            </w:sdt>
            <w:sdt>
              <w:sdtPr>
                <w:rPr>
                  <w:rFonts w:hint="eastAsia" w:asciiTheme="minorEastAsia" w:hAnsiTheme="minorEastAsia"/>
                  <w:szCs w:val="21"/>
                </w:rPr>
                <w:alias w:val="其他符合非经常性损益定义的损益项目（非经常性损益项目）"/>
                <w:tag w:val="_GBC_fe4d2d743517484083fb57df1a93df08"/>
                <w:id w:val="-1104424490"/>
                <w:lock w:val="sdtLocked"/>
                <w:showingPlcHdr/>
                <w:text/>
              </w:sdtPr>
              <w:sdtEndPr>
                <w:rPr>
                  <w:rFonts w:hint="eastAsia" w:asciiTheme="minorEastAsia" w:hAnsiTheme="minorEastAsia"/>
                  <w:szCs w:val="21"/>
                </w:rPr>
              </w:sdtEndPr>
              <w:sdtContent>
                <w:tc>
                  <w:tcPr>
                    <w:tcW w:w="2067" w:type="pct"/>
                    <w:shd w:val="clear" w:color="auto" w:fill="auto"/>
                    <w:vAlign w:val="center"/>
                  </w:tcPr>
                  <w:p>
                    <w:pPr>
                      <w:jc w:val="right"/>
                      <w:rPr>
                        <w:rFonts w:asciiTheme="minorEastAsia" w:hAnsiTheme="minorEastAsia" w:eastAsiaTheme="minorEastAsia"/>
                        <w:szCs w:val="21"/>
                      </w:rPr>
                    </w:pP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3" w:type="pct"/>
                <w:shd w:val="clear" w:color="auto" w:fill="auto"/>
              </w:tcPr>
              <w:p>
                <w:pPr>
                  <w:rPr>
                    <w:szCs w:val="21"/>
                  </w:rPr>
                </w:pPr>
                <w:r>
                  <w:t>处置长期股权投资产生的损益</w:t>
                </w:r>
              </w:p>
            </w:tc>
            <w:tc>
              <w:tcPr>
                <w:tcW w:w="2067" w:type="pct"/>
                <w:shd w:val="clear" w:color="auto" w:fill="auto"/>
                <w:vAlign w:val="center"/>
              </w:tcPr>
              <w:p>
                <w:pPr>
                  <w:jc w:val="right"/>
                  <w:rPr>
                    <w:rFonts w:asciiTheme="minorEastAsia" w:hAnsiTheme="minorEastAsia" w:eastAsiaTheme="minorEastAsia"/>
                    <w:szCs w:val="21"/>
                  </w:rPr>
                </w:pPr>
                <w:r>
                  <w:rPr>
                    <w:rFonts w:asciiTheme="minorEastAsia" w:hAnsiTheme="minorEastAsia" w:eastAsiaTheme="minorEastAsia"/>
                  </w:rPr>
                  <w:t>7,753,401.48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4e101e61b874b57a1570c979109fa20"/>
                <w:id w:val="722339060"/>
                <w:lock w:val="sdtLocked"/>
              </w:sdtPr>
              <w:sdtContent>
                <w:tc>
                  <w:tcPr>
                    <w:tcW w:w="2933" w:type="pct"/>
                    <w:shd w:val="clear" w:color="auto" w:fill="auto"/>
                    <w:vAlign w:val="center"/>
                  </w:tcPr>
                  <w:p>
                    <w:pPr>
                      <w:rPr>
                        <w:szCs w:val="21"/>
                      </w:rPr>
                    </w:pPr>
                    <w:r>
                      <w:rPr>
                        <w:rFonts w:hint="eastAsia"/>
                        <w:szCs w:val="21"/>
                      </w:rPr>
                      <w:t>减：所得税影响额</w:t>
                    </w:r>
                  </w:p>
                </w:tc>
              </w:sdtContent>
            </w:sdt>
            <w:sdt>
              <w:sdtPr>
                <w:rPr>
                  <w:rFonts w:hint="eastAsia" w:asciiTheme="minorEastAsia" w:hAnsiTheme="minorEastAsia"/>
                  <w:szCs w:val="21"/>
                </w:rPr>
                <w:alias w:val="非经常性损益_对所得税的影响"/>
                <w:tag w:val="_GBC_7c06520ea03942669b02b787ffcbb214"/>
                <w:id w:val="1610627710"/>
                <w:lock w:val="sdtLocked"/>
                <w:text/>
              </w:sdtPr>
              <w:sdtEndPr>
                <w:rPr>
                  <w:rFonts w:hint="eastAsia" w:asciiTheme="minorEastAsia" w:hAnsiTheme="minorEastAsia"/>
                  <w:szCs w:val="21"/>
                </w:rPr>
              </w:sdtEndPr>
              <w:sdtContent>
                <w:tc>
                  <w:tcPr>
                    <w:tcW w:w="2067" w:type="pct"/>
                    <w:shd w:val="clear" w:color="auto" w:fill="auto"/>
                    <w:vAlign w:val="center"/>
                  </w:tcPr>
                  <w:p>
                    <w:pPr>
                      <w:jc w:val="right"/>
                      <w:rPr>
                        <w:rFonts w:asciiTheme="minorEastAsia" w:hAnsiTheme="minorEastAsia" w:eastAsiaTheme="minorEastAsia"/>
                        <w:szCs w:val="21"/>
                      </w:rPr>
                    </w:pPr>
                    <w:r>
                      <w:rPr>
                        <w:rFonts w:asciiTheme="minorEastAsia" w:hAnsiTheme="minorEastAsia"/>
                        <w:szCs w:val="21"/>
                      </w:rPr>
                      <w:t>-1,878,790.68</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7ef8314272f64724b14118b0bf880aae"/>
                <w:id w:val="-14389801"/>
                <w:lock w:val="sdtLocked"/>
              </w:sdtPr>
              <w:sdtContent>
                <w:tc>
                  <w:tcPr>
                    <w:tcW w:w="2933" w:type="pct"/>
                    <w:shd w:val="clear" w:color="auto" w:fill="auto"/>
                    <w:vAlign w:val="center"/>
                  </w:tcPr>
                  <w:p>
                    <w:pPr>
                      <w:rPr>
                        <w:szCs w:val="21"/>
                      </w:rPr>
                    </w:pPr>
                    <w:r>
                      <w:rPr>
                        <w:rFonts w:hint="eastAsia"/>
                        <w:szCs w:val="21"/>
                      </w:rPr>
                      <w:t>少数股东权益影响额</w:t>
                    </w:r>
                  </w:p>
                </w:tc>
              </w:sdtContent>
            </w:sdt>
            <w:sdt>
              <w:sdtPr>
                <w:rPr>
                  <w:rFonts w:hint="eastAsia" w:asciiTheme="minorEastAsia" w:hAnsiTheme="minorEastAsia"/>
                  <w:szCs w:val="21"/>
                </w:rPr>
                <w:alias w:val="少数股东权益影响额（非经常性损益项目）"/>
                <w:tag w:val="_GBC_285f00e961c943a8a9d140a4d52403f1"/>
                <w:id w:val="634848453"/>
                <w:lock w:val="sdtLocked"/>
                <w:text/>
              </w:sdtPr>
              <w:sdtEndPr>
                <w:rPr>
                  <w:rFonts w:hint="eastAsia" w:asciiTheme="minorEastAsia" w:hAnsiTheme="minorEastAsia"/>
                  <w:szCs w:val="21"/>
                </w:rPr>
              </w:sdtEndPr>
              <w:sdtContent>
                <w:tc>
                  <w:tcPr>
                    <w:tcW w:w="2067" w:type="pct"/>
                    <w:shd w:val="clear" w:color="auto" w:fill="auto"/>
                    <w:vAlign w:val="center"/>
                  </w:tcPr>
                  <w:p>
                    <w:pPr>
                      <w:jc w:val="right"/>
                      <w:rPr>
                        <w:rFonts w:asciiTheme="minorEastAsia" w:hAnsiTheme="minorEastAsia" w:eastAsiaTheme="minorEastAsia"/>
                        <w:szCs w:val="21"/>
                      </w:rPr>
                    </w:pPr>
                    <w:r>
                      <w:rPr>
                        <w:rFonts w:hint="eastAsia" w:asciiTheme="minorEastAsia" w:hAnsiTheme="minorEastAsia" w:eastAsiaTheme="minorEastAsia"/>
                        <w:szCs w:val="21"/>
                      </w:rPr>
                      <w:t>6,424,508.30</w:t>
                    </w:r>
                  </w:p>
                </w:tc>
              </w:sdtContent>
            </w:sdt>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sdt>
              <w:sdtPr>
                <w:tag w:val="_PLD_e8b8fcf7dc3d486cbd794deec60f6f28"/>
                <w:id w:val="-418867180"/>
                <w:lock w:val="sdtLocked"/>
              </w:sdtPr>
              <w:sdtContent>
                <w:tc>
                  <w:tcPr>
                    <w:tcW w:w="2933" w:type="pct"/>
                    <w:shd w:val="clear" w:color="auto" w:fill="auto"/>
                    <w:vAlign w:val="center"/>
                  </w:tcPr>
                  <w:p>
                    <w:pPr>
                      <w:jc w:val="center"/>
                      <w:rPr>
                        <w:szCs w:val="21"/>
                      </w:rPr>
                    </w:pPr>
                    <w:r>
                      <w:rPr>
                        <w:rFonts w:hint="eastAsia"/>
                        <w:szCs w:val="21"/>
                      </w:rPr>
                      <w:t>合计</w:t>
                    </w:r>
                  </w:p>
                </w:tc>
              </w:sdtContent>
            </w:sdt>
            <w:sdt>
              <w:sdtPr>
                <w:rPr>
                  <w:rFonts w:hint="eastAsia" w:asciiTheme="minorEastAsia" w:hAnsiTheme="minorEastAsia"/>
                  <w:szCs w:val="21"/>
                </w:rPr>
                <w:alias w:val="扣除的非经常性损益合计"/>
                <w:tag w:val="_GBC_dbd56aa5278f45e1a3a0a62cc2b32d3d"/>
                <w:id w:val="-1919931143"/>
                <w:lock w:val="sdtLocked"/>
                <w:text/>
              </w:sdtPr>
              <w:sdtEndPr>
                <w:rPr>
                  <w:rFonts w:hint="eastAsia" w:asciiTheme="minorEastAsia" w:hAnsiTheme="minorEastAsia"/>
                  <w:szCs w:val="21"/>
                </w:rPr>
              </w:sdtEndPr>
              <w:sdtContent>
                <w:tc>
                  <w:tcPr>
                    <w:tcW w:w="2067" w:type="pct"/>
                    <w:shd w:val="clear" w:color="auto" w:fill="auto"/>
                    <w:vAlign w:val="center"/>
                  </w:tcPr>
                  <w:p>
                    <w:pPr>
                      <w:jc w:val="right"/>
                      <w:rPr>
                        <w:rFonts w:asciiTheme="minorEastAsia" w:hAnsiTheme="minorEastAsia" w:eastAsiaTheme="minorEastAsia"/>
                        <w:szCs w:val="21"/>
                      </w:rPr>
                    </w:pPr>
                    <w:r>
                      <w:rPr>
                        <w:rFonts w:asciiTheme="minorEastAsia" w:hAnsiTheme="minorEastAsia"/>
                        <w:szCs w:val="21"/>
                      </w:rPr>
                      <w:t>92,141,597.48</w:t>
                    </w:r>
                  </w:p>
                </w:tc>
              </w:sdtContent>
            </w:sdt>
          </w:tr>
        </w:tbl>
        <w:p/>
        <w:p/>
      </w:sdtContent>
    </w:sdt>
    <w:sdt>
      <w:sdtPr>
        <w:rPr>
          <w:rFonts w:hint="eastAsia"/>
          <w:szCs w:val="21"/>
        </w:rPr>
        <w:alias w:val="模块:对公司根据《公开发行证券的公司信息披露解释性公告第1号——非..."/>
        <w:tag w:val="_GBC_7944e47348cd4cd186b958ba1902ea3f"/>
        <w:id w:val="961161729"/>
        <w:lock w:val="sdtLocked"/>
        <w:placeholder>
          <w:docPart w:val="GBC22222222222222222222222222222"/>
        </w:placeholder>
      </w:sdtPr>
      <w:sdtEndPr>
        <w:rPr>
          <w:rFonts w:hint="default"/>
          <w:szCs w:val="24"/>
        </w:rPr>
      </w:sdtEndPr>
      <w:sdtContent>
        <w:p>
          <w:pPr>
            <w:spacing w:line="360" w:lineRule="auto"/>
            <w:rPr>
              <w:szCs w:val="21"/>
            </w:rPr>
          </w:pPr>
          <w:r>
            <w:rPr>
              <w:rFonts w:hint="eastAsia"/>
              <w:szCs w:val="21"/>
            </w:rPr>
            <w:t>对公司根据《公开发行证券的公司信息披露解释性公告第</w:t>
          </w:r>
          <w:r>
            <w:rPr>
              <w:szCs w:val="21"/>
            </w:rPr>
            <w:t>1号——非经常性损益》定义界定的非经常性损益项目，以及把《公开发行证券的公司信息披露解释性公告第1号——非经常性损益》中列举的非经常性损益项目界定为经常性损益的项目，应说明原因。</w:t>
          </w:r>
        </w:p>
        <w:sdt>
          <w:sdtPr>
            <w:rPr>
              <w:szCs w:val="21"/>
            </w:rPr>
            <w:alias w:val="是否适用：将非经常性损益项目界定为经常性损益项目[双击切换]"/>
            <w:tag w:val="_GBC_a967cba183d54f83a4f652d6d31302c3"/>
            <w:id w:val="190275751"/>
            <w:lock w:val="sdtLocked"/>
            <w:placeholder>
              <w:docPart w:val="GBC22222222222222222222222222222"/>
            </w:placeholder>
          </w:sdtPr>
          <w:sdtEndPr>
            <w:rPr>
              <w:szCs w:val="21"/>
            </w:rPr>
          </w:sdtEndPr>
          <w:sdtContent>
            <w:p>
              <w:pPr>
                <w:spacing w:line="360" w:lineRule="auto"/>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sdt>
      <w:sdtPr>
        <w:rPr>
          <w:rFonts w:hint="eastAsia" w:ascii="宋体" w:hAnsi="宋体" w:cs="宋体"/>
          <w:b w:val="0"/>
          <w:bCs w:val="0"/>
          <w:kern w:val="0"/>
          <w:szCs w:val="21"/>
        </w:rPr>
        <w:alias w:val="模块:净资产收益率及每股收益"/>
        <w:tag w:val="_GBC_146d888914ac4591bea1ff0ea9e89617"/>
        <w:id w:val="-1593856083"/>
        <w:lock w:val="sdtLocked"/>
        <w:placeholder>
          <w:docPart w:val="GBC22222222222222222222222222222"/>
        </w:placeholder>
      </w:sdtPr>
      <w:sdtEndPr>
        <w:rPr>
          <w:rFonts w:hint="eastAsia" w:ascii="宋体" w:hAnsi="宋体" w:cs="宋体"/>
          <w:b w:val="0"/>
          <w:bCs w:val="0"/>
          <w:kern w:val="0"/>
          <w:szCs w:val="21"/>
        </w:rPr>
      </w:sdtEndPr>
      <w:sdtContent>
        <w:p>
          <w:pPr>
            <w:pStyle w:val="114"/>
            <w:numPr>
              <w:ilvl w:val="0"/>
              <w:numId w:val="140"/>
            </w:numPr>
            <w:rPr>
              <w:szCs w:val="21"/>
            </w:rPr>
          </w:pPr>
          <w:r>
            <w:rPr>
              <w:rFonts w:hint="eastAsia"/>
              <w:szCs w:val="21"/>
            </w:rPr>
            <w:t>净资产</w:t>
          </w:r>
          <w:r>
            <w:rPr>
              <w:rFonts w:hint="eastAsia" w:ascii="宋体" w:hAnsi="宋体"/>
              <w:szCs w:val="21"/>
            </w:rPr>
            <w:t>收益率</w:t>
          </w:r>
          <w:r>
            <w:rPr>
              <w:rFonts w:hint="eastAsia"/>
              <w:szCs w:val="21"/>
            </w:rPr>
            <w:t>及每股收益</w:t>
          </w:r>
        </w:p>
        <w:sdt>
          <w:sdtPr>
            <w:alias w:val="是否适用：净资产收益率及每股收益[双击切换]"/>
            <w:tag w:val="_GBC_c0f530bdf9ee48239f470eda08b303d7"/>
            <w:id w:val="-1518375904"/>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tbl>
          <w:tblPr>
            <w:tblStyle w:val="11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745"/>
            <w:gridCol w:w="1735"/>
            <w:gridCol w:w="2023"/>
            <w:gridCol w:w="202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0" w:hRule="atLeast"/>
            </w:trPr>
            <w:sdt>
              <w:sdtPr>
                <w:tag w:val="_PLD_85d9a7abc9cd45768b2b5f99afa4a4ef"/>
                <w:id w:val="1321918371"/>
                <w:lock w:val="sdtLocked"/>
              </w:sdtPr>
              <w:sdtContent>
                <w:tc>
                  <w:tcPr>
                    <w:tcW w:w="1610" w:type="pct"/>
                    <w:vMerge w:val="restar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报告期利润</w:t>
                    </w:r>
                  </w:p>
                </w:tc>
              </w:sdtContent>
            </w:sdt>
            <w:sdt>
              <w:sdtPr>
                <w:tag w:val="_PLD_7f5ad103cbb04f7d904001b07266bf41"/>
                <w:id w:val="-416173202"/>
                <w:lock w:val="sdtLocked"/>
              </w:sdtPr>
              <w:sdtContent>
                <w:tc>
                  <w:tcPr>
                    <w:tcW w:w="1017" w:type="pct"/>
                    <w:vMerge w:val="restart"/>
                    <w:tcBorders>
                      <w:top w:val="single" w:color="auto" w:sz="4" w:space="0"/>
                      <w:left w:val="single" w:color="auto" w:sz="4" w:space="0"/>
                      <w:right w:val="single" w:color="auto" w:sz="4" w:space="0"/>
                    </w:tcBorders>
                    <w:vAlign w:val="center"/>
                  </w:tcPr>
                  <w:p>
                    <w:pPr>
                      <w:jc w:val="center"/>
                      <w:rPr>
                        <w:szCs w:val="21"/>
                      </w:rPr>
                    </w:pPr>
                    <w:r>
                      <w:rPr>
                        <w:szCs w:val="21"/>
                      </w:rPr>
                      <w:t>加权平均净资产收益率（%）</w:t>
                    </w:r>
                  </w:p>
                </w:tc>
              </w:sdtContent>
            </w:sdt>
            <w:sdt>
              <w:sdtPr>
                <w:tag w:val="_PLD_adaa515ff68f455d8bcd75e516da3040"/>
                <w:id w:val="-538671584"/>
                <w:lock w:val="sdtLocked"/>
              </w:sdtPr>
              <w:sdtContent>
                <w:tc>
                  <w:tcPr>
                    <w:tcW w:w="2373" w:type="pct"/>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610" w:type="pct"/>
                <w:vMerge w:val="continue"/>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1017" w:type="pct"/>
                <w:vMerge w:val="continue"/>
                <w:tcBorders>
                  <w:left w:val="single" w:color="auto" w:sz="4" w:space="0"/>
                  <w:bottom w:val="single" w:color="auto" w:sz="4" w:space="0"/>
                  <w:right w:val="single" w:color="auto" w:sz="4" w:space="0"/>
                </w:tcBorders>
                <w:vAlign w:val="center"/>
              </w:tcPr>
              <w:p>
                <w:pPr>
                  <w:jc w:val="center"/>
                  <w:rPr>
                    <w:szCs w:val="21"/>
                  </w:rPr>
                </w:pPr>
              </w:p>
            </w:tc>
            <w:sdt>
              <w:sdtPr>
                <w:tag w:val="_PLD_503a9e353572491fb64751c75881b5ac"/>
                <w:id w:val="-514158183"/>
                <w:lock w:val="sdtLocked"/>
              </w:sdtPr>
              <w:sdtContent>
                <w:tc>
                  <w:tcPr>
                    <w:tcW w:w="1186"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基本每股收益</w:t>
                    </w:r>
                  </w:p>
                </w:tc>
              </w:sdtContent>
            </w:sdt>
            <w:sdt>
              <w:sdtPr>
                <w:tag w:val="_PLD_b57959d0e3714f2590eb4529892e5c18"/>
                <w:id w:val="-368835736"/>
                <w:lock w:val="sdtLocked"/>
              </w:sdtPr>
              <w:sdtContent>
                <w:tc>
                  <w:tcPr>
                    <w:tcW w:w="1187" w:type="pct"/>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稀释每股收益</w:t>
                    </w:r>
                  </w:p>
                </w:tc>
              </w:sdtContent>
            </w:sdt>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tag w:val="_PLD_c5b1926e38d64ba1ae7baa00924da8f8"/>
                <w:id w:val="92757894"/>
                <w:lock w:val="sdtLocked"/>
              </w:sdtPr>
              <w:sdtContent>
                <w:tc>
                  <w:tcPr>
                    <w:tcW w:w="1610" w:type="pct"/>
                    <w:tcBorders>
                      <w:top w:val="single" w:color="auto" w:sz="4" w:space="0"/>
                      <w:left w:val="single" w:color="auto" w:sz="4" w:space="0"/>
                      <w:bottom w:val="single" w:color="auto" w:sz="4" w:space="0"/>
                      <w:right w:val="single" w:color="auto" w:sz="4" w:space="0"/>
                    </w:tcBorders>
                  </w:tcPr>
                  <w:p>
                    <w:pPr>
                      <w:rPr>
                        <w:szCs w:val="21"/>
                      </w:rPr>
                    </w:pPr>
                    <w:r>
                      <w:rPr>
                        <w:szCs w:val="21"/>
                      </w:rPr>
                      <w:t>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center"/>
                  <w:rPr>
                    <w:sz w:val="24"/>
                  </w:rPr>
                </w:pPr>
                <w:r>
                  <w:t>0.55</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sz w:val="24"/>
                  </w:rPr>
                </w:pPr>
                <w:r>
                  <w:t>0.01</w:t>
                </w:r>
              </w:p>
            </w:tc>
            <w:tc>
              <w:tcPr>
                <w:tcW w:w="1187" w:type="pct"/>
                <w:tcBorders>
                  <w:top w:val="single" w:color="auto" w:sz="4" w:space="0"/>
                  <w:left w:val="single" w:color="auto" w:sz="4" w:space="0"/>
                  <w:bottom w:val="single" w:color="auto" w:sz="4" w:space="0"/>
                  <w:right w:val="single" w:color="auto" w:sz="4" w:space="0"/>
                </w:tcBorders>
                <w:vAlign w:val="center"/>
              </w:tcPr>
              <w:p>
                <w:pPr>
                  <w:jc w:val="center"/>
                  <w:rPr>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sdt>
              <w:sdtPr>
                <w:tag w:val="_PLD_9faa0a246122481782395074d86cca8e"/>
                <w:id w:val="-165935922"/>
                <w:lock w:val="sdtLocked"/>
              </w:sdtPr>
              <w:sdtContent>
                <w:tc>
                  <w:tcPr>
                    <w:tcW w:w="1610" w:type="pct"/>
                    <w:tcBorders>
                      <w:top w:val="single" w:color="auto" w:sz="4" w:space="0"/>
                      <w:left w:val="single" w:color="auto" w:sz="4" w:space="0"/>
                      <w:bottom w:val="single" w:color="auto" w:sz="4" w:space="0"/>
                      <w:right w:val="single" w:color="auto" w:sz="4" w:space="0"/>
                    </w:tcBorders>
                  </w:tcPr>
                  <w:p>
                    <w:pPr>
                      <w:rPr>
                        <w:szCs w:val="21"/>
                      </w:rPr>
                    </w:pPr>
                    <w:r>
                      <w:rPr>
                        <w:szCs w:val="21"/>
                      </w:rPr>
                      <w:t>扣除非经常性损益后归属于公司普通股股东的净利润</w:t>
                    </w:r>
                  </w:p>
                </w:tc>
              </w:sdtContent>
            </w:sdt>
            <w:tc>
              <w:tcPr>
                <w:tcW w:w="1017" w:type="pct"/>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rPr>
                  <w:t>-0.36</w:t>
                </w:r>
              </w:p>
            </w:tc>
            <w:tc>
              <w:tcPr>
                <w:tcW w:w="1186" w:type="pct"/>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rPr>
                  <w:t>-0.01</w:t>
                </w:r>
              </w:p>
            </w:tc>
            <w:tc>
              <w:tcPr>
                <w:tcW w:w="1187" w:type="pct"/>
                <w:tcBorders>
                  <w:top w:val="single" w:color="auto" w:sz="4" w:space="0"/>
                  <w:left w:val="single" w:color="auto" w:sz="4" w:space="0"/>
                  <w:bottom w:val="single" w:color="auto" w:sz="4" w:space="0"/>
                  <w:right w:val="single" w:color="auto" w:sz="4" w:space="0"/>
                </w:tcBorders>
                <w:vAlign w:val="center"/>
              </w:tcPr>
              <w:p>
                <w:pPr>
                  <w:jc w:val="center"/>
                  <w:rPr>
                    <w:sz w:val="24"/>
                  </w:rPr>
                </w:pPr>
              </w:p>
            </w:tc>
          </w:tr>
        </w:tbl>
        <w:p>
          <w:pPr>
            <w:rPr>
              <w:szCs w:val="21"/>
            </w:rPr>
          </w:pPr>
        </w:p>
      </w:sdtContent>
    </w:sdt>
    <w:p>
      <w:pPr>
        <w:pStyle w:val="114"/>
        <w:numPr>
          <w:ilvl w:val="0"/>
          <w:numId w:val="140"/>
        </w:numPr>
        <w:rPr>
          <w:rFonts w:ascii="宋体" w:hAnsi="宋体"/>
          <w:szCs w:val="21"/>
        </w:rPr>
      </w:pPr>
      <w:r>
        <w:rPr>
          <w:rFonts w:hint="eastAsia" w:ascii="宋体" w:hAnsi="宋体"/>
          <w:szCs w:val="21"/>
        </w:rPr>
        <w:t>境内外会计准则下会计数据差异</w:t>
      </w:r>
    </w:p>
    <w:sdt>
      <w:sdtPr>
        <w:alias w:val="是否适用：境内外会计准则下会计数据差异[双击切换]"/>
        <w:tag w:val="_GBC_256af937a96e4869ba07cb19341957bb"/>
        <w:id w:val="-760597056"/>
        <w:lock w:val="sdtLocked"/>
        <w:placeholder>
          <w:docPart w:val="GBC22222222222222222222222222222"/>
        </w:placeholder>
      </w:sdtPr>
      <w:sdtContent>
        <w:p>
          <w:pPr>
            <w:rPr>
              <w:rFonts w:cstheme="minorBidi"/>
              <w:kern w:val="2"/>
              <w:szCs w:val="21"/>
            </w:rPr>
          </w:pPr>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p>
      <w:pPr>
        <w:rPr>
          <w:szCs w:val="21"/>
        </w:rPr>
      </w:pPr>
    </w:p>
    <w:sdt>
      <w:sdtPr>
        <w:rPr>
          <w:rFonts w:ascii="宋体" w:hAnsi="宋体" w:cs="宋体"/>
          <w:b w:val="0"/>
          <w:bCs w:val="0"/>
          <w:kern w:val="0"/>
          <w:szCs w:val="21"/>
        </w:rPr>
        <w:alias w:val="模块:补充资料其他说明事项"/>
        <w:tag w:val="_GBC_a60672e5f86e422cbb864ef991c9106b"/>
        <w:id w:val="-913471041"/>
        <w:lock w:val="sdtLocked"/>
        <w:placeholder>
          <w:docPart w:val="GBC22222222222222222222222222222"/>
        </w:placeholder>
      </w:sdtPr>
      <w:sdtEndPr>
        <w:rPr>
          <w:rFonts w:ascii="宋体" w:hAnsi="宋体" w:cs="宋体"/>
          <w:b w:val="0"/>
          <w:bCs w:val="0"/>
          <w:kern w:val="0"/>
          <w:szCs w:val="21"/>
        </w:rPr>
      </w:sdtEndPr>
      <w:sdtContent>
        <w:p>
          <w:pPr>
            <w:pStyle w:val="114"/>
            <w:numPr>
              <w:ilvl w:val="0"/>
              <w:numId w:val="140"/>
            </w:numPr>
            <w:rPr>
              <w:szCs w:val="21"/>
            </w:rPr>
          </w:pPr>
          <w:r>
            <w:rPr>
              <w:rFonts w:hint="eastAsia"/>
              <w:szCs w:val="21"/>
            </w:rPr>
            <w:t>其他</w:t>
          </w:r>
        </w:p>
        <w:sdt>
          <w:sdtPr>
            <w:rPr>
              <w:rFonts w:hint="eastAsia"/>
              <w:szCs w:val="21"/>
            </w:rPr>
            <w:alias w:val="是否适用：补充资料其他说明事项[双击切换]"/>
            <w:tag w:val="_GBC_96c49cb17ab64891ac1d396be649be3c"/>
            <w:id w:val="1657798111"/>
            <w:lock w:val="sdtLocked"/>
            <w:placeholder>
              <w:docPart w:val="GBC22222222222222222222222222222"/>
            </w:placeholder>
          </w:sdtPr>
          <w:sdtEndPr>
            <w:rPr>
              <w:rFonts w:hint="eastAsia"/>
              <w:szCs w:val="21"/>
            </w:rPr>
          </w:sdtEndPr>
          <w:sdtContent>
            <w:p>
              <w:pPr>
                <w:rPr>
                  <w:szCs w:val="21"/>
                </w:rPr>
              </w:pPr>
              <w:r>
                <w:rPr>
                  <w:szCs w:val="21"/>
                </w:rPr>
                <w:fldChar w:fldCharType="begin"/>
              </w:r>
              <w:r>
                <w:rPr>
                  <w:szCs w:val="21"/>
                </w:rPr>
                <w:instrText xml:space="preserve">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sdtContent>
    </w:sdt>
    <w:p>
      <w:pPr>
        <w:rPr>
          <w:szCs w:val="21"/>
        </w:rPr>
      </w:pPr>
    </w:p>
    <w:sdt>
      <w:sdtPr>
        <w:rPr>
          <w:b/>
          <w:bCs/>
          <w:sz w:val="24"/>
        </w:rPr>
        <w:alias w:val="模块:落款"/>
        <w:tag w:val="_SEC_ee292353ab9b4a589b48f1e0cbc5adcd"/>
        <w:id w:val="1742130691"/>
        <w:lock w:val="sdtLocked"/>
        <w:placeholder>
          <w:docPart w:val="GBC22222222222222222222222222222"/>
        </w:placeholder>
      </w:sdtPr>
      <w:sdtEndPr>
        <w:rPr>
          <w:b w:val="0"/>
          <w:bCs w:val="0"/>
          <w:sz w:val="21"/>
        </w:rPr>
      </w:sdtEndPr>
      <w:sdtContent>
        <w:p>
          <w:pPr>
            <w:spacing w:line="360" w:lineRule="exact"/>
            <w:ind w:right="5"/>
            <w:rPr>
              <w:b/>
              <w:bCs/>
              <w:sz w:val="24"/>
            </w:rPr>
          </w:pPr>
          <w:bookmarkStart w:id="254" w:name="_Hlk89951888"/>
          <w:bookmarkStart w:id="255" w:name="_Hlk90043452"/>
        </w:p>
        <w:p>
          <w:pPr>
            <w:wordWrap w:val="0"/>
            <w:spacing w:line="360" w:lineRule="exact"/>
            <w:jc w:val="right"/>
            <w:rPr>
              <w:u w:val="single"/>
            </w:rPr>
          </w:pPr>
          <w:r>
            <w:t>董事长：</w:t>
          </w:r>
          <w:sdt>
            <w:sdtPr>
              <w:alias w:val="报告发布人"/>
              <w:tag w:val="_GBC_728ad6dff57942a69e22fcccc1f10a3c"/>
              <w:id w:val="-886185983"/>
              <w:lock w:val="sdtLocked"/>
              <w:placeholder>
                <w:docPart w:val="GBC22222222222222222222222222222"/>
              </w:placeholder>
            </w:sdtPr>
            <w:sdtContent>
              <w:r>
                <w:rPr>
                  <w:rFonts w:hint="eastAsia"/>
                </w:rPr>
                <w:t>徐志豪</w:t>
              </w:r>
            </w:sdtContent>
          </w:sdt>
        </w:p>
        <w:p>
          <w:pPr>
            <w:spacing w:line="360" w:lineRule="exact"/>
            <w:jc w:val="right"/>
          </w:pPr>
          <w:r>
            <w:t>董事会批准报送日期：</w:t>
          </w:r>
          <w:sdt>
            <w:sdtPr>
              <w:alias w:val="报告董事会批准报送日期"/>
              <w:tag w:val="_GBC_7b8c4a7926dc47299591537f5943936d"/>
              <w:id w:val="-61258623"/>
              <w:lock w:val="sdtLocked"/>
              <w:placeholder>
                <w:docPart w:val="GBC22222222222222222222222222222"/>
              </w:placeholder>
              <w:date w:fullDate="2022-04-22T00:00:00Z">
                <w:dateFormat w:val="yyyy'年'M'月'd'日'"/>
                <w:lid w:val="zh-CN"/>
                <w:storeMappedDataAs w:val="datetime"/>
                <w:calendar w:val="gregorian"/>
              </w:date>
            </w:sdtPr>
            <w:sdtContent>
              <w:r>
                <w:rPr>
                  <w:rFonts w:hint="eastAsia"/>
                </w:rPr>
                <w:t>2022年4月22日</w:t>
              </w:r>
            </w:sdtContent>
          </w:sdt>
        </w:p>
      </w:sdtContent>
    </w:sdt>
    <w:bookmarkEnd w:id="254"/>
    <w:bookmarkEnd w:id="255"/>
    <w:p>
      <w:pPr>
        <w:spacing w:line="360" w:lineRule="exact"/>
        <w:ind w:right="5"/>
        <w:rPr>
          <w:u w:val="single"/>
        </w:rPr>
      </w:pPr>
    </w:p>
    <w:p>
      <w:pPr>
        <w:spacing w:line="360" w:lineRule="exact"/>
        <w:ind w:right="5"/>
      </w:pPr>
    </w:p>
    <w:sdt>
      <w:sdtPr>
        <w:rPr>
          <w:sz w:val="24"/>
        </w:rPr>
        <w:alias w:val="模块:修订信息 "/>
        <w:tag w:val="_GBC_e51b54728b2e4e53b95b0611d0df9b06"/>
        <w:id w:val="1016351758"/>
        <w:lock w:val="sdtLocked"/>
        <w:placeholder>
          <w:docPart w:val="GBC22222222222222222222222222222"/>
        </w:placeholder>
      </w:sdtPr>
      <w:sdtEndPr>
        <w:rPr>
          <w:sz w:val="21"/>
        </w:rPr>
      </w:sdtEndPr>
      <w:sdtContent>
        <w:p>
          <w:pPr>
            <w:spacing w:line="360" w:lineRule="exact"/>
            <w:ind w:right="5"/>
            <w:rPr>
              <w:b/>
              <w:sz w:val="24"/>
            </w:rPr>
          </w:pPr>
          <w:r>
            <w:rPr>
              <w:b/>
              <w:sz w:val="24"/>
            </w:rPr>
            <w:t>修订信息</w:t>
          </w:r>
        </w:p>
        <w:sdt>
          <w:sdtPr>
            <w:alias w:val="是否适用：修订信息表[双击切换]"/>
            <w:tag w:val="_GBC_888e757d42a24d3a87b71f50b0589b0a"/>
            <w:id w:val="-1572644908"/>
            <w:lock w:val="sdtLocked"/>
            <w:placeholder>
              <w:docPart w:val="GBC22222222222222222222222222222"/>
            </w:placeholder>
          </w:sdtPr>
          <w:sdtContent>
            <w:p>
              <w:r>
                <w:fldChar w:fldCharType="begin"/>
              </w:r>
              <w:r>
                <w:instrText xml:space="preserve">MACROBUTTON  SnrToggleCheckbox □适用 </w:instrText>
              </w:r>
              <w:r>
                <w:fldChar w:fldCharType="end"/>
              </w:r>
              <w:r>
                <w:fldChar w:fldCharType="begin"/>
              </w:r>
              <w:r>
                <w:instrText xml:space="preserve"> MACROBUTTON  SnrToggleCheckbox √不适用 </w:instrText>
              </w:r>
              <w:r>
                <w:fldChar w:fldCharType="end"/>
              </w:r>
            </w:p>
          </w:sdtContent>
        </w:sdt>
      </w:sdtContent>
    </w:sdt>
    <w:sectPr>
      <w:pgSz w:w="11906" w:h="16838"/>
      <w:pgMar w:top="1724" w:right="1797" w:bottom="1440" w:left="1797" w:header="856"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5F" w:usb2="00000000" w:usb3="00000000" w:csb0="2000019F" w:csb1="00000000"/>
  </w:font>
  <w:font w:name="Arial Unicode MS">
    <w:panose1 w:val="020B0604020202020204"/>
    <w:charset w:val="86"/>
    <w:family w:val="swiss"/>
    <w:pitch w:val="default"/>
    <w:sig w:usb0="FFFFFFFF" w:usb1="E9FFFFFF" w:usb2="0000003F" w:usb3="00000000" w:csb0="603F01FF" w:csb1="FFFF0000"/>
  </w:font>
  <w:font w:name="Helvetica-Narrow">
    <w:altName w:val="Arial Narrow"/>
    <w:panose1 w:val="00000000000000000000"/>
    <w:charset w:val="00"/>
    <w:family w:val="swiss"/>
    <w:pitch w:val="default"/>
    <w:sig w:usb0="00000000" w:usb1="00000000" w:usb2="00000000" w:usb3="00000000" w:csb0="00000001" w:csb1="00000000"/>
  </w:font>
  <w:font w:name="Arial Narrow">
    <w:panose1 w:val="020B0606020202030204"/>
    <w:charset w:val="00"/>
    <w:family w:val="auto"/>
    <w:pitch w:val="default"/>
    <w:sig w:usb0="00000287" w:usb1="00000800" w:usb2="00000000" w:usb3="00000000" w:csb0="2000009F" w:csb1="DFD70000"/>
  </w:font>
  <w:font w:name="Noto Sans CJK JP Regular">
    <w:altName w:val="微软雅黑"/>
    <w:panose1 w:val="00000000000000000000"/>
    <w:charset w:val="86"/>
    <w:family w:val="swiss"/>
    <w:pitch w:val="default"/>
    <w:sig w:usb0="00000000" w:usb1="00000000" w:usb2="00000016" w:usb3="00000000" w:csb0="002E0107" w:csb1="00000000"/>
  </w:font>
  <w:font w:name="微软雅黑">
    <w:panose1 w:val="020B0503020204020204"/>
    <w:charset w:val="86"/>
    <w:family w:val="auto"/>
    <w:pitch w:val="default"/>
    <w:sig w:usb0="80000287" w:usb1="280F3C52" w:usb2="00000016" w:usb3="00000000" w:csb0="0004001F" w:csb1="00000000"/>
  </w:font>
  <w:font w:name="FZLTSK--GBK1-0">
    <w:altName w:val="Times New Roman"/>
    <w:panose1 w:val="00000000000000000000"/>
    <w:charset w:val="00"/>
    <w:family w:val="roman"/>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宋体-方正超大字符集">
    <w:altName w:val="宋体"/>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7835307"/>
    </w:sdtPr>
    <w:sdtContent>
      <w:sdt>
        <w:sdtPr>
          <w:id w:val="1080646581"/>
        </w:sdtPr>
        <w:sdtContent>
          <w:p>
            <w:pPr>
              <w:pStyle w:val="25"/>
              <w:jc w:val="cente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238</w:t>
            </w:r>
            <w:r>
              <w:rPr>
                <w:b/>
                <w:bCs/>
                <w:sz w:val="24"/>
                <w:szCs w:val="24"/>
              </w:rPr>
              <w:fldChar w:fldCharType="end"/>
            </w:r>
          </w:p>
        </w:sdtContent>
      </w:sdt>
    </w:sdtContent>
  </w:sdt>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2021年年度报告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tabs>
        <w:tab w:val="left" w:pos="8364"/>
        <w:tab w:val="left" w:pos="8505"/>
        <w:tab w:val="clear" w:pos="8306"/>
      </w:tabs>
      <w:ind w:right="21" w:rightChars="10"/>
      <w:rPr>
        <w:b/>
      </w:rPr>
    </w:pPr>
    <w:r>
      <w:rPr>
        <w:rFonts w:hint="eastAsia"/>
      </w:rPr>
      <w:t>2021年年度报告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3058"/>
    <w:multiLevelType w:val="multilevel"/>
    <w:tmpl w:val="00533058"/>
    <w:lvl w:ilvl="0" w:tentative="0">
      <w:start w:val="1"/>
      <w:numFmt w:val="decimal"/>
      <w:lvlText w:val="%1、"/>
      <w:lvlJc w:val="left"/>
      <w:pPr>
        <w:ind w:left="2978" w:hanging="425"/>
      </w:pPr>
      <w:rPr>
        <w:rFonts w:hint="eastAsia" w:ascii="宋体" w:hAnsi="宋体" w:eastAsia="宋体"/>
        <w:color w:val="auto"/>
        <w:sz w:val="21"/>
        <w:szCs w:val="21"/>
        <w:u w:val="none"/>
      </w:rPr>
    </w:lvl>
    <w:lvl w:ilvl="1" w:tentative="0">
      <w:start w:val="1"/>
      <w:numFmt w:val="chineseCountingThousand"/>
      <w:lvlText w:val="%2、"/>
      <w:lvlJc w:val="left"/>
      <w:pPr>
        <w:ind w:left="3120" w:hanging="567"/>
      </w:pPr>
      <w:rPr>
        <w:rFonts w:hint="eastAsia"/>
        <w:color w:val="auto"/>
      </w:rPr>
    </w:lvl>
    <w:lvl w:ilvl="2" w:tentative="0">
      <w:start w:val="1"/>
      <w:numFmt w:val="decimal"/>
      <w:lvlText w:val="%1.%2.%3"/>
      <w:lvlJc w:val="left"/>
      <w:pPr>
        <w:ind w:left="3971" w:hanging="567"/>
      </w:pPr>
      <w:rPr>
        <w:rFonts w:hint="eastAsia"/>
      </w:rPr>
    </w:lvl>
    <w:lvl w:ilvl="3" w:tentative="0">
      <w:start w:val="1"/>
      <w:numFmt w:val="decimal"/>
      <w:lvlText w:val="%1.%2.%3.%4"/>
      <w:lvlJc w:val="left"/>
      <w:pPr>
        <w:ind w:left="4537" w:hanging="708"/>
      </w:pPr>
      <w:rPr>
        <w:rFonts w:hint="eastAsia"/>
      </w:rPr>
    </w:lvl>
    <w:lvl w:ilvl="4" w:tentative="0">
      <w:start w:val="1"/>
      <w:numFmt w:val="decimal"/>
      <w:lvlText w:val="%1.%2.%3.%4.%5"/>
      <w:lvlJc w:val="left"/>
      <w:pPr>
        <w:ind w:left="5104" w:hanging="850"/>
      </w:pPr>
      <w:rPr>
        <w:rFonts w:hint="eastAsia"/>
      </w:rPr>
    </w:lvl>
    <w:lvl w:ilvl="5" w:tentative="0">
      <w:start w:val="1"/>
      <w:numFmt w:val="decimal"/>
      <w:lvlText w:val="%1.%2.%3.%4.%5.%6"/>
      <w:lvlJc w:val="left"/>
      <w:pPr>
        <w:ind w:left="5813" w:hanging="1134"/>
      </w:pPr>
      <w:rPr>
        <w:rFonts w:hint="eastAsia"/>
      </w:rPr>
    </w:lvl>
    <w:lvl w:ilvl="6" w:tentative="0">
      <w:start w:val="1"/>
      <w:numFmt w:val="decimal"/>
      <w:lvlText w:val="%1.%2.%3.%4.%5.%6.%7"/>
      <w:lvlJc w:val="left"/>
      <w:pPr>
        <w:ind w:left="6380" w:hanging="1276"/>
      </w:pPr>
      <w:rPr>
        <w:rFonts w:hint="eastAsia"/>
      </w:rPr>
    </w:lvl>
    <w:lvl w:ilvl="7" w:tentative="0">
      <w:start w:val="1"/>
      <w:numFmt w:val="decimal"/>
      <w:lvlText w:val="%1.%2.%3.%4.%5.%6.%7.%8"/>
      <w:lvlJc w:val="left"/>
      <w:pPr>
        <w:ind w:left="6947" w:hanging="1418"/>
      </w:pPr>
      <w:rPr>
        <w:rFonts w:hint="eastAsia"/>
      </w:rPr>
    </w:lvl>
    <w:lvl w:ilvl="8" w:tentative="0">
      <w:start w:val="1"/>
      <w:numFmt w:val="decimal"/>
      <w:lvlText w:val="%1.%2.%3.%4.%5.%6.%7.%8.%9"/>
      <w:lvlJc w:val="left"/>
      <w:pPr>
        <w:ind w:left="7655" w:hanging="1700"/>
      </w:pPr>
      <w:rPr>
        <w:rFonts w:hint="eastAsia"/>
      </w:rPr>
    </w:lvl>
  </w:abstractNum>
  <w:abstractNum w:abstractNumId="1">
    <w:nsid w:val="01C7576E"/>
    <w:multiLevelType w:val="multilevel"/>
    <w:tmpl w:val="01C7576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02E66CBA"/>
    <w:multiLevelType w:val="multilevel"/>
    <w:tmpl w:val="02E66CBA"/>
    <w:lvl w:ilvl="0" w:tentative="0">
      <w:start w:val="1"/>
      <w:numFmt w:val="chineseCountingThousand"/>
      <w:suff w:val="nothing"/>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7142FD"/>
    <w:multiLevelType w:val="multilevel"/>
    <w:tmpl w:val="037142FD"/>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B7239C"/>
    <w:multiLevelType w:val="multilevel"/>
    <w:tmpl w:val="03B7239C"/>
    <w:lvl w:ilvl="0" w:tentative="0">
      <w:start w:val="1"/>
      <w:numFmt w:val="chineseCountingThousand"/>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4141EE8"/>
    <w:multiLevelType w:val="multilevel"/>
    <w:tmpl w:val="04141EE8"/>
    <w:lvl w:ilvl="0" w:tentative="0">
      <w:start w:val="2"/>
      <w:numFmt w:val="decimal"/>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364DD5"/>
    <w:multiLevelType w:val="multilevel"/>
    <w:tmpl w:val="04364DD5"/>
    <w:lvl w:ilvl="0" w:tentative="0">
      <w:start w:val="1"/>
      <w:numFmt w:val="chineseCountingThousand"/>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4560F83"/>
    <w:multiLevelType w:val="multilevel"/>
    <w:tmpl w:val="04560F8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8">
    <w:nsid w:val="06A353DC"/>
    <w:multiLevelType w:val="multilevel"/>
    <w:tmpl w:val="06A353DC"/>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76A22C6"/>
    <w:multiLevelType w:val="multilevel"/>
    <w:tmpl w:val="076A22C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80D0CFB"/>
    <w:multiLevelType w:val="multilevel"/>
    <w:tmpl w:val="080D0CFB"/>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E1F5ED2"/>
    <w:multiLevelType w:val="multilevel"/>
    <w:tmpl w:val="0E1F5ED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0EFF791D"/>
    <w:multiLevelType w:val="multilevel"/>
    <w:tmpl w:val="0EFF791D"/>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0F171263"/>
    <w:multiLevelType w:val="multilevel"/>
    <w:tmpl w:val="0F17126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0FB258AF"/>
    <w:multiLevelType w:val="multilevel"/>
    <w:tmpl w:val="0FB258A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5">
    <w:nsid w:val="10A00340"/>
    <w:multiLevelType w:val="multilevel"/>
    <w:tmpl w:val="10A00340"/>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0EA07D7"/>
    <w:multiLevelType w:val="multilevel"/>
    <w:tmpl w:val="10EA07D7"/>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11732E84"/>
    <w:multiLevelType w:val="multilevel"/>
    <w:tmpl w:val="11732E8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8">
    <w:nsid w:val="14FE092F"/>
    <w:multiLevelType w:val="multilevel"/>
    <w:tmpl w:val="14FE092F"/>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9">
    <w:nsid w:val="15621257"/>
    <w:multiLevelType w:val="multilevel"/>
    <w:tmpl w:val="1562125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20">
    <w:nsid w:val="185F3408"/>
    <w:multiLevelType w:val="multilevel"/>
    <w:tmpl w:val="185F340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1">
    <w:nsid w:val="18982D2E"/>
    <w:multiLevelType w:val="multilevel"/>
    <w:tmpl w:val="18982D2E"/>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22">
    <w:nsid w:val="18A52FB9"/>
    <w:multiLevelType w:val="multilevel"/>
    <w:tmpl w:val="18A52FB9"/>
    <w:lvl w:ilvl="0" w:tentative="0">
      <w:start w:val="1"/>
      <w:numFmt w:val="chineseCountingThousand"/>
      <w:lvlText w:val="(%1)"/>
      <w:lvlJc w:val="left"/>
      <w:pPr>
        <w:ind w:left="420" w:hanging="420"/>
      </w:p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9B61093"/>
    <w:multiLevelType w:val="multilevel"/>
    <w:tmpl w:val="19B61093"/>
    <w:lvl w:ilvl="0" w:tentative="0">
      <w:start w:val="1"/>
      <w:numFmt w:val="chineseCountingThousand"/>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A876789"/>
    <w:multiLevelType w:val="multilevel"/>
    <w:tmpl w:val="1A876789"/>
    <w:lvl w:ilvl="0" w:tentative="0">
      <w:start w:val="1"/>
      <w:numFmt w:val="decimal"/>
      <w:lvlText w:val="%1."/>
      <w:lvlJc w:val="left"/>
      <w:pPr>
        <w:ind w:left="420" w:hanging="420"/>
      </w:pPr>
      <w:rPr>
        <w:rFonts w:asciiTheme="minorEastAsia" w:hAnsiTheme="minorEastAsia" w:eastAsia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B0970AA"/>
    <w:multiLevelType w:val="multilevel"/>
    <w:tmpl w:val="1B0970AA"/>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6">
    <w:nsid w:val="1BCF0D86"/>
    <w:multiLevelType w:val="multilevel"/>
    <w:tmpl w:val="1BCF0D86"/>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1CEC30BF"/>
    <w:multiLevelType w:val="multilevel"/>
    <w:tmpl w:val="1CEC30B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8">
    <w:nsid w:val="1CF17796"/>
    <w:multiLevelType w:val="multilevel"/>
    <w:tmpl w:val="1CF17796"/>
    <w:lvl w:ilvl="0" w:tentative="0">
      <w:start w:val="1"/>
      <w:numFmt w:val="japaneseCounting"/>
      <w:lvlText w:val="%1、"/>
      <w:lvlJc w:val="left"/>
      <w:pPr>
        <w:tabs>
          <w:tab w:val="left" w:pos="480"/>
        </w:tabs>
        <w:ind w:left="480" w:hanging="480"/>
      </w:pPr>
      <w:rPr>
        <w:rFonts w:hint="default" w:ascii="Times New Roman" w:hAnsi="Times New Roman" w:cs="Times New Roman"/>
      </w:rPr>
    </w:lvl>
    <w:lvl w:ilvl="1" w:tentative="0">
      <w:start w:val="1"/>
      <w:numFmt w:val="chineseCountingThousand"/>
      <w:lvlText w:val="（%2）"/>
      <w:lvlJc w:val="left"/>
      <w:pPr>
        <w:tabs>
          <w:tab w:val="left" w:pos="846"/>
        </w:tabs>
        <w:ind w:left="841" w:hanging="420"/>
      </w:pPr>
      <w:rPr>
        <w:rFonts w:hint="eastAsia" w:ascii="宋体" w:hAnsi="宋体" w:eastAsia="宋体"/>
      </w:rPr>
    </w:lvl>
    <w:lvl w:ilvl="2" w:tentative="0">
      <w:start w:val="1"/>
      <w:numFmt w:val="decimal"/>
      <w:lvlText w:val="%3."/>
      <w:lvlJc w:val="left"/>
      <w:pPr>
        <w:tabs>
          <w:tab w:val="left" w:pos="846"/>
        </w:tabs>
        <w:ind w:left="846"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29">
    <w:nsid w:val="1D11584D"/>
    <w:multiLevelType w:val="multilevel"/>
    <w:tmpl w:val="1D11584D"/>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0">
    <w:nsid w:val="1E235F8B"/>
    <w:multiLevelType w:val="multilevel"/>
    <w:tmpl w:val="1E235F8B"/>
    <w:lvl w:ilvl="0" w:tentative="0">
      <w:start w:val="1"/>
      <w:numFmt w:val="chineseCountingThousand"/>
      <w:lvlText w:val="第%1节"/>
      <w:lvlJc w:val="left"/>
      <w:pPr>
        <w:ind w:left="3119" w:hanging="425"/>
      </w:pPr>
      <w:rPr>
        <w:rFonts w:hint="eastAsia"/>
        <w:color w:val="auto"/>
        <w:sz w:val="28"/>
        <w:szCs w:val="28"/>
        <w:u w:val="none"/>
        <w:lang w:val="en-US"/>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1F4131F6"/>
    <w:multiLevelType w:val="multilevel"/>
    <w:tmpl w:val="1F4131F6"/>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1F6D425C"/>
    <w:multiLevelType w:val="multilevel"/>
    <w:tmpl w:val="1F6D425C"/>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1F9677B9"/>
    <w:multiLevelType w:val="multilevel"/>
    <w:tmpl w:val="1F9677B9"/>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4112"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34">
    <w:nsid w:val="1FD019D7"/>
    <w:multiLevelType w:val="multilevel"/>
    <w:tmpl w:val="1FD019D7"/>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35">
    <w:nsid w:val="204F3B0A"/>
    <w:multiLevelType w:val="multilevel"/>
    <w:tmpl w:val="204F3B0A"/>
    <w:lvl w:ilvl="0" w:tentative="0">
      <w:start w:val="1"/>
      <w:numFmt w:val="chineseCountingThousand"/>
      <w:lvlText w:val="(%1)"/>
      <w:lvlJc w:val="left"/>
      <w:pPr>
        <w:ind w:left="0" w:firstLine="0"/>
      </w:pPr>
      <w:rPr>
        <w:rFonts w:hint="default"/>
      </w:rPr>
    </w:lvl>
    <w:lvl w:ilvl="1" w:tentative="0">
      <w:start w:val="1"/>
      <w:numFmt w:val="chineseCountingThousand"/>
      <w:suff w:val="space"/>
      <w:lvlText w:val="(%2)"/>
      <w:lvlJc w:val="left"/>
      <w:pPr>
        <w:ind w:left="0" w:firstLine="0"/>
      </w:pPr>
      <w:rPr>
        <w:rFonts w:hint="eastAsia" w:ascii="宋体" w:hAnsi="宋体" w:eastAsia="宋体"/>
      </w:rPr>
    </w:lvl>
    <w:lvl w:ilvl="2" w:tentative="0">
      <w:start w:val="1"/>
      <w:numFmt w:val="chineseCountingThousand"/>
      <w:suff w:val="nothing"/>
      <w:lvlText w:val="(%3)"/>
      <w:lvlJc w:val="left"/>
      <w:pPr>
        <w:ind w:left="0" w:firstLine="0"/>
      </w:pPr>
      <w:rPr>
        <w:rFonts w:hint="eastAsia"/>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36">
    <w:nsid w:val="2121200C"/>
    <w:multiLevelType w:val="multilevel"/>
    <w:tmpl w:val="2121200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7">
    <w:nsid w:val="217F3B1B"/>
    <w:multiLevelType w:val="multilevel"/>
    <w:tmpl w:val="217F3B1B"/>
    <w:lvl w:ilvl="0" w:tentative="0">
      <w:start w:val="1"/>
      <w:numFmt w:val="decimal"/>
      <w:lvlText w:val="(%1)."/>
      <w:lvlJc w:val="left"/>
      <w:pPr>
        <w:ind w:left="1842" w:hanging="425"/>
      </w:pPr>
      <w:rPr>
        <w:rFonts w:hint="default" w:ascii="宋体" w:hAnsi="宋体" w:eastAsia="宋体"/>
        <w:color w:val="auto"/>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8">
    <w:nsid w:val="21A7388C"/>
    <w:multiLevelType w:val="multilevel"/>
    <w:tmpl w:val="21A7388C"/>
    <w:lvl w:ilvl="0" w:tentative="0">
      <w:start w:val="1"/>
      <w:numFmt w:val="chineseCountingThousand"/>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9">
    <w:nsid w:val="246C0E3A"/>
    <w:multiLevelType w:val="multilevel"/>
    <w:tmpl w:val="246C0E3A"/>
    <w:lvl w:ilvl="0" w:tentative="0">
      <w:start w:val="1"/>
      <w:numFmt w:val="decimal"/>
      <w:lvlText w:val="(%1). "/>
      <w:lvlJc w:val="left"/>
      <w:pPr>
        <w:ind w:left="425" w:hanging="425"/>
      </w:pPr>
      <w:rPr>
        <w:rFonts w:hint="eastAsia"/>
        <w:color w:val="auto"/>
        <w:u w:val="none"/>
      </w:rPr>
    </w:lvl>
    <w:lvl w:ilvl="1" w:tentative="0">
      <w:start w:val="1"/>
      <w:numFmt w:val="chineseCountingThousand"/>
      <w:lvlText w:val="%2、"/>
      <w:lvlJc w:val="left"/>
      <w:pPr>
        <w:ind w:left="567" w:hanging="567"/>
      </w:pPr>
      <w:rPr>
        <w:rFonts w:hint="eastAsia"/>
        <w:color w:val="auto"/>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0">
    <w:nsid w:val="273131BF"/>
    <w:multiLevelType w:val="multilevel"/>
    <w:tmpl w:val="273131B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41">
    <w:nsid w:val="2AB9492A"/>
    <w:multiLevelType w:val="multilevel"/>
    <w:tmpl w:val="2AB9492A"/>
    <w:lvl w:ilvl="0" w:tentative="0">
      <w:start w:val="1"/>
      <w:numFmt w:val="decimal"/>
      <w:lvlText w:val="%1."/>
      <w:lvlJc w:val="left"/>
      <w:pPr>
        <w:ind w:left="425" w:hanging="425"/>
      </w:pPr>
    </w:lvl>
    <w:lvl w:ilvl="1" w:tentative="0">
      <w:start w:val="1"/>
      <w:numFmt w:val="chineseCountingThousand"/>
      <w:lvlText w:val="(%2)"/>
      <w:lvlJc w:val="left"/>
      <w:pPr>
        <w:ind w:left="567" w:hanging="567"/>
      </w:pPr>
      <w:rPr>
        <w:rFonts w:ascii="宋体" w:hAnsi="宋体" w:eastAsia="宋体"/>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2">
    <w:nsid w:val="2ABA4DE5"/>
    <w:multiLevelType w:val="multilevel"/>
    <w:tmpl w:val="2ABA4DE5"/>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2ABA5091"/>
    <w:multiLevelType w:val="multilevel"/>
    <w:tmpl w:val="2ABA5091"/>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2AF651E5"/>
    <w:multiLevelType w:val="multilevel"/>
    <w:tmpl w:val="2AF651E5"/>
    <w:lvl w:ilvl="0" w:tentative="0">
      <w:start w:val="1"/>
      <w:numFmt w:val="decimal"/>
      <w:suff w:val="nothing"/>
      <w:lvlText w:val="(%1). "/>
      <w:lvlJc w:val="left"/>
      <w:pPr>
        <w:ind w:left="420" w:hanging="420"/>
      </w:pPr>
      <w:rPr>
        <w:rFonts w:hint="eastAsia" w:ascii="宋体" w:hAnsi="宋体" w:eastAsia="宋体"/>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2B081EE9"/>
    <w:multiLevelType w:val="multilevel"/>
    <w:tmpl w:val="2B081EE9"/>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6">
    <w:nsid w:val="2C7D045A"/>
    <w:multiLevelType w:val="multilevel"/>
    <w:tmpl w:val="2C7D045A"/>
    <w:lvl w:ilvl="0" w:tentative="0">
      <w:start w:val="1"/>
      <w:numFmt w:val="decimal"/>
      <w:suff w:val="nothing"/>
      <w:lvlText w:val="%1、 "/>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2D223BC3"/>
    <w:multiLevelType w:val="multilevel"/>
    <w:tmpl w:val="2D223BC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8">
    <w:nsid w:val="2DE55932"/>
    <w:multiLevelType w:val="multilevel"/>
    <w:tmpl w:val="2DE55932"/>
    <w:lvl w:ilvl="0" w:tentative="0">
      <w:start w:val="1"/>
      <w:numFmt w:val="chineseCountingThousand"/>
      <w:suff w:val="nothing"/>
      <w:lvlText w:val="%1、"/>
      <w:lvlJc w:val="left"/>
      <w:pPr>
        <w:ind w:left="420" w:hanging="420"/>
      </w:pPr>
      <w:rPr>
        <w:rFonts w:hint="eastAsia"/>
        <w:b/>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2EE12A98"/>
    <w:multiLevelType w:val="multilevel"/>
    <w:tmpl w:val="2EE12A98"/>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0">
    <w:nsid w:val="31042AC8"/>
    <w:multiLevelType w:val="multilevel"/>
    <w:tmpl w:val="31042AC8"/>
    <w:lvl w:ilvl="0" w:tentative="0">
      <w:start w:val="1"/>
      <w:numFmt w:val="chineseCountingThousand"/>
      <w:suff w:val="nothing"/>
      <w:lvlText w:val="%1、"/>
      <w:lvlJc w:val="left"/>
      <w:pPr>
        <w:ind w:left="420" w:hanging="420"/>
      </w:pPr>
      <w:rPr>
        <w:color w:val="auto"/>
      </w:rPr>
    </w:lvl>
    <w:lvl w:ilvl="1" w:tentative="0">
      <w:start w:val="1"/>
      <w:numFmt w:val="japaneseCounting"/>
      <w:lvlText w:val="%2、"/>
      <w:lvlJc w:val="left"/>
      <w:pPr>
        <w:ind w:left="840" w:hanging="420"/>
      </w:pPr>
      <w:rPr>
        <w:rFonts w:hint="default"/>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1">
    <w:nsid w:val="31193608"/>
    <w:multiLevelType w:val="multilevel"/>
    <w:tmpl w:val="31193608"/>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52">
    <w:nsid w:val="322A2C22"/>
    <w:multiLevelType w:val="multilevel"/>
    <w:tmpl w:val="322A2C22"/>
    <w:lvl w:ilvl="0" w:tentative="0">
      <w:start w:val="1"/>
      <w:numFmt w:val="decimal"/>
      <w:lvlText w:val="%1."/>
      <w:lvlJc w:val="left"/>
      <w:pPr>
        <w:ind w:left="420" w:hanging="420"/>
      </w:pPr>
      <w:rPr>
        <w:rFonts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326F7C0F"/>
    <w:multiLevelType w:val="multilevel"/>
    <w:tmpl w:val="326F7C0F"/>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3438131C"/>
    <w:multiLevelType w:val="multilevel"/>
    <w:tmpl w:val="3438131C"/>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5">
    <w:nsid w:val="352D39A8"/>
    <w:multiLevelType w:val="multilevel"/>
    <w:tmpl w:val="352D39A8"/>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37C3610E"/>
    <w:multiLevelType w:val="multilevel"/>
    <w:tmpl w:val="37C3610E"/>
    <w:lvl w:ilvl="0" w:tentative="0">
      <w:start w:val="1"/>
      <w:numFmt w:val="chineseCountingThousand"/>
      <w:lvlText w:val="%1、"/>
      <w:lvlJc w:val="left"/>
      <w:pPr>
        <w:ind w:left="704" w:hanging="420"/>
      </w:pPr>
      <w:rPr>
        <w:rFonts w:hint="default"/>
        <w:b/>
        <w:i w:val="0"/>
        <w:color w:val="auto"/>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3D2B6D0A"/>
    <w:multiLevelType w:val="multilevel"/>
    <w:tmpl w:val="3D2B6D0A"/>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chineseCountingThousand"/>
      <w:lvlText w:val="(%2)"/>
      <w:lvlJc w:val="left"/>
      <w:pPr>
        <w:ind w:left="840" w:hanging="420"/>
      </w:pPr>
    </w:lvl>
    <w:lvl w:ilvl="2" w:tentative="0">
      <w:start w:val="1"/>
      <w:numFmt w:val="decimal"/>
      <w:lvlText w:val="%3、"/>
      <w:lvlJc w:val="left"/>
      <w:pPr>
        <w:ind w:left="1200" w:hanging="36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3D620F38"/>
    <w:multiLevelType w:val="multilevel"/>
    <w:tmpl w:val="3D620F38"/>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3DC039A2"/>
    <w:multiLevelType w:val="multilevel"/>
    <w:tmpl w:val="3DC039A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0">
    <w:nsid w:val="3EA740FE"/>
    <w:multiLevelType w:val="multilevel"/>
    <w:tmpl w:val="3EA740FE"/>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1">
    <w:nsid w:val="3F1C5616"/>
    <w:multiLevelType w:val="multilevel"/>
    <w:tmpl w:val="3F1C561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3FAB46A5"/>
    <w:multiLevelType w:val="multilevel"/>
    <w:tmpl w:val="3FAB46A5"/>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3">
    <w:nsid w:val="401A73B0"/>
    <w:multiLevelType w:val="multilevel"/>
    <w:tmpl w:val="401A73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4">
    <w:nsid w:val="40973487"/>
    <w:multiLevelType w:val="multilevel"/>
    <w:tmpl w:val="4097348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65">
    <w:nsid w:val="42F33200"/>
    <w:multiLevelType w:val="multilevel"/>
    <w:tmpl w:val="42F33200"/>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43747133"/>
    <w:multiLevelType w:val="multilevel"/>
    <w:tmpl w:val="43747133"/>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67">
    <w:nsid w:val="44360F32"/>
    <w:multiLevelType w:val="multilevel"/>
    <w:tmpl w:val="44360F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68">
    <w:nsid w:val="44D151ED"/>
    <w:multiLevelType w:val="multilevel"/>
    <w:tmpl w:val="44D151E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452D24C2"/>
    <w:multiLevelType w:val="multilevel"/>
    <w:tmpl w:val="452D24C2"/>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0">
    <w:nsid w:val="45796619"/>
    <w:multiLevelType w:val="multilevel"/>
    <w:tmpl w:val="45796619"/>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1">
    <w:nsid w:val="457A0AC3"/>
    <w:multiLevelType w:val="multilevel"/>
    <w:tmpl w:val="457A0AC3"/>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72">
    <w:nsid w:val="462239C2"/>
    <w:multiLevelType w:val="multilevel"/>
    <w:tmpl w:val="462239C2"/>
    <w:lvl w:ilvl="0" w:tentative="0">
      <w:start w:val="1"/>
      <w:numFmt w:val="decimal"/>
      <w:lvlText w:val="%1．"/>
      <w:lvlJc w:val="left"/>
      <w:pPr>
        <w:ind w:left="782" w:hanging="360"/>
      </w:pPr>
      <w:rPr>
        <w:rFonts w:hint="default" w:ascii="Times New Roman" w:hAnsi="Times New Roman" w:cs="Times New Roman"/>
      </w:rPr>
    </w:lvl>
    <w:lvl w:ilvl="1" w:tentative="0">
      <w:start w:val="1"/>
      <w:numFmt w:val="lowerLetter"/>
      <w:lvlText w:val="%2)"/>
      <w:lvlJc w:val="left"/>
      <w:pPr>
        <w:ind w:left="1262" w:hanging="420"/>
      </w:pPr>
      <w:rPr>
        <w:rFonts w:hint="default" w:ascii="Times New Roman" w:hAnsi="Times New Roman" w:cs="Times New Roman"/>
      </w:rPr>
    </w:lvl>
    <w:lvl w:ilvl="2" w:tentative="0">
      <w:start w:val="1"/>
      <w:numFmt w:val="lowerRoman"/>
      <w:lvlText w:val="%3."/>
      <w:lvlJc w:val="right"/>
      <w:pPr>
        <w:ind w:left="1682" w:hanging="420"/>
      </w:pPr>
      <w:rPr>
        <w:rFonts w:hint="default" w:ascii="Times New Roman" w:hAnsi="Times New Roman" w:cs="Times New Roman"/>
      </w:rPr>
    </w:lvl>
    <w:lvl w:ilvl="3" w:tentative="0">
      <w:start w:val="1"/>
      <w:numFmt w:val="decimal"/>
      <w:lvlText w:val="%4."/>
      <w:lvlJc w:val="left"/>
      <w:pPr>
        <w:ind w:left="2102" w:hanging="420"/>
      </w:pPr>
      <w:rPr>
        <w:rFonts w:hint="default" w:ascii="Times New Roman" w:hAnsi="Times New Roman" w:cs="Times New Roman"/>
      </w:rPr>
    </w:lvl>
    <w:lvl w:ilvl="4" w:tentative="0">
      <w:start w:val="1"/>
      <w:numFmt w:val="lowerLetter"/>
      <w:lvlText w:val="%5)"/>
      <w:lvlJc w:val="left"/>
      <w:pPr>
        <w:ind w:left="2522" w:hanging="420"/>
      </w:pPr>
      <w:rPr>
        <w:rFonts w:hint="default" w:ascii="Times New Roman" w:hAnsi="Times New Roman" w:cs="Times New Roman"/>
      </w:rPr>
    </w:lvl>
    <w:lvl w:ilvl="5" w:tentative="0">
      <w:start w:val="1"/>
      <w:numFmt w:val="lowerRoman"/>
      <w:lvlText w:val="%6."/>
      <w:lvlJc w:val="right"/>
      <w:pPr>
        <w:ind w:left="2942" w:hanging="420"/>
      </w:pPr>
      <w:rPr>
        <w:rFonts w:hint="default" w:ascii="Times New Roman" w:hAnsi="Times New Roman" w:cs="Times New Roman"/>
      </w:rPr>
    </w:lvl>
    <w:lvl w:ilvl="6" w:tentative="0">
      <w:start w:val="1"/>
      <w:numFmt w:val="decimal"/>
      <w:lvlText w:val="%7."/>
      <w:lvlJc w:val="left"/>
      <w:pPr>
        <w:ind w:left="3362" w:hanging="420"/>
      </w:pPr>
      <w:rPr>
        <w:rFonts w:hint="default" w:ascii="Times New Roman" w:hAnsi="Times New Roman" w:cs="Times New Roman"/>
      </w:rPr>
    </w:lvl>
    <w:lvl w:ilvl="7" w:tentative="0">
      <w:start w:val="1"/>
      <w:numFmt w:val="lowerLetter"/>
      <w:lvlText w:val="%8)"/>
      <w:lvlJc w:val="left"/>
      <w:pPr>
        <w:ind w:left="3782" w:hanging="420"/>
      </w:pPr>
      <w:rPr>
        <w:rFonts w:hint="default" w:ascii="Times New Roman" w:hAnsi="Times New Roman" w:cs="Times New Roman"/>
      </w:rPr>
    </w:lvl>
    <w:lvl w:ilvl="8" w:tentative="0">
      <w:start w:val="1"/>
      <w:numFmt w:val="lowerRoman"/>
      <w:lvlText w:val="%9."/>
      <w:lvlJc w:val="right"/>
      <w:pPr>
        <w:ind w:left="4202" w:hanging="420"/>
      </w:pPr>
      <w:rPr>
        <w:rFonts w:hint="default" w:ascii="Times New Roman" w:hAnsi="Times New Roman" w:cs="Times New Roman"/>
      </w:rPr>
    </w:lvl>
  </w:abstractNum>
  <w:abstractNum w:abstractNumId="73">
    <w:nsid w:val="463E0B3C"/>
    <w:multiLevelType w:val="multilevel"/>
    <w:tmpl w:val="463E0B3C"/>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4">
    <w:nsid w:val="464473E5"/>
    <w:multiLevelType w:val="multilevel"/>
    <w:tmpl w:val="464473E5"/>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5">
    <w:nsid w:val="46E20981"/>
    <w:multiLevelType w:val="multilevel"/>
    <w:tmpl w:val="46E2098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6">
    <w:nsid w:val="49C71EB0"/>
    <w:multiLevelType w:val="multilevel"/>
    <w:tmpl w:val="49C71EB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77">
    <w:nsid w:val="4A125FEF"/>
    <w:multiLevelType w:val="multilevel"/>
    <w:tmpl w:val="4A125FE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8">
    <w:nsid w:val="4AC122AF"/>
    <w:multiLevelType w:val="multilevel"/>
    <w:tmpl w:val="4AC122AF"/>
    <w:lvl w:ilvl="0" w:tentative="0">
      <w:start w:val="1"/>
      <w:numFmt w:val="japaneseCounting"/>
      <w:lvlText w:val="%1、"/>
      <w:lvlJc w:val="left"/>
      <w:pPr>
        <w:tabs>
          <w:tab w:val="left" w:pos="480"/>
        </w:tabs>
        <w:ind w:left="480" w:hanging="480"/>
      </w:pPr>
      <w:rPr>
        <w:rFonts w:hint="default" w:ascii="Times New Roman" w:hAnsi="Times New Roman" w:cs="Times New Roman"/>
      </w:rPr>
    </w:lvl>
    <w:lvl w:ilvl="1" w:tentative="0">
      <w:start w:val="1"/>
      <w:numFmt w:val="chineseCountingThousand"/>
      <w:lvlText w:val="（%2）"/>
      <w:lvlJc w:val="left"/>
      <w:pPr>
        <w:tabs>
          <w:tab w:val="left" w:pos="846"/>
        </w:tabs>
        <w:ind w:left="846" w:hanging="420"/>
      </w:pPr>
      <w:rPr>
        <w:rFonts w:hint="eastAsia" w:ascii="宋体" w:hAnsi="宋体" w:eastAsia="宋体"/>
      </w:rPr>
    </w:lvl>
    <w:lvl w:ilvl="2" w:tentative="0">
      <w:start w:val="1"/>
      <w:numFmt w:val="decimal"/>
      <w:lvlText w:val="%3."/>
      <w:lvlJc w:val="left"/>
      <w:pPr>
        <w:tabs>
          <w:tab w:val="left" w:pos="846"/>
        </w:tabs>
        <w:ind w:left="846"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abstractNum w:abstractNumId="79">
    <w:nsid w:val="4AC23DB8"/>
    <w:multiLevelType w:val="multilevel"/>
    <w:tmpl w:val="4AC23DB8"/>
    <w:lvl w:ilvl="0" w:tentative="0">
      <w:start w:val="1"/>
      <w:numFmt w:val="chineseCountingThousand"/>
      <w:suff w:val="space"/>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4ACD5C44"/>
    <w:multiLevelType w:val="multilevel"/>
    <w:tmpl w:val="4ACD5C44"/>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4B8A1F74"/>
    <w:multiLevelType w:val="multilevel"/>
    <w:tmpl w:val="4B8A1F74"/>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2">
    <w:nsid w:val="4C5633A4"/>
    <w:multiLevelType w:val="multilevel"/>
    <w:tmpl w:val="4C5633A4"/>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83">
    <w:nsid w:val="4FF23454"/>
    <w:multiLevelType w:val="multilevel"/>
    <w:tmpl w:val="4FF23454"/>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4">
    <w:nsid w:val="50F33864"/>
    <w:multiLevelType w:val="multilevel"/>
    <w:tmpl w:val="50F33864"/>
    <w:lvl w:ilvl="0" w:tentative="0">
      <w:start w:val="1"/>
      <w:numFmt w:val="chineseCountingThousand"/>
      <w:lvlText w:val="(%1)"/>
      <w:lvlJc w:val="right"/>
      <w:pPr>
        <w:ind w:left="1260" w:hanging="420"/>
      </w:pPr>
      <w:rPr>
        <w:rFonts w:hint="eastAsia"/>
      </w:rPr>
    </w:lvl>
    <w:lvl w:ilvl="1" w:tentative="0">
      <w:start w:val="1"/>
      <w:numFmt w:val="lowerLetter"/>
      <w:lvlText w:val="%2)"/>
      <w:lvlJc w:val="left"/>
      <w:pPr>
        <w:ind w:left="840" w:hanging="420"/>
      </w:pPr>
    </w:lvl>
    <w:lvl w:ilvl="2" w:tentative="0">
      <w:start w:val="1"/>
      <w:numFmt w:val="chineseCountingThousand"/>
      <w:lvlText w:val="(%3)"/>
      <w:lvlJc w:val="right"/>
      <w:pPr>
        <w:ind w:left="420" w:hanging="420"/>
      </w:pPr>
      <w:rPr>
        <w:rFonts w:hint="eastAsia"/>
      </w:rPr>
    </w:lvl>
    <w:lvl w:ilvl="3" w:tentative="0">
      <w:start w:val="1"/>
      <w:numFmt w:val="chineseCountingThousand"/>
      <w:suff w:val="nothing"/>
      <w:lvlText w:val="(%4)"/>
      <w:lvlJc w:val="left"/>
      <w:pPr>
        <w:ind w:left="1680" w:hanging="420"/>
      </w:pPr>
      <w:rPr>
        <w:rFonts w:hint="eastAsia" w:ascii="宋体" w:hAnsi="宋体" w:eastAsia="宋体"/>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5">
    <w:nsid w:val="511727FE"/>
    <w:multiLevelType w:val="multilevel"/>
    <w:tmpl w:val="511727FE"/>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hint="eastAsia" w:ascii="宋体" w:hAnsi="宋体" w:eastAsia="宋体"/>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86">
    <w:nsid w:val="51265863"/>
    <w:multiLevelType w:val="multilevel"/>
    <w:tmpl w:val="51265863"/>
    <w:lvl w:ilvl="0" w:tentative="0">
      <w:start w:val="1"/>
      <w:numFmt w:val="chineseCountingThousand"/>
      <w:lvlText w:val="(%1)"/>
      <w:lvlJc w:val="left"/>
      <w:pPr>
        <w:ind w:left="420" w:hanging="420"/>
      </w:pPr>
    </w:lvl>
    <w:lvl w:ilvl="1" w:tentative="0">
      <w:start w:val="1"/>
      <w:numFmt w:val="decimal"/>
      <w:lvlText w:val="(%2). "/>
      <w:lvlJc w:val="left"/>
      <w:pPr>
        <w:ind w:left="840" w:hanging="420"/>
      </w:pPr>
      <w:rPr>
        <w:rFonts w:hint="eastAsia" w:ascii="宋体" w:hAnsi="宋体" w:eastAsia="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7">
    <w:nsid w:val="51AD31E7"/>
    <w:multiLevelType w:val="multilevel"/>
    <w:tmpl w:val="51AD31E7"/>
    <w:lvl w:ilvl="0" w:tentative="0">
      <w:start w:val="1"/>
      <w:numFmt w:val="chineseCountingThousand"/>
      <w:lvlText w:val="(%1)"/>
      <w:lvlJc w:val="left"/>
      <w:pPr>
        <w:ind w:left="736" w:hanging="420"/>
      </w:pPr>
      <w:rPr>
        <w:rFonts w:hint="eastAsia" w:ascii="宋体" w:hAnsi="宋体" w:eastAsia="宋体"/>
      </w:rPr>
    </w:lvl>
    <w:lvl w:ilvl="1" w:tentative="0">
      <w:start w:val="1"/>
      <w:numFmt w:val="chineseCountingThousand"/>
      <w:lvlText w:val="(%2)"/>
      <w:lvlJc w:val="left"/>
      <w:pPr>
        <w:ind w:left="840" w:hanging="420"/>
      </w:pPr>
      <w:rPr>
        <w:rFonts w:hint="eastAsia" w:ascii="宋体" w:hAnsi="宋体" w:eastAsia="宋体"/>
      </w:rPr>
    </w:lvl>
    <w:lvl w:ilvl="2" w:tentative="0">
      <w:start w:val="1"/>
      <w:numFmt w:val="decimal"/>
      <w:lvlText w:val="%3、"/>
      <w:lvlJc w:val="left"/>
      <w:pPr>
        <w:ind w:left="1200" w:hanging="360"/>
      </w:pPr>
      <w:rPr>
        <w:rFonts w:hint="default" w:ascii="Times New Roman" w:hAnsi="Times New Roman" w:cs="Times New Roman"/>
      </w:rPr>
    </w:lvl>
    <w:lvl w:ilvl="3" w:tentative="0">
      <w:start w:val="1"/>
      <w:numFmt w:val="decimal"/>
      <w:lvlText w:val="%4．"/>
      <w:lvlJc w:val="left"/>
      <w:pPr>
        <w:ind w:left="1620" w:hanging="36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88">
    <w:nsid w:val="520C604D"/>
    <w:multiLevelType w:val="multilevel"/>
    <w:tmpl w:val="520C604D"/>
    <w:lvl w:ilvl="0" w:tentative="0">
      <w:start w:val="1"/>
      <w:numFmt w:val="decimal"/>
      <w:lvlText w:val="(%1)"/>
      <w:lvlJc w:val="left"/>
      <w:pPr>
        <w:ind w:left="360" w:hanging="360"/>
      </w:pPr>
      <w:rPr>
        <w:rFonts w:hint="default" w:ascii="宋体" w:hAnsi="宋体" w:cs="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9">
    <w:nsid w:val="52794164"/>
    <w:multiLevelType w:val="multilevel"/>
    <w:tmpl w:val="52794164"/>
    <w:lvl w:ilvl="0" w:tentative="0">
      <w:start w:val="1"/>
      <w:numFmt w:val="chineseCountingThousand"/>
      <w:lvlText w:val="(%1)"/>
      <w:lvlJc w:val="left"/>
      <w:pPr>
        <w:ind w:left="736" w:hanging="420"/>
      </w:pPr>
      <w:rPr>
        <w:rFonts w:hint="eastAsia"/>
      </w:rPr>
    </w:lvl>
    <w:lvl w:ilvl="1" w:tentative="0">
      <w:start w:val="1"/>
      <w:numFmt w:val="chineseCountingThousand"/>
      <w:lvlText w:val="(%2)"/>
      <w:lvlJc w:val="left"/>
      <w:pPr>
        <w:ind w:left="840" w:hanging="420"/>
      </w:pPr>
      <w:rPr>
        <w:rFonts w:hint="eastAsia"/>
      </w:rPr>
    </w:lvl>
    <w:lvl w:ilvl="2" w:tentative="0">
      <w:start w:val="1"/>
      <w:numFmt w:val="decimal"/>
      <w:lvlText w:val="%3．"/>
      <w:lvlJc w:val="left"/>
      <w:pPr>
        <w:ind w:left="1200" w:hanging="360"/>
      </w:pPr>
      <w:rPr>
        <w:rFonts w:hint="default"/>
      </w:rPr>
    </w:lvl>
    <w:lvl w:ilvl="3" w:tentative="0">
      <w:start w:val="1"/>
      <w:numFmt w:val="decimal"/>
      <w:lvlText w:val="%4、"/>
      <w:lvlJc w:val="left"/>
      <w:pPr>
        <w:ind w:left="1620" w:hanging="360"/>
      </w:pPr>
      <w:rPr>
        <w:rFonts w:hint="default"/>
      </w:r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0">
    <w:nsid w:val="531A49E7"/>
    <w:multiLevelType w:val="multilevel"/>
    <w:tmpl w:val="531A49E7"/>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91">
    <w:nsid w:val="542027AB"/>
    <w:multiLevelType w:val="multilevel"/>
    <w:tmpl w:val="542027AB"/>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2">
    <w:nsid w:val="5455003E"/>
    <w:multiLevelType w:val="multilevel"/>
    <w:tmpl w:val="5455003E"/>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93">
    <w:nsid w:val="54B577AB"/>
    <w:multiLevelType w:val="multilevel"/>
    <w:tmpl w:val="54B577A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4">
    <w:nsid w:val="57D70908"/>
    <w:multiLevelType w:val="multilevel"/>
    <w:tmpl w:val="57D70908"/>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57D70C03"/>
    <w:multiLevelType w:val="multilevel"/>
    <w:tmpl w:val="57D70C0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6">
    <w:nsid w:val="59862246"/>
    <w:multiLevelType w:val="multilevel"/>
    <w:tmpl w:val="59862246"/>
    <w:lvl w:ilvl="0" w:tentative="0">
      <w:start w:val="1"/>
      <w:numFmt w:val="decimal"/>
      <w:lvlText w:val="%1、"/>
      <w:lvlJc w:val="left"/>
      <w:pPr>
        <w:ind w:left="425" w:hanging="425"/>
      </w:pPr>
      <w:rPr>
        <w:rFonts w:hint="eastAsia" w:ascii="宋体" w:hAnsi="宋体" w:eastAsia="宋体"/>
        <w:b/>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7">
    <w:nsid w:val="59EF7C0F"/>
    <w:multiLevelType w:val="multilevel"/>
    <w:tmpl w:val="59EF7C0F"/>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8">
    <w:nsid w:val="5BDC5A30"/>
    <w:multiLevelType w:val="multilevel"/>
    <w:tmpl w:val="5BDC5A30"/>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99">
    <w:nsid w:val="5C673432"/>
    <w:multiLevelType w:val="multilevel"/>
    <w:tmpl w:val="5C673432"/>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ascii="宋体" w:hAnsi="宋体" w:eastAsia="宋体"/>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0">
    <w:nsid w:val="5CA85E2E"/>
    <w:multiLevelType w:val="multilevel"/>
    <w:tmpl w:val="5CA85E2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suff w:val="nothing"/>
      <w:lvlText w:val="(%4). "/>
      <w:lvlJc w:val="left"/>
      <w:pPr>
        <w:ind w:left="851" w:hanging="851"/>
      </w:pPr>
      <w:rPr>
        <w:rFonts w:hint="default" w:ascii="宋体" w:hAnsi="宋体" w:eastAsia="宋体"/>
        <w:b/>
        <w:color w:val="auto"/>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1">
    <w:nsid w:val="5D107713"/>
    <w:multiLevelType w:val="multilevel"/>
    <w:tmpl w:val="5D107713"/>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2">
    <w:nsid w:val="5DB24638"/>
    <w:multiLevelType w:val="multilevel"/>
    <w:tmpl w:val="5DB24638"/>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3">
    <w:nsid w:val="5F755A71"/>
    <w:multiLevelType w:val="multilevel"/>
    <w:tmpl w:val="5F755A71"/>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4">
    <w:nsid w:val="60421A59"/>
    <w:multiLevelType w:val="multilevel"/>
    <w:tmpl w:val="60421A59"/>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5">
    <w:nsid w:val="60D22A85"/>
    <w:multiLevelType w:val="multilevel"/>
    <w:tmpl w:val="60D22A85"/>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6">
    <w:nsid w:val="60EB4FD5"/>
    <w:multiLevelType w:val="multilevel"/>
    <w:tmpl w:val="60EB4FD5"/>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07">
    <w:nsid w:val="649E600F"/>
    <w:multiLevelType w:val="multilevel"/>
    <w:tmpl w:val="649E600F"/>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08">
    <w:nsid w:val="66B75840"/>
    <w:multiLevelType w:val="multilevel"/>
    <w:tmpl w:val="66B75840"/>
    <w:lvl w:ilvl="0" w:tentative="0">
      <w:start w:val="1"/>
      <w:numFmt w:val="chineseCountingThousand"/>
      <w:lvlText w:val="(%1)"/>
      <w:lvlJc w:val="left"/>
      <w:pPr>
        <w:ind w:left="736" w:hanging="420"/>
      </w:pPr>
      <w:rPr>
        <w:rFonts w:hint="eastAsia" w:ascii="宋体" w:hAnsi="宋体" w:eastAsia="宋体"/>
      </w:rPr>
    </w:lvl>
    <w:lvl w:ilvl="1" w:tentative="0">
      <w:start w:val="1"/>
      <w:numFmt w:val="chineseCountingThousand"/>
      <w:lvlText w:val="(%2)"/>
      <w:lvlJc w:val="left"/>
      <w:pPr>
        <w:ind w:left="840" w:hanging="420"/>
      </w:pPr>
      <w:rPr>
        <w:rFonts w:hint="eastAsia" w:ascii="宋体" w:hAnsi="宋体" w:eastAsia="宋体"/>
      </w:rPr>
    </w:lvl>
    <w:lvl w:ilvl="2" w:tentative="0">
      <w:start w:val="1"/>
      <w:numFmt w:val="decimal"/>
      <w:lvlText w:val="%3．"/>
      <w:lvlJc w:val="left"/>
      <w:pPr>
        <w:ind w:left="1200" w:hanging="360"/>
      </w:pPr>
      <w:rPr>
        <w:rFonts w:hint="default" w:ascii="Times New Roman" w:hAnsi="Times New Roman" w:cs="Times New Roman"/>
      </w:rPr>
    </w:lvl>
    <w:lvl w:ilvl="3" w:tentative="0">
      <w:start w:val="1"/>
      <w:numFmt w:val="decimal"/>
      <w:lvlText w:val="%4、"/>
      <w:lvlJc w:val="left"/>
      <w:pPr>
        <w:ind w:left="1620" w:hanging="36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09">
    <w:nsid w:val="694D0F71"/>
    <w:multiLevelType w:val="multilevel"/>
    <w:tmpl w:val="694D0F7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0">
    <w:nsid w:val="69535DE9"/>
    <w:multiLevelType w:val="multilevel"/>
    <w:tmpl w:val="69535DE9"/>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1">
    <w:nsid w:val="69BA4BB7"/>
    <w:multiLevelType w:val="multilevel"/>
    <w:tmpl w:val="69BA4BB7"/>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2">
    <w:nsid w:val="6B96254F"/>
    <w:multiLevelType w:val="multilevel"/>
    <w:tmpl w:val="6B96254F"/>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984" w:hanging="708"/>
      </w:pPr>
      <w:rPr>
        <w:rFonts w:hint="eastAsia" w:ascii="宋体" w:hAnsi="宋体" w:eastAsia="宋体"/>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3">
    <w:nsid w:val="6F111C3A"/>
    <w:multiLevelType w:val="multilevel"/>
    <w:tmpl w:val="6F111C3A"/>
    <w:lvl w:ilvl="0" w:tentative="0">
      <w:start w:val="1"/>
      <w:numFmt w:val="decimal"/>
      <w:lvlText w:val="(%1)."/>
      <w:lvlJc w:val="left"/>
      <w:pPr>
        <w:ind w:left="425" w:hanging="425"/>
      </w:pPr>
      <w:rPr>
        <w:rFonts w:hint="eastAsia"/>
      </w:rPr>
    </w:lvl>
    <w:lvl w:ilvl="1" w:tentative="0">
      <w:start w:val="1"/>
      <w:numFmt w:val="chineseCountingThousand"/>
      <w:lvlText w:val="(%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4">
    <w:nsid w:val="701D5786"/>
    <w:multiLevelType w:val="multilevel"/>
    <w:tmpl w:val="701D5786"/>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5">
    <w:nsid w:val="70A4034A"/>
    <w:multiLevelType w:val="multilevel"/>
    <w:tmpl w:val="70A4034A"/>
    <w:lvl w:ilvl="0" w:tentative="0">
      <w:start w:val="1"/>
      <w:numFmt w:val="chineseCountingThousand"/>
      <w:suff w:val="nothing"/>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6">
    <w:nsid w:val="70E42A22"/>
    <w:multiLevelType w:val="multilevel"/>
    <w:tmpl w:val="70E42A22"/>
    <w:lvl w:ilvl="0" w:tentative="0">
      <w:start w:val="1"/>
      <w:numFmt w:val="decimal"/>
      <w:lvlText w:val="%1."/>
      <w:lvlJc w:val="left"/>
      <w:pPr>
        <w:ind w:left="425" w:hanging="425"/>
      </w:pPr>
    </w:lvl>
    <w:lvl w:ilvl="1" w:tentative="0">
      <w:start w:val="1"/>
      <w:numFmt w:val="chineseCountingThousand"/>
      <w:lvlText w:val="(%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7">
    <w:nsid w:val="73FB28AC"/>
    <w:multiLevelType w:val="multilevel"/>
    <w:tmpl w:val="73FB28AC"/>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18">
    <w:nsid w:val="7405377B"/>
    <w:multiLevelType w:val="multilevel"/>
    <w:tmpl w:val="7405377B"/>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9">
    <w:nsid w:val="74716D69"/>
    <w:multiLevelType w:val="multilevel"/>
    <w:tmpl w:val="74716D69"/>
    <w:lvl w:ilvl="0" w:tentative="0">
      <w:start w:val="1"/>
      <w:numFmt w:val="decimal"/>
      <w:suff w:val="nothing"/>
      <w:lvlText w:val="(%1)."/>
      <w:lvlJc w:val="left"/>
      <w:pPr>
        <w:ind w:left="420" w:hanging="420"/>
      </w:pPr>
      <w:rPr>
        <w:rFonts w:hint="eastAsia" w:eastAsia="宋体" w:asciiTheme="minorEastAsia" w:hAnsiTheme="minor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0">
    <w:nsid w:val="75482B44"/>
    <w:multiLevelType w:val="multilevel"/>
    <w:tmpl w:val="75482B44"/>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1">
    <w:nsid w:val="761C7169"/>
    <w:multiLevelType w:val="multilevel"/>
    <w:tmpl w:val="761C7169"/>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2">
    <w:nsid w:val="76B4167B"/>
    <w:multiLevelType w:val="multilevel"/>
    <w:tmpl w:val="76B4167B"/>
    <w:lvl w:ilvl="0" w:tentative="0">
      <w:start w:val="1"/>
      <w:numFmt w:val="decimal"/>
      <w:lvlText w:val="%1、"/>
      <w:lvlJc w:val="left"/>
      <w:pPr>
        <w:ind w:left="420" w:hanging="420"/>
      </w:pPr>
      <w:rPr>
        <w:rFonts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3">
    <w:nsid w:val="76DD5C82"/>
    <w:multiLevelType w:val="multilevel"/>
    <w:tmpl w:val="76DD5C82"/>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4">
    <w:nsid w:val="77111D1D"/>
    <w:multiLevelType w:val="multilevel"/>
    <w:tmpl w:val="77111D1D"/>
    <w:lvl w:ilvl="0" w:tentative="0">
      <w:start w:val="1"/>
      <w:numFmt w:val="chineseCountingThousand"/>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5">
    <w:nsid w:val="77194021"/>
    <w:multiLevelType w:val="multilevel"/>
    <w:tmpl w:val="77194021"/>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26">
    <w:nsid w:val="77D45AA3"/>
    <w:multiLevelType w:val="multilevel"/>
    <w:tmpl w:val="77D45AA3"/>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1260" w:hanging="420"/>
      </w:pPr>
      <w:rPr>
        <w:rFonts w:hint="default" w:ascii="Times New Roman" w:hAnsi="Times New Roman" w:cs="Times New Roman"/>
      </w:rPr>
    </w:lvl>
    <w:lvl w:ilvl="2" w:tentative="0">
      <w:start w:val="1"/>
      <w:numFmt w:val="lowerRoman"/>
      <w:lvlText w:val="%3."/>
      <w:lvlJc w:val="right"/>
      <w:pPr>
        <w:ind w:left="1680" w:hanging="420"/>
      </w:pPr>
      <w:rPr>
        <w:rFonts w:hint="default" w:ascii="Times New Roman" w:hAnsi="Times New Roman" w:cs="Times New Roman"/>
      </w:rPr>
    </w:lvl>
    <w:lvl w:ilvl="3" w:tentative="0">
      <w:start w:val="1"/>
      <w:numFmt w:val="decimal"/>
      <w:lvlText w:val="%4."/>
      <w:lvlJc w:val="left"/>
      <w:pPr>
        <w:ind w:left="2100" w:hanging="420"/>
      </w:pPr>
      <w:rPr>
        <w:rFonts w:hint="default" w:ascii="Times New Roman" w:hAnsi="Times New Roman" w:cs="Times New Roman"/>
      </w:rPr>
    </w:lvl>
    <w:lvl w:ilvl="4" w:tentative="0">
      <w:start w:val="1"/>
      <w:numFmt w:val="lowerLetter"/>
      <w:lvlText w:val="%5)"/>
      <w:lvlJc w:val="left"/>
      <w:pPr>
        <w:ind w:left="2520" w:hanging="420"/>
      </w:pPr>
      <w:rPr>
        <w:rFonts w:hint="default" w:ascii="Times New Roman" w:hAnsi="Times New Roman" w:cs="Times New Roman"/>
      </w:rPr>
    </w:lvl>
    <w:lvl w:ilvl="5" w:tentative="0">
      <w:start w:val="1"/>
      <w:numFmt w:val="lowerRoman"/>
      <w:lvlText w:val="%6."/>
      <w:lvlJc w:val="right"/>
      <w:pPr>
        <w:ind w:left="2940" w:hanging="420"/>
      </w:pPr>
      <w:rPr>
        <w:rFonts w:hint="default" w:ascii="Times New Roman" w:hAnsi="Times New Roman" w:cs="Times New Roman"/>
      </w:rPr>
    </w:lvl>
    <w:lvl w:ilvl="6" w:tentative="0">
      <w:start w:val="1"/>
      <w:numFmt w:val="decimal"/>
      <w:lvlText w:val="%7."/>
      <w:lvlJc w:val="left"/>
      <w:pPr>
        <w:ind w:left="3360" w:hanging="420"/>
      </w:pPr>
      <w:rPr>
        <w:rFonts w:hint="default" w:ascii="Times New Roman" w:hAnsi="Times New Roman" w:cs="Times New Roman"/>
      </w:rPr>
    </w:lvl>
    <w:lvl w:ilvl="7" w:tentative="0">
      <w:start w:val="1"/>
      <w:numFmt w:val="lowerLetter"/>
      <w:lvlText w:val="%8)"/>
      <w:lvlJc w:val="left"/>
      <w:pPr>
        <w:ind w:left="3780" w:hanging="420"/>
      </w:pPr>
      <w:rPr>
        <w:rFonts w:hint="default" w:ascii="Times New Roman" w:hAnsi="Times New Roman" w:cs="Times New Roman"/>
      </w:rPr>
    </w:lvl>
    <w:lvl w:ilvl="8" w:tentative="0">
      <w:start w:val="1"/>
      <w:numFmt w:val="lowerRoman"/>
      <w:lvlText w:val="%9."/>
      <w:lvlJc w:val="right"/>
      <w:pPr>
        <w:ind w:left="4200" w:hanging="420"/>
      </w:pPr>
      <w:rPr>
        <w:rFonts w:hint="default" w:ascii="Times New Roman" w:hAnsi="Times New Roman" w:cs="Times New Roman"/>
      </w:rPr>
    </w:lvl>
  </w:abstractNum>
  <w:abstractNum w:abstractNumId="127">
    <w:nsid w:val="787035DE"/>
    <w:multiLevelType w:val="multilevel"/>
    <w:tmpl w:val="787035D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8">
    <w:nsid w:val="7A1266A0"/>
    <w:multiLevelType w:val="multilevel"/>
    <w:tmpl w:val="7A1266A0"/>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lvlText w:val="(%4)."/>
      <w:lvlJc w:val="left"/>
      <w:pPr>
        <w:ind w:left="0" w:firstLine="0"/>
      </w:pPr>
      <w:rPr>
        <w:rFonts w:ascii="宋体" w:hAnsi="宋体" w:eastAsia="宋体"/>
        <w:b/>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29">
    <w:nsid w:val="7B1E025F"/>
    <w:multiLevelType w:val="multilevel"/>
    <w:tmpl w:val="7B1E025F"/>
    <w:lvl w:ilvl="0" w:tentative="0">
      <w:start w:val="1"/>
      <w:numFmt w:val="decimal"/>
      <w:lvlText w:val="%1、"/>
      <w:lvlJc w:val="left"/>
      <w:pPr>
        <w:ind w:left="420" w:hanging="420"/>
      </w:pPr>
      <w:rPr>
        <w:rFonts w:hint="eastAsia" w:ascii="宋体" w:hAnsi="宋体" w:eastAsia="宋体"/>
      </w:rPr>
    </w:lvl>
    <w:lvl w:ilvl="1" w:tentative="0">
      <w:start w:val="1"/>
      <w:numFmt w:val="decimal"/>
      <w:lvlText w:val="%2、"/>
      <w:lvlJc w:val="left"/>
      <w:pPr>
        <w:ind w:left="840" w:hanging="420"/>
      </w:pPr>
      <w:rPr>
        <w:rFonts w:hint="eastAsia"/>
      </w:rPr>
    </w:lvl>
    <w:lvl w:ilvl="2" w:tentative="0">
      <w:start w:val="1"/>
      <w:numFmt w:val="decimal"/>
      <w:lvlText w:val="%3、"/>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0">
    <w:nsid w:val="7C0C1B4F"/>
    <w:multiLevelType w:val="multilevel"/>
    <w:tmpl w:val="7C0C1B4F"/>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1">
    <w:nsid w:val="7C2B486F"/>
    <w:multiLevelType w:val="multilevel"/>
    <w:tmpl w:val="7C2B486F"/>
    <w:lvl w:ilvl="0" w:tentative="0">
      <w:start w:val="1"/>
      <w:numFmt w:val="decimal"/>
      <w:suff w:val="nothing"/>
      <w:lvlText w:val="(%1). "/>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2">
    <w:nsid w:val="7C8D7311"/>
    <w:multiLevelType w:val="multilevel"/>
    <w:tmpl w:val="7C8D7311"/>
    <w:lvl w:ilvl="0" w:tentative="0">
      <w:start w:val="1"/>
      <w:numFmt w:val="decimal"/>
      <w:lvlText w:val="%1．"/>
      <w:lvlJc w:val="left"/>
      <w:pPr>
        <w:ind w:left="84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33">
    <w:nsid w:val="7D07444B"/>
    <w:multiLevelType w:val="multilevel"/>
    <w:tmpl w:val="7D07444B"/>
    <w:lvl w:ilvl="0" w:tentative="0">
      <w:start w:val="1"/>
      <w:numFmt w:val="decimal"/>
      <w:lvlText w:val="(%1)."/>
      <w:lvlJc w:val="left"/>
      <w:pPr>
        <w:ind w:left="425" w:hanging="425"/>
      </w:pPr>
      <w:rPr>
        <w:rFonts w:hint="eastAsia" w:ascii="宋体" w:hAnsi="宋体" w:eastAsia="宋体"/>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4">
    <w:nsid w:val="7D1B5BAE"/>
    <w:multiLevelType w:val="multilevel"/>
    <w:tmpl w:val="7D1B5BAE"/>
    <w:lvl w:ilvl="0" w:tentative="0">
      <w:start w:val="1"/>
      <w:numFmt w:val="decimal"/>
      <w:lvlText w:val="(%1)."/>
      <w:lvlJc w:val="left"/>
      <w:pPr>
        <w:ind w:left="420" w:hanging="420"/>
      </w:pPr>
      <w:rPr>
        <w:rFonts w:hint="eastAsia"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5">
    <w:nsid w:val="7DDF1B1D"/>
    <w:multiLevelType w:val="multilevel"/>
    <w:tmpl w:val="7DDF1B1D"/>
    <w:lvl w:ilvl="0" w:tentative="0">
      <w:start w:val="1"/>
      <w:numFmt w:val="decimal"/>
      <w:lvlText w:val="(%1)."/>
      <w:lvlJc w:val="left"/>
      <w:pPr>
        <w:ind w:left="0" w:firstLine="0"/>
      </w:pPr>
      <w:rPr>
        <w:rFonts w:hint="default"/>
      </w:rPr>
    </w:lvl>
    <w:lvl w:ilvl="1" w:tentative="0">
      <w:start w:val="1"/>
      <w:numFmt w:val="chineseCountingThousand"/>
      <w:lvlText w:val="(%2)"/>
      <w:lvlJc w:val="left"/>
      <w:pPr>
        <w:ind w:left="0" w:firstLine="0"/>
      </w:pPr>
      <w:rPr>
        <w:rFonts w:hint="eastAsia"/>
      </w:rPr>
    </w:lvl>
    <w:lvl w:ilvl="2" w:tentative="0">
      <w:start w:val="1"/>
      <w:numFmt w:val="chineseCountingThousand"/>
      <w:lvlText w:val="(%3)"/>
      <w:lvlJc w:val="left"/>
      <w:pPr>
        <w:ind w:left="0" w:firstLine="0"/>
      </w:pPr>
      <w:rPr>
        <w:rFonts w:hint="eastAsia"/>
      </w:rPr>
    </w:lvl>
    <w:lvl w:ilvl="3" w:tentative="0">
      <w:start w:val="1"/>
      <w:numFmt w:val="decimal"/>
      <w:suff w:val="nothing"/>
      <w:lvlText w:val="(%4). "/>
      <w:lvlJc w:val="left"/>
      <w:pPr>
        <w:ind w:left="0" w:firstLine="0"/>
      </w:pPr>
      <w:rPr>
        <w:rFonts w:hint="eastAsia" w:ascii="宋体" w:hAnsi="宋体" w:eastAsia="宋体"/>
        <w:b/>
        <w:color w:val="auto"/>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36">
    <w:nsid w:val="7E240716"/>
    <w:multiLevelType w:val="multilevel"/>
    <w:tmpl w:val="7E240716"/>
    <w:lvl w:ilvl="0" w:tentative="0">
      <w:start w:val="1"/>
      <w:numFmt w:val="decimal"/>
      <w:lvlText w:val="(%1)."/>
      <w:lvlJc w:val="left"/>
      <w:pPr>
        <w:ind w:left="420" w:hanging="420"/>
      </w:pPr>
      <w:rPr>
        <w:rFonts w:hint="eastAsia" w:ascii="宋体" w:hAnsi="宋体" w:eastAsia="宋体"/>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7">
    <w:nsid w:val="7E7E7E18"/>
    <w:multiLevelType w:val="multilevel"/>
    <w:tmpl w:val="7E7E7E18"/>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8">
    <w:nsid w:val="7E8E6EE5"/>
    <w:multiLevelType w:val="multilevel"/>
    <w:tmpl w:val="7E8E6EE5"/>
    <w:lvl w:ilvl="0" w:tentative="0">
      <w:start w:val="1"/>
      <w:numFmt w:val="decimal"/>
      <w:suff w:val="nothing"/>
      <w:lvlText w:val="%1．"/>
      <w:lvlJc w:val="left"/>
      <w:pPr>
        <w:ind w:left="704" w:hanging="420"/>
      </w:pPr>
      <w:rPr>
        <w:rFonts w:hint="default" w:ascii="Times New Roman" w:hAnsi="Times New Roman" w:cs="Times New Roman"/>
      </w:rPr>
    </w:lvl>
    <w:lvl w:ilvl="1" w:tentative="0">
      <w:start w:val="1"/>
      <w:numFmt w:val="lowerLetter"/>
      <w:lvlText w:val="%2)"/>
      <w:lvlJc w:val="left"/>
      <w:pPr>
        <w:ind w:left="1124" w:hanging="420"/>
      </w:pPr>
      <w:rPr>
        <w:rFonts w:hint="eastAsia" w:ascii="宋体" w:hAnsi="宋体" w:eastAsia="宋体"/>
      </w:rPr>
    </w:lvl>
    <w:lvl w:ilvl="2" w:tentative="0">
      <w:start w:val="1"/>
      <w:numFmt w:val="lowerRoman"/>
      <w:lvlText w:val="%3."/>
      <w:lvlJc w:val="right"/>
      <w:pPr>
        <w:ind w:left="1544" w:hanging="420"/>
      </w:pPr>
      <w:rPr>
        <w:rFonts w:hint="eastAsia" w:ascii="宋体" w:hAnsi="宋体" w:eastAsia="宋体"/>
      </w:rPr>
    </w:lvl>
    <w:lvl w:ilvl="3" w:tentative="0">
      <w:start w:val="1"/>
      <w:numFmt w:val="decimal"/>
      <w:lvlText w:val="%4."/>
      <w:lvlJc w:val="left"/>
      <w:pPr>
        <w:ind w:left="1964" w:hanging="420"/>
      </w:pPr>
      <w:rPr>
        <w:rFonts w:hint="eastAsia" w:ascii="宋体" w:hAnsi="宋体" w:eastAsia="宋体"/>
      </w:rPr>
    </w:lvl>
    <w:lvl w:ilvl="4" w:tentative="0">
      <w:start w:val="1"/>
      <w:numFmt w:val="lowerLetter"/>
      <w:lvlText w:val="%5)"/>
      <w:lvlJc w:val="left"/>
      <w:pPr>
        <w:ind w:left="2384" w:hanging="420"/>
      </w:pPr>
      <w:rPr>
        <w:rFonts w:hint="eastAsia" w:ascii="宋体" w:hAnsi="宋体" w:eastAsia="宋体"/>
      </w:rPr>
    </w:lvl>
    <w:lvl w:ilvl="5" w:tentative="0">
      <w:start w:val="1"/>
      <w:numFmt w:val="lowerRoman"/>
      <w:lvlText w:val="%6."/>
      <w:lvlJc w:val="right"/>
      <w:pPr>
        <w:ind w:left="2804" w:hanging="420"/>
      </w:pPr>
      <w:rPr>
        <w:rFonts w:hint="eastAsia" w:ascii="宋体" w:hAnsi="宋体" w:eastAsia="宋体"/>
      </w:rPr>
    </w:lvl>
    <w:lvl w:ilvl="6" w:tentative="0">
      <w:start w:val="1"/>
      <w:numFmt w:val="decimal"/>
      <w:lvlText w:val="%7."/>
      <w:lvlJc w:val="left"/>
      <w:pPr>
        <w:ind w:left="3224" w:hanging="420"/>
      </w:pPr>
      <w:rPr>
        <w:rFonts w:hint="eastAsia" w:ascii="宋体" w:hAnsi="宋体" w:eastAsia="宋体"/>
      </w:rPr>
    </w:lvl>
    <w:lvl w:ilvl="7" w:tentative="0">
      <w:start w:val="1"/>
      <w:numFmt w:val="lowerLetter"/>
      <w:lvlText w:val="%8)"/>
      <w:lvlJc w:val="left"/>
      <w:pPr>
        <w:ind w:left="3644" w:hanging="420"/>
      </w:pPr>
      <w:rPr>
        <w:rFonts w:hint="eastAsia" w:ascii="宋体" w:hAnsi="宋体" w:eastAsia="宋体"/>
      </w:rPr>
    </w:lvl>
    <w:lvl w:ilvl="8" w:tentative="0">
      <w:start w:val="1"/>
      <w:numFmt w:val="lowerRoman"/>
      <w:lvlText w:val="%9."/>
      <w:lvlJc w:val="right"/>
      <w:pPr>
        <w:ind w:left="4064" w:hanging="420"/>
      </w:pPr>
      <w:rPr>
        <w:rFonts w:hint="eastAsia" w:ascii="宋体" w:hAnsi="宋体" w:eastAsia="宋体"/>
      </w:rPr>
    </w:lvl>
  </w:abstractNum>
  <w:abstractNum w:abstractNumId="139">
    <w:nsid w:val="7FCC199E"/>
    <w:multiLevelType w:val="multilevel"/>
    <w:tmpl w:val="7FCC199E"/>
    <w:lvl w:ilvl="0" w:tentative="0">
      <w:start w:val="1"/>
      <w:numFmt w:val="decimal"/>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3、"/>
      <w:lvlJc w:val="left"/>
      <w:pPr>
        <w:ind w:left="0" w:firstLine="0"/>
      </w:pPr>
      <w:rPr>
        <w:rFonts w:hint="eastAsia"/>
      </w:rPr>
    </w:lvl>
    <w:lvl w:ilvl="3" w:tentative="0">
      <w:start w:val="1"/>
      <w:numFmt w:val="decimal"/>
      <w:lvlText w:val="(%4)."/>
      <w:lvlJc w:val="left"/>
      <w:pPr>
        <w:ind w:left="851" w:hanging="851"/>
      </w:pPr>
      <w:rPr>
        <w:rFonts w:hint="eastAsia" w:ascii="宋体" w:hAnsi="宋体" w:eastAsia="宋体"/>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56"/>
  </w:num>
  <w:num w:numId="2">
    <w:abstractNumId w:val="30"/>
  </w:num>
  <w:num w:numId="3">
    <w:abstractNumId w:val="4"/>
  </w:num>
  <w:num w:numId="4">
    <w:abstractNumId w:val="39"/>
  </w:num>
  <w:num w:numId="5">
    <w:abstractNumId w:val="35"/>
  </w:num>
  <w:num w:numId="6">
    <w:abstractNumId w:val="86"/>
  </w:num>
  <w:num w:numId="7">
    <w:abstractNumId w:val="48"/>
  </w:num>
  <w:num w:numId="8">
    <w:abstractNumId w:val="57"/>
  </w:num>
  <w:num w:numId="9">
    <w:abstractNumId w:val="52"/>
  </w:num>
  <w:num w:numId="10">
    <w:abstractNumId w:val="37"/>
  </w:num>
  <w:num w:numId="11">
    <w:abstractNumId w:val="53"/>
  </w:num>
  <w:num w:numId="12">
    <w:abstractNumId w:val="29"/>
  </w:num>
  <w:num w:numId="13">
    <w:abstractNumId w:val="16"/>
  </w:num>
  <w:num w:numId="14">
    <w:abstractNumId w:val="68"/>
  </w:num>
  <w:num w:numId="15">
    <w:abstractNumId w:val="84"/>
  </w:num>
  <w:num w:numId="16">
    <w:abstractNumId w:val="97"/>
  </w:num>
  <w:num w:numId="17">
    <w:abstractNumId w:val="61"/>
  </w:num>
  <w:num w:numId="18">
    <w:abstractNumId w:val="24"/>
  </w:num>
  <w:num w:numId="19">
    <w:abstractNumId w:val="73"/>
  </w:num>
  <w:num w:numId="20">
    <w:abstractNumId w:val="119"/>
  </w:num>
  <w:num w:numId="21">
    <w:abstractNumId w:val="27"/>
  </w:num>
  <w:num w:numId="22">
    <w:abstractNumId w:val="22"/>
  </w:num>
  <w:num w:numId="23">
    <w:abstractNumId w:val="41"/>
  </w:num>
  <w:num w:numId="24">
    <w:abstractNumId w:val="111"/>
  </w:num>
  <w:num w:numId="25">
    <w:abstractNumId w:val="6"/>
  </w:num>
  <w:num w:numId="26">
    <w:abstractNumId w:val="47"/>
  </w:num>
  <w:num w:numId="27">
    <w:abstractNumId w:val="50"/>
  </w:num>
  <w:num w:numId="28">
    <w:abstractNumId w:val="34"/>
  </w:num>
  <w:num w:numId="29">
    <w:abstractNumId w:val="115"/>
  </w:num>
  <w:num w:numId="30">
    <w:abstractNumId w:val="2"/>
  </w:num>
  <w:num w:numId="31">
    <w:abstractNumId w:val="109"/>
  </w:num>
  <w:num w:numId="32">
    <w:abstractNumId w:val="129"/>
  </w:num>
  <w:num w:numId="33">
    <w:abstractNumId w:val="91"/>
  </w:num>
  <w:num w:numId="34">
    <w:abstractNumId w:val="58"/>
  </w:num>
  <w:num w:numId="35">
    <w:abstractNumId w:val="79"/>
  </w:num>
  <w:num w:numId="36">
    <w:abstractNumId w:val="77"/>
  </w:num>
  <w:num w:numId="37">
    <w:abstractNumId w:val="112"/>
  </w:num>
  <w:num w:numId="38">
    <w:abstractNumId w:val="88"/>
  </w:num>
  <w:num w:numId="39">
    <w:abstractNumId w:val="26"/>
  </w:num>
  <w:num w:numId="40">
    <w:abstractNumId w:val="43"/>
  </w:num>
  <w:num w:numId="41">
    <w:abstractNumId w:val="116"/>
  </w:num>
  <w:num w:numId="42">
    <w:abstractNumId w:val="99"/>
  </w:num>
  <w:num w:numId="43">
    <w:abstractNumId w:val="38"/>
  </w:num>
  <w:num w:numId="44">
    <w:abstractNumId w:val="19"/>
  </w:num>
  <w:num w:numId="45">
    <w:abstractNumId w:val="118"/>
  </w:num>
  <w:num w:numId="46">
    <w:abstractNumId w:val="31"/>
  </w:num>
  <w:num w:numId="47">
    <w:abstractNumId w:val="69"/>
  </w:num>
  <w:num w:numId="48">
    <w:abstractNumId w:val="23"/>
  </w:num>
  <w:num w:numId="49">
    <w:abstractNumId w:val="124"/>
  </w:num>
  <w:num w:numId="50">
    <w:abstractNumId w:val="65"/>
  </w:num>
  <w:num w:numId="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1"/>
  </w:num>
  <w:num w:numId="54">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3"/>
  </w:num>
  <w:num w:numId="58">
    <w:abstractNumId w:val="106"/>
  </w:num>
  <w:num w:numId="59">
    <w:abstractNumId w:val="70"/>
  </w:num>
  <w:num w:numId="60">
    <w:abstractNumId w:val="7"/>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6"/>
  </w:num>
  <w:num w:numId="6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13"/>
  </w:num>
  <w:num w:numId="6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
  </w:num>
  <w:num w:numId="67">
    <w:abstractNumId w:val="105"/>
  </w:num>
  <w:num w:numId="68">
    <w:abstractNumId w:val="21"/>
  </w:num>
  <w:num w:numId="69">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num>
  <w:num w:numId="72">
    <w:abstractNumId w:val="89"/>
  </w:num>
  <w:num w:numId="73">
    <w:abstractNumId w:val="74"/>
  </w:num>
  <w:num w:numId="7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9"/>
  </w:num>
  <w:num w:numId="76">
    <w:abstractNumId w:val="114"/>
  </w:num>
  <w:num w:numId="77">
    <w:abstractNumId w:val="122"/>
  </w:num>
  <w:num w:numId="78">
    <w:abstractNumId w:val="100"/>
  </w:num>
  <w:num w:numId="79">
    <w:abstractNumId w:val="20"/>
  </w:num>
  <w:num w:numId="80">
    <w:abstractNumId w:val="75"/>
  </w:num>
  <w:num w:numId="81">
    <w:abstractNumId w:val="17"/>
  </w:num>
  <w:num w:numId="82">
    <w:abstractNumId w:val="94"/>
  </w:num>
  <w:num w:numId="83">
    <w:abstractNumId w:val="63"/>
  </w:num>
  <w:num w:numId="84">
    <w:abstractNumId w:val="125"/>
  </w:num>
  <w:num w:numId="85">
    <w:abstractNumId w:val="137"/>
  </w:num>
  <w:num w:numId="86">
    <w:abstractNumId w:val="139"/>
  </w:num>
  <w:num w:numId="87">
    <w:abstractNumId w:val="40"/>
  </w:num>
  <w:num w:numId="88">
    <w:abstractNumId w:val="14"/>
  </w:num>
  <w:num w:numId="89">
    <w:abstractNumId w:val="82"/>
  </w:num>
  <w:num w:numId="90">
    <w:abstractNumId w:val="12"/>
  </w:num>
  <w:num w:numId="91">
    <w:abstractNumId w:val="98"/>
  </w:num>
  <w:num w:numId="92">
    <w:abstractNumId w:val="76"/>
  </w:num>
  <w:num w:numId="93">
    <w:abstractNumId w:val="67"/>
  </w:num>
  <w:num w:numId="94">
    <w:abstractNumId w:val="127"/>
  </w:num>
  <w:num w:numId="95">
    <w:abstractNumId w:val="32"/>
  </w:num>
  <w:num w:numId="96">
    <w:abstractNumId w:val="80"/>
  </w:num>
  <w:num w:numId="97">
    <w:abstractNumId w:val="134"/>
  </w:num>
  <w:num w:numId="98">
    <w:abstractNumId w:val="44"/>
  </w:num>
  <w:num w:numId="99">
    <w:abstractNumId w:val="133"/>
  </w:num>
  <w:num w:numId="100">
    <w:abstractNumId w:val="101"/>
  </w:num>
  <w:num w:numId="101">
    <w:abstractNumId w:val="13"/>
  </w:num>
  <w:num w:numId="102">
    <w:abstractNumId w:val="130"/>
  </w:num>
  <w:num w:numId="103">
    <w:abstractNumId w:val="135"/>
  </w:num>
  <w:num w:numId="104">
    <w:abstractNumId w:val="15"/>
  </w:num>
  <w:num w:numId="105">
    <w:abstractNumId w:val="121"/>
  </w:num>
  <w:num w:numId="106">
    <w:abstractNumId w:val="83"/>
  </w:num>
  <w:num w:numId="107">
    <w:abstractNumId w:val="55"/>
  </w:num>
  <w:num w:numId="108">
    <w:abstractNumId w:val="3"/>
  </w:num>
  <w:num w:numId="109">
    <w:abstractNumId w:val="9"/>
  </w:num>
  <w:num w:numId="110">
    <w:abstractNumId w:val="10"/>
  </w:num>
  <w:num w:numId="111">
    <w:abstractNumId w:val="123"/>
  </w:num>
  <w:num w:numId="112">
    <w:abstractNumId w:val="136"/>
  </w:num>
  <w:num w:numId="113">
    <w:abstractNumId w:val="104"/>
  </w:num>
  <w:num w:numId="11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1"/>
  </w:num>
  <w:num w:numId="116">
    <w:abstractNumId w:val="85"/>
  </w:num>
  <w:num w:numId="117">
    <w:abstractNumId w:val="8"/>
  </w:num>
  <w:num w:numId="118">
    <w:abstractNumId w:val="117"/>
  </w:num>
  <w:num w:numId="11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4"/>
  </w:num>
  <w:num w:numId="122">
    <w:abstractNumId w:val="11"/>
  </w:num>
  <w:num w:numId="123">
    <w:abstractNumId w:val="64"/>
  </w:num>
  <w:num w:numId="124">
    <w:abstractNumId w:val="90"/>
  </w:num>
  <w:num w:numId="125">
    <w:abstractNumId w:val="60"/>
  </w:num>
  <w:num w:numId="126">
    <w:abstractNumId w:val="95"/>
  </w:num>
  <w:num w:numId="127">
    <w:abstractNumId w:val="102"/>
  </w:num>
  <w:num w:numId="128">
    <w:abstractNumId w:val="45"/>
  </w:num>
  <w:num w:numId="129">
    <w:abstractNumId w:val="96"/>
  </w:num>
  <w:num w:numId="130">
    <w:abstractNumId w:val="103"/>
  </w:num>
  <w:num w:numId="131">
    <w:abstractNumId w:val="25"/>
  </w:num>
  <w:num w:numId="132">
    <w:abstractNumId w:val="62"/>
  </w:num>
  <w:num w:numId="133">
    <w:abstractNumId w:val="0"/>
  </w:num>
  <w:num w:numId="134">
    <w:abstractNumId w:val="128"/>
  </w:num>
  <w:num w:numId="135">
    <w:abstractNumId w:val="107"/>
  </w:num>
  <w:num w:numId="136">
    <w:abstractNumId w:val="131"/>
  </w:num>
  <w:num w:numId="137">
    <w:abstractNumId w:val="5"/>
  </w:num>
  <w:num w:numId="138">
    <w:abstractNumId w:val="110"/>
  </w:num>
  <w:num w:numId="139">
    <w:abstractNumId w:val="120"/>
  </w:num>
  <w:num w:numId="14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Disclosure_Version" w:val="true"/>
    <w:docVar w:name="KouFeiPatch" w:val="true"/>
  </w:docVars>
  <w:rsids>
    <w:rsidRoot w:val="00DD256F"/>
    <w:rsid w:val="000005A6"/>
    <w:rsid w:val="00000ADC"/>
    <w:rsid w:val="00000C0A"/>
    <w:rsid w:val="0000102D"/>
    <w:rsid w:val="00001469"/>
    <w:rsid w:val="000014FF"/>
    <w:rsid w:val="000018A3"/>
    <w:rsid w:val="000018FD"/>
    <w:rsid w:val="00001B33"/>
    <w:rsid w:val="00001E8C"/>
    <w:rsid w:val="0000230E"/>
    <w:rsid w:val="00002335"/>
    <w:rsid w:val="000028BC"/>
    <w:rsid w:val="00002973"/>
    <w:rsid w:val="00002D77"/>
    <w:rsid w:val="000033A6"/>
    <w:rsid w:val="00003442"/>
    <w:rsid w:val="0000372D"/>
    <w:rsid w:val="00003C39"/>
    <w:rsid w:val="000048B5"/>
    <w:rsid w:val="00004A92"/>
    <w:rsid w:val="00004ADF"/>
    <w:rsid w:val="00004BD6"/>
    <w:rsid w:val="00004D9D"/>
    <w:rsid w:val="00004DB4"/>
    <w:rsid w:val="00004E58"/>
    <w:rsid w:val="00005071"/>
    <w:rsid w:val="000051B3"/>
    <w:rsid w:val="00005409"/>
    <w:rsid w:val="00005659"/>
    <w:rsid w:val="0000568D"/>
    <w:rsid w:val="000061CF"/>
    <w:rsid w:val="000064FC"/>
    <w:rsid w:val="00006FEB"/>
    <w:rsid w:val="00007207"/>
    <w:rsid w:val="000072B9"/>
    <w:rsid w:val="00007BBD"/>
    <w:rsid w:val="00007E46"/>
    <w:rsid w:val="00010147"/>
    <w:rsid w:val="0001033D"/>
    <w:rsid w:val="0001046B"/>
    <w:rsid w:val="000109C4"/>
    <w:rsid w:val="00010A47"/>
    <w:rsid w:val="00010B7F"/>
    <w:rsid w:val="00010E18"/>
    <w:rsid w:val="0001188A"/>
    <w:rsid w:val="00011A25"/>
    <w:rsid w:val="000121BF"/>
    <w:rsid w:val="000122EE"/>
    <w:rsid w:val="00012AFC"/>
    <w:rsid w:val="000130AF"/>
    <w:rsid w:val="0001319B"/>
    <w:rsid w:val="000136FC"/>
    <w:rsid w:val="000139E7"/>
    <w:rsid w:val="00013AF8"/>
    <w:rsid w:val="00013FF0"/>
    <w:rsid w:val="0001405F"/>
    <w:rsid w:val="000140AF"/>
    <w:rsid w:val="00014263"/>
    <w:rsid w:val="00014691"/>
    <w:rsid w:val="00014732"/>
    <w:rsid w:val="00014850"/>
    <w:rsid w:val="0001497A"/>
    <w:rsid w:val="00014DF5"/>
    <w:rsid w:val="00014FD3"/>
    <w:rsid w:val="000155A0"/>
    <w:rsid w:val="000157AA"/>
    <w:rsid w:val="000158A1"/>
    <w:rsid w:val="00015DD2"/>
    <w:rsid w:val="00015DF7"/>
    <w:rsid w:val="00016321"/>
    <w:rsid w:val="00016B1C"/>
    <w:rsid w:val="00016D21"/>
    <w:rsid w:val="00016F6C"/>
    <w:rsid w:val="00016FD1"/>
    <w:rsid w:val="00017658"/>
    <w:rsid w:val="000176B6"/>
    <w:rsid w:val="00017D54"/>
    <w:rsid w:val="00020074"/>
    <w:rsid w:val="000203A5"/>
    <w:rsid w:val="00020728"/>
    <w:rsid w:val="00020766"/>
    <w:rsid w:val="00020C59"/>
    <w:rsid w:val="00020D46"/>
    <w:rsid w:val="00020DB9"/>
    <w:rsid w:val="00020F79"/>
    <w:rsid w:val="0002110B"/>
    <w:rsid w:val="000214AF"/>
    <w:rsid w:val="00021700"/>
    <w:rsid w:val="00021782"/>
    <w:rsid w:val="000217BF"/>
    <w:rsid w:val="00021A0E"/>
    <w:rsid w:val="00021C30"/>
    <w:rsid w:val="00022465"/>
    <w:rsid w:val="000224B7"/>
    <w:rsid w:val="000225C5"/>
    <w:rsid w:val="00022805"/>
    <w:rsid w:val="0002292A"/>
    <w:rsid w:val="00022A86"/>
    <w:rsid w:val="00022EDA"/>
    <w:rsid w:val="0002301E"/>
    <w:rsid w:val="000231BD"/>
    <w:rsid w:val="000231DC"/>
    <w:rsid w:val="00023BEB"/>
    <w:rsid w:val="00023C73"/>
    <w:rsid w:val="00023FB5"/>
    <w:rsid w:val="00024562"/>
    <w:rsid w:val="0002476D"/>
    <w:rsid w:val="00024820"/>
    <w:rsid w:val="00024BEF"/>
    <w:rsid w:val="00025255"/>
    <w:rsid w:val="00025A7B"/>
    <w:rsid w:val="00025DD8"/>
    <w:rsid w:val="00025E29"/>
    <w:rsid w:val="00025EAF"/>
    <w:rsid w:val="0002612F"/>
    <w:rsid w:val="000264F8"/>
    <w:rsid w:val="00026757"/>
    <w:rsid w:val="00026A17"/>
    <w:rsid w:val="00027208"/>
    <w:rsid w:val="00027348"/>
    <w:rsid w:val="000275C9"/>
    <w:rsid w:val="000279AA"/>
    <w:rsid w:val="00027CF1"/>
    <w:rsid w:val="00027D03"/>
    <w:rsid w:val="000304BB"/>
    <w:rsid w:val="00030575"/>
    <w:rsid w:val="0003068A"/>
    <w:rsid w:val="00030D13"/>
    <w:rsid w:val="00031700"/>
    <w:rsid w:val="000317A1"/>
    <w:rsid w:val="000317CB"/>
    <w:rsid w:val="000317E9"/>
    <w:rsid w:val="0003186E"/>
    <w:rsid w:val="0003191A"/>
    <w:rsid w:val="00031A78"/>
    <w:rsid w:val="00031B72"/>
    <w:rsid w:val="0003201F"/>
    <w:rsid w:val="0003243D"/>
    <w:rsid w:val="00032450"/>
    <w:rsid w:val="0003260A"/>
    <w:rsid w:val="000326A4"/>
    <w:rsid w:val="00032946"/>
    <w:rsid w:val="00032BA9"/>
    <w:rsid w:val="00033956"/>
    <w:rsid w:val="00033C61"/>
    <w:rsid w:val="00033EBB"/>
    <w:rsid w:val="0003408C"/>
    <w:rsid w:val="000343F2"/>
    <w:rsid w:val="0003468B"/>
    <w:rsid w:val="000348E9"/>
    <w:rsid w:val="00034C0D"/>
    <w:rsid w:val="00035352"/>
    <w:rsid w:val="00035464"/>
    <w:rsid w:val="00035EB9"/>
    <w:rsid w:val="0003626E"/>
    <w:rsid w:val="00036357"/>
    <w:rsid w:val="00036813"/>
    <w:rsid w:val="000369A7"/>
    <w:rsid w:val="000369DC"/>
    <w:rsid w:val="00036C1D"/>
    <w:rsid w:val="00036CE0"/>
    <w:rsid w:val="0003717B"/>
    <w:rsid w:val="000379B9"/>
    <w:rsid w:val="00037DB8"/>
    <w:rsid w:val="000407A5"/>
    <w:rsid w:val="000408DA"/>
    <w:rsid w:val="000411AF"/>
    <w:rsid w:val="0004146D"/>
    <w:rsid w:val="00041525"/>
    <w:rsid w:val="00041800"/>
    <w:rsid w:val="00041AC3"/>
    <w:rsid w:val="0004201A"/>
    <w:rsid w:val="00042574"/>
    <w:rsid w:val="0004259D"/>
    <w:rsid w:val="000429ED"/>
    <w:rsid w:val="00043335"/>
    <w:rsid w:val="000436FE"/>
    <w:rsid w:val="000438A3"/>
    <w:rsid w:val="00043C00"/>
    <w:rsid w:val="00043D7D"/>
    <w:rsid w:val="00043E96"/>
    <w:rsid w:val="00043EED"/>
    <w:rsid w:val="00043EEE"/>
    <w:rsid w:val="000440BD"/>
    <w:rsid w:val="00044368"/>
    <w:rsid w:val="000444AA"/>
    <w:rsid w:val="000444F4"/>
    <w:rsid w:val="00044579"/>
    <w:rsid w:val="000446C9"/>
    <w:rsid w:val="00044D1E"/>
    <w:rsid w:val="00044DDC"/>
    <w:rsid w:val="00044E3B"/>
    <w:rsid w:val="00044FE0"/>
    <w:rsid w:val="00045023"/>
    <w:rsid w:val="000451ED"/>
    <w:rsid w:val="00045D1C"/>
    <w:rsid w:val="00045DCB"/>
    <w:rsid w:val="00045F39"/>
    <w:rsid w:val="00046310"/>
    <w:rsid w:val="0004659D"/>
    <w:rsid w:val="000466E6"/>
    <w:rsid w:val="00046754"/>
    <w:rsid w:val="00046849"/>
    <w:rsid w:val="000468DA"/>
    <w:rsid w:val="00046B18"/>
    <w:rsid w:val="00046BF9"/>
    <w:rsid w:val="00046C4A"/>
    <w:rsid w:val="00046CA9"/>
    <w:rsid w:val="00046CF9"/>
    <w:rsid w:val="00046DD2"/>
    <w:rsid w:val="00046E32"/>
    <w:rsid w:val="000474F7"/>
    <w:rsid w:val="00047621"/>
    <w:rsid w:val="00047708"/>
    <w:rsid w:val="00050004"/>
    <w:rsid w:val="000500C7"/>
    <w:rsid w:val="000500E7"/>
    <w:rsid w:val="000501F1"/>
    <w:rsid w:val="00050236"/>
    <w:rsid w:val="00050420"/>
    <w:rsid w:val="00050C12"/>
    <w:rsid w:val="00050F84"/>
    <w:rsid w:val="000510E3"/>
    <w:rsid w:val="0005154F"/>
    <w:rsid w:val="000515B0"/>
    <w:rsid w:val="000517E2"/>
    <w:rsid w:val="00051BE5"/>
    <w:rsid w:val="00052B89"/>
    <w:rsid w:val="00052D38"/>
    <w:rsid w:val="000539E4"/>
    <w:rsid w:val="00053D70"/>
    <w:rsid w:val="00053E2E"/>
    <w:rsid w:val="00053F3F"/>
    <w:rsid w:val="00054612"/>
    <w:rsid w:val="000547E1"/>
    <w:rsid w:val="00054860"/>
    <w:rsid w:val="0005486C"/>
    <w:rsid w:val="00054AC7"/>
    <w:rsid w:val="00054D34"/>
    <w:rsid w:val="00055089"/>
    <w:rsid w:val="00055307"/>
    <w:rsid w:val="00055534"/>
    <w:rsid w:val="00055816"/>
    <w:rsid w:val="00055C3F"/>
    <w:rsid w:val="00056124"/>
    <w:rsid w:val="000561D7"/>
    <w:rsid w:val="000562C7"/>
    <w:rsid w:val="000569CC"/>
    <w:rsid w:val="00056AA5"/>
    <w:rsid w:val="00057032"/>
    <w:rsid w:val="0005747F"/>
    <w:rsid w:val="000575FA"/>
    <w:rsid w:val="000578C2"/>
    <w:rsid w:val="00057958"/>
    <w:rsid w:val="00057AD2"/>
    <w:rsid w:val="00057D5D"/>
    <w:rsid w:val="0006013C"/>
    <w:rsid w:val="00060342"/>
    <w:rsid w:val="000604A6"/>
    <w:rsid w:val="0006066E"/>
    <w:rsid w:val="00060C85"/>
    <w:rsid w:val="00060E02"/>
    <w:rsid w:val="00061560"/>
    <w:rsid w:val="00061838"/>
    <w:rsid w:val="00061B4A"/>
    <w:rsid w:val="00061B54"/>
    <w:rsid w:val="00061DCB"/>
    <w:rsid w:val="00062017"/>
    <w:rsid w:val="0006271B"/>
    <w:rsid w:val="00062874"/>
    <w:rsid w:val="0006295C"/>
    <w:rsid w:val="00062AA3"/>
    <w:rsid w:val="00062D8E"/>
    <w:rsid w:val="0006325D"/>
    <w:rsid w:val="00063342"/>
    <w:rsid w:val="000636DE"/>
    <w:rsid w:val="00063893"/>
    <w:rsid w:val="000639D3"/>
    <w:rsid w:val="00063A04"/>
    <w:rsid w:val="00063BD0"/>
    <w:rsid w:val="00063EE6"/>
    <w:rsid w:val="0006463F"/>
    <w:rsid w:val="000647D1"/>
    <w:rsid w:val="00064ADF"/>
    <w:rsid w:val="0006504C"/>
    <w:rsid w:val="0006528F"/>
    <w:rsid w:val="00065914"/>
    <w:rsid w:val="00065B7B"/>
    <w:rsid w:val="00065D51"/>
    <w:rsid w:val="00066375"/>
    <w:rsid w:val="000665B9"/>
    <w:rsid w:val="00066688"/>
    <w:rsid w:val="00066B5B"/>
    <w:rsid w:val="00066C7F"/>
    <w:rsid w:val="00066F8C"/>
    <w:rsid w:val="00067044"/>
    <w:rsid w:val="0006720A"/>
    <w:rsid w:val="0006751E"/>
    <w:rsid w:val="00067AEB"/>
    <w:rsid w:val="00067BBB"/>
    <w:rsid w:val="00067C21"/>
    <w:rsid w:val="000700F7"/>
    <w:rsid w:val="00070247"/>
    <w:rsid w:val="000704EE"/>
    <w:rsid w:val="00070D92"/>
    <w:rsid w:val="00070E4B"/>
    <w:rsid w:val="00070E8D"/>
    <w:rsid w:val="00071243"/>
    <w:rsid w:val="000713CD"/>
    <w:rsid w:val="0007147E"/>
    <w:rsid w:val="000715AC"/>
    <w:rsid w:val="00072075"/>
    <w:rsid w:val="00072361"/>
    <w:rsid w:val="0007246C"/>
    <w:rsid w:val="000725CF"/>
    <w:rsid w:val="000729B8"/>
    <w:rsid w:val="00072D7F"/>
    <w:rsid w:val="0007305C"/>
    <w:rsid w:val="000730ED"/>
    <w:rsid w:val="000732D5"/>
    <w:rsid w:val="000735AF"/>
    <w:rsid w:val="00073BC2"/>
    <w:rsid w:val="0007413C"/>
    <w:rsid w:val="000745DB"/>
    <w:rsid w:val="00074C4E"/>
    <w:rsid w:val="00075175"/>
    <w:rsid w:val="000751AF"/>
    <w:rsid w:val="00075C45"/>
    <w:rsid w:val="00075C48"/>
    <w:rsid w:val="00075E3A"/>
    <w:rsid w:val="00075E54"/>
    <w:rsid w:val="00075F13"/>
    <w:rsid w:val="00075F70"/>
    <w:rsid w:val="00076117"/>
    <w:rsid w:val="000764FD"/>
    <w:rsid w:val="00076669"/>
    <w:rsid w:val="00076703"/>
    <w:rsid w:val="0007679D"/>
    <w:rsid w:val="0007681F"/>
    <w:rsid w:val="00076BF9"/>
    <w:rsid w:val="00076ECB"/>
    <w:rsid w:val="00077397"/>
    <w:rsid w:val="000778E2"/>
    <w:rsid w:val="00077CD3"/>
    <w:rsid w:val="00077EF6"/>
    <w:rsid w:val="00080509"/>
    <w:rsid w:val="000808F7"/>
    <w:rsid w:val="0008095D"/>
    <w:rsid w:val="000809EA"/>
    <w:rsid w:val="00080A0F"/>
    <w:rsid w:val="00080E49"/>
    <w:rsid w:val="0008140D"/>
    <w:rsid w:val="000816EB"/>
    <w:rsid w:val="0008170F"/>
    <w:rsid w:val="00081B15"/>
    <w:rsid w:val="00081D4A"/>
    <w:rsid w:val="0008231D"/>
    <w:rsid w:val="000824FF"/>
    <w:rsid w:val="000825B4"/>
    <w:rsid w:val="00082700"/>
    <w:rsid w:val="00082898"/>
    <w:rsid w:val="00082909"/>
    <w:rsid w:val="00082A1A"/>
    <w:rsid w:val="000830E6"/>
    <w:rsid w:val="0008328D"/>
    <w:rsid w:val="0008332B"/>
    <w:rsid w:val="000837F0"/>
    <w:rsid w:val="000839C3"/>
    <w:rsid w:val="00083C0A"/>
    <w:rsid w:val="00083C1E"/>
    <w:rsid w:val="00084008"/>
    <w:rsid w:val="000841ED"/>
    <w:rsid w:val="00084531"/>
    <w:rsid w:val="00084634"/>
    <w:rsid w:val="00084A03"/>
    <w:rsid w:val="00084E9F"/>
    <w:rsid w:val="000850A9"/>
    <w:rsid w:val="0008591C"/>
    <w:rsid w:val="00085B82"/>
    <w:rsid w:val="00085C6B"/>
    <w:rsid w:val="00085E7A"/>
    <w:rsid w:val="00085E9B"/>
    <w:rsid w:val="000860E9"/>
    <w:rsid w:val="000862AC"/>
    <w:rsid w:val="000866A2"/>
    <w:rsid w:val="000868AD"/>
    <w:rsid w:val="00086AC5"/>
    <w:rsid w:val="000870CC"/>
    <w:rsid w:val="000872AC"/>
    <w:rsid w:val="000877EF"/>
    <w:rsid w:val="000878F1"/>
    <w:rsid w:val="0008796D"/>
    <w:rsid w:val="00087B6F"/>
    <w:rsid w:val="00087FC9"/>
    <w:rsid w:val="0009036A"/>
    <w:rsid w:val="00090454"/>
    <w:rsid w:val="00090ADC"/>
    <w:rsid w:val="00090B0F"/>
    <w:rsid w:val="00090C35"/>
    <w:rsid w:val="00090D7E"/>
    <w:rsid w:val="00090EE0"/>
    <w:rsid w:val="000913B6"/>
    <w:rsid w:val="0009141B"/>
    <w:rsid w:val="000914B8"/>
    <w:rsid w:val="00091702"/>
    <w:rsid w:val="00091724"/>
    <w:rsid w:val="00091743"/>
    <w:rsid w:val="000918CD"/>
    <w:rsid w:val="00091930"/>
    <w:rsid w:val="0009268B"/>
    <w:rsid w:val="000927B1"/>
    <w:rsid w:val="00092823"/>
    <w:rsid w:val="000928B0"/>
    <w:rsid w:val="00092C1E"/>
    <w:rsid w:val="00092F5A"/>
    <w:rsid w:val="00092FCE"/>
    <w:rsid w:val="000930A1"/>
    <w:rsid w:val="0009325E"/>
    <w:rsid w:val="000932D6"/>
    <w:rsid w:val="000934F7"/>
    <w:rsid w:val="000938DF"/>
    <w:rsid w:val="00093B80"/>
    <w:rsid w:val="00093BEF"/>
    <w:rsid w:val="00094040"/>
    <w:rsid w:val="0009494E"/>
    <w:rsid w:val="00094A37"/>
    <w:rsid w:val="00094A55"/>
    <w:rsid w:val="00094FB5"/>
    <w:rsid w:val="00094FD1"/>
    <w:rsid w:val="000950CD"/>
    <w:rsid w:val="00095136"/>
    <w:rsid w:val="000951D6"/>
    <w:rsid w:val="000952C2"/>
    <w:rsid w:val="00095382"/>
    <w:rsid w:val="00095388"/>
    <w:rsid w:val="00095481"/>
    <w:rsid w:val="000955B9"/>
    <w:rsid w:val="00095A36"/>
    <w:rsid w:val="00095CD6"/>
    <w:rsid w:val="00095D0C"/>
    <w:rsid w:val="000960F5"/>
    <w:rsid w:val="00096512"/>
    <w:rsid w:val="00096746"/>
    <w:rsid w:val="00096E12"/>
    <w:rsid w:val="00097097"/>
    <w:rsid w:val="0009744E"/>
    <w:rsid w:val="000974B2"/>
    <w:rsid w:val="000975B1"/>
    <w:rsid w:val="00097610"/>
    <w:rsid w:val="000976C1"/>
    <w:rsid w:val="00097B67"/>
    <w:rsid w:val="00097C70"/>
    <w:rsid w:val="00097E3C"/>
    <w:rsid w:val="000A044E"/>
    <w:rsid w:val="000A04A2"/>
    <w:rsid w:val="000A0989"/>
    <w:rsid w:val="000A1026"/>
    <w:rsid w:val="000A1547"/>
    <w:rsid w:val="000A1589"/>
    <w:rsid w:val="000A199C"/>
    <w:rsid w:val="000A1CBE"/>
    <w:rsid w:val="000A1DCF"/>
    <w:rsid w:val="000A1EB6"/>
    <w:rsid w:val="000A3645"/>
    <w:rsid w:val="000A36BE"/>
    <w:rsid w:val="000A4309"/>
    <w:rsid w:val="000A484C"/>
    <w:rsid w:val="000A4AE5"/>
    <w:rsid w:val="000A4C9E"/>
    <w:rsid w:val="000A5126"/>
    <w:rsid w:val="000A5188"/>
    <w:rsid w:val="000A5A58"/>
    <w:rsid w:val="000A6052"/>
    <w:rsid w:val="000A63CF"/>
    <w:rsid w:val="000A6410"/>
    <w:rsid w:val="000A67B6"/>
    <w:rsid w:val="000A6A70"/>
    <w:rsid w:val="000A6D3A"/>
    <w:rsid w:val="000A6F48"/>
    <w:rsid w:val="000A700E"/>
    <w:rsid w:val="000A7216"/>
    <w:rsid w:val="000A74D2"/>
    <w:rsid w:val="000A750C"/>
    <w:rsid w:val="000A78D8"/>
    <w:rsid w:val="000A79CF"/>
    <w:rsid w:val="000B024A"/>
    <w:rsid w:val="000B0362"/>
    <w:rsid w:val="000B06FC"/>
    <w:rsid w:val="000B072D"/>
    <w:rsid w:val="000B0ACA"/>
    <w:rsid w:val="000B0D8B"/>
    <w:rsid w:val="000B0EE6"/>
    <w:rsid w:val="000B1683"/>
    <w:rsid w:val="000B19AD"/>
    <w:rsid w:val="000B1CD7"/>
    <w:rsid w:val="000B1DB7"/>
    <w:rsid w:val="000B20B3"/>
    <w:rsid w:val="000B2333"/>
    <w:rsid w:val="000B23C8"/>
    <w:rsid w:val="000B243E"/>
    <w:rsid w:val="000B28AE"/>
    <w:rsid w:val="000B28F3"/>
    <w:rsid w:val="000B31E0"/>
    <w:rsid w:val="000B3351"/>
    <w:rsid w:val="000B3557"/>
    <w:rsid w:val="000B40B2"/>
    <w:rsid w:val="000B48F7"/>
    <w:rsid w:val="000B4A82"/>
    <w:rsid w:val="000B4BB2"/>
    <w:rsid w:val="000B4BDA"/>
    <w:rsid w:val="000B4FF4"/>
    <w:rsid w:val="000B5098"/>
    <w:rsid w:val="000B5590"/>
    <w:rsid w:val="000B568F"/>
    <w:rsid w:val="000B5992"/>
    <w:rsid w:val="000B5B47"/>
    <w:rsid w:val="000B5D5E"/>
    <w:rsid w:val="000B5DDD"/>
    <w:rsid w:val="000B63D8"/>
    <w:rsid w:val="000B6AEA"/>
    <w:rsid w:val="000B6B2E"/>
    <w:rsid w:val="000B6BC7"/>
    <w:rsid w:val="000B6C66"/>
    <w:rsid w:val="000B717E"/>
    <w:rsid w:val="000B7858"/>
    <w:rsid w:val="000C0519"/>
    <w:rsid w:val="000C0671"/>
    <w:rsid w:val="000C08D1"/>
    <w:rsid w:val="000C0D45"/>
    <w:rsid w:val="000C0D7B"/>
    <w:rsid w:val="000C131F"/>
    <w:rsid w:val="000C1CEC"/>
    <w:rsid w:val="000C1E2D"/>
    <w:rsid w:val="000C2197"/>
    <w:rsid w:val="000C2337"/>
    <w:rsid w:val="000C25F5"/>
    <w:rsid w:val="000C26F5"/>
    <w:rsid w:val="000C28F2"/>
    <w:rsid w:val="000C2C2E"/>
    <w:rsid w:val="000C2C7F"/>
    <w:rsid w:val="000C3232"/>
    <w:rsid w:val="000C34C1"/>
    <w:rsid w:val="000C37A8"/>
    <w:rsid w:val="000C3957"/>
    <w:rsid w:val="000C3A06"/>
    <w:rsid w:val="000C3D52"/>
    <w:rsid w:val="000C40B3"/>
    <w:rsid w:val="000C4768"/>
    <w:rsid w:val="000C49AA"/>
    <w:rsid w:val="000C4B1F"/>
    <w:rsid w:val="000C4C03"/>
    <w:rsid w:val="000C5029"/>
    <w:rsid w:val="000C51AC"/>
    <w:rsid w:val="000C521B"/>
    <w:rsid w:val="000C52A2"/>
    <w:rsid w:val="000C59F7"/>
    <w:rsid w:val="000C5A4D"/>
    <w:rsid w:val="000C5B58"/>
    <w:rsid w:val="000C5B78"/>
    <w:rsid w:val="000C60FC"/>
    <w:rsid w:val="000C63C4"/>
    <w:rsid w:val="000C6560"/>
    <w:rsid w:val="000C6584"/>
    <w:rsid w:val="000C66CB"/>
    <w:rsid w:val="000C698C"/>
    <w:rsid w:val="000C6A05"/>
    <w:rsid w:val="000C6B26"/>
    <w:rsid w:val="000C6DAE"/>
    <w:rsid w:val="000C6F79"/>
    <w:rsid w:val="000C7371"/>
    <w:rsid w:val="000C73B9"/>
    <w:rsid w:val="000C74D4"/>
    <w:rsid w:val="000C7889"/>
    <w:rsid w:val="000C7C71"/>
    <w:rsid w:val="000C7D9C"/>
    <w:rsid w:val="000C7DF8"/>
    <w:rsid w:val="000D0271"/>
    <w:rsid w:val="000D057C"/>
    <w:rsid w:val="000D072A"/>
    <w:rsid w:val="000D0BE9"/>
    <w:rsid w:val="000D0E23"/>
    <w:rsid w:val="000D1028"/>
    <w:rsid w:val="000D136D"/>
    <w:rsid w:val="000D14E3"/>
    <w:rsid w:val="000D15CB"/>
    <w:rsid w:val="000D1BE4"/>
    <w:rsid w:val="000D26CD"/>
    <w:rsid w:val="000D28CF"/>
    <w:rsid w:val="000D2AA1"/>
    <w:rsid w:val="000D2B20"/>
    <w:rsid w:val="000D2C5E"/>
    <w:rsid w:val="000D2D1C"/>
    <w:rsid w:val="000D2F52"/>
    <w:rsid w:val="000D333A"/>
    <w:rsid w:val="000D3B03"/>
    <w:rsid w:val="000D3B07"/>
    <w:rsid w:val="000D3BE8"/>
    <w:rsid w:val="000D3DED"/>
    <w:rsid w:val="000D426A"/>
    <w:rsid w:val="000D4559"/>
    <w:rsid w:val="000D482D"/>
    <w:rsid w:val="000D49EB"/>
    <w:rsid w:val="000D4D41"/>
    <w:rsid w:val="000D4D81"/>
    <w:rsid w:val="000D4E12"/>
    <w:rsid w:val="000D50A0"/>
    <w:rsid w:val="000D5454"/>
    <w:rsid w:val="000D5A34"/>
    <w:rsid w:val="000D5C69"/>
    <w:rsid w:val="000D5D3B"/>
    <w:rsid w:val="000D5D86"/>
    <w:rsid w:val="000D5DC0"/>
    <w:rsid w:val="000D61FD"/>
    <w:rsid w:val="000D642E"/>
    <w:rsid w:val="000D6546"/>
    <w:rsid w:val="000D67DF"/>
    <w:rsid w:val="000D6A9B"/>
    <w:rsid w:val="000D6BCB"/>
    <w:rsid w:val="000D6D8F"/>
    <w:rsid w:val="000D6EAD"/>
    <w:rsid w:val="000D7178"/>
    <w:rsid w:val="000D7213"/>
    <w:rsid w:val="000D7307"/>
    <w:rsid w:val="000D73A9"/>
    <w:rsid w:val="000D7617"/>
    <w:rsid w:val="000D77D1"/>
    <w:rsid w:val="000D7ABF"/>
    <w:rsid w:val="000D7B5F"/>
    <w:rsid w:val="000D7CF9"/>
    <w:rsid w:val="000D7F68"/>
    <w:rsid w:val="000E0052"/>
    <w:rsid w:val="000E01A1"/>
    <w:rsid w:val="000E0C83"/>
    <w:rsid w:val="000E0F10"/>
    <w:rsid w:val="000E1521"/>
    <w:rsid w:val="000E15A7"/>
    <w:rsid w:val="000E165C"/>
    <w:rsid w:val="000E17B3"/>
    <w:rsid w:val="000E17C3"/>
    <w:rsid w:val="000E18FC"/>
    <w:rsid w:val="000E1904"/>
    <w:rsid w:val="000E1B4F"/>
    <w:rsid w:val="000E1E69"/>
    <w:rsid w:val="000E2265"/>
    <w:rsid w:val="000E22E0"/>
    <w:rsid w:val="000E26EE"/>
    <w:rsid w:val="000E2820"/>
    <w:rsid w:val="000E2BE4"/>
    <w:rsid w:val="000E2FD1"/>
    <w:rsid w:val="000E34CD"/>
    <w:rsid w:val="000E35F2"/>
    <w:rsid w:val="000E3BB8"/>
    <w:rsid w:val="000E3D2D"/>
    <w:rsid w:val="000E41A3"/>
    <w:rsid w:val="000E4352"/>
    <w:rsid w:val="000E4972"/>
    <w:rsid w:val="000E4F17"/>
    <w:rsid w:val="000E5115"/>
    <w:rsid w:val="000E518E"/>
    <w:rsid w:val="000E51C0"/>
    <w:rsid w:val="000E51CF"/>
    <w:rsid w:val="000E5202"/>
    <w:rsid w:val="000E5535"/>
    <w:rsid w:val="000E567C"/>
    <w:rsid w:val="000E56D0"/>
    <w:rsid w:val="000E5B46"/>
    <w:rsid w:val="000E61C0"/>
    <w:rsid w:val="000E63DB"/>
    <w:rsid w:val="000E6763"/>
    <w:rsid w:val="000E6B32"/>
    <w:rsid w:val="000E6C67"/>
    <w:rsid w:val="000E6CD7"/>
    <w:rsid w:val="000E6F8A"/>
    <w:rsid w:val="000E70DA"/>
    <w:rsid w:val="000E7291"/>
    <w:rsid w:val="000E7A93"/>
    <w:rsid w:val="000E7DC4"/>
    <w:rsid w:val="000E7F24"/>
    <w:rsid w:val="000E7FCD"/>
    <w:rsid w:val="000F030C"/>
    <w:rsid w:val="000F0456"/>
    <w:rsid w:val="000F04EC"/>
    <w:rsid w:val="000F0542"/>
    <w:rsid w:val="000F087F"/>
    <w:rsid w:val="000F0CF0"/>
    <w:rsid w:val="000F0F5D"/>
    <w:rsid w:val="000F1117"/>
    <w:rsid w:val="000F1350"/>
    <w:rsid w:val="000F145A"/>
    <w:rsid w:val="000F192B"/>
    <w:rsid w:val="000F1A17"/>
    <w:rsid w:val="000F1B29"/>
    <w:rsid w:val="000F2055"/>
    <w:rsid w:val="000F2990"/>
    <w:rsid w:val="000F2A73"/>
    <w:rsid w:val="000F2EC9"/>
    <w:rsid w:val="000F3016"/>
    <w:rsid w:val="000F3044"/>
    <w:rsid w:val="000F3234"/>
    <w:rsid w:val="000F3D3A"/>
    <w:rsid w:val="000F4214"/>
    <w:rsid w:val="000F42F3"/>
    <w:rsid w:val="000F438A"/>
    <w:rsid w:val="000F460F"/>
    <w:rsid w:val="000F485D"/>
    <w:rsid w:val="000F49E8"/>
    <w:rsid w:val="000F4C78"/>
    <w:rsid w:val="000F509F"/>
    <w:rsid w:val="000F52DA"/>
    <w:rsid w:val="000F538D"/>
    <w:rsid w:val="000F59FB"/>
    <w:rsid w:val="000F5E14"/>
    <w:rsid w:val="000F6058"/>
    <w:rsid w:val="000F60A4"/>
    <w:rsid w:val="000F68A0"/>
    <w:rsid w:val="000F6B1C"/>
    <w:rsid w:val="000F6E38"/>
    <w:rsid w:val="000F6E4A"/>
    <w:rsid w:val="000F6EE3"/>
    <w:rsid w:val="000F7633"/>
    <w:rsid w:val="000F77D2"/>
    <w:rsid w:val="000F78CA"/>
    <w:rsid w:val="000F7CB8"/>
    <w:rsid w:val="000F7D3C"/>
    <w:rsid w:val="00100075"/>
    <w:rsid w:val="00100112"/>
    <w:rsid w:val="0010063A"/>
    <w:rsid w:val="001007FD"/>
    <w:rsid w:val="0010083C"/>
    <w:rsid w:val="00100B25"/>
    <w:rsid w:val="00100F27"/>
    <w:rsid w:val="0010120F"/>
    <w:rsid w:val="00101376"/>
    <w:rsid w:val="0010143B"/>
    <w:rsid w:val="0010151D"/>
    <w:rsid w:val="00101B38"/>
    <w:rsid w:val="00101C56"/>
    <w:rsid w:val="001022D3"/>
    <w:rsid w:val="00102322"/>
    <w:rsid w:val="0010234E"/>
    <w:rsid w:val="001026CF"/>
    <w:rsid w:val="0010288F"/>
    <w:rsid w:val="0010292F"/>
    <w:rsid w:val="00102A35"/>
    <w:rsid w:val="001033F3"/>
    <w:rsid w:val="0010345C"/>
    <w:rsid w:val="0010369A"/>
    <w:rsid w:val="001036AD"/>
    <w:rsid w:val="001038D1"/>
    <w:rsid w:val="00103BDD"/>
    <w:rsid w:val="00103EE7"/>
    <w:rsid w:val="00103FA1"/>
    <w:rsid w:val="00104087"/>
    <w:rsid w:val="0010420D"/>
    <w:rsid w:val="001042DD"/>
    <w:rsid w:val="001044B7"/>
    <w:rsid w:val="001044EA"/>
    <w:rsid w:val="001048FE"/>
    <w:rsid w:val="00104DD4"/>
    <w:rsid w:val="001054EB"/>
    <w:rsid w:val="00105558"/>
    <w:rsid w:val="001056C5"/>
    <w:rsid w:val="001057CF"/>
    <w:rsid w:val="00105921"/>
    <w:rsid w:val="001059DB"/>
    <w:rsid w:val="00105D54"/>
    <w:rsid w:val="00105F72"/>
    <w:rsid w:val="001060C7"/>
    <w:rsid w:val="001061C5"/>
    <w:rsid w:val="00106820"/>
    <w:rsid w:val="001068B7"/>
    <w:rsid w:val="00106A5E"/>
    <w:rsid w:val="00106B06"/>
    <w:rsid w:val="00106E9F"/>
    <w:rsid w:val="00106F25"/>
    <w:rsid w:val="00107599"/>
    <w:rsid w:val="00107A8E"/>
    <w:rsid w:val="00107CB3"/>
    <w:rsid w:val="0011023E"/>
    <w:rsid w:val="00110400"/>
    <w:rsid w:val="0011068F"/>
    <w:rsid w:val="00110717"/>
    <w:rsid w:val="00110C81"/>
    <w:rsid w:val="00110D00"/>
    <w:rsid w:val="00110DBF"/>
    <w:rsid w:val="00110FBE"/>
    <w:rsid w:val="0011123D"/>
    <w:rsid w:val="001116D4"/>
    <w:rsid w:val="001119F4"/>
    <w:rsid w:val="00111BAC"/>
    <w:rsid w:val="00111D4E"/>
    <w:rsid w:val="00111E23"/>
    <w:rsid w:val="00111FA8"/>
    <w:rsid w:val="00112245"/>
    <w:rsid w:val="0011232C"/>
    <w:rsid w:val="001126AB"/>
    <w:rsid w:val="001127CC"/>
    <w:rsid w:val="0011287C"/>
    <w:rsid w:val="00112A47"/>
    <w:rsid w:val="00112F8F"/>
    <w:rsid w:val="001133FC"/>
    <w:rsid w:val="001134A1"/>
    <w:rsid w:val="00113552"/>
    <w:rsid w:val="00113582"/>
    <w:rsid w:val="00113781"/>
    <w:rsid w:val="001137A6"/>
    <w:rsid w:val="001139E6"/>
    <w:rsid w:val="00114189"/>
    <w:rsid w:val="001146AD"/>
    <w:rsid w:val="00114B0A"/>
    <w:rsid w:val="00114F3A"/>
    <w:rsid w:val="00115730"/>
    <w:rsid w:val="0011587B"/>
    <w:rsid w:val="00116051"/>
    <w:rsid w:val="0011652E"/>
    <w:rsid w:val="001165AE"/>
    <w:rsid w:val="001165D8"/>
    <w:rsid w:val="001167C6"/>
    <w:rsid w:val="001167C8"/>
    <w:rsid w:val="001169CC"/>
    <w:rsid w:val="00116AAC"/>
    <w:rsid w:val="00116B75"/>
    <w:rsid w:val="00116D81"/>
    <w:rsid w:val="001173A8"/>
    <w:rsid w:val="00117404"/>
    <w:rsid w:val="00117A0C"/>
    <w:rsid w:val="0012016D"/>
    <w:rsid w:val="001203D4"/>
    <w:rsid w:val="0012063F"/>
    <w:rsid w:val="0012081A"/>
    <w:rsid w:val="00120A6A"/>
    <w:rsid w:val="00120A86"/>
    <w:rsid w:val="00120AB1"/>
    <w:rsid w:val="0012158F"/>
    <w:rsid w:val="00121B5D"/>
    <w:rsid w:val="00121CFD"/>
    <w:rsid w:val="00121D25"/>
    <w:rsid w:val="0012227A"/>
    <w:rsid w:val="00122BA4"/>
    <w:rsid w:val="00122D08"/>
    <w:rsid w:val="001230A0"/>
    <w:rsid w:val="001230F3"/>
    <w:rsid w:val="001233E0"/>
    <w:rsid w:val="001234DF"/>
    <w:rsid w:val="001235D7"/>
    <w:rsid w:val="00123F0A"/>
    <w:rsid w:val="00124505"/>
    <w:rsid w:val="001245FB"/>
    <w:rsid w:val="00124A3D"/>
    <w:rsid w:val="00125135"/>
    <w:rsid w:val="001252F2"/>
    <w:rsid w:val="00125470"/>
    <w:rsid w:val="00125491"/>
    <w:rsid w:val="00125A67"/>
    <w:rsid w:val="00125EEF"/>
    <w:rsid w:val="0012608D"/>
    <w:rsid w:val="001260BC"/>
    <w:rsid w:val="00126125"/>
    <w:rsid w:val="00126575"/>
    <w:rsid w:val="00126B0F"/>
    <w:rsid w:val="00126CBD"/>
    <w:rsid w:val="00126E90"/>
    <w:rsid w:val="00127157"/>
    <w:rsid w:val="001271AE"/>
    <w:rsid w:val="001272F9"/>
    <w:rsid w:val="0012739F"/>
    <w:rsid w:val="001273FD"/>
    <w:rsid w:val="00127E76"/>
    <w:rsid w:val="001303F8"/>
    <w:rsid w:val="001304AD"/>
    <w:rsid w:val="00130697"/>
    <w:rsid w:val="00130D6C"/>
    <w:rsid w:val="00130DE5"/>
    <w:rsid w:val="0013119E"/>
    <w:rsid w:val="001316FC"/>
    <w:rsid w:val="00131E94"/>
    <w:rsid w:val="00131F88"/>
    <w:rsid w:val="00131FEF"/>
    <w:rsid w:val="0013204C"/>
    <w:rsid w:val="0013206D"/>
    <w:rsid w:val="0013237B"/>
    <w:rsid w:val="0013253F"/>
    <w:rsid w:val="00132615"/>
    <w:rsid w:val="0013289A"/>
    <w:rsid w:val="00132A09"/>
    <w:rsid w:val="00132A1B"/>
    <w:rsid w:val="00132BB9"/>
    <w:rsid w:val="0013309F"/>
    <w:rsid w:val="00133139"/>
    <w:rsid w:val="001332D2"/>
    <w:rsid w:val="0013379B"/>
    <w:rsid w:val="001338E9"/>
    <w:rsid w:val="00133BDB"/>
    <w:rsid w:val="00133E33"/>
    <w:rsid w:val="0013429D"/>
    <w:rsid w:val="00134370"/>
    <w:rsid w:val="001346BE"/>
    <w:rsid w:val="00134BA4"/>
    <w:rsid w:val="00134E3C"/>
    <w:rsid w:val="00135556"/>
    <w:rsid w:val="0013555C"/>
    <w:rsid w:val="0013565E"/>
    <w:rsid w:val="00135774"/>
    <w:rsid w:val="001357E8"/>
    <w:rsid w:val="00135870"/>
    <w:rsid w:val="00135A39"/>
    <w:rsid w:val="00135FBD"/>
    <w:rsid w:val="001361FD"/>
    <w:rsid w:val="0013624A"/>
    <w:rsid w:val="00136673"/>
    <w:rsid w:val="0013697E"/>
    <w:rsid w:val="00136A9A"/>
    <w:rsid w:val="00136B9D"/>
    <w:rsid w:val="00136BB8"/>
    <w:rsid w:val="00136E34"/>
    <w:rsid w:val="00137132"/>
    <w:rsid w:val="001372F3"/>
    <w:rsid w:val="001374C9"/>
    <w:rsid w:val="0013750D"/>
    <w:rsid w:val="001377C3"/>
    <w:rsid w:val="00137861"/>
    <w:rsid w:val="00137C75"/>
    <w:rsid w:val="001406FF"/>
    <w:rsid w:val="0014081B"/>
    <w:rsid w:val="00140BD7"/>
    <w:rsid w:val="00140D9B"/>
    <w:rsid w:val="00140E08"/>
    <w:rsid w:val="00141331"/>
    <w:rsid w:val="0014141E"/>
    <w:rsid w:val="00141BE5"/>
    <w:rsid w:val="00141DD8"/>
    <w:rsid w:val="00141E8A"/>
    <w:rsid w:val="00142014"/>
    <w:rsid w:val="001420C3"/>
    <w:rsid w:val="0014231A"/>
    <w:rsid w:val="001423FD"/>
    <w:rsid w:val="001426C5"/>
    <w:rsid w:val="00142C4B"/>
    <w:rsid w:val="00142E7D"/>
    <w:rsid w:val="00142E8B"/>
    <w:rsid w:val="00143309"/>
    <w:rsid w:val="0014344C"/>
    <w:rsid w:val="00143975"/>
    <w:rsid w:val="00143D08"/>
    <w:rsid w:val="00143F15"/>
    <w:rsid w:val="00143F1C"/>
    <w:rsid w:val="00143F50"/>
    <w:rsid w:val="00143F60"/>
    <w:rsid w:val="00143FDE"/>
    <w:rsid w:val="0014420D"/>
    <w:rsid w:val="001444F7"/>
    <w:rsid w:val="00144592"/>
    <w:rsid w:val="001445D9"/>
    <w:rsid w:val="0014483D"/>
    <w:rsid w:val="00144B78"/>
    <w:rsid w:val="00144BF1"/>
    <w:rsid w:val="00144C31"/>
    <w:rsid w:val="00144F9C"/>
    <w:rsid w:val="0014520A"/>
    <w:rsid w:val="00145561"/>
    <w:rsid w:val="0014558A"/>
    <w:rsid w:val="001455E9"/>
    <w:rsid w:val="0014596A"/>
    <w:rsid w:val="00145CC9"/>
    <w:rsid w:val="00145CD4"/>
    <w:rsid w:val="001464BB"/>
    <w:rsid w:val="00146D46"/>
    <w:rsid w:val="00146FA2"/>
    <w:rsid w:val="001473E9"/>
    <w:rsid w:val="00147584"/>
    <w:rsid w:val="0014783F"/>
    <w:rsid w:val="00147900"/>
    <w:rsid w:val="00147B01"/>
    <w:rsid w:val="00147BFC"/>
    <w:rsid w:val="00147DB1"/>
    <w:rsid w:val="00147DCD"/>
    <w:rsid w:val="00147E48"/>
    <w:rsid w:val="00150856"/>
    <w:rsid w:val="001508C9"/>
    <w:rsid w:val="00150E78"/>
    <w:rsid w:val="001511B5"/>
    <w:rsid w:val="001512F5"/>
    <w:rsid w:val="0015156E"/>
    <w:rsid w:val="0015159B"/>
    <w:rsid w:val="001516EE"/>
    <w:rsid w:val="00151AC8"/>
    <w:rsid w:val="00151B6C"/>
    <w:rsid w:val="00151BA1"/>
    <w:rsid w:val="00151D0B"/>
    <w:rsid w:val="00151EEF"/>
    <w:rsid w:val="00152537"/>
    <w:rsid w:val="0015257A"/>
    <w:rsid w:val="00152A69"/>
    <w:rsid w:val="00152E71"/>
    <w:rsid w:val="00152FE0"/>
    <w:rsid w:val="001536D8"/>
    <w:rsid w:val="001538B4"/>
    <w:rsid w:val="00153F4B"/>
    <w:rsid w:val="001540D6"/>
    <w:rsid w:val="001541EB"/>
    <w:rsid w:val="001543D4"/>
    <w:rsid w:val="0015445C"/>
    <w:rsid w:val="0015450F"/>
    <w:rsid w:val="00154B6D"/>
    <w:rsid w:val="00154E72"/>
    <w:rsid w:val="00154E9A"/>
    <w:rsid w:val="0015523D"/>
    <w:rsid w:val="00155633"/>
    <w:rsid w:val="00155ED9"/>
    <w:rsid w:val="00155FB6"/>
    <w:rsid w:val="00156664"/>
    <w:rsid w:val="00156939"/>
    <w:rsid w:val="00156AC5"/>
    <w:rsid w:val="00156F5B"/>
    <w:rsid w:val="00157106"/>
    <w:rsid w:val="0015713F"/>
    <w:rsid w:val="00157457"/>
    <w:rsid w:val="0015748D"/>
    <w:rsid w:val="001575B8"/>
    <w:rsid w:val="001575F4"/>
    <w:rsid w:val="001578DC"/>
    <w:rsid w:val="00157CE3"/>
    <w:rsid w:val="00157DE4"/>
    <w:rsid w:val="00160787"/>
    <w:rsid w:val="00160818"/>
    <w:rsid w:val="001608C9"/>
    <w:rsid w:val="00160D8E"/>
    <w:rsid w:val="00160E8C"/>
    <w:rsid w:val="00160FCE"/>
    <w:rsid w:val="001610A6"/>
    <w:rsid w:val="001610A8"/>
    <w:rsid w:val="001611CC"/>
    <w:rsid w:val="001614D4"/>
    <w:rsid w:val="00161A39"/>
    <w:rsid w:val="00161B38"/>
    <w:rsid w:val="00161BBB"/>
    <w:rsid w:val="00161CAF"/>
    <w:rsid w:val="0016204C"/>
    <w:rsid w:val="001622B1"/>
    <w:rsid w:val="00162573"/>
    <w:rsid w:val="00162669"/>
    <w:rsid w:val="001626DD"/>
    <w:rsid w:val="0016283C"/>
    <w:rsid w:val="001629B7"/>
    <w:rsid w:val="00162AF4"/>
    <w:rsid w:val="00162C8A"/>
    <w:rsid w:val="00163037"/>
    <w:rsid w:val="0016329B"/>
    <w:rsid w:val="00163357"/>
    <w:rsid w:val="0016353C"/>
    <w:rsid w:val="0016390B"/>
    <w:rsid w:val="0016402E"/>
    <w:rsid w:val="0016426E"/>
    <w:rsid w:val="00164BB2"/>
    <w:rsid w:val="0016543A"/>
    <w:rsid w:val="00165EAD"/>
    <w:rsid w:val="00165FED"/>
    <w:rsid w:val="0016620E"/>
    <w:rsid w:val="001662C0"/>
    <w:rsid w:val="001664D3"/>
    <w:rsid w:val="0016667B"/>
    <w:rsid w:val="00166753"/>
    <w:rsid w:val="001667A9"/>
    <w:rsid w:val="00166A4D"/>
    <w:rsid w:val="00166E16"/>
    <w:rsid w:val="0016701B"/>
    <w:rsid w:val="00167185"/>
    <w:rsid w:val="0016766F"/>
    <w:rsid w:val="00167739"/>
    <w:rsid w:val="001677D2"/>
    <w:rsid w:val="00167B7A"/>
    <w:rsid w:val="00170327"/>
    <w:rsid w:val="00170450"/>
    <w:rsid w:val="00170650"/>
    <w:rsid w:val="00170E2D"/>
    <w:rsid w:val="0017134C"/>
    <w:rsid w:val="001715BD"/>
    <w:rsid w:val="00171B16"/>
    <w:rsid w:val="001721E1"/>
    <w:rsid w:val="00172229"/>
    <w:rsid w:val="001729CE"/>
    <w:rsid w:val="00172B99"/>
    <w:rsid w:val="00172E95"/>
    <w:rsid w:val="00172EA5"/>
    <w:rsid w:val="001731FC"/>
    <w:rsid w:val="00173329"/>
    <w:rsid w:val="00173821"/>
    <w:rsid w:val="00174BD5"/>
    <w:rsid w:val="00174E30"/>
    <w:rsid w:val="00175145"/>
    <w:rsid w:val="0017520D"/>
    <w:rsid w:val="001754A4"/>
    <w:rsid w:val="00175D8D"/>
    <w:rsid w:val="00176294"/>
    <w:rsid w:val="00176390"/>
    <w:rsid w:val="00176395"/>
    <w:rsid w:val="001767C6"/>
    <w:rsid w:val="00176886"/>
    <w:rsid w:val="0017692B"/>
    <w:rsid w:val="00176E6E"/>
    <w:rsid w:val="00176E78"/>
    <w:rsid w:val="0017711F"/>
    <w:rsid w:val="00177D11"/>
    <w:rsid w:val="0018004D"/>
    <w:rsid w:val="0018015B"/>
    <w:rsid w:val="00180C95"/>
    <w:rsid w:val="00180D07"/>
    <w:rsid w:val="00180E29"/>
    <w:rsid w:val="0018108B"/>
    <w:rsid w:val="001810B9"/>
    <w:rsid w:val="001811A0"/>
    <w:rsid w:val="001815B8"/>
    <w:rsid w:val="001815FB"/>
    <w:rsid w:val="001816A6"/>
    <w:rsid w:val="00181DBE"/>
    <w:rsid w:val="0018228D"/>
    <w:rsid w:val="00182367"/>
    <w:rsid w:val="001826DB"/>
    <w:rsid w:val="0018280C"/>
    <w:rsid w:val="00182BAC"/>
    <w:rsid w:val="00182E37"/>
    <w:rsid w:val="001830EF"/>
    <w:rsid w:val="0018313C"/>
    <w:rsid w:val="00183957"/>
    <w:rsid w:val="00183BDB"/>
    <w:rsid w:val="0018413C"/>
    <w:rsid w:val="0018414D"/>
    <w:rsid w:val="001844A9"/>
    <w:rsid w:val="001844E5"/>
    <w:rsid w:val="00184530"/>
    <w:rsid w:val="0018477F"/>
    <w:rsid w:val="001847E6"/>
    <w:rsid w:val="001849F6"/>
    <w:rsid w:val="0018505C"/>
    <w:rsid w:val="00185085"/>
    <w:rsid w:val="001851BD"/>
    <w:rsid w:val="0018565E"/>
    <w:rsid w:val="001858CE"/>
    <w:rsid w:val="00185AF8"/>
    <w:rsid w:val="00185C9E"/>
    <w:rsid w:val="00185CE4"/>
    <w:rsid w:val="00185D0E"/>
    <w:rsid w:val="00185D86"/>
    <w:rsid w:val="00186113"/>
    <w:rsid w:val="00186249"/>
    <w:rsid w:val="0018696A"/>
    <w:rsid w:val="00186A2D"/>
    <w:rsid w:val="00186C23"/>
    <w:rsid w:val="00186F1C"/>
    <w:rsid w:val="00186FCC"/>
    <w:rsid w:val="00187858"/>
    <w:rsid w:val="00187892"/>
    <w:rsid w:val="001878D9"/>
    <w:rsid w:val="00187B32"/>
    <w:rsid w:val="00187B4D"/>
    <w:rsid w:val="00187F67"/>
    <w:rsid w:val="0019008D"/>
    <w:rsid w:val="0019022B"/>
    <w:rsid w:val="0019037D"/>
    <w:rsid w:val="0019044D"/>
    <w:rsid w:val="001909EC"/>
    <w:rsid w:val="0019126B"/>
    <w:rsid w:val="00191483"/>
    <w:rsid w:val="00191497"/>
    <w:rsid w:val="0019155A"/>
    <w:rsid w:val="00191C4F"/>
    <w:rsid w:val="00191F3A"/>
    <w:rsid w:val="00192091"/>
    <w:rsid w:val="001920CC"/>
    <w:rsid w:val="001921F0"/>
    <w:rsid w:val="00192350"/>
    <w:rsid w:val="001924F6"/>
    <w:rsid w:val="001925CE"/>
    <w:rsid w:val="00192896"/>
    <w:rsid w:val="00192CCC"/>
    <w:rsid w:val="00193278"/>
    <w:rsid w:val="00193417"/>
    <w:rsid w:val="00193479"/>
    <w:rsid w:val="0019388E"/>
    <w:rsid w:val="00193B0E"/>
    <w:rsid w:val="00193C5E"/>
    <w:rsid w:val="00193C67"/>
    <w:rsid w:val="00193EA6"/>
    <w:rsid w:val="0019433F"/>
    <w:rsid w:val="00194836"/>
    <w:rsid w:val="00194CA1"/>
    <w:rsid w:val="00194F95"/>
    <w:rsid w:val="00195201"/>
    <w:rsid w:val="0019530E"/>
    <w:rsid w:val="00195857"/>
    <w:rsid w:val="001959DB"/>
    <w:rsid w:val="00195A1C"/>
    <w:rsid w:val="00195DE7"/>
    <w:rsid w:val="00195DFE"/>
    <w:rsid w:val="00195EF9"/>
    <w:rsid w:val="00196123"/>
    <w:rsid w:val="001963C9"/>
    <w:rsid w:val="00196771"/>
    <w:rsid w:val="00196E4C"/>
    <w:rsid w:val="00196F3D"/>
    <w:rsid w:val="0019711B"/>
    <w:rsid w:val="00197401"/>
    <w:rsid w:val="001976BC"/>
    <w:rsid w:val="0019788A"/>
    <w:rsid w:val="001978A0"/>
    <w:rsid w:val="0019799A"/>
    <w:rsid w:val="00197C0F"/>
    <w:rsid w:val="00197F36"/>
    <w:rsid w:val="00197F8E"/>
    <w:rsid w:val="001A02FE"/>
    <w:rsid w:val="001A0769"/>
    <w:rsid w:val="001A0BFC"/>
    <w:rsid w:val="001A0F7A"/>
    <w:rsid w:val="001A105E"/>
    <w:rsid w:val="001A116E"/>
    <w:rsid w:val="001A13CA"/>
    <w:rsid w:val="001A1A11"/>
    <w:rsid w:val="001A2056"/>
    <w:rsid w:val="001A2326"/>
    <w:rsid w:val="001A25C7"/>
    <w:rsid w:val="001A26F2"/>
    <w:rsid w:val="001A27A6"/>
    <w:rsid w:val="001A2A9D"/>
    <w:rsid w:val="001A2AD1"/>
    <w:rsid w:val="001A2B19"/>
    <w:rsid w:val="001A3215"/>
    <w:rsid w:val="001A3375"/>
    <w:rsid w:val="001A337B"/>
    <w:rsid w:val="001A33B9"/>
    <w:rsid w:val="001A35C2"/>
    <w:rsid w:val="001A3637"/>
    <w:rsid w:val="001A37C6"/>
    <w:rsid w:val="001A3A41"/>
    <w:rsid w:val="001A3B7D"/>
    <w:rsid w:val="001A3C77"/>
    <w:rsid w:val="001A3D02"/>
    <w:rsid w:val="001A409E"/>
    <w:rsid w:val="001A4780"/>
    <w:rsid w:val="001A48CD"/>
    <w:rsid w:val="001A4ACD"/>
    <w:rsid w:val="001A4B57"/>
    <w:rsid w:val="001A592A"/>
    <w:rsid w:val="001A5C8D"/>
    <w:rsid w:val="001A6136"/>
    <w:rsid w:val="001A6342"/>
    <w:rsid w:val="001A652B"/>
    <w:rsid w:val="001A657D"/>
    <w:rsid w:val="001A6800"/>
    <w:rsid w:val="001A713F"/>
    <w:rsid w:val="001A7161"/>
    <w:rsid w:val="001A71CB"/>
    <w:rsid w:val="001A7384"/>
    <w:rsid w:val="001A788E"/>
    <w:rsid w:val="001A7B13"/>
    <w:rsid w:val="001A7F1C"/>
    <w:rsid w:val="001B0143"/>
    <w:rsid w:val="001B03DD"/>
    <w:rsid w:val="001B0472"/>
    <w:rsid w:val="001B0873"/>
    <w:rsid w:val="001B0B8E"/>
    <w:rsid w:val="001B0C0A"/>
    <w:rsid w:val="001B102B"/>
    <w:rsid w:val="001B1100"/>
    <w:rsid w:val="001B11CD"/>
    <w:rsid w:val="001B1B4D"/>
    <w:rsid w:val="001B1BE8"/>
    <w:rsid w:val="001B1D8E"/>
    <w:rsid w:val="001B1E88"/>
    <w:rsid w:val="001B1F4A"/>
    <w:rsid w:val="001B20B4"/>
    <w:rsid w:val="001B21B7"/>
    <w:rsid w:val="001B25DC"/>
    <w:rsid w:val="001B2678"/>
    <w:rsid w:val="001B2A6E"/>
    <w:rsid w:val="001B302B"/>
    <w:rsid w:val="001B40F8"/>
    <w:rsid w:val="001B4A2D"/>
    <w:rsid w:val="001B4C87"/>
    <w:rsid w:val="001B4CD3"/>
    <w:rsid w:val="001B55DF"/>
    <w:rsid w:val="001B5903"/>
    <w:rsid w:val="001B592F"/>
    <w:rsid w:val="001B5AA9"/>
    <w:rsid w:val="001B5EAC"/>
    <w:rsid w:val="001B616C"/>
    <w:rsid w:val="001B627A"/>
    <w:rsid w:val="001B671A"/>
    <w:rsid w:val="001B6C5E"/>
    <w:rsid w:val="001B75FB"/>
    <w:rsid w:val="001B76F4"/>
    <w:rsid w:val="001B77C3"/>
    <w:rsid w:val="001B7E08"/>
    <w:rsid w:val="001C00B3"/>
    <w:rsid w:val="001C0611"/>
    <w:rsid w:val="001C0AEC"/>
    <w:rsid w:val="001C0F26"/>
    <w:rsid w:val="001C114E"/>
    <w:rsid w:val="001C18C0"/>
    <w:rsid w:val="001C18F7"/>
    <w:rsid w:val="001C1B16"/>
    <w:rsid w:val="001C1E10"/>
    <w:rsid w:val="001C1E86"/>
    <w:rsid w:val="001C1FEF"/>
    <w:rsid w:val="001C27C8"/>
    <w:rsid w:val="001C2900"/>
    <w:rsid w:val="001C2AE3"/>
    <w:rsid w:val="001C2C05"/>
    <w:rsid w:val="001C36D2"/>
    <w:rsid w:val="001C3A5E"/>
    <w:rsid w:val="001C3C8B"/>
    <w:rsid w:val="001C3F9F"/>
    <w:rsid w:val="001C40C5"/>
    <w:rsid w:val="001C4117"/>
    <w:rsid w:val="001C41F9"/>
    <w:rsid w:val="001C43AD"/>
    <w:rsid w:val="001C4555"/>
    <w:rsid w:val="001C4594"/>
    <w:rsid w:val="001C46D0"/>
    <w:rsid w:val="001C495E"/>
    <w:rsid w:val="001C499B"/>
    <w:rsid w:val="001C4AAC"/>
    <w:rsid w:val="001C4AC0"/>
    <w:rsid w:val="001C4AE8"/>
    <w:rsid w:val="001C4B0F"/>
    <w:rsid w:val="001C4B98"/>
    <w:rsid w:val="001C4E94"/>
    <w:rsid w:val="001C5048"/>
    <w:rsid w:val="001C5199"/>
    <w:rsid w:val="001C51E6"/>
    <w:rsid w:val="001C5504"/>
    <w:rsid w:val="001C567D"/>
    <w:rsid w:val="001C57B1"/>
    <w:rsid w:val="001C59AE"/>
    <w:rsid w:val="001C5F47"/>
    <w:rsid w:val="001C62B5"/>
    <w:rsid w:val="001C62F4"/>
    <w:rsid w:val="001C685A"/>
    <w:rsid w:val="001C6985"/>
    <w:rsid w:val="001C6B80"/>
    <w:rsid w:val="001C6E80"/>
    <w:rsid w:val="001C6ECA"/>
    <w:rsid w:val="001C7153"/>
    <w:rsid w:val="001C7405"/>
    <w:rsid w:val="001C77D6"/>
    <w:rsid w:val="001C78B4"/>
    <w:rsid w:val="001C7A9D"/>
    <w:rsid w:val="001C7BD4"/>
    <w:rsid w:val="001C7C4E"/>
    <w:rsid w:val="001C7CA1"/>
    <w:rsid w:val="001C7E6D"/>
    <w:rsid w:val="001D0005"/>
    <w:rsid w:val="001D09D0"/>
    <w:rsid w:val="001D14AC"/>
    <w:rsid w:val="001D169E"/>
    <w:rsid w:val="001D19A9"/>
    <w:rsid w:val="001D1A87"/>
    <w:rsid w:val="001D1AF1"/>
    <w:rsid w:val="001D2208"/>
    <w:rsid w:val="001D24B6"/>
    <w:rsid w:val="001D25CB"/>
    <w:rsid w:val="001D285A"/>
    <w:rsid w:val="001D2ABC"/>
    <w:rsid w:val="001D2C3C"/>
    <w:rsid w:val="001D2CD5"/>
    <w:rsid w:val="001D2FB6"/>
    <w:rsid w:val="001D3540"/>
    <w:rsid w:val="001D371D"/>
    <w:rsid w:val="001D3846"/>
    <w:rsid w:val="001D38C2"/>
    <w:rsid w:val="001D39FD"/>
    <w:rsid w:val="001D3F87"/>
    <w:rsid w:val="001D407F"/>
    <w:rsid w:val="001D4155"/>
    <w:rsid w:val="001D46DF"/>
    <w:rsid w:val="001D48A4"/>
    <w:rsid w:val="001D48C9"/>
    <w:rsid w:val="001D4BFF"/>
    <w:rsid w:val="001D5589"/>
    <w:rsid w:val="001D599D"/>
    <w:rsid w:val="001D5DD4"/>
    <w:rsid w:val="001D61BD"/>
    <w:rsid w:val="001D6D20"/>
    <w:rsid w:val="001D70BF"/>
    <w:rsid w:val="001D7BCD"/>
    <w:rsid w:val="001D7BE3"/>
    <w:rsid w:val="001D7E91"/>
    <w:rsid w:val="001D7F7E"/>
    <w:rsid w:val="001E00D9"/>
    <w:rsid w:val="001E04DE"/>
    <w:rsid w:val="001E05B5"/>
    <w:rsid w:val="001E0A77"/>
    <w:rsid w:val="001E0AE6"/>
    <w:rsid w:val="001E0E65"/>
    <w:rsid w:val="001E0F47"/>
    <w:rsid w:val="001E13C5"/>
    <w:rsid w:val="001E17C4"/>
    <w:rsid w:val="001E18AC"/>
    <w:rsid w:val="001E1926"/>
    <w:rsid w:val="001E1ADF"/>
    <w:rsid w:val="001E233C"/>
    <w:rsid w:val="001E27EC"/>
    <w:rsid w:val="001E297B"/>
    <w:rsid w:val="001E2DC3"/>
    <w:rsid w:val="001E2E26"/>
    <w:rsid w:val="001E2E8E"/>
    <w:rsid w:val="001E2EF4"/>
    <w:rsid w:val="001E35BF"/>
    <w:rsid w:val="001E35D2"/>
    <w:rsid w:val="001E37CF"/>
    <w:rsid w:val="001E39C5"/>
    <w:rsid w:val="001E4B1D"/>
    <w:rsid w:val="001E5479"/>
    <w:rsid w:val="001E55CD"/>
    <w:rsid w:val="001E5737"/>
    <w:rsid w:val="001E5BBC"/>
    <w:rsid w:val="001E5F29"/>
    <w:rsid w:val="001E6435"/>
    <w:rsid w:val="001E6802"/>
    <w:rsid w:val="001E691E"/>
    <w:rsid w:val="001E6AFD"/>
    <w:rsid w:val="001E6B0E"/>
    <w:rsid w:val="001E6D5D"/>
    <w:rsid w:val="001E740B"/>
    <w:rsid w:val="001E75E4"/>
    <w:rsid w:val="001E7C38"/>
    <w:rsid w:val="001E7E60"/>
    <w:rsid w:val="001F0158"/>
    <w:rsid w:val="001F018E"/>
    <w:rsid w:val="001F019F"/>
    <w:rsid w:val="001F023A"/>
    <w:rsid w:val="001F051D"/>
    <w:rsid w:val="001F07B9"/>
    <w:rsid w:val="001F0904"/>
    <w:rsid w:val="001F0B04"/>
    <w:rsid w:val="001F0C13"/>
    <w:rsid w:val="001F0F6E"/>
    <w:rsid w:val="001F126D"/>
    <w:rsid w:val="001F14C4"/>
    <w:rsid w:val="001F157A"/>
    <w:rsid w:val="001F166E"/>
    <w:rsid w:val="001F1868"/>
    <w:rsid w:val="001F1A82"/>
    <w:rsid w:val="001F1B25"/>
    <w:rsid w:val="001F1E12"/>
    <w:rsid w:val="001F2257"/>
    <w:rsid w:val="001F2A1C"/>
    <w:rsid w:val="001F2A57"/>
    <w:rsid w:val="001F2B1A"/>
    <w:rsid w:val="001F2C3E"/>
    <w:rsid w:val="001F2DCA"/>
    <w:rsid w:val="001F2E4D"/>
    <w:rsid w:val="001F30EE"/>
    <w:rsid w:val="001F3213"/>
    <w:rsid w:val="001F3221"/>
    <w:rsid w:val="001F337A"/>
    <w:rsid w:val="001F33A0"/>
    <w:rsid w:val="001F3573"/>
    <w:rsid w:val="001F3AE4"/>
    <w:rsid w:val="001F3C0E"/>
    <w:rsid w:val="001F3C4B"/>
    <w:rsid w:val="001F3E2C"/>
    <w:rsid w:val="001F41C2"/>
    <w:rsid w:val="001F4427"/>
    <w:rsid w:val="001F4483"/>
    <w:rsid w:val="001F4B16"/>
    <w:rsid w:val="001F4C39"/>
    <w:rsid w:val="001F5B86"/>
    <w:rsid w:val="001F62EA"/>
    <w:rsid w:val="001F65A3"/>
    <w:rsid w:val="001F6856"/>
    <w:rsid w:val="001F7258"/>
    <w:rsid w:val="001F73D9"/>
    <w:rsid w:val="001F7478"/>
    <w:rsid w:val="001F7E89"/>
    <w:rsid w:val="001F7EDD"/>
    <w:rsid w:val="001F7FCA"/>
    <w:rsid w:val="00200212"/>
    <w:rsid w:val="002008BE"/>
    <w:rsid w:val="0020111B"/>
    <w:rsid w:val="0020142A"/>
    <w:rsid w:val="002019C7"/>
    <w:rsid w:val="00201D9D"/>
    <w:rsid w:val="00201F1D"/>
    <w:rsid w:val="00201FE8"/>
    <w:rsid w:val="00201FEF"/>
    <w:rsid w:val="002024FC"/>
    <w:rsid w:val="002025D7"/>
    <w:rsid w:val="0020264D"/>
    <w:rsid w:val="002027BD"/>
    <w:rsid w:val="0020291A"/>
    <w:rsid w:val="00202936"/>
    <w:rsid w:val="00202AE4"/>
    <w:rsid w:val="002031C1"/>
    <w:rsid w:val="00203830"/>
    <w:rsid w:val="00203AFC"/>
    <w:rsid w:val="00203D79"/>
    <w:rsid w:val="0020406F"/>
    <w:rsid w:val="00204260"/>
    <w:rsid w:val="00204411"/>
    <w:rsid w:val="0020497C"/>
    <w:rsid w:val="00204F84"/>
    <w:rsid w:val="00205192"/>
    <w:rsid w:val="002051D4"/>
    <w:rsid w:val="0020531C"/>
    <w:rsid w:val="002053E5"/>
    <w:rsid w:val="002054B9"/>
    <w:rsid w:val="00205678"/>
    <w:rsid w:val="00205758"/>
    <w:rsid w:val="00205B56"/>
    <w:rsid w:val="00205C40"/>
    <w:rsid w:val="00205E2D"/>
    <w:rsid w:val="00205EE0"/>
    <w:rsid w:val="00205EF7"/>
    <w:rsid w:val="0020627A"/>
    <w:rsid w:val="0020640C"/>
    <w:rsid w:val="002069B7"/>
    <w:rsid w:val="00206B72"/>
    <w:rsid w:val="00206F81"/>
    <w:rsid w:val="00207016"/>
    <w:rsid w:val="002102F6"/>
    <w:rsid w:val="002104A6"/>
    <w:rsid w:val="00210673"/>
    <w:rsid w:val="00210D2D"/>
    <w:rsid w:val="00211245"/>
    <w:rsid w:val="00211389"/>
    <w:rsid w:val="00211634"/>
    <w:rsid w:val="0021164B"/>
    <w:rsid w:val="002116B8"/>
    <w:rsid w:val="00211EF5"/>
    <w:rsid w:val="002121E4"/>
    <w:rsid w:val="002121FC"/>
    <w:rsid w:val="0021222A"/>
    <w:rsid w:val="002125F9"/>
    <w:rsid w:val="002125FF"/>
    <w:rsid w:val="00212A13"/>
    <w:rsid w:val="00212A82"/>
    <w:rsid w:val="00212C1C"/>
    <w:rsid w:val="00213330"/>
    <w:rsid w:val="002137DF"/>
    <w:rsid w:val="00213957"/>
    <w:rsid w:val="00213A28"/>
    <w:rsid w:val="00213D3C"/>
    <w:rsid w:val="00213DCF"/>
    <w:rsid w:val="00213EEE"/>
    <w:rsid w:val="00214143"/>
    <w:rsid w:val="0021448A"/>
    <w:rsid w:val="00214773"/>
    <w:rsid w:val="00214CC7"/>
    <w:rsid w:val="00214FEB"/>
    <w:rsid w:val="0021514C"/>
    <w:rsid w:val="00215773"/>
    <w:rsid w:val="00215B62"/>
    <w:rsid w:val="00215C8E"/>
    <w:rsid w:val="00216014"/>
    <w:rsid w:val="00216207"/>
    <w:rsid w:val="00216240"/>
    <w:rsid w:val="0021646B"/>
    <w:rsid w:val="002168AE"/>
    <w:rsid w:val="00216941"/>
    <w:rsid w:val="0021698E"/>
    <w:rsid w:val="00216C14"/>
    <w:rsid w:val="00216CCB"/>
    <w:rsid w:val="00216E8F"/>
    <w:rsid w:val="00216E9F"/>
    <w:rsid w:val="00216FD9"/>
    <w:rsid w:val="0021707D"/>
    <w:rsid w:val="00217811"/>
    <w:rsid w:val="00217A1A"/>
    <w:rsid w:val="00220005"/>
    <w:rsid w:val="0022005D"/>
    <w:rsid w:val="00220E16"/>
    <w:rsid w:val="00221055"/>
    <w:rsid w:val="00221421"/>
    <w:rsid w:val="00221450"/>
    <w:rsid w:val="002214C9"/>
    <w:rsid w:val="00221520"/>
    <w:rsid w:val="00221D4E"/>
    <w:rsid w:val="00221EF8"/>
    <w:rsid w:val="00221F4F"/>
    <w:rsid w:val="00222216"/>
    <w:rsid w:val="00222241"/>
    <w:rsid w:val="00222296"/>
    <w:rsid w:val="002222E1"/>
    <w:rsid w:val="002224A3"/>
    <w:rsid w:val="00222779"/>
    <w:rsid w:val="00223627"/>
    <w:rsid w:val="00223985"/>
    <w:rsid w:val="00223C32"/>
    <w:rsid w:val="00223D80"/>
    <w:rsid w:val="00224061"/>
    <w:rsid w:val="00224131"/>
    <w:rsid w:val="00224B81"/>
    <w:rsid w:val="00224C31"/>
    <w:rsid w:val="00224DB1"/>
    <w:rsid w:val="00225079"/>
    <w:rsid w:val="002252F7"/>
    <w:rsid w:val="0022556C"/>
    <w:rsid w:val="0022588B"/>
    <w:rsid w:val="00225B2A"/>
    <w:rsid w:val="00225BD5"/>
    <w:rsid w:val="0022618F"/>
    <w:rsid w:val="00226B61"/>
    <w:rsid w:val="00226C0B"/>
    <w:rsid w:val="00226CB0"/>
    <w:rsid w:val="0022746D"/>
    <w:rsid w:val="00227508"/>
    <w:rsid w:val="00227974"/>
    <w:rsid w:val="00227B03"/>
    <w:rsid w:val="00227F84"/>
    <w:rsid w:val="002307A6"/>
    <w:rsid w:val="002308E1"/>
    <w:rsid w:val="002309E8"/>
    <w:rsid w:val="00230AC8"/>
    <w:rsid w:val="00230C63"/>
    <w:rsid w:val="00230CBE"/>
    <w:rsid w:val="002310A7"/>
    <w:rsid w:val="00231728"/>
    <w:rsid w:val="002319E2"/>
    <w:rsid w:val="00231FDB"/>
    <w:rsid w:val="00232528"/>
    <w:rsid w:val="00232824"/>
    <w:rsid w:val="00232953"/>
    <w:rsid w:val="0023298F"/>
    <w:rsid w:val="002329B1"/>
    <w:rsid w:val="00232D34"/>
    <w:rsid w:val="00232EC1"/>
    <w:rsid w:val="002331FD"/>
    <w:rsid w:val="0023329F"/>
    <w:rsid w:val="0023340B"/>
    <w:rsid w:val="0023366B"/>
    <w:rsid w:val="0023372E"/>
    <w:rsid w:val="00233C59"/>
    <w:rsid w:val="00233C8B"/>
    <w:rsid w:val="00233F8F"/>
    <w:rsid w:val="0023403B"/>
    <w:rsid w:val="00234111"/>
    <w:rsid w:val="00234207"/>
    <w:rsid w:val="002344EC"/>
    <w:rsid w:val="0023468B"/>
    <w:rsid w:val="00234746"/>
    <w:rsid w:val="002348E0"/>
    <w:rsid w:val="002348EC"/>
    <w:rsid w:val="00234B4B"/>
    <w:rsid w:val="00234B5F"/>
    <w:rsid w:val="00234DBF"/>
    <w:rsid w:val="00235054"/>
    <w:rsid w:val="00235292"/>
    <w:rsid w:val="002352AF"/>
    <w:rsid w:val="00235448"/>
    <w:rsid w:val="002354BB"/>
    <w:rsid w:val="0023599E"/>
    <w:rsid w:val="00235F58"/>
    <w:rsid w:val="002364AE"/>
    <w:rsid w:val="002366AC"/>
    <w:rsid w:val="002366DD"/>
    <w:rsid w:val="00236E9F"/>
    <w:rsid w:val="002376D2"/>
    <w:rsid w:val="00237BC1"/>
    <w:rsid w:val="00237D40"/>
    <w:rsid w:val="0024010C"/>
    <w:rsid w:val="002405B2"/>
    <w:rsid w:val="0024061C"/>
    <w:rsid w:val="0024082D"/>
    <w:rsid w:val="00241021"/>
    <w:rsid w:val="0024107A"/>
    <w:rsid w:val="002411E8"/>
    <w:rsid w:val="002417AE"/>
    <w:rsid w:val="00241BC8"/>
    <w:rsid w:val="00241D41"/>
    <w:rsid w:val="0024280E"/>
    <w:rsid w:val="002429EB"/>
    <w:rsid w:val="00242A92"/>
    <w:rsid w:val="00242D9E"/>
    <w:rsid w:val="00242F37"/>
    <w:rsid w:val="00243224"/>
    <w:rsid w:val="002434A7"/>
    <w:rsid w:val="00243652"/>
    <w:rsid w:val="00243CBD"/>
    <w:rsid w:val="00243E45"/>
    <w:rsid w:val="00244291"/>
    <w:rsid w:val="002443F1"/>
    <w:rsid w:val="00244882"/>
    <w:rsid w:val="00244CD1"/>
    <w:rsid w:val="00245225"/>
    <w:rsid w:val="0024556F"/>
    <w:rsid w:val="00245AF5"/>
    <w:rsid w:val="00245CCE"/>
    <w:rsid w:val="00246013"/>
    <w:rsid w:val="00246834"/>
    <w:rsid w:val="00246851"/>
    <w:rsid w:val="002468AE"/>
    <w:rsid w:val="00246D02"/>
    <w:rsid w:val="00246D9D"/>
    <w:rsid w:val="0024707B"/>
    <w:rsid w:val="002471EC"/>
    <w:rsid w:val="00247828"/>
    <w:rsid w:val="002478D4"/>
    <w:rsid w:val="00247C1D"/>
    <w:rsid w:val="002504BA"/>
    <w:rsid w:val="002504D8"/>
    <w:rsid w:val="002507BB"/>
    <w:rsid w:val="00250D47"/>
    <w:rsid w:val="00251203"/>
    <w:rsid w:val="00251555"/>
    <w:rsid w:val="00251605"/>
    <w:rsid w:val="00251786"/>
    <w:rsid w:val="0025183D"/>
    <w:rsid w:val="00251A88"/>
    <w:rsid w:val="00251ACE"/>
    <w:rsid w:val="00251C2A"/>
    <w:rsid w:val="00251D59"/>
    <w:rsid w:val="00251FA9"/>
    <w:rsid w:val="00252017"/>
    <w:rsid w:val="00252036"/>
    <w:rsid w:val="0025253F"/>
    <w:rsid w:val="0025274A"/>
    <w:rsid w:val="00252B31"/>
    <w:rsid w:val="00252DC2"/>
    <w:rsid w:val="00253025"/>
    <w:rsid w:val="002530CD"/>
    <w:rsid w:val="00253109"/>
    <w:rsid w:val="00253678"/>
    <w:rsid w:val="00253C48"/>
    <w:rsid w:val="00253FBF"/>
    <w:rsid w:val="002541D0"/>
    <w:rsid w:val="00254571"/>
    <w:rsid w:val="002548B1"/>
    <w:rsid w:val="002552B1"/>
    <w:rsid w:val="00255490"/>
    <w:rsid w:val="0025561E"/>
    <w:rsid w:val="002557C7"/>
    <w:rsid w:val="00256013"/>
    <w:rsid w:val="002565B3"/>
    <w:rsid w:val="002567F1"/>
    <w:rsid w:val="0025693C"/>
    <w:rsid w:val="002569ED"/>
    <w:rsid w:val="00256D3D"/>
    <w:rsid w:val="00256E13"/>
    <w:rsid w:val="00257066"/>
    <w:rsid w:val="002578DF"/>
    <w:rsid w:val="00257936"/>
    <w:rsid w:val="00257C67"/>
    <w:rsid w:val="00257CAF"/>
    <w:rsid w:val="00257E08"/>
    <w:rsid w:val="00257E14"/>
    <w:rsid w:val="00260461"/>
    <w:rsid w:val="00260656"/>
    <w:rsid w:val="002606F8"/>
    <w:rsid w:val="00260AD3"/>
    <w:rsid w:val="00260B69"/>
    <w:rsid w:val="00260EA3"/>
    <w:rsid w:val="00261101"/>
    <w:rsid w:val="0026126F"/>
    <w:rsid w:val="00261580"/>
    <w:rsid w:val="00261743"/>
    <w:rsid w:val="00261879"/>
    <w:rsid w:val="00261BE2"/>
    <w:rsid w:val="00261C6D"/>
    <w:rsid w:val="00261D4C"/>
    <w:rsid w:val="002629C7"/>
    <w:rsid w:val="002629FA"/>
    <w:rsid w:val="00262B60"/>
    <w:rsid w:val="00262D26"/>
    <w:rsid w:val="00262F5B"/>
    <w:rsid w:val="00262F63"/>
    <w:rsid w:val="00263072"/>
    <w:rsid w:val="002633FC"/>
    <w:rsid w:val="0026377E"/>
    <w:rsid w:val="00263789"/>
    <w:rsid w:val="00264169"/>
    <w:rsid w:val="00264223"/>
    <w:rsid w:val="002643FD"/>
    <w:rsid w:val="00264752"/>
    <w:rsid w:val="00264D46"/>
    <w:rsid w:val="00264DD7"/>
    <w:rsid w:val="00264FB9"/>
    <w:rsid w:val="002650E3"/>
    <w:rsid w:val="00265B1A"/>
    <w:rsid w:val="002663A5"/>
    <w:rsid w:val="00266603"/>
    <w:rsid w:val="0026697C"/>
    <w:rsid w:val="00266B0F"/>
    <w:rsid w:val="002674BC"/>
    <w:rsid w:val="00267C19"/>
    <w:rsid w:val="00267FCC"/>
    <w:rsid w:val="0027098C"/>
    <w:rsid w:val="00270A70"/>
    <w:rsid w:val="00270C5C"/>
    <w:rsid w:val="00270F23"/>
    <w:rsid w:val="00271021"/>
    <w:rsid w:val="002711DC"/>
    <w:rsid w:val="002713F9"/>
    <w:rsid w:val="00271861"/>
    <w:rsid w:val="00271872"/>
    <w:rsid w:val="00271934"/>
    <w:rsid w:val="00271C9A"/>
    <w:rsid w:val="00271CA3"/>
    <w:rsid w:val="002721B5"/>
    <w:rsid w:val="00272416"/>
    <w:rsid w:val="00272542"/>
    <w:rsid w:val="00272D29"/>
    <w:rsid w:val="00272E23"/>
    <w:rsid w:val="00273102"/>
    <w:rsid w:val="002731AD"/>
    <w:rsid w:val="002734D5"/>
    <w:rsid w:val="00273678"/>
    <w:rsid w:val="002736D9"/>
    <w:rsid w:val="00273B62"/>
    <w:rsid w:val="00273C25"/>
    <w:rsid w:val="00273C7F"/>
    <w:rsid w:val="00273DE8"/>
    <w:rsid w:val="00273FB0"/>
    <w:rsid w:val="00273FE8"/>
    <w:rsid w:val="002741A6"/>
    <w:rsid w:val="0027432A"/>
    <w:rsid w:val="00274494"/>
    <w:rsid w:val="00274B71"/>
    <w:rsid w:val="00274FA6"/>
    <w:rsid w:val="00275145"/>
    <w:rsid w:val="002758BA"/>
    <w:rsid w:val="00275A0E"/>
    <w:rsid w:val="00275B34"/>
    <w:rsid w:val="00275E59"/>
    <w:rsid w:val="002765F4"/>
    <w:rsid w:val="00276959"/>
    <w:rsid w:val="00276974"/>
    <w:rsid w:val="002769EA"/>
    <w:rsid w:val="00276BA1"/>
    <w:rsid w:val="00277476"/>
    <w:rsid w:val="002775F0"/>
    <w:rsid w:val="00277804"/>
    <w:rsid w:val="00277B3D"/>
    <w:rsid w:val="00277CC0"/>
    <w:rsid w:val="00277DD9"/>
    <w:rsid w:val="002802DC"/>
    <w:rsid w:val="00280706"/>
    <w:rsid w:val="00280BBC"/>
    <w:rsid w:val="00280F8D"/>
    <w:rsid w:val="00281606"/>
    <w:rsid w:val="002817E2"/>
    <w:rsid w:val="00281B29"/>
    <w:rsid w:val="00281EC3"/>
    <w:rsid w:val="00282592"/>
    <w:rsid w:val="002828BF"/>
    <w:rsid w:val="00282A44"/>
    <w:rsid w:val="00283084"/>
    <w:rsid w:val="00283251"/>
    <w:rsid w:val="00283421"/>
    <w:rsid w:val="00283CD8"/>
    <w:rsid w:val="00283D22"/>
    <w:rsid w:val="0028412B"/>
    <w:rsid w:val="002846C5"/>
    <w:rsid w:val="00284A38"/>
    <w:rsid w:val="00284EBB"/>
    <w:rsid w:val="002851FB"/>
    <w:rsid w:val="0028552E"/>
    <w:rsid w:val="00285600"/>
    <w:rsid w:val="00285712"/>
    <w:rsid w:val="00286598"/>
    <w:rsid w:val="0028663A"/>
    <w:rsid w:val="00286ACD"/>
    <w:rsid w:val="00286B0E"/>
    <w:rsid w:val="00286B4B"/>
    <w:rsid w:val="00286BD1"/>
    <w:rsid w:val="00286CCF"/>
    <w:rsid w:val="00287088"/>
    <w:rsid w:val="0028710A"/>
    <w:rsid w:val="00287283"/>
    <w:rsid w:val="0028732F"/>
    <w:rsid w:val="00287BFE"/>
    <w:rsid w:val="00287E08"/>
    <w:rsid w:val="002900E2"/>
    <w:rsid w:val="00290222"/>
    <w:rsid w:val="00290319"/>
    <w:rsid w:val="002904BC"/>
    <w:rsid w:val="0029079D"/>
    <w:rsid w:val="00290973"/>
    <w:rsid w:val="002910A2"/>
    <w:rsid w:val="002913B9"/>
    <w:rsid w:val="00291524"/>
    <w:rsid w:val="002917E3"/>
    <w:rsid w:val="00291984"/>
    <w:rsid w:val="002919AB"/>
    <w:rsid w:val="00291BF2"/>
    <w:rsid w:val="00291D71"/>
    <w:rsid w:val="00292313"/>
    <w:rsid w:val="00292614"/>
    <w:rsid w:val="00292704"/>
    <w:rsid w:val="002927F4"/>
    <w:rsid w:val="00292C86"/>
    <w:rsid w:val="002935F9"/>
    <w:rsid w:val="00293AB8"/>
    <w:rsid w:val="00293C3E"/>
    <w:rsid w:val="00293F49"/>
    <w:rsid w:val="0029425A"/>
    <w:rsid w:val="0029439C"/>
    <w:rsid w:val="0029440E"/>
    <w:rsid w:val="002947D4"/>
    <w:rsid w:val="0029493A"/>
    <w:rsid w:val="00294A4E"/>
    <w:rsid w:val="00294AE9"/>
    <w:rsid w:val="00294D6F"/>
    <w:rsid w:val="00294DC9"/>
    <w:rsid w:val="00294EBD"/>
    <w:rsid w:val="0029514C"/>
    <w:rsid w:val="00295151"/>
    <w:rsid w:val="0029520D"/>
    <w:rsid w:val="00295279"/>
    <w:rsid w:val="0029538D"/>
    <w:rsid w:val="002955A1"/>
    <w:rsid w:val="00295D3A"/>
    <w:rsid w:val="0029603B"/>
    <w:rsid w:val="00296737"/>
    <w:rsid w:val="00296CAD"/>
    <w:rsid w:val="00296E62"/>
    <w:rsid w:val="00297269"/>
    <w:rsid w:val="002972DF"/>
    <w:rsid w:val="0029740A"/>
    <w:rsid w:val="0029749B"/>
    <w:rsid w:val="0029765E"/>
    <w:rsid w:val="00297A98"/>
    <w:rsid w:val="00297CD8"/>
    <w:rsid w:val="00297FB0"/>
    <w:rsid w:val="002A0465"/>
    <w:rsid w:val="002A0633"/>
    <w:rsid w:val="002A06C3"/>
    <w:rsid w:val="002A0826"/>
    <w:rsid w:val="002A0B3F"/>
    <w:rsid w:val="002A0DD3"/>
    <w:rsid w:val="002A12F1"/>
    <w:rsid w:val="002A1346"/>
    <w:rsid w:val="002A16A3"/>
    <w:rsid w:val="002A19B0"/>
    <w:rsid w:val="002A1AF4"/>
    <w:rsid w:val="002A1D39"/>
    <w:rsid w:val="002A1D74"/>
    <w:rsid w:val="002A1F07"/>
    <w:rsid w:val="002A2043"/>
    <w:rsid w:val="002A25CB"/>
    <w:rsid w:val="002A2C89"/>
    <w:rsid w:val="002A2D73"/>
    <w:rsid w:val="002A2E04"/>
    <w:rsid w:val="002A339F"/>
    <w:rsid w:val="002A33AF"/>
    <w:rsid w:val="002A393F"/>
    <w:rsid w:val="002A395B"/>
    <w:rsid w:val="002A3DA2"/>
    <w:rsid w:val="002A431A"/>
    <w:rsid w:val="002A432B"/>
    <w:rsid w:val="002A4A87"/>
    <w:rsid w:val="002A4B46"/>
    <w:rsid w:val="002A4B7E"/>
    <w:rsid w:val="002A4BB1"/>
    <w:rsid w:val="002A4C04"/>
    <w:rsid w:val="002A4D2A"/>
    <w:rsid w:val="002A4F48"/>
    <w:rsid w:val="002A4F95"/>
    <w:rsid w:val="002A514F"/>
    <w:rsid w:val="002A5379"/>
    <w:rsid w:val="002A5403"/>
    <w:rsid w:val="002A59FD"/>
    <w:rsid w:val="002A5DA0"/>
    <w:rsid w:val="002A5FE9"/>
    <w:rsid w:val="002A60EC"/>
    <w:rsid w:val="002A65FE"/>
    <w:rsid w:val="002A69BC"/>
    <w:rsid w:val="002A69C8"/>
    <w:rsid w:val="002A6B6D"/>
    <w:rsid w:val="002A6DDE"/>
    <w:rsid w:val="002A6FA0"/>
    <w:rsid w:val="002A7272"/>
    <w:rsid w:val="002A7556"/>
    <w:rsid w:val="002A7E8B"/>
    <w:rsid w:val="002B013E"/>
    <w:rsid w:val="002B09A3"/>
    <w:rsid w:val="002B0C3A"/>
    <w:rsid w:val="002B0E2D"/>
    <w:rsid w:val="002B0F56"/>
    <w:rsid w:val="002B1424"/>
    <w:rsid w:val="002B16E0"/>
    <w:rsid w:val="002B1A2F"/>
    <w:rsid w:val="002B1B05"/>
    <w:rsid w:val="002B1D72"/>
    <w:rsid w:val="002B1EB2"/>
    <w:rsid w:val="002B2350"/>
    <w:rsid w:val="002B2559"/>
    <w:rsid w:val="002B27C0"/>
    <w:rsid w:val="002B2A81"/>
    <w:rsid w:val="002B2B0D"/>
    <w:rsid w:val="002B3111"/>
    <w:rsid w:val="002B322C"/>
    <w:rsid w:val="002B32FC"/>
    <w:rsid w:val="002B3BCE"/>
    <w:rsid w:val="002B3E02"/>
    <w:rsid w:val="002B407B"/>
    <w:rsid w:val="002B417F"/>
    <w:rsid w:val="002B468E"/>
    <w:rsid w:val="002B4700"/>
    <w:rsid w:val="002B49C5"/>
    <w:rsid w:val="002B4DA6"/>
    <w:rsid w:val="002B4E8A"/>
    <w:rsid w:val="002B4F0D"/>
    <w:rsid w:val="002B5024"/>
    <w:rsid w:val="002B525E"/>
    <w:rsid w:val="002B5650"/>
    <w:rsid w:val="002B566A"/>
    <w:rsid w:val="002B59CA"/>
    <w:rsid w:val="002B5AE4"/>
    <w:rsid w:val="002B5AFB"/>
    <w:rsid w:val="002B5BA7"/>
    <w:rsid w:val="002B5C8C"/>
    <w:rsid w:val="002B5EAC"/>
    <w:rsid w:val="002B5FB0"/>
    <w:rsid w:val="002B622E"/>
    <w:rsid w:val="002B6274"/>
    <w:rsid w:val="002B6416"/>
    <w:rsid w:val="002B69F7"/>
    <w:rsid w:val="002B6BE2"/>
    <w:rsid w:val="002B709D"/>
    <w:rsid w:val="002B70F6"/>
    <w:rsid w:val="002B7106"/>
    <w:rsid w:val="002B7189"/>
    <w:rsid w:val="002B74C7"/>
    <w:rsid w:val="002B7900"/>
    <w:rsid w:val="002B7948"/>
    <w:rsid w:val="002B7972"/>
    <w:rsid w:val="002B7E49"/>
    <w:rsid w:val="002C0060"/>
    <w:rsid w:val="002C0078"/>
    <w:rsid w:val="002C03E4"/>
    <w:rsid w:val="002C0459"/>
    <w:rsid w:val="002C076D"/>
    <w:rsid w:val="002C0A11"/>
    <w:rsid w:val="002C0AED"/>
    <w:rsid w:val="002C10F7"/>
    <w:rsid w:val="002C1218"/>
    <w:rsid w:val="002C134A"/>
    <w:rsid w:val="002C1409"/>
    <w:rsid w:val="002C146D"/>
    <w:rsid w:val="002C18B4"/>
    <w:rsid w:val="002C1DFA"/>
    <w:rsid w:val="002C1E79"/>
    <w:rsid w:val="002C1E98"/>
    <w:rsid w:val="002C1E9C"/>
    <w:rsid w:val="002C21D5"/>
    <w:rsid w:val="002C2264"/>
    <w:rsid w:val="002C2270"/>
    <w:rsid w:val="002C22E5"/>
    <w:rsid w:val="002C24F6"/>
    <w:rsid w:val="002C2532"/>
    <w:rsid w:val="002C2D41"/>
    <w:rsid w:val="002C2E51"/>
    <w:rsid w:val="002C2F4A"/>
    <w:rsid w:val="002C30A7"/>
    <w:rsid w:val="002C3DB9"/>
    <w:rsid w:val="002C3FAC"/>
    <w:rsid w:val="002C431F"/>
    <w:rsid w:val="002C4C80"/>
    <w:rsid w:val="002C522F"/>
    <w:rsid w:val="002C52BF"/>
    <w:rsid w:val="002C54C1"/>
    <w:rsid w:val="002C556D"/>
    <w:rsid w:val="002C5571"/>
    <w:rsid w:val="002C5DB9"/>
    <w:rsid w:val="002C5DE6"/>
    <w:rsid w:val="002C5E42"/>
    <w:rsid w:val="002C6236"/>
    <w:rsid w:val="002C62A6"/>
    <w:rsid w:val="002C6444"/>
    <w:rsid w:val="002C6677"/>
    <w:rsid w:val="002C69BD"/>
    <w:rsid w:val="002C6D69"/>
    <w:rsid w:val="002C6F73"/>
    <w:rsid w:val="002C70A1"/>
    <w:rsid w:val="002C70D8"/>
    <w:rsid w:val="002C7140"/>
    <w:rsid w:val="002C7212"/>
    <w:rsid w:val="002C77C6"/>
    <w:rsid w:val="002C7974"/>
    <w:rsid w:val="002C7C1A"/>
    <w:rsid w:val="002C7E63"/>
    <w:rsid w:val="002D006A"/>
    <w:rsid w:val="002D04A7"/>
    <w:rsid w:val="002D04CF"/>
    <w:rsid w:val="002D05B5"/>
    <w:rsid w:val="002D0E5F"/>
    <w:rsid w:val="002D11A3"/>
    <w:rsid w:val="002D16DB"/>
    <w:rsid w:val="002D18FC"/>
    <w:rsid w:val="002D19B4"/>
    <w:rsid w:val="002D19F6"/>
    <w:rsid w:val="002D1BD4"/>
    <w:rsid w:val="002D1F4E"/>
    <w:rsid w:val="002D20A7"/>
    <w:rsid w:val="002D20EC"/>
    <w:rsid w:val="002D21E4"/>
    <w:rsid w:val="002D22A0"/>
    <w:rsid w:val="002D27B5"/>
    <w:rsid w:val="002D2973"/>
    <w:rsid w:val="002D2B57"/>
    <w:rsid w:val="002D2D00"/>
    <w:rsid w:val="002D2F09"/>
    <w:rsid w:val="002D30DF"/>
    <w:rsid w:val="002D33D6"/>
    <w:rsid w:val="002D34BC"/>
    <w:rsid w:val="002D35D0"/>
    <w:rsid w:val="002D39A6"/>
    <w:rsid w:val="002D3F35"/>
    <w:rsid w:val="002D3F48"/>
    <w:rsid w:val="002D4472"/>
    <w:rsid w:val="002D4489"/>
    <w:rsid w:val="002D44CD"/>
    <w:rsid w:val="002D4703"/>
    <w:rsid w:val="002D4769"/>
    <w:rsid w:val="002D4966"/>
    <w:rsid w:val="002D49FC"/>
    <w:rsid w:val="002D4A5F"/>
    <w:rsid w:val="002D4BBD"/>
    <w:rsid w:val="002D4D0B"/>
    <w:rsid w:val="002D4F05"/>
    <w:rsid w:val="002D4FE5"/>
    <w:rsid w:val="002D535D"/>
    <w:rsid w:val="002D548B"/>
    <w:rsid w:val="002D5528"/>
    <w:rsid w:val="002D57E2"/>
    <w:rsid w:val="002D588F"/>
    <w:rsid w:val="002D58C0"/>
    <w:rsid w:val="002D58E5"/>
    <w:rsid w:val="002D5E9D"/>
    <w:rsid w:val="002D5EC3"/>
    <w:rsid w:val="002D60FB"/>
    <w:rsid w:val="002D67B0"/>
    <w:rsid w:val="002D6996"/>
    <w:rsid w:val="002D6AB5"/>
    <w:rsid w:val="002D7D47"/>
    <w:rsid w:val="002E01CA"/>
    <w:rsid w:val="002E025C"/>
    <w:rsid w:val="002E0263"/>
    <w:rsid w:val="002E077B"/>
    <w:rsid w:val="002E0949"/>
    <w:rsid w:val="002E0B8F"/>
    <w:rsid w:val="002E0C25"/>
    <w:rsid w:val="002E0C56"/>
    <w:rsid w:val="002E0D3A"/>
    <w:rsid w:val="002E1060"/>
    <w:rsid w:val="002E116E"/>
    <w:rsid w:val="002E12C5"/>
    <w:rsid w:val="002E149C"/>
    <w:rsid w:val="002E1AA5"/>
    <w:rsid w:val="002E1E43"/>
    <w:rsid w:val="002E231E"/>
    <w:rsid w:val="002E26B3"/>
    <w:rsid w:val="002E2C11"/>
    <w:rsid w:val="002E2CBA"/>
    <w:rsid w:val="002E2D95"/>
    <w:rsid w:val="002E31A4"/>
    <w:rsid w:val="002E374F"/>
    <w:rsid w:val="002E3AD5"/>
    <w:rsid w:val="002E3B74"/>
    <w:rsid w:val="002E3C2E"/>
    <w:rsid w:val="002E45C4"/>
    <w:rsid w:val="002E4724"/>
    <w:rsid w:val="002E475C"/>
    <w:rsid w:val="002E52B7"/>
    <w:rsid w:val="002E5308"/>
    <w:rsid w:val="002E5A2C"/>
    <w:rsid w:val="002E5AF6"/>
    <w:rsid w:val="002E604B"/>
    <w:rsid w:val="002E6559"/>
    <w:rsid w:val="002E66AB"/>
    <w:rsid w:val="002E679B"/>
    <w:rsid w:val="002E685A"/>
    <w:rsid w:val="002E6ABC"/>
    <w:rsid w:val="002E6AC8"/>
    <w:rsid w:val="002E703D"/>
    <w:rsid w:val="002E71F4"/>
    <w:rsid w:val="002E75A6"/>
    <w:rsid w:val="002E75F5"/>
    <w:rsid w:val="002E7A37"/>
    <w:rsid w:val="002E7FD0"/>
    <w:rsid w:val="002F00FF"/>
    <w:rsid w:val="002F0ED2"/>
    <w:rsid w:val="002F11F3"/>
    <w:rsid w:val="002F148F"/>
    <w:rsid w:val="002F1777"/>
    <w:rsid w:val="002F1911"/>
    <w:rsid w:val="002F1D8C"/>
    <w:rsid w:val="002F1EE5"/>
    <w:rsid w:val="002F20F7"/>
    <w:rsid w:val="002F2CDC"/>
    <w:rsid w:val="002F2D17"/>
    <w:rsid w:val="002F2D68"/>
    <w:rsid w:val="002F3582"/>
    <w:rsid w:val="002F3F2F"/>
    <w:rsid w:val="002F40F4"/>
    <w:rsid w:val="002F45ED"/>
    <w:rsid w:val="002F460A"/>
    <w:rsid w:val="002F46E1"/>
    <w:rsid w:val="002F4D7D"/>
    <w:rsid w:val="002F51C5"/>
    <w:rsid w:val="002F52A7"/>
    <w:rsid w:val="002F5553"/>
    <w:rsid w:val="002F55A8"/>
    <w:rsid w:val="002F5751"/>
    <w:rsid w:val="002F5C0F"/>
    <w:rsid w:val="002F5F03"/>
    <w:rsid w:val="002F6316"/>
    <w:rsid w:val="002F6484"/>
    <w:rsid w:val="002F660C"/>
    <w:rsid w:val="002F68FD"/>
    <w:rsid w:val="002F6A62"/>
    <w:rsid w:val="002F6C84"/>
    <w:rsid w:val="002F6F98"/>
    <w:rsid w:val="002F6FE1"/>
    <w:rsid w:val="002F70F9"/>
    <w:rsid w:val="002F7233"/>
    <w:rsid w:val="002F75DB"/>
    <w:rsid w:val="002F7773"/>
    <w:rsid w:val="002F797E"/>
    <w:rsid w:val="002F79F4"/>
    <w:rsid w:val="002F7FCB"/>
    <w:rsid w:val="0030063B"/>
    <w:rsid w:val="003006A0"/>
    <w:rsid w:val="003007B5"/>
    <w:rsid w:val="00300809"/>
    <w:rsid w:val="003008E9"/>
    <w:rsid w:val="00300A24"/>
    <w:rsid w:val="00300AA0"/>
    <w:rsid w:val="00301371"/>
    <w:rsid w:val="0030137B"/>
    <w:rsid w:val="0030172B"/>
    <w:rsid w:val="00301897"/>
    <w:rsid w:val="00301B2D"/>
    <w:rsid w:val="00301E85"/>
    <w:rsid w:val="00301ED5"/>
    <w:rsid w:val="00302084"/>
    <w:rsid w:val="00302635"/>
    <w:rsid w:val="00302826"/>
    <w:rsid w:val="003029AA"/>
    <w:rsid w:val="00302CD5"/>
    <w:rsid w:val="00302DEE"/>
    <w:rsid w:val="00302EA9"/>
    <w:rsid w:val="00303552"/>
    <w:rsid w:val="0030379A"/>
    <w:rsid w:val="0030383E"/>
    <w:rsid w:val="003038AA"/>
    <w:rsid w:val="00303ADC"/>
    <w:rsid w:val="00303AFA"/>
    <w:rsid w:val="00303B82"/>
    <w:rsid w:val="00303C15"/>
    <w:rsid w:val="00303CD5"/>
    <w:rsid w:val="00303F08"/>
    <w:rsid w:val="00304142"/>
    <w:rsid w:val="00304161"/>
    <w:rsid w:val="00304560"/>
    <w:rsid w:val="00304678"/>
    <w:rsid w:val="00304717"/>
    <w:rsid w:val="00304CD8"/>
    <w:rsid w:val="00304D95"/>
    <w:rsid w:val="00305460"/>
    <w:rsid w:val="00305763"/>
    <w:rsid w:val="00305932"/>
    <w:rsid w:val="00305947"/>
    <w:rsid w:val="00306732"/>
    <w:rsid w:val="00306974"/>
    <w:rsid w:val="00306A0B"/>
    <w:rsid w:val="003070FA"/>
    <w:rsid w:val="00307186"/>
    <w:rsid w:val="003077A5"/>
    <w:rsid w:val="00307963"/>
    <w:rsid w:val="00307F9B"/>
    <w:rsid w:val="00310043"/>
    <w:rsid w:val="0031029F"/>
    <w:rsid w:val="003103BE"/>
    <w:rsid w:val="0031087F"/>
    <w:rsid w:val="00310C67"/>
    <w:rsid w:val="00310D49"/>
    <w:rsid w:val="00310F45"/>
    <w:rsid w:val="0031134B"/>
    <w:rsid w:val="00311460"/>
    <w:rsid w:val="0031174E"/>
    <w:rsid w:val="00311824"/>
    <w:rsid w:val="00311971"/>
    <w:rsid w:val="00311EFA"/>
    <w:rsid w:val="003121A6"/>
    <w:rsid w:val="00312759"/>
    <w:rsid w:val="00312777"/>
    <w:rsid w:val="003127D5"/>
    <w:rsid w:val="00312878"/>
    <w:rsid w:val="00312888"/>
    <w:rsid w:val="00312B67"/>
    <w:rsid w:val="00312DF5"/>
    <w:rsid w:val="00312F64"/>
    <w:rsid w:val="003131DA"/>
    <w:rsid w:val="00313290"/>
    <w:rsid w:val="003132D1"/>
    <w:rsid w:val="00313783"/>
    <w:rsid w:val="0031385A"/>
    <w:rsid w:val="00313C71"/>
    <w:rsid w:val="00313C7C"/>
    <w:rsid w:val="003140B8"/>
    <w:rsid w:val="00314513"/>
    <w:rsid w:val="00314563"/>
    <w:rsid w:val="003148D6"/>
    <w:rsid w:val="00314BF3"/>
    <w:rsid w:val="003152E9"/>
    <w:rsid w:val="0031538A"/>
    <w:rsid w:val="003153EE"/>
    <w:rsid w:val="00315548"/>
    <w:rsid w:val="003155D2"/>
    <w:rsid w:val="003155D5"/>
    <w:rsid w:val="0031567F"/>
    <w:rsid w:val="00315A8B"/>
    <w:rsid w:val="0031643E"/>
    <w:rsid w:val="003165AF"/>
    <w:rsid w:val="00316616"/>
    <w:rsid w:val="00316839"/>
    <w:rsid w:val="00316B0F"/>
    <w:rsid w:val="00316E30"/>
    <w:rsid w:val="00316E3B"/>
    <w:rsid w:val="00316FC3"/>
    <w:rsid w:val="0031716C"/>
    <w:rsid w:val="003172BE"/>
    <w:rsid w:val="003174A2"/>
    <w:rsid w:val="00317519"/>
    <w:rsid w:val="00317969"/>
    <w:rsid w:val="00317C18"/>
    <w:rsid w:val="00317DE3"/>
    <w:rsid w:val="003203F1"/>
    <w:rsid w:val="00320566"/>
    <w:rsid w:val="00320678"/>
    <w:rsid w:val="003208E1"/>
    <w:rsid w:val="00320996"/>
    <w:rsid w:val="00320C76"/>
    <w:rsid w:val="00320DBB"/>
    <w:rsid w:val="00321505"/>
    <w:rsid w:val="00321874"/>
    <w:rsid w:val="00321887"/>
    <w:rsid w:val="003218FA"/>
    <w:rsid w:val="003223DE"/>
    <w:rsid w:val="0032244B"/>
    <w:rsid w:val="003226F3"/>
    <w:rsid w:val="003228AC"/>
    <w:rsid w:val="00322B57"/>
    <w:rsid w:val="00322C1B"/>
    <w:rsid w:val="00322FCD"/>
    <w:rsid w:val="0032310A"/>
    <w:rsid w:val="0032348D"/>
    <w:rsid w:val="00323783"/>
    <w:rsid w:val="003238D9"/>
    <w:rsid w:val="003239FE"/>
    <w:rsid w:val="00323DC0"/>
    <w:rsid w:val="00323F7B"/>
    <w:rsid w:val="00324208"/>
    <w:rsid w:val="003245AA"/>
    <w:rsid w:val="00324674"/>
    <w:rsid w:val="00324AF7"/>
    <w:rsid w:val="00325827"/>
    <w:rsid w:val="003258A7"/>
    <w:rsid w:val="003259A3"/>
    <w:rsid w:val="00325A7A"/>
    <w:rsid w:val="00325ABC"/>
    <w:rsid w:val="00325E22"/>
    <w:rsid w:val="00325E50"/>
    <w:rsid w:val="0032670D"/>
    <w:rsid w:val="00326BB2"/>
    <w:rsid w:val="00326BD8"/>
    <w:rsid w:val="00326ED8"/>
    <w:rsid w:val="00326F1D"/>
    <w:rsid w:val="00327683"/>
    <w:rsid w:val="00327CD1"/>
    <w:rsid w:val="00327D35"/>
    <w:rsid w:val="00330636"/>
    <w:rsid w:val="003308AC"/>
    <w:rsid w:val="00330AB3"/>
    <w:rsid w:val="00330B40"/>
    <w:rsid w:val="00330B78"/>
    <w:rsid w:val="003311C4"/>
    <w:rsid w:val="0033180A"/>
    <w:rsid w:val="00331CC2"/>
    <w:rsid w:val="00331E9C"/>
    <w:rsid w:val="00331FBE"/>
    <w:rsid w:val="0033253F"/>
    <w:rsid w:val="0033295D"/>
    <w:rsid w:val="0033296A"/>
    <w:rsid w:val="00332D6A"/>
    <w:rsid w:val="00332DFF"/>
    <w:rsid w:val="00332E1E"/>
    <w:rsid w:val="00333128"/>
    <w:rsid w:val="00333223"/>
    <w:rsid w:val="0033335F"/>
    <w:rsid w:val="003334F6"/>
    <w:rsid w:val="00333646"/>
    <w:rsid w:val="003337D5"/>
    <w:rsid w:val="00333CC1"/>
    <w:rsid w:val="00333D1F"/>
    <w:rsid w:val="00333DBC"/>
    <w:rsid w:val="003345FB"/>
    <w:rsid w:val="003346CB"/>
    <w:rsid w:val="003346CE"/>
    <w:rsid w:val="00334BD6"/>
    <w:rsid w:val="00334DF1"/>
    <w:rsid w:val="0033515F"/>
    <w:rsid w:val="00335467"/>
    <w:rsid w:val="00335474"/>
    <w:rsid w:val="003355AC"/>
    <w:rsid w:val="003356C8"/>
    <w:rsid w:val="003357EF"/>
    <w:rsid w:val="00335AFA"/>
    <w:rsid w:val="0033610B"/>
    <w:rsid w:val="003367A4"/>
    <w:rsid w:val="003367B9"/>
    <w:rsid w:val="003376FA"/>
    <w:rsid w:val="00337748"/>
    <w:rsid w:val="00337797"/>
    <w:rsid w:val="003377BE"/>
    <w:rsid w:val="00337F41"/>
    <w:rsid w:val="00340294"/>
    <w:rsid w:val="003407F9"/>
    <w:rsid w:val="00340821"/>
    <w:rsid w:val="00340878"/>
    <w:rsid w:val="00340B20"/>
    <w:rsid w:val="00340B7E"/>
    <w:rsid w:val="00340BFC"/>
    <w:rsid w:val="00340C3A"/>
    <w:rsid w:val="00340D58"/>
    <w:rsid w:val="00340EEC"/>
    <w:rsid w:val="00340F8A"/>
    <w:rsid w:val="00341011"/>
    <w:rsid w:val="0034111B"/>
    <w:rsid w:val="003412D5"/>
    <w:rsid w:val="00341440"/>
    <w:rsid w:val="003414D2"/>
    <w:rsid w:val="003416BB"/>
    <w:rsid w:val="003417AD"/>
    <w:rsid w:val="00341A50"/>
    <w:rsid w:val="00341A8C"/>
    <w:rsid w:val="00341F09"/>
    <w:rsid w:val="003422F0"/>
    <w:rsid w:val="0034257E"/>
    <w:rsid w:val="003425B1"/>
    <w:rsid w:val="00342877"/>
    <w:rsid w:val="00342895"/>
    <w:rsid w:val="00342EA2"/>
    <w:rsid w:val="00343161"/>
    <w:rsid w:val="0034333F"/>
    <w:rsid w:val="003438B6"/>
    <w:rsid w:val="00343BF3"/>
    <w:rsid w:val="00343D4E"/>
    <w:rsid w:val="00343DB9"/>
    <w:rsid w:val="00344502"/>
    <w:rsid w:val="00344F56"/>
    <w:rsid w:val="003451F5"/>
    <w:rsid w:val="0034536D"/>
    <w:rsid w:val="0034538F"/>
    <w:rsid w:val="00345754"/>
    <w:rsid w:val="00345870"/>
    <w:rsid w:val="003459BC"/>
    <w:rsid w:val="00345B71"/>
    <w:rsid w:val="00345C1B"/>
    <w:rsid w:val="003460E4"/>
    <w:rsid w:val="003461BF"/>
    <w:rsid w:val="0034641E"/>
    <w:rsid w:val="003469F1"/>
    <w:rsid w:val="00346A8C"/>
    <w:rsid w:val="00346C96"/>
    <w:rsid w:val="00346DBB"/>
    <w:rsid w:val="00346F98"/>
    <w:rsid w:val="00347009"/>
    <w:rsid w:val="00347056"/>
    <w:rsid w:val="00347992"/>
    <w:rsid w:val="00347A22"/>
    <w:rsid w:val="00347A62"/>
    <w:rsid w:val="00347C30"/>
    <w:rsid w:val="00347D0F"/>
    <w:rsid w:val="00347E52"/>
    <w:rsid w:val="003501F6"/>
    <w:rsid w:val="0035085E"/>
    <w:rsid w:val="00350DD2"/>
    <w:rsid w:val="00350E74"/>
    <w:rsid w:val="00351203"/>
    <w:rsid w:val="0035121C"/>
    <w:rsid w:val="00351338"/>
    <w:rsid w:val="00351892"/>
    <w:rsid w:val="00351D3A"/>
    <w:rsid w:val="0035204D"/>
    <w:rsid w:val="00352335"/>
    <w:rsid w:val="00352505"/>
    <w:rsid w:val="003528A0"/>
    <w:rsid w:val="003528AE"/>
    <w:rsid w:val="00352904"/>
    <w:rsid w:val="00352A62"/>
    <w:rsid w:val="00352B17"/>
    <w:rsid w:val="00352B55"/>
    <w:rsid w:val="00352F43"/>
    <w:rsid w:val="0035304A"/>
    <w:rsid w:val="0035309B"/>
    <w:rsid w:val="00353211"/>
    <w:rsid w:val="003535A7"/>
    <w:rsid w:val="00353B10"/>
    <w:rsid w:val="00353C5E"/>
    <w:rsid w:val="00354018"/>
    <w:rsid w:val="0035403B"/>
    <w:rsid w:val="003540FA"/>
    <w:rsid w:val="0035456D"/>
    <w:rsid w:val="00354733"/>
    <w:rsid w:val="00354A12"/>
    <w:rsid w:val="00355379"/>
    <w:rsid w:val="00355785"/>
    <w:rsid w:val="00355A58"/>
    <w:rsid w:val="00355AC5"/>
    <w:rsid w:val="00355E65"/>
    <w:rsid w:val="003560D8"/>
    <w:rsid w:val="0035613B"/>
    <w:rsid w:val="0035614E"/>
    <w:rsid w:val="003561CB"/>
    <w:rsid w:val="00356253"/>
    <w:rsid w:val="0035669B"/>
    <w:rsid w:val="00356AA4"/>
    <w:rsid w:val="00356CA6"/>
    <w:rsid w:val="003571FB"/>
    <w:rsid w:val="0035750A"/>
    <w:rsid w:val="00357680"/>
    <w:rsid w:val="00357982"/>
    <w:rsid w:val="00357B69"/>
    <w:rsid w:val="00357D33"/>
    <w:rsid w:val="0036027D"/>
    <w:rsid w:val="0036059C"/>
    <w:rsid w:val="003605E3"/>
    <w:rsid w:val="00360779"/>
    <w:rsid w:val="003607FD"/>
    <w:rsid w:val="003608F6"/>
    <w:rsid w:val="00360AD9"/>
    <w:rsid w:val="00360C49"/>
    <w:rsid w:val="00360CF1"/>
    <w:rsid w:val="00360D59"/>
    <w:rsid w:val="00360DA1"/>
    <w:rsid w:val="00360DAA"/>
    <w:rsid w:val="0036101D"/>
    <w:rsid w:val="003611C4"/>
    <w:rsid w:val="003614B0"/>
    <w:rsid w:val="003614B8"/>
    <w:rsid w:val="003617B8"/>
    <w:rsid w:val="00361A35"/>
    <w:rsid w:val="00361C84"/>
    <w:rsid w:val="00361EC8"/>
    <w:rsid w:val="00361F52"/>
    <w:rsid w:val="00362219"/>
    <w:rsid w:val="00362798"/>
    <w:rsid w:val="00362919"/>
    <w:rsid w:val="00362B31"/>
    <w:rsid w:val="00362C4B"/>
    <w:rsid w:val="003634EA"/>
    <w:rsid w:val="003636FB"/>
    <w:rsid w:val="00363A15"/>
    <w:rsid w:val="00363B12"/>
    <w:rsid w:val="00363B7D"/>
    <w:rsid w:val="00363CDC"/>
    <w:rsid w:val="00363ECF"/>
    <w:rsid w:val="003646FB"/>
    <w:rsid w:val="00364A55"/>
    <w:rsid w:val="00364B2A"/>
    <w:rsid w:val="00364C5E"/>
    <w:rsid w:val="00365560"/>
    <w:rsid w:val="00365701"/>
    <w:rsid w:val="0036573A"/>
    <w:rsid w:val="00365C66"/>
    <w:rsid w:val="00365E23"/>
    <w:rsid w:val="00365FE9"/>
    <w:rsid w:val="0036635B"/>
    <w:rsid w:val="0036668C"/>
    <w:rsid w:val="003669A6"/>
    <w:rsid w:val="00366BFF"/>
    <w:rsid w:val="0036747E"/>
    <w:rsid w:val="00367EF1"/>
    <w:rsid w:val="00370132"/>
    <w:rsid w:val="003701AC"/>
    <w:rsid w:val="00370640"/>
    <w:rsid w:val="00370645"/>
    <w:rsid w:val="003708D0"/>
    <w:rsid w:val="00370BC7"/>
    <w:rsid w:val="00371090"/>
    <w:rsid w:val="003710E4"/>
    <w:rsid w:val="00371482"/>
    <w:rsid w:val="00371DBB"/>
    <w:rsid w:val="003725BF"/>
    <w:rsid w:val="003725E3"/>
    <w:rsid w:val="00372773"/>
    <w:rsid w:val="0037281D"/>
    <w:rsid w:val="003728D7"/>
    <w:rsid w:val="00372A3E"/>
    <w:rsid w:val="00372C0F"/>
    <w:rsid w:val="00372EC1"/>
    <w:rsid w:val="00372FB3"/>
    <w:rsid w:val="0037312C"/>
    <w:rsid w:val="003731C3"/>
    <w:rsid w:val="0037395A"/>
    <w:rsid w:val="00373F94"/>
    <w:rsid w:val="003741E5"/>
    <w:rsid w:val="00374200"/>
    <w:rsid w:val="003742E9"/>
    <w:rsid w:val="003744F4"/>
    <w:rsid w:val="00374549"/>
    <w:rsid w:val="00374761"/>
    <w:rsid w:val="0037484D"/>
    <w:rsid w:val="00374C13"/>
    <w:rsid w:val="00374DC9"/>
    <w:rsid w:val="00375112"/>
    <w:rsid w:val="0037517D"/>
    <w:rsid w:val="00375406"/>
    <w:rsid w:val="003756A8"/>
    <w:rsid w:val="00375DF8"/>
    <w:rsid w:val="0037647F"/>
    <w:rsid w:val="003765C7"/>
    <w:rsid w:val="00376778"/>
    <w:rsid w:val="003768BA"/>
    <w:rsid w:val="00376B6A"/>
    <w:rsid w:val="00376F70"/>
    <w:rsid w:val="0037705C"/>
    <w:rsid w:val="0037727F"/>
    <w:rsid w:val="003772B2"/>
    <w:rsid w:val="003777E2"/>
    <w:rsid w:val="00377A00"/>
    <w:rsid w:val="00377A90"/>
    <w:rsid w:val="00377E05"/>
    <w:rsid w:val="0038054D"/>
    <w:rsid w:val="0038083C"/>
    <w:rsid w:val="00380E8D"/>
    <w:rsid w:val="00380FD2"/>
    <w:rsid w:val="003810E3"/>
    <w:rsid w:val="00381260"/>
    <w:rsid w:val="00381992"/>
    <w:rsid w:val="00381E70"/>
    <w:rsid w:val="00381F15"/>
    <w:rsid w:val="00381FA2"/>
    <w:rsid w:val="00381FB9"/>
    <w:rsid w:val="003821E7"/>
    <w:rsid w:val="00382324"/>
    <w:rsid w:val="00382326"/>
    <w:rsid w:val="0038258C"/>
    <w:rsid w:val="00382636"/>
    <w:rsid w:val="00382915"/>
    <w:rsid w:val="0038295E"/>
    <w:rsid w:val="00382F70"/>
    <w:rsid w:val="00382F73"/>
    <w:rsid w:val="003831BC"/>
    <w:rsid w:val="003832AD"/>
    <w:rsid w:val="003833C5"/>
    <w:rsid w:val="00383718"/>
    <w:rsid w:val="003837CD"/>
    <w:rsid w:val="00383846"/>
    <w:rsid w:val="00383BA8"/>
    <w:rsid w:val="00383E21"/>
    <w:rsid w:val="00383E45"/>
    <w:rsid w:val="0038417A"/>
    <w:rsid w:val="0038461D"/>
    <w:rsid w:val="0038480A"/>
    <w:rsid w:val="00384985"/>
    <w:rsid w:val="00384AB5"/>
    <w:rsid w:val="00384BC3"/>
    <w:rsid w:val="00384C92"/>
    <w:rsid w:val="00384D49"/>
    <w:rsid w:val="00384D9B"/>
    <w:rsid w:val="00384DD8"/>
    <w:rsid w:val="00384E83"/>
    <w:rsid w:val="00384F61"/>
    <w:rsid w:val="003852C5"/>
    <w:rsid w:val="0038555F"/>
    <w:rsid w:val="0038567B"/>
    <w:rsid w:val="00385912"/>
    <w:rsid w:val="00385979"/>
    <w:rsid w:val="00385A4E"/>
    <w:rsid w:val="00385A72"/>
    <w:rsid w:val="00385D3D"/>
    <w:rsid w:val="00385DDA"/>
    <w:rsid w:val="003861D5"/>
    <w:rsid w:val="00386D50"/>
    <w:rsid w:val="003876EA"/>
    <w:rsid w:val="003879E4"/>
    <w:rsid w:val="00387EAE"/>
    <w:rsid w:val="00387EC3"/>
    <w:rsid w:val="003900E9"/>
    <w:rsid w:val="0039048C"/>
    <w:rsid w:val="00390685"/>
    <w:rsid w:val="00390736"/>
    <w:rsid w:val="00390BE0"/>
    <w:rsid w:val="00390CAF"/>
    <w:rsid w:val="00390D13"/>
    <w:rsid w:val="00390D22"/>
    <w:rsid w:val="00390E8D"/>
    <w:rsid w:val="00391098"/>
    <w:rsid w:val="0039114E"/>
    <w:rsid w:val="003914A4"/>
    <w:rsid w:val="00391591"/>
    <w:rsid w:val="00391716"/>
    <w:rsid w:val="0039191D"/>
    <w:rsid w:val="00391ABF"/>
    <w:rsid w:val="00391B82"/>
    <w:rsid w:val="00391E30"/>
    <w:rsid w:val="00391E36"/>
    <w:rsid w:val="00392145"/>
    <w:rsid w:val="003922C1"/>
    <w:rsid w:val="003924E4"/>
    <w:rsid w:val="0039291E"/>
    <w:rsid w:val="00392970"/>
    <w:rsid w:val="003936DF"/>
    <w:rsid w:val="003936FF"/>
    <w:rsid w:val="00393895"/>
    <w:rsid w:val="003939CA"/>
    <w:rsid w:val="00393CE6"/>
    <w:rsid w:val="00393DE6"/>
    <w:rsid w:val="00393EDF"/>
    <w:rsid w:val="00394211"/>
    <w:rsid w:val="0039432E"/>
    <w:rsid w:val="0039438A"/>
    <w:rsid w:val="00394791"/>
    <w:rsid w:val="003947BF"/>
    <w:rsid w:val="00394BB3"/>
    <w:rsid w:val="00394D2B"/>
    <w:rsid w:val="00395229"/>
    <w:rsid w:val="00395286"/>
    <w:rsid w:val="00395389"/>
    <w:rsid w:val="0039554C"/>
    <w:rsid w:val="00395CF6"/>
    <w:rsid w:val="00395EDC"/>
    <w:rsid w:val="00395F99"/>
    <w:rsid w:val="00396437"/>
    <w:rsid w:val="00396848"/>
    <w:rsid w:val="0039687E"/>
    <w:rsid w:val="00396A34"/>
    <w:rsid w:val="00396DC3"/>
    <w:rsid w:val="00396F82"/>
    <w:rsid w:val="0039769A"/>
    <w:rsid w:val="003977AB"/>
    <w:rsid w:val="00397CB8"/>
    <w:rsid w:val="003A0277"/>
    <w:rsid w:val="003A0316"/>
    <w:rsid w:val="003A063D"/>
    <w:rsid w:val="003A090B"/>
    <w:rsid w:val="003A094A"/>
    <w:rsid w:val="003A0CB0"/>
    <w:rsid w:val="003A12D7"/>
    <w:rsid w:val="003A13DE"/>
    <w:rsid w:val="003A17C3"/>
    <w:rsid w:val="003A21F8"/>
    <w:rsid w:val="003A2805"/>
    <w:rsid w:val="003A284B"/>
    <w:rsid w:val="003A2A56"/>
    <w:rsid w:val="003A2D67"/>
    <w:rsid w:val="003A36CE"/>
    <w:rsid w:val="003A3E68"/>
    <w:rsid w:val="003A4362"/>
    <w:rsid w:val="003A43B4"/>
    <w:rsid w:val="003A46E9"/>
    <w:rsid w:val="003A472D"/>
    <w:rsid w:val="003A47ED"/>
    <w:rsid w:val="003A4883"/>
    <w:rsid w:val="003A4A86"/>
    <w:rsid w:val="003A4C36"/>
    <w:rsid w:val="003A4C84"/>
    <w:rsid w:val="003A4FFA"/>
    <w:rsid w:val="003A510B"/>
    <w:rsid w:val="003A5438"/>
    <w:rsid w:val="003A54F3"/>
    <w:rsid w:val="003A550E"/>
    <w:rsid w:val="003A582A"/>
    <w:rsid w:val="003A5C62"/>
    <w:rsid w:val="003A5D4F"/>
    <w:rsid w:val="003A6191"/>
    <w:rsid w:val="003A6750"/>
    <w:rsid w:val="003A684C"/>
    <w:rsid w:val="003A6A5D"/>
    <w:rsid w:val="003A6D5D"/>
    <w:rsid w:val="003A6EBC"/>
    <w:rsid w:val="003A76E8"/>
    <w:rsid w:val="003A77A6"/>
    <w:rsid w:val="003A7841"/>
    <w:rsid w:val="003A7D3E"/>
    <w:rsid w:val="003A7DBA"/>
    <w:rsid w:val="003B01FF"/>
    <w:rsid w:val="003B053E"/>
    <w:rsid w:val="003B054B"/>
    <w:rsid w:val="003B0B3A"/>
    <w:rsid w:val="003B0DB6"/>
    <w:rsid w:val="003B0E84"/>
    <w:rsid w:val="003B10A8"/>
    <w:rsid w:val="003B12C9"/>
    <w:rsid w:val="003B1371"/>
    <w:rsid w:val="003B1541"/>
    <w:rsid w:val="003B1636"/>
    <w:rsid w:val="003B197A"/>
    <w:rsid w:val="003B1EE3"/>
    <w:rsid w:val="003B1F5E"/>
    <w:rsid w:val="003B2537"/>
    <w:rsid w:val="003B29A6"/>
    <w:rsid w:val="003B2CAD"/>
    <w:rsid w:val="003B2D9A"/>
    <w:rsid w:val="003B2E7E"/>
    <w:rsid w:val="003B3072"/>
    <w:rsid w:val="003B310A"/>
    <w:rsid w:val="003B33B7"/>
    <w:rsid w:val="003B3412"/>
    <w:rsid w:val="003B3441"/>
    <w:rsid w:val="003B37BC"/>
    <w:rsid w:val="003B4158"/>
    <w:rsid w:val="003B41FC"/>
    <w:rsid w:val="003B45C0"/>
    <w:rsid w:val="003B4634"/>
    <w:rsid w:val="003B49E3"/>
    <w:rsid w:val="003B4B2A"/>
    <w:rsid w:val="003B4DB9"/>
    <w:rsid w:val="003B4F05"/>
    <w:rsid w:val="003B5035"/>
    <w:rsid w:val="003B5C34"/>
    <w:rsid w:val="003B5E25"/>
    <w:rsid w:val="003B6183"/>
    <w:rsid w:val="003B61EE"/>
    <w:rsid w:val="003B631E"/>
    <w:rsid w:val="003B6EBC"/>
    <w:rsid w:val="003B6FEC"/>
    <w:rsid w:val="003B70FD"/>
    <w:rsid w:val="003B72FD"/>
    <w:rsid w:val="003B730A"/>
    <w:rsid w:val="003B769E"/>
    <w:rsid w:val="003B7B96"/>
    <w:rsid w:val="003B7C0A"/>
    <w:rsid w:val="003C0190"/>
    <w:rsid w:val="003C021F"/>
    <w:rsid w:val="003C048B"/>
    <w:rsid w:val="003C0B0C"/>
    <w:rsid w:val="003C0C21"/>
    <w:rsid w:val="003C0C33"/>
    <w:rsid w:val="003C0EB4"/>
    <w:rsid w:val="003C0FB8"/>
    <w:rsid w:val="003C105F"/>
    <w:rsid w:val="003C11A8"/>
    <w:rsid w:val="003C26D4"/>
    <w:rsid w:val="003C2903"/>
    <w:rsid w:val="003C2ABD"/>
    <w:rsid w:val="003C2F67"/>
    <w:rsid w:val="003C30BF"/>
    <w:rsid w:val="003C3307"/>
    <w:rsid w:val="003C33A6"/>
    <w:rsid w:val="003C346F"/>
    <w:rsid w:val="003C37A3"/>
    <w:rsid w:val="003C4281"/>
    <w:rsid w:val="003C43D5"/>
    <w:rsid w:val="003C4BBF"/>
    <w:rsid w:val="003C4C26"/>
    <w:rsid w:val="003C4C2D"/>
    <w:rsid w:val="003C521E"/>
    <w:rsid w:val="003C54A5"/>
    <w:rsid w:val="003C5606"/>
    <w:rsid w:val="003C590E"/>
    <w:rsid w:val="003C594E"/>
    <w:rsid w:val="003C5E63"/>
    <w:rsid w:val="003C6565"/>
    <w:rsid w:val="003C67CB"/>
    <w:rsid w:val="003C6D5D"/>
    <w:rsid w:val="003C7091"/>
    <w:rsid w:val="003C78AC"/>
    <w:rsid w:val="003C7E88"/>
    <w:rsid w:val="003D000A"/>
    <w:rsid w:val="003D04CC"/>
    <w:rsid w:val="003D04D6"/>
    <w:rsid w:val="003D0AB5"/>
    <w:rsid w:val="003D0BAF"/>
    <w:rsid w:val="003D0C96"/>
    <w:rsid w:val="003D0D3C"/>
    <w:rsid w:val="003D0F30"/>
    <w:rsid w:val="003D18CB"/>
    <w:rsid w:val="003D19A6"/>
    <w:rsid w:val="003D1A87"/>
    <w:rsid w:val="003D1C3F"/>
    <w:rsid w:val="003D1E1C"/>
    <w:rsid w:val="003D1E97"/>
    <w:rsid w:val="003D1FF9"/>
    <w:rsid w:val="003D248C"/>
    <w:rsid w:val="003D2743"/>
    <w:rsid w:val="003D28ED"/>
    <w:rsid w:val="003D2999"/>
    <w:rsid w:val="003D2A68"/>
    <w:rsid w:val="003D2DC7"/>
    <w:rsid w:val="003D37B3"/>
    <w:rsid w:val="003D3EC6"/>
    <w:rsid w:val="003D44F6"/>
    <w:rsid w:val="003D4660"/>
    <w:rsid w:val="003D4A83"/>
    <w:rsid w:val="003D4A8D"/>
    <w:rsid w:val="003D549A"/>
    <w:rsid w:val="003D583D"/>
    <w:rsid w:val="003D58FC"/>
    <w:rsid w:val="003D5A4A"/>
    <w:rsid w:val="003D5A9B"/>
    <w:rsid w:val="003D5AB0"/>
    <w:rsid w:val="003D5D51"/>
    <w:rsid w:val="003D5F07"/>
    <w:rsid w:val="003D6678"/>
    <w:rsid w:val="003D6860"/>
    <w:rsid w:val="003D6A24"/>
    <w:rsid w:val="003D6A9A"/>
    <w:rsid w:val="003D6AE2"/>
    <w:rsid w:val="003D72CD"/>
    <w:rsid w:val="003D7508"/>
    <w:rsid w:val="003D771E"/>
    <w:rsid w:val="003D7742"/>
    <w:rsid w:val="003D77AF"/>
    <w:rsid w:val="003D7AFE"/>
    <w:rsid w:val="003D7F36"/>
    <w:rsid w:val="003D7FE4"/>
    <w:rsid w:val="003E020B"/>
    <w:rsid w:val="003E039A"/>
    <w:rsid w:val="003E0406"/>
    <w:rsid w:val="003E0471"/>
    <w:rsid w:val="003E05BD"/>
    <w:rsid w:val="003E0DBA"/>
    <w:rsid w:val="003E10F4"/>
    <w:rsid w:val="003E111E"/>
    <w:rsid w:val="003E122A"/>
    <w:rsid w:val="003E126E"/>
    <w:rsid w:val="003E13FF"/>
    <w:rsid w:val="003E151E"/>
    <w:rsid w:val="003E1535"/>
    <w:rsid w:val="003E1C08"/>
    <w:rsid w:val="003E1C42"/>
    <w:rsid w:val="003E1C83"/>
    <w:rsid w:val="003E2025"/>
    <w:rsid w:val="003E2428"/>
    <w:rsid w:val="003E263D"/>
    <w:rsid w:val="003E28F4"/>
    <w:rsid w:val="003E2B36"/>
    <w:rsid w:val="003E2D0C"/>
    <w:rsid w:val="003E2F1D"/>
    <w:rsid w:val="003E31BE"/>
    <w:rsid w:val="003E35CF"/>
    <w:rsid w:val="003E39DC"/>
    <w:rsid w:val="003E3B0F"/>
    <w:rsid w:val="003E3CBD"/>
    <w:rsid w:val="003E3E94"/>
    <w:rsid w:val="003E3E9A"/>
    <w:rsid w:val="003E3EDB"/>
    <w:rsid w:val="003E3EE4"/>
    <w:rsid w:val="003E44EC"/>
    <w:rsid w:val="003E4721"/>
    <w:rsid w:val="003E4925"/>
    <w:rsid w:val="003E4DCC"/>
    <w:rsid w:val="003E5158"/>
    <w:rsid w:val="003E5405"/>
    <w:rsid w:val="003E54F3"/>
    <w:rsid w:val="003E5B41"/>
    <w:rsid w:val="003E5BF0"/>
    <w:rsid w:val="003E6313"/>
    <w:rsid w:val="003E6423"/>
    <w:rsid w:val="003E6513"/>
    <w:rsid w:val="003E6654"/>
    <w:rsid w:val="003E6CFA"/>
    <w:rsid w:val="003E6F40"/>
    <w:rsid w:val="003E710B"/>
    <w:rsid w:val="003E7163"/>
    <w:rsid w:val="003E7A91"/>
    <w:rsid w:val="003E7B17"/>
    <w:rsid w:val="003E7B8C"/>
    <w:rsid w:val="003E7DC1"/>
    <w:rsid w:val="003E7FB2"/>
    <w:rsid w:val="003F05D2"/>
    <w:rsid w:val="003F165A"/>
    <w:rsid w:val="003F16B8"/>
    <w:rsid w:val="003F1776"/>
    <w:rsid w:val="003F1843"/>
    <w:rsid w:val="003F1A2F"/>
    <w:rsid w:val="003F1B52"/>
    <w:rsid w:val="003F1C97"/>
    <w:rsid w:val="003F1FE6"/>
    <w:rsid w:val="003F1FF8"/>
    <w:rsid w:val="003F20A4"/>
    <w:rsid w:val="003F20DE"/>
    <w:rsid w:val="003F2154"/>
    <w:rsid w:val="003F2201"/>
    <w:rsid w:val="003F2235"/>
    <w:rsid w:val="003F2366"/>
    <w:rsid w:val="003F2488"/>
    <w:rsid w:val="003F25C4"/>
    <w:rsid w:val="003F274D"/>
    <w:rsid w:val="003F2764"/>
    <w:rsid w:val="003F3325"/>
    <w:rsid w:val="003F340D"/>
    <w:rsid w:val="003F3BAE"/>
    <w:rsid w:val="003F3E02"/>
    <w:rsid w:val="003F3F36"/>
    <w:rsid w:val="003F3FAB"/>
    <w:rsid w:val="003F40D1"/>
    <w:rsid w:val="003F45E4"/>
    <w:rsid w:val="003F46E9"/>
    <w:rsid w:val="003F4D16"/>
    <w:rsid w:val="003F4D97"/>
    <w:rsid w:val="003F4F84"/>
    <w:rsid w:val="003F5062"/>
    <w:rsid w:val="003F516E"/>
    <w:rsid w:val="003F5716"/>
    <w:rsid w:val="003F60C2"/>
    <w:rsid w:val="003F6396"/>
    <w:rsid w:val="003F6422"/>
    <w:rsid w:val="003F698E"/>
    <w:rsid w:val="003F6A6E"/>
    <w:rsid w:val="003F6A94"/>
    <w:rsid w:val="003F73F1"/>
    <w:rsid w:val="003F74D8"/>
    <w:rsid w:val="003F75A5"/>
    <w:rsid w:val="003F76F6"/>
    <w:rsid w:val="003F7758"/>
    <w:rsid w:val="003F7A92"/>
    <w:rsid w:val="003F7B4F"/>
    <w:rsid w:val="004001A2"/>
    <w:rsid w:val="00400218"/>
    <w:rsid w:val="00400486"/>
    <w:rsid w:val="004008A0"/>
    <w:rsid w:val="00400B11"/>
    <w:rsid w:val="00400E28"/>
    <w:rsid w:val="00401065"/>
    <w:rsid w:val="00401287"/>
    <w:rsid w:val="0040181B"/>
    <w:rsid w:val="00401EE3"/>
    <w:rsid w:val="0040218F"/>
    <w:rsid w:val="00402274"/>
    <w:rsid w:val="004028B6"/>
    <w:rsid w:val="0040290B"/>
    <w:rsid w:val="00402AD4"/>
    <w:rsid w:val="00402E78"/>
    <w:rsid w:val="004030AA"/>
    <w:rsid w:val="00403323"/>
    <w:rsid w:val="00403C6C"/>
    <w:rsid w:val="00403E79"/>
    <w:rsid w:val="004040FE"/>
    <w:rsid w:val="00404212"/>
    <w:rsid w:val="004044C1"/>
    <w:rsid w:val="00404785"/>
    <w:rsid w:val="00404B18"/>
    <w:rsid w:val="00404B8A"/>
    <w:rsid w:val="00404F2A"/>
    <w:rsid w:val="00404FDE"/>
    <w:rsid w:val="004052AB"/>
    <w:rsid w:val="00405369"/>
    <w:rsid w:val="0040547F"/>
    <w:rsid w:val="0040554F"/>
    <w:rsid w:val="00405705"/>
    <w:rsid w:val="00405FB4"/>
    <w:rsid w:val="004062D7"/>
    <w:rsid w:val="004063BD"/>
    <w:rsid w:val="0040644B"/>
    <w:rsid w:val="004064E0"/>
    <w:rsid w:val="00406AC5"/>
    <w:rsid w:val="00406B8E"/>
    <w:rsid w:val="00406E5A"/>
    <w:rsid w:val="00406E86"/>
    <w:rsid w:val="00407032"/>
    <w:rsid w:val="00407114"/>
    <w:rsid w:val="004071AA"/>
    <w:rsid w:val="004071E1"/>
    <w:rsid w:val="00407B1E"/>
    <w:rsid w:val="00407B24"/>
    <w:rsid w:val="00410064"/>
    <w:rsid w:val="00410386"/>
    <w:rsid w:val="004104D8"/>
    <w:rsid w:val="00410876"/>
    <w:rsid w:val="00410930"/>
    <w:rsid w:val="00410BBB"/>
    <w:rsid w:val="004115F5"/>
    <w:rsid w:val="00411607"/>
    <w:rsid w:val="004116E5"/>
    <w:rsid w:val="00411C04"/>
    <w:rsid w:val="00411F9F"/>
    <w:rsid w:val="00412054"/>
    <w:rsid w:val="00412366"/>
    <w:rsid w:val="00412488"/>
    <w:rsid w:val="0041252D"/>
    <w:rsid w:val="00412A5F"/>
    <w:rsid w:val="00412D38"/>
    <w:rsid w:val="00412EFF"/>
    <w:rsid w:val="0041372F"/>
    <w:rsid w:val="0041390D"/>
    <w:rsid w:val="00413EE2"/>
    <w:rsid w:val="004142B4"/>
    <w:rsid w:val="00414424"/>
    <w:rsid w:val="00414470"/>
    <w:rsid w:val="00414636"/>
    <w:rsid w:val="00414936"/>
    <w:rsid w:val="00414D29"/>
    <w:rsid w:val="00414FAD"/>
    <w:rsid w:val="00415552"/>
    <w:rsid w:val="0041562D"/>
    <w:rsid w:val="00415807"/>
    <w:rsid w:val="004161FE"/>
    <w:rsid w:val="004168DB"/>
    <w:rsid w:val="00416999"/>
    <w:rsid w:val="00416D3B"/>
    <w:rsid w:val="00416F71"/>
    <w:rsid w:val="00417094"/>
    <w:rsid w:val="004171B0"/>
    <w:rsid w:val="00417431"/>
    <w:rsid w:val="004174A9"/>
    <w:rsid w:val="00417B83"/>
    <w:rsid w:val="004204F9"/>
    <w:rsid w:val="00420510"/>
    <w:rsid w:val="00420766"/>
    <w:rsid w:val="00420984"/>
    <w:rsid w:val="00420A6E"/>
    <w:rsid w:val="00420BA9"/>
    <w:rsid w:val="00420BC4"/>
    <w:rsid w:val="004214FD"/>
    <w:rsid w:val="004216A1"/>
    <w:rsid w:val="004216E4"/>
    <w:rsid w:val="00421760"/>
    <w:rsid w:val="0042195B"/>
    <w:rsid w:val="00421A02"/>
    <w:rsid w:val="00421E11"/>
    <w:rsid w:val="00421FC1"/>
    <w:rsid w:val="0042213B"/>
    <w:rsid w:val="00422195"/>
    <w:rsid w:val="004226E7"/>
    <w:rsid w:val="00422BEE"/>
    <w:rsid w:val="00422C3B"/>
    <w:rsid w:val="00422DF0"/>
    <w:rsid w:val="00423689"/>
    <w:rsid w:val="0042379C"/>
    <w:rsid w:val="004237D9"/>
    <w:rsid w:val="004237DE"/>
    <w:rsid w:val="00423847"/>
    <w:rsid w:val="00423B1B"/>
    <w:rsid w:val="00423C21"/>
    <w:rsid w:val="00423D4D"/>
    <w:rsid w:val="00423FDE"/>
    <w:rsid w:val="0042443E"/>
    <w:rsid w:val="0042500C"/>
    <w:rsid w:val="0042520E"/>
    <w:rsid w:val="004256F0"/>
    <w:rsid w:val="004257F8"/>
    <w:rsid w:val="00425A7E"/>
    <w:rsid w:val="00425B7D"/>
    <w:rsid w:val="00425DA7"/>
    <w:rsid w:val="0042695B"/>
    <w:rsid w:val="00426971"/>
    <w:rsid w:val="004271DB"/>
    <w:rsid w:val="004273AC"/>
    <w:rsid w:val="004276C1"/>
    <w:rsid w:val="0042785D"/>
    <w:rsid w:val="00427ACF"/>
    <w:rsid w:val="00427B55"/>
    <w:rsid w:val="00430244"/>
    <w:rsid w:val="0043038F"/>
    <w:rsid w:val="00430559"/>
    <w:rsid w:val="00430622"/>
    <w:rsid w:val="004310BF"/>
    <w:rsid w:val="0043120E"/>
    <w:rsid w:val="0043169B"/>
    <w:rsid w:val="00431DA4"/>
    <w:rsid w:val="00431ED7"/>
    <w:rsid w:val="00432605"/>
    <w:rsid w:val="00432950"/>
    <w:rsid w:val="00432AD4"/>
    <w:rsid w:val="00432C13"/>
    <w:rsid w:val="00432EBC"/>
    <w:rsid w:val="004339CA"/>
    <w:rsid w:val="00433A5F"/>
    <w:rsid w:val="00433D7E"/>
    <w:rsid w:val="00433F9B"/>
    <w:rsid w:val="0043421A"/>
    <w:rsid w:val="00434642"/>
    <w:rsid w:val="00434D5D"/>
    <w:rsid w:val="00434FF6"/>
    <w:rsid w:val="0043539C"/>
    <w:rsid w:val="00435463"/>
    <w:rsid w:val="00435BF1"/>
    <w:rsid w:val="00435BFA"/>
    <w:rsid w:val="00435FB3"/>
    <w:rsid w:val="00436151"/>
    <w:rsid w:val="0043617B"/>
    <w:rsid w:val="00436A99"/>
    <w:rsid w:val="00436B43"/>
    <w:rsid w:val="00436BF9"/>
    <w:rsid w:val="00436C0F"/>
    <w:rsid w:val="00436C11"/>
    <w:rsid w:val="00436FF7"/>
    <w:rsid w:val="0043720F"/>
    <w:rsid w:val="00437592"/>
    <w:rsid w:val="00437674"/>
    <w:rsid w:val="00437994"/>
    <w:rsid w:val="00437B42"/>
    <w:rsid w:val="00437C9C"/>
    <w:rsid w:val="0044008A"/>
    <w:rsid w:val="0044058B"/>
    <w:rsid w:val="00440F02"/>
    <w:rsid w:val="004416EF"/>
    <w:rsid w:val="00441C5C"/>
    <w:rsid w:val="00441E22"/>
    <w:rsid w:val="00442016"/>
    <w:rsid w:val="00442327"/>
    <w:rsid w:val="004425B1"/>
    <w:rsid w:val="0044288D"/>
    <w:rsid w:val="00442947"/>
    <w:rsid w:val="00442A0B"/>
    <w:rsid w:val="00442CA7"/>
    <w:rsid w:val="00442E93"/>
    <w:rsid w:val="00442EB8"/>
    <w:rsid w:val="00442EC8"/>
    <w:rsid w:val="0044308C"/>
    <w:rsid w:val="00443493"/>
    <w:rsid w:val="00443790"/>
    <w:rsid w:val="00443C0F"/>
    <w:rsid w:val="00443F4D"/>
    <w:rsid w:val="004443BB"/>
    <w:rsid w:val="0044443D"/>
    <w:rsid w:val="004449C4"/>
    <w:rsid w:val="00444B47"/>
    <w:rsid w:val="00444B5E"/>
    <w:rsid w:val="00445260"/>
    <w:rsid w:val="004453B8"/>
    <w:rsid w:val="004456B2"/>
    <w:rsid w:val="004458D6"/>
    <w:rsid w:val="00445BC5"/>
    <w:rsid w:val="00445C88"/>
    <w:rsid w:val="00446087"/>
    <w:rsid w:val="0044611D"/>
    <w:rsid w:val="00446595"/>
    <w:rsid w:val="00446D39"/>
    <w:rsid w:val="00446FAD"/>
    <w:rsid w:val="00447064"/>
    <w:rsid w:val="004470CE"/>
    <w:rsid w:val="004476C3"/>
    <w:rsid w:val="00447A8C"/>
    <w:rsid w:val="00450304"/>
    <w:rsid w:val="0045093D"/>
    <w:rsid w:val="00450AF0"/>
    <w:rsid w:val="00450C2E"/>
    <w:rsid w:val="00450C3E"/>
    <w:rsid w:val="00450C9D"/>
    <w:rsid w:val="00450D05"/>
    <w:rsid w:val="00450E4B"/>
    <w:rsid w:val="00450EA5"/>
    <w:rsid w:val="00450FAD"/>
    <w:rsid w:val="00450FB6"/>
    <w:rsid w:val="004510C4"/>
    <w:rsid w:val="004511FA"/>
    <w:rsid w:val="00451906"/>
    <w:rsid w:val="004519D4"/>
    <w:rsid w:val="004519EA"/>
    <w:rsid w:val="00451A26"/>
    <w:rsid w:val="00451DF0"/>
    <w:rsid w:val="00451E2F"/>
    <w:rsid w:val="00452338"/>
    <w:rsid w:val="00452755"/>
    <w:rsid w:val="004528C4"/>
    <w:rsid w:val="00452A0A"/>
    <w:rsid w:val="00452B48"/>
    <w:rsid w:val="00452EB4"/>
    <w:rsid w:val="00452ECF"/>
    <w:rsid w:val="00452F46"/>
    <w:rsid w:val="00452FD7"/>
    <w:rsid w:val="00453B5B"/>
    <w:rsid w:val="00453C6F"/>
    <w:rsid w:val="00454028"/>
    <w:rsid w:val="00454442"/>
    <w:rsid w:val="004544DA"/>
    <w:rsid w:val="004546AB"/>
    <w:rsid w:val="00455127"/>
    <w:rsid w:val="00455256"/>
    <w:rsid w:val="0045548A"/>
    <w:rsid w:val="0045592B"/>
    <w:rsid w:val="00455A2B"/>
    <w:rsid w:val="00455C8B"/>
    <w:rsid w:val="00455D6E"/>
    <w:rsid w:val="00456124"/>
    <w:rsid w:val="00456237"/>
    <w:rsid w:val="0045644C"/>
    <w:rsid w:val="00456738"/>
    <w:rsid w:val="004568C0"/>
    <w:rsid w:val="00456A16"/>
    <w:rsid w:val="00456A88"/>
    <w:rsid w:val="00456BBD"/>
    <w:rsid w:val="00456CA0"/>
    <w:rsid w:val="00456E1F"/>
    <w:rsid w:val="0045729B"/>
    <w:rsid w:val="004572B1"/>
    <w:rsid w:val="0045732D"/>
    <w:rsid w:val="00457795"/>
    <w:rsid w:val="00460271"/>
    <w:rsid w:val="00460604"/>
    <w:rsid w:val="00460850"/>
    <w:rsid w:val="00460B03"/>
    <w:rsid w:val="00460B37"/>
    <w:rsid w:val="00460D60"/>
    <w:rsid w:val="0046107F"/>
    <w:rsid w:val="004611EC"/>
    <w:rsid w:val="004612EA"/>
    <w:rsid w:val="0046137F"/>
    <w:rsid w:val="0046177A"/>
    <w:rsid w:val="0046197F"/>
    <w:rsid w:val="00461C30"/>
    <w:rsid w:val="00461D21"/>
    <w:rsid w:val="00462113"/>
    <w:rsid w:val="00462143"/>
    <w:rsid w:val="00462917"/>
    <w:rsid w:val="0046305C"/>
    <w:rsid w:val="004632FF"/>
    <w:rsid w:val="00463435"/>
    <w:rsid w:val="0046350F"/>
    <w:rsid w:val="00463536"/>
    <w:rsid w:val="00463731"/>
    <w:rsid w:val="00463EF6"/>
    <w:rsid w:val="0046403B"/>
    <w:rsid w:val="00464220"/>
    <w:rsid w:val="0046433D"/>
    <w:rsid w:val="00464706"/>
    <w:rsid w:val="00464CB3"/>
    <w:rsid w:val="00464D6A"/>
    <w:rsid w:val="00464E85"/>
    <w:rsid w:val="0046517B"/>
    <w:rsid w:val="00465293"/>
    <w:rsid w:val="004653C3"/>
    <w:rsid w:val="00465C2D"/>
    <w:rsid w:val="00465E2E"/>
    <w:rsid w:val="00465F95"/>
    <w:rsid w:val="00465FDB"/>
    <w:rsid w:val="00466038"/>
    <w:rsid w:val="00466490"/>
    <w:rsid w:val="0046669C"/>
    <w:rsid w:val="00466B30"/>
    <w:rsid w:val="00466DA6"/>
    <w:rsid w:val="00466E88"/>
    <w:rsid w:val="0046703B"/>
    <w:rsid w:val="004671DC"/>
    <w:rsid w:val="004676FF"/>
    <w:rsid w:val="00467B5D"/>
    <w:rsid w:val="00467D56"/>
    <w:rsid w:val="0047041E"/>
    <w:rsid w:val="0047087E"/>
    <w:rsid w:val="00471044"/>
    <w:rsid w:val="0047110B"/>
    <w:rsid w:val="0047192C"/>
    <w:rsid w:val="00471EAF"/>
    <w:rsid w:val="00471EB0"/>
    <w:rsid w:val="004720B0"/>
    <w:rsid w:val="0047217E"/>
    <w:rsid w:val="00472192"/>
    <w:rsid w:val="00472294"/>
    <w:rsid w:val="00472374"/>
    <w:rsid w:val="004723AB"/>
    <w:rsid w:val="0047277B"/>
    <w:rsid w:val="004727A6"/>
    <w:rsid w:val="00472C8E"/>
    <w:rsid w:val="004730B6"/>
    <w:rsid w:val="0047333D"/>
    <w:rsid w:val="00473624"/>
    <w:rsid w:val="0047382D"/>
    <w:rsid w:val="004738EA"/>
    <w:rsid w:val="00473A46"/>
    <w:rsid w:val="00473B04"/>
    <w:rsid w:val="00473CFC"/>
    <w:rsid w:val="00474031"/>
    <w:rsid w:val="0047429B"/>
    <w:rsid w:val="0047450B"/>
    <w:rsid w:val="0047451D"/>
    <w:rsid w:val="00474B33"/>
    <w:rsid w:val="00474C29"/>
    <w:rsid w:val="00474C30"/>
    <w:rsid w:val="00474D75"/>
    <w:rsid w:val="00474E89"/>
    <w:rsid w:val="00475139"/>
    <w:rsid w:val="004751CA"/>
    <w:rsid w:val="004756BB"/>
    <w:rsid w:val="00475935"/>
    <w:rsid w:val="00475B14"/>
    <w:rsid w:val="00475C66"/>
    <w:rsid w:val="00475C87"/>
    <w:rsid w:val="00476323"/>
    <w:rsid w:val="0047667D"/>
    <w:rsid w:val="00476E4D"/>
    <w:rsid w:val="00476F8C"/>
    <w:rsid w:val="004772AB"/>
    <w:rsid w:val="0047739F"/>
    <w:rsid w:val="00477A62"/>
    <w:rsid w:val="00477E57"/>
    <w:rsid w:val="00480208"/>
    <w:rsid w:val="00480223"/>
    <w:rsid w:val="00480867"/>
    <w:rsid w:val="00481794"/>
    <w:rsid w:val="00481BA3"/>
    <w:rsid w:val="004822A7"/>
    <w:rsid w:val="004822EB"/>
    <w:rsid w:val="0048239B"/>
    <w:rsid w:val="0048249D"/>
    <w:rsid w:val="00482834"/>
    <w:rsid w:val="00482D85"/>
    <w:rsid w:val="00483530"/>
    <w:rsid w:val="0048374D"/>
    <w:rsid w:val="00483758"/>
    <w:rsid w:val="004838CA"/>
    <w:rsid w:val="004838E4"/>
    <w:rsid w:val="0048432C"/>
    <w:rsid w:val="004843F9"/>
    <w:rsid w:val="00484611"/>
    <w:rsid w:val="00484D3F"/>
    <w:rsid w:val="00485272"/>
    <w:rsid w:val="00485F83"/>
    <w:rsid w:val="004860B6"/>
    <w:rsid w:val="00486140"/>
    <w:rsid w:val="0048623D"/>
    <w:rsid w:val="004867AF"/>
    <w:rsid w:val="00486A32"/>
    <w:rsid w:val="00487501"/>
    <w:rsid w:val="0048770D"/>
    <w:rsid w:val="004877B8"/>
    <w:rsid w:val="00487C22"/>
    <w:rsid w:val="00487C90"/>
    <w:rsid w:val="00487D34"/>
    <w:rsid w:val="004900D9"/>
    <w:rsid w:val="004901B8"/>
    <w:rsid w:val="00490414"/>
    <w:rsid w:val="0049043B"/>
    <w:rsid w:val="00490585"/>
    <w:rsid w:val="00490A07"/>
    <w:rsid w:val="004910DF"/>
    <w:rsid w:val="004912BC"/>
    <w:rsid w:val="00491939"/>
    <w:rsid w:val="00491B2C"/>
    <w:rsid w:val="00491C77"/>
    <w:rsid w:val="00491E7A"/>
    <w:rsid w:val="00492045"/>
    <w:rsid w:val="0049239F"/>
    <w:rsid w:val="00492F01"/>
    <w:rsid w:val="00493172"/>
    <w:rsid w:val="004931F9"/>
    <w:rsid w:val="00493283"/>
    <w:rsid w:val="00493638"/>
    <w:rsid w:val="004936CE"/>
    <w:rsid w:val="00494024"/>
    <w:rsid w:val="00494449"/>
    <w:rsid w:val="004946AE"/>
    <w:rsid w:val="00494853"/>
    <w:rsid w:val="00495181"/>
    <w:rsid w:val="0049558A"/>
    <w:rsid w:val="00495834"/>
    <w:rsid w:val="00495B68"/>
    <w:rsid w:val="00495E00"/>
    <w:rsid w:val="004960DF"/>
    <w:rsid w:val="00496263"/>
    <w:rsid w:val="00496542"/>
    <w:rsid w:val="0049672F"/>
    <w:rsid w:val="0049685F"/>
    <w:rsid w:val="004970D0"/>
    <w:rsid w:val="0049729D"/>
    <w:rsid w:val="0049730C"/>
    <w:rsid w:val="004974A2"/>
    <w:rsid w:val="0049792B"/>
    <w:rsid w:val="00497CC5"/>
    <w:rsid w:val="00497DC0"/>
    <w:rsid w:val="00497E65"/>
    <w:rsid w:val="004A045D"/>
    <w:rsid w:val="004A0641"/>
    <w:rsid w:val="004A0847"/>
    <w:rsid w:val="004A0AEE"/>
    <w:rsid w:val="004A0B68"/>
    <w:rsid w:val="004A0D0A"/>
    <w:rsid w:val="004A119C"/>
    <w:rsid w:val="004A1263"/>
    <w:rsid w:val="004A12BA"/>
    <w:rsid w:val="004A163F"/>
    <w:rsid w:val="004A19A1"/>
    <w:rsid w:val="004A1D84"/>
    <w:rsid w:val="004A1FFB"/>
    <w:rsid w:val="004A2129"/>
    <w:rsid w:val="004A2327"/>
    <w:rsid w:val="004A2379"/>
    <w:rsid w:val="004A23C5"/>
    <w:rsid w:val="004A23DA"/>
    <w:rsid w:val="004A23DE"/>
    <w:rsid w:val="004A26AB"/>
    <w:rsid w:val="004A2A47"/>
    <w:rsid w:val="004A2AA4"/>
    <w:rsid w:val="004A2ADC"/>
    <w:rsid w:val="004A2B24"/>
    <w:rsid w:val="004A2C55"/>
    <w:rsid w:val="004A2CA7"/>
    <w:rsid w:val="004A3249"/>
    <w:rsid w:val="004A37A5"/>
    <w:rsid w:val="004A3C0E"/>
    <w:rsid w:val="004A3C82"/>
    <w:rsid w:val="004A3E7A"/>
    <w:rsid w:val="004A3ECD"/>
    <w:rsid w:val="004A4151"/>
    <w:rsid w:val="004A4490"/>
    <w:rsid w:val="004A48E2"/>
    <w:rsid w:val="004A4A91"/>
    <w:rsid w:val="004A4AD2"/>
    <w:rsid w:val="004A4F19"/>
    <w:rsid w:val="004A4F80"/>
    <w:rsid w:val="004A506E"/>
    <w:rsid w:val="004A522D"/>
    <w:rsid w:val="004A55B8"/>
    <w:rsid w:val="004A580A"/>
    <w:rsid w:val="004A5B25"/>
    <w:rsid w:val="004A5B5B"/>
    <w:rsid w:val="004A5E7D"/>
    <w:rsid w:val="004A63A3"/>
    <w:rsid w:val="004A65C5"/>
    <w:rsid w:val="004A66BC"/>
    <w:rsid w:val="004A67C0"/>
    <w:rsid w:val="004A6827"/>
    <w:rsid w:val="004A6BFE"/>
    <w:rsid w:val="004A6E93"/>
    <w:rsid w:val="004A731D"/>
    <w:rsid w:val="004A7556"/>
    <w:rsid w:val="004A7573"/>
    <w:rsid w:val="004A7B15"/>
    <w:rsid w:val="004B059F"/>
    <w:rsid w:val="004B0B58"/>
    <w:rsid w:val="004B0BD8"/>
    <w:rsid w:val="004B0E6E"/>
    <w:rsid w:val="004B1019"/>
    <w:rsid w:val="004B1063"/>
    <w:rsid w:val="004B1282"/>
    <w:rsid w:val="004B13A1"/>
    <w:rsid w:val="004B1566"/>
    <w:rsid w:val="004B1638"/>
    <w:rsid w:val="004B18A2"/>
    <w:rsid w:val="004B19D0"/>
    <w:rsid w:val="004B1B5B"/>
    <w:rsid w:val="004B1CFF"/>
    <w:rsid w:val="004B1ECA"/>
    <w:rsid w:val="004B1F23"/>
    <w:rsid w:val="004B2396"/>
    <w:rsid w:val="004B24CB"/>
    <w:rsid w:val="004B2C8E"/>
    <w:rsid w:val="004B30CF"/>
    <w:rsid w:val="004B35F0"/>
    <w:rsid w:val="004B3729"/>
    <w:rsid w:val="004B3C43"/>
    <w:rsid w:val="004B3D3A"/>
    <w:rsid w:val="004B3DF8"/>
    <w:rsid w:val="004B3F31"/>
    <w:rsid w:val="004B42EB"/>
    <w:rsid w:val="004B44CB"/>
    <w:rsid w:val="004B45D5"/>
    <w:rsid w:val="004B4664"/>
    <w:rsid w:val="004B47DB"/>
    <w:rsid w:val="004B484B"/>
    <w:rsid w:val="004B4ABF"/>
    <w:rsid w:val="004B4BD8"/>
    <w:rsid w:val="004B4C91"/>
    <w:rsid w:val="004B4CF8"/>
    <w:rsid w:val="004B4E46"/>
    <w:rsid w:val="004B50AB"/>
    <w:rsid w:val="004B591D"/>
    <w:rsid w:val="004B6A3A"/>
    <w:rsid w:val="004B6B1F"/>
    <w:rsid w:val="004B6D92"/>
    <w:rsid w:val="004B6FF7"/>
    <w:rsid w:val="004B7280"/>
    <w:rsid w:val="004B7FBD"/>
    <w:rsid w:val="004C0188"/>
    <w:rsid w:val="004C04D9"/>
    <w:rsid w:val="004C05AD"/>
    <w:rsid w:val="004C0850"/>
    <w:rsid w:val="004C0857"/>
    <w:rsid w:val="004C09F5"/>
    <w:rsid w:val="004C0B84"/>
    <w:rsid w:val="004C0C8B"/>
    <w:rsid w:val="004C0F00"/>
    <w:rsid w:val="004C11C8"/>
    <w:rsid w:val="004C1404"/>
    <w:rsid w:val="004C147B"/>
    <w:rsid w:val="004C19DB"/>
    <w:rsid w:val="004C1AB2"/>
    <w:rsid w:val="004C1F0F"/>
    <w:rsid w:val="004C1F63"/>
    <w:rsid w:val="004C20B5"/>
    <w:rsid w:val="004C23FD"/>
    <w:rsid w:val="004C2630"/>
    <w:rsid w:val="004C2820"/>
    <w:rsid w:val="004C2CDB"/>
    <w:rsid w:val="004C3385"/>
    <w:rsid w:val="004C360B"/>
    <w:rsid w:val="004C36F3"/>
    <w:rsid w:val="004C375A"/>
    <w:rsid w:val="004C3B42"/>
    <w:rsid w:val="004C3C22"/>
    <w:rsid w:val="004C3C92"/>
    <w:rsid w:val="004C43DB"/>
    <w:rsid w:val="004C469A"/>
    <w:rsid w:val="004C47F9"/>
    <w:rsid w:val="004C4A06"/>
    <w:rsid w:val="004C4CF6"/>
    <w:rsid w:val="004C52BC"/>
    <w:rsid w:val="004C5BE8"/>
    <w:rsid w:val="004C5C3B"/>
    <w:rsid w:val="004C5C6B"/>
    <w:rsid w:val="004C5D0F"/>
    <w:rsid w:val="004C5DDD"/>
    <w:rsid w:val="004C6114"/>
    <w:rsid w:val="004C6307"/>
    <w:rsid w:val="004C6949"/>
    <w:rsid w:val="004C69CF"/>
    <w:rsid w:val="004C69D4"/>
    <w:rsid w:val="004C726D"/>
    <w:rsid w:val="004C7495"/>
    <w:rsid w:val="004C75F6"/>
    <w:rsid w:val="004D0024"/>
    <w:rsid w:val="004D0614"/>
    <w:rsid w:val="004D09FD"/>
    <w:rsid w:val="004D0D72"/>
    <w:rsid w:val="004D104F"/>
    <w:rsid w:val="004D13B9"/>
    <w:rsid w:val="004D16CD"/>
    <w:rsid w:val="004D16F6"/>
    <w:rsid w:val="004D1850"/>
    <w:rsid w:val="004D197E"/>
    <w:rsid w:val="004D1B47"/>
    <w:rsid w:val="004D1BE3"/>
    <w:rsid w:val="004D1F83"/>
    <w:rsid w:val="004D2158"/>
    <w:rsid w:val="004D21A7"/>
    <w:rsid w:val="004D2237"/>
    <w:rsid w:val="004D255A"/>
    <w:rsid w:val="004D261C"/>
    <w:rsid w:val="004D26DB"/>
    <w:rsid w:val="004D2BC9"/>
    <w:rsid w:val="004D3381"/>
    <w:rsid w:val="004D36FF"/>
    <w:rsid w:val="004D3E99"/>
    <w:rsid w:val="004D3FD8"/>
    <w:rsid w:val="004D40C2"/>
    <w:rsid w:val="004D40E1"/>
    <w:rsid w:val="004D4540"/>
    <w:rsid w:val="004D4CE3"/>
    <w:rsid w:val="004D4D77"/>
    <w:rsid w:val="004D52DC"/>
    <w:rsid w:val="004D53DD"/>
    <w:rsid w:val="004D55CE"/>
    <w:rsid w:val="004D55F7"/>
    <w:rsid w:val="004D584B"/>
    <w:rsid w:val="004D59C6"/>
    <w:rsid w:val="004D5AE9"/>
    <w:rsid w:val="004D5C91"/>
    <w:rsid w:val="004D5F68"/>
    <w:rsid w:val="004D601D"/>
    <w:rsid w:val="004D61ED"/>
    <w:rsid w:val="004D6247"/>
    <w:rsid w:val="004D63CD"/>
    <w:rsid w:val="004D6533"/>
    <w:rsid w:val="004D655E"/>
    <w:rsid w:val="004D67E4"/>
    <w:rsid w:val="004D6920"/>
    <w:rsid w:val="004D6B48"/>
    <w:rsid w:val="004D6C5B"/>
    <w:rsid w:val="004D6D47"/>
    <w:rsid w:val="004D6E2E"/>
    <w:rsid w:val="004D7514"/>
    <w:rsid w:val="004D75A0"/>
    <w:rsid w:val="004D7871"/>
    <w:rsid w:val="004D7ABB"/>
    <w:rsid w:val="004D7FF8"/>
    <w:rsid w:val="004E000C"/>
    <w:rsid w:val="004E02E5"/>
    <w:rsid w:val="004E05EF"/>
    <w:rsid w:val="004E0EB8"/>
    <w:rsid w:val="004E15B4"/>
    <w:rsid w:val="004E1821"/>
    <w:rsid w:val="004E186A"/>
    <w:rsid w:val="004E1F92"/>
    <w:rsid w:val="004E1FDB"/>
    <w:rsid w:val="004E2108"/>
    <w:rsid w:val="004E2195"/>
    <w:rsid w:val="004E2446"/>
    <w:rsid w:val="004E24BB"/>
    <w:rsid w:val="004E25B0"/>
    <w:rsid w:val="004E2B62"/>
    <w:rsid w:val="004E2D89"/>
    <w:rsid w:val="004E2E92"/>
    <w:rsid w:val="004E2FAB"/>
    <w:rsid w:val="004E30D1"/>
    <w:rsid w:val="004E32ED"/>
    <w:rsid w:val="004E32FD"/>
    <w:rsid w:val="004E3677"/>
    <w:rsid w:val="004E3823"/>
    <w:rsid w:val="004E3838"/>
    <w:rsid w:val="004E3A04"/>
    <w:rsid w:val="004E3D10"/>
    <w:rsid w:val="004E4013"/>
    <w:rsid w:val="004E41AF"/>
    <w:rsid w:val="004E47B0"/>
    <w:rsid w:val="004E49A5"/>
    <w:rsid w:val="004E4B1E"/>
    <w:rsid w:val="004E4C1B"/>
    <w:rsid w:val="004E4E17"/>
    <w:rsid w:val="004E502E"/>
    <w:rsid w:val="004E56B0"/>
    <w:rsid w:val="004E5C32"/>
    <w:rsid w:val="004E5ECA"/>
    <w:rsid w:val="004E6D38"/>
    <w:rsid w:val="004E6DA5"/>
    <w:rsid w:val="004E6DFA"/>
    <w:rsid w:val="004E7060"/>
    <w:rsid w:val="004E71FB"/>
    <w:rsid w:val="004E742A"/>
    <w:rsid w:val="004E75AC"/>
    <w:rsid w:val="004E789C"/>
    <w:rsid w:val="004E7A65"/>
    <w:rsid w:val="004E7AEF"/>
    <w:rsid w:val="004E7F14"/>
    <w:rsid w:val="004F02C9"/>
    <w:rsid w:val="004F0486"/>
    <w:rsid w:val="004F0563"/>
    <w:rsid w:val="004F0A14"/>
    <w:rsid w:val="004F0C1C"/>
    <w:rsid w:val="004F10AF"/>
    <w:rsid w:val="004F1142"/>
    <w:rsid w:val="004F16D0"/>
    <w:rsid w:val="004F1984"/>
    <w:rsid w:val="004F2136"/>
    <w:rsid w:val="004F2188"/>
    <w:rsid w:val="004F260D"/>
    <w:rsid w:val="004F2989"/>
    <w:rsid w:val="004F2EE2"/>
    <w:rsid w:val="004F30C8"/>
    <w:rsid w:val="004F3164"/>
    <w:rsid w:val="004F32DA"/>
    <w:rsid w:val="004F3359"/>
    <w:rsid w:val="004F38F7"/>
    <w:rsid w:val="004F3DC4"/>
    <w:rsid w:val="004F405D"/>
    <w:rsid w:val="004F41B1"/>
    <w:rsid w:val="004F42CB"/>
    <w:rsid w:val="004F42E9"/>
    <w:rsid w:val="004F4600"/>
    <w:rsid w:val="004F4855"/>
    <w:rsid w:val="004F4A04"/>
    <w:rsid w:val="004F4C1D"/>
    <w:rsid w:val="004F4CB4"/>
    <w:rsid w:val="004F4F6D"/>
    <w:rsid w:val="004F4F84"/>
    <w:rsid w:val="004F50BF"/>
    <w:rsid w:val="004F5368"/>
    <w:rsid w:val="004F5454"/>
    <w:rsid w:val="004F596C"/>
    <w:rsid w:val="004F5BD1"/>
    <w:rsid w:val="004F5C34"/>
    <w:rsid w:val="004F60FB"/>
    <w:rsid w:val="004F63E6"/>
    <w:rsid w:val="004F6AAD"/>
    <w:rsid w:val="004F6C0E"/>
    <w:rsid w:val="004F6C98"/>
    <w:rsid w:val="004F7034"/>
    <w:rsid w:val="004F77AF"/>
    <w:rsid w:val="004F77D4"/>
    <w:rsid w:val="004F784C"/>
    <w:rsid w:val="004F78D8"/>
    <w:rsid w:val="004F7901"/>
    <w:rsid w:val="004F7B7A"/>
    <w:rsid w:val="0050002D"/>
    <w:rsid w:val="00500220"/>
    <w:rsid w:val="0050036A"/>
    <w:rsid w:val="0050038B"/>
    <w:rsid w:val="00500789"/>
    <w:rsid w:val="00500BCF"/>
    <w:rsid w:val="0050170E"/>
    <w:rsid w:val="00501A4C"/>
    <w:rsid w:val="00501FDE"/>
    <w:rsid w:val="00502209"/>
    <w:rsid w:val="005022D9"/>
    <w:rsid w:val="005028AC"/>
    <w:rsid w:val="005028D9"/>
    <w:rsid w:val="00502B2A"/>
    <w:rsid w:val="00502D61"/>
    <w:rsid w:val="005030F5"/>
    <w:rsid w:val="00503394"/>
    <w:rsid w:val="00503687"/>
    <w:rsid w:val="00503A6E"/>
    <w:rsid w:val="00503C0D"/>
    <w:rsid w:val="00503CDD"/>
    <w:rsid w:val="00503CE1"/>
    <w:rsid w:val="00503D57"/>
    <w:rsid w:val="00503DB3"/>
    <w:rsid w:val="00503FD2"/>
    <w:rsid w:val="005043D1"/>
    <w:rsid w:val="005047DA"/>
    <w:rsid w:val="00504A6D"/>
    <w:rsid w:val="00504CFC"/>
    <w:rsid w:val="00504DE6"/>
    <w:rsid w:val="005052E6"/>
    <w:rsid w:val="005055C6"/>
    <w:rsid w:val="00505735"/>
    <w:rsid w:val="00505979"/>
    <w:rsid w:val="00505E15"/>
    <w:rsid w:val="00506131"/>
    <w:rsid w:val="005067BD"/>
    <w:rsid w:val="00506B18"/>
    <w:rsid w:val="0050703C"/>
    <w:rsid w:val="00507450"/>
    <w:rsid w:val="00507559"/>
    <w:rsid w:val="00507644"/>
    <w:rsid w:val="00507BE6"/>
    <w:rsid w:val="00507DFB"/>
    <w:rsid w:val="0051006C"/>
    <w:rsid w:val="0051023B"/>
    <w:rsid w:val="00510368"/>
    <w:rsid w:val="00511241"/>
    <w:rsid w:val="00511461"/>
    <w:rsid w:val="005115FE"/>
    <w:rsid w:val="00511826"/>
    <w:rsid w:val="00512072"/>
    <w:rsid w:val="0051209F"/>
    <w:rsid w:val="005122D4"/>
    <w:rsid w:val="00512685"/>
    <w:rsid w:val="00512744"/>
    <w:rsid w:val="005129E1"/>
    <w:rsid w:val="00512EFF"/>
    <w:rsid w:val="00513872"/>
    <w:rsid w:val="00513BC9"/>
    <w:rsid w:val="005140CC"/>
    <w:rsid w:val="005141AB"/>
    <w:rsid w:val="005141D3"/>
    <w:rsid w:val="005142BD"/>
    <w:rsid w:val="00515377"/>
    <w:rsid w:val="005153DF"/>
    <w:rsid w:val="00515426"/>
    <w:rsid w:val="00515452"/>
    <w:rsid w:val="0051573E"/>
    <w:rsid w:val="0051589A"/>
    <w:rsid w:val="00515AEA"/>
    <w:rsid w:val="00515C6E"/>
    <w:rsid w:val="00515CE6"/>
    <w:rsid w:val="00515E02"/>
    <w:rsid w:val="00515E0D"/>
    <w:rsid w:val="0051607A"/>
    <w:rsid w:val="0051612F"/>
    <w:rsid w:val="0051613C"/>
    <w:rsid w:val="0051617A"/>
    <w:rsid w:val="0051619F"/>
    <w:rsid w:val="0051684D"/>
    <w:rsid w:val="00516AC0"/>
    <w:rsid w:val="00516FDC"/>
    <w:rsid w:val="00517010"/>
    <w:rsid w:val="00517A04"/>
    <w:rsid w:val="00517BBC"/>
    <w:rsid w:val="00517D8F"/>
    <w:rsid w:val="00517DC4"/>
    <w:rsid w:val="00517E80"/>
    <w:rsid w:val="005201CD"/>
    <w:rsid w:val="00520202"/>
    <w:rsid w:val="005202C6"/>
    <w:rsid w:val="005206F9"/>
    <w:rsid w:val="0052094C"/>
    <w:rsid w:val="00520E13"/>
    <w:rsid w:val="00520F38"/>
    <w:rsid w:val="00521302"/>
    <w:rsid w:val="005213BD"/>
    <w:rsid w:val="00521461"/>
    <w:rsid w:val="00521510"/>
    <w:rsid w:val="005215E0"/>
    <w:rsid w:val="00521711"/>
    <w:rsid w:val="00521DDA"/>
    <w:rsid w:val="00522095"/>
    <w:rsid w:val="0052254F"/>
    <w:rsid w:val="005225C4"/>
    <w:rsid w:val="005230E3"/>
    <w:rsid w:val="0052359C"/>
    <w:rsid w:val="00523956"/>
    <w:rsid w:val="00523CB7"/>
    <w:rsid w:val="0052419D"/>
    <w:rsid w:val="005242F4"/>
    <w:rsid w:val="005246E2"/>
    <w:rsid w:val="00524BC1"/>
    <w:rsid w:val="00524C31"/>
    <w:rsid w:val="00524C4E"/>
    <w:rsid w:val="00524C5F"/>
    <w:rsid w:val="00524EE7"/>
    <w:rsid w:val="005254F1"/>
    <w:rsid w:val="00525612"/>
    <w:rsid w:val="005256FB"/>
    <w:rsid w:val="00525A58"/>
    <w:rsid w:val="00525A90"/>
    <w:rsid w:val="00525ABA"/>
    <w:rsid w:val="00525AEC"/>
    <w:rsid w:val="00526D0E"/>
    <w:rsid w:val="00526E3D"/>
    <w:rsid w:val="00526E94"/>
    <w:rsid w:val="005278A1"/>
    <w:rsid w:val="0052795F"/>
    <w:rsid w:val="00527DBD"/>
    <w:rsid w:val="00527F62"/>
    <w:rsid w:val="00530219"/>
    <w:rsid w:val="0053033B"/>
    <w:rsid w:val="005303FF"/>
    <w:rsid w:val="00530509"/>
    <w:rsid w:val="00530657"/>
    <w:rsid w:val="00530D99"/>
    <w:rsid w:val="00530DE5"/>
    <w:rsid w:val="00531053"/>
    <w:rsid w:val="0053120C"/>
    <w:rsid w:val="00531481"/>
    <w:rsid w:val="00531863"/>
    <w:rsid w:val="00531C1D"/>
    <w:rsid w:val="0053208E"/>
    <w:rsid w:val="005322A1"/>
    <w:rsid w:val="00532311"/>
    <w:rsid w:val="00532349"/>
    <w:rsid w:val="005325AA"/>
    <w:rsid w:val="00532A7B"/>
    <w:rsid w:val="00532A9E"/>
    <w:rsid w:val="00532E48"/>
    <w:rsid w:val="00532EB9"/>
    <w:rsid w:val="0053300F"/>
    <w:rsid w:val="005330CC"/>
    <w:rsid w:val="005331DF"/>
    <w:rsid w:val="0053358E"/>
    <w:rsid w:val="005336A8"/>
    <w:rsid w:val="0053393A"/>
    <w:rsid w:val="00533BF8"/>
    <w:rsid w:val="00533EA7"/>
    <w:rsid w:val="00534261"/>
    <w:rsid w:val="00534404"/>
    <w:rsid w:val="0053528F"/>
    <w:rsid w:val="00535F02"/>
    <w:rsid w:val="00535FF6"/>
    <w:rsid w:val="00536315"/>
    <w:rsid w:val="00536362"/>
    <w:rsid w:val="005363C4"/>
    <w:rsid w:val="00536B42"/>
    <w:rsid w:val="00536FC7"/>
    <w:rsid w:val="0053770E"/>
    <w:rsid w:val="00537775"/>
    <w:rsid w:val="005377EA"/>
    <w:rsid w:val="005379D4"/>
    <w:rsid w:val="00537BA9"/>
    <w:rsid w:val="00540476"/>
    <w:rsid w:val="005404FE"/>
    <w:rsid w:val="005407E0"/>
    <w:rsid w:val="00540BCA"/>
    <w:rsid w:val="00540FDE"/>
    <w:rsid w:val="00541319"/>
    <w:rsid w:val="0054147B"/>
    <w:rsid w:val="0054148A"/>
    <w:rsid w:val="005414DA"/>
    <w:rsid w:val="00541825"/>
    <w:rsid w:val="00541D70"/>
    <w:rsid w:val="00541FC4"/>
    <w:rsid w:val="00542063"/>
    <w:rsid w:val="0054213F"/>
    <w:rsid w:val="005421E8"/>
    <w:rsid w:val="00542449"/>
    <w:rsid w:val="005428A2"/>
    <w:rsid w:val="005428D1"/>
    <w:rsid w:val="00542B7D"/>
    <w:rsid w:val="00542CF6"/>
    <w:rsid w:val="00542F75"/>
    <w:rsid w:val="00543298"/>
    <w:rsid w:val="005432B2"/>
    <w:rsid w:val="0054344F"/>
    <w:rsid w:val="005434FD"/>
    <w:rsid w:val="00543607"/>
    <w:rsid w:val="00543700"/>
    <w:rsid w:val="00543936"/>
    <w:rsid w:val="005443A8"/>
    <w:rsid w:val="00544A5D"/>
    <w:rsid w:val="0054505B"/>
    <w:rsid w:val="0054523D"/>
    <w:rsid w:val="00545488"/>
    <w:rsid w:val="005455C1"/>
    <w:rsid w:val="0054583D"/>
    <w:rsid w:val="0054585F"/>
    <w:rsid w:val="005459A5"/>
    <w:rsid w:val="00545F29"/>
    <w:rsid w:val="0054615F"/>
    <w:rsid w:val="00546427"/>
    <w:rsid w:val="0054674E"/>
    <w:rsid w:val="00546851"/>
    <w:rsid w:val="00546E65"/>
    <w:rsid w:val="0054750A"/>
    <w:rsid w:val="00547827"/>
    <w:rsid w:val="00547893"/>
    <w:rsid w:val="00547A70"/>
    <w:rsid w:val="00547A8E"/>
    <w:rsid w:val="00547E52"/>
    <w:rsid w:val="00550191"/>
    <w:rsid w:val="00550495"/>
    <w:rsid w:val="005507D2"/>
    <w:rsid w:val="005507F2"/>
    <w:rsid w:val="00550B4C"/>
    <w:rsid w:val="00550B7D"/>
    <w:rsid w:val="00550D5E"/>
    <w:rsid w:val="00550D87"/>
    <w:rsid w:val="00550E41"/>
    <w:rsid w:val="00550FDD"/>
    <w:rsid w:val="005513C3"/>
    <w:rsid w:val="00551695"/>
    <w:rsid w:val="00551BDA"/>
    <w:rsid w:val="00551D55"/>
    <w:rsid w:val="00551D5C"/>
    <w:rsid w:val="00551F5A"/>
    <w:rsid w:val="00551FC6"/>
    <w:rsid w:val="00552077"/>
    <w:rsid w:val="00552228"/>
    <w:rsid w:val="0055233C"/>
    <w:rsid w:val="00552374"/>
    <w:rsid w:val="005524DF"/>
    <w:rsid w:val="00552516"/>
    <w:rsid w:val="00552ABE"/>
    <w:rsid w:val="00552D04"/>
    <w:rsid w:val="0055339A"/>
    <w:rsid w:val="0055354A"/>
    <w:rsid w:val="005537A5"/>
    <w:rsid w:val="005538DB"/>
    <w:rsid w:val="00553949"/>
    <w:rsid w:val="00553B1D"/>
    <w:rsid w:val="00553E68"/>
    <w:rsid w:val="00554002"/>
    <w:rsid w:val="0055406E"/>
    <w:rsid w:val="0055418D"/>
    <w:rsid w:val="00554240"/>
    <w:rsid w:val="00554A8C"/>
    <w:rsid w:val="00554DA8"/>
    <w:rsid w:val="005556DB"/>
    <w:rsid w:val="00555DEC"/>
    <w:rsid w:val="0055619C"/>
    <w:rsid w:val="00556469"/>
    <w:rsid w:val="00556565"/>
    <w:rsid w:val="00556C7A"/>
    <w:rsid w:val="005570A8"/>
    <w:rsid w:val="0055734A"/>
    <w:rsid w:val="00557CAA"/>
    <w:rsid w:val="00557DC6"/>
    <w:rsid w:val="005602B5"/>
    <w:rsid w:val="005602EE"/>
    <w:rsid w:val="005604B2"/>
    <w:rsid w:val="00560763"/>
    <w:rsid w:val="005607B6"/>
    <w:rsid w:val="005607C5"/>
    <w:rsid w:val="00560CD6"/>
    <w:rsid w:val="005610B6"/>
    <w:rsid w:val="005610C2"/>
    <w:rsid w:val="0056124D"/>
    <w:rsid w:val="0056153E"/>
    <w:rsid w:val="00561AC7"/>
    <w:rsid w:val="00561B63"/>
    <w:rsid w:val="005620CF"/>
    <w:rsid w:val="005620D3"/>
    <w:rsid w:val="005621D4"/>
    <w:rsid w:val="005623D7"/>
    <w:rsid w:val="005627B1"/>
    <w:rsid w:val="00562807"/>
    <w:rsid w:val="00562862"/>
    <w:rsid w:val="00562922"/>
    <w:rsid w:val="005629E7"/>
    <w:rsid w:val="00562A24"/>
    <w:rsid w:val="00562C1B"/>
    <w:rsid w:val="00562C7E"/>
    <w:rsid w:val="00562DF9"/>
    <w:rsid w:val="00562E1D"/>
    <w:rsid w:val="00562FD5"/>
    <w:rsid w:val="00563059"/>
    <w:rsid w:val="005631AA"/>
    <w:rsid w:val="00563685"/>
    <w:rsid w:val="005636C8"/>
    <w:rsid w:val="00563752"/>
    <w:rsid w:val="00563B99"/>
    <w:rsid w:val="00563D2A"/>
    <w:rsid w:val="00563EE6"/>
    <w:rsid w:val="00564199"/>
    <w:rsid w:val="005641EF"/>
    <w:rsid w:val="005642A8"/>
    <w:rsid w:val="005642B4"/>
    <w:rsid w:val="005643E3"/>
    <w:rsid w:val="00564823"/>
    <w:rsid w:val="00564918"/>
    <w:rsid w:val="00564EC5"/>
    <w:rsid w:val="00564F4B"/>
    <w:rsid w:val="00564FFD"/>
    <w:rsid w:val="005653EE"/>
    <w:rsid w:val="0056555C"/>
    <w:rsid w:val="00565A76"/>
    <w:rsid w:val="005660EB"/>
    <w:rsid w:val="0056637D"/>
    <w:rsid w:val="00566518"/>
    <w:rsid w:val="00566A26"/>
    <w:rsid w:val="00566AF5"/>
    <w:rsid w:val="00566B1D"/>
    <w:rsid w:val="005670BA"/>
    <w:rsid w:val="005670E7"/>
    <w:rsid w:val="005671F2"/>
    <w:rsid w:val="005676FD"/>
    <w:rsid w:val="0056780E"/>
    <w:rsid w:val="00567B0D"/>
    <w:rsid w:val="00567FA2"/>
    <w:rsid w:val="0057037C"/>
    <w:rsid w:val="00570BD8"/>
    <w:rsid w:val="00570F43"/>
    <w:rsid w:val="00571100"/>
    <w:rsid w:val="005719D3"/>
    <w:rsid w:val="00571AE6"/>
    <w:rsid w:val="00571E22"/>
    <w:rsid w:val="00571FBA"/>
    <w:rsid w:val="005720BF"/>
    <w:rsid w:val="0057240D"/>
    <w:rsid w:val="00572729"/>
    <w:rsid w:val="00572A93"/>
    <w:rsid w:val="00572F35"/>
    <w:rsid w:val="0057323E"/>
    <w:rsid w:val="00573521"/>
    <w:rsid w:val="0057385B"/>
    <w:rsid w:val="005739B2"/>
    <w:rsid w:val="00573B47"/>
    <w:rsid w:val="00573C5F"/>
    <w:rsid w:val="00573E58"/>
    <w:rsid w:val="0057428B"/>
    <w:rsid w:val="00574629"/>
    <w:rsid w:val="005748E7"/>
    <w:rsid w:val="0057514C"/>
    <w:rsid w:val="00575646"/>
    <w:rsid w:val="005757AF"/>
    <w:rsid w:val="00575876"/>
    <w:rsid w:val="005758E9"/>
    <w:rsid w:val="00575A0C"/>
    <w:rsid w:val="0057630C"/>
    <w:rsid w:val="00576472"/>
    <w:rsid w:val="00576807"/>
    <w:rsid w:val="005769A0"/>
    <w:rsid w:val="00576E6C"/>
    <w:rsid w:val="00576F19"/>
    <w:rsid w:val="0057704B"/>
    <w:rsid w:val="005772EE"/>
    <w:rsid w:val="0057734E"/>
    <w:rsid w:val="0057744D"/>
    <w:rsid w:val="005778ED"/>
    <w:rsid w:val="00577A6C"/>
    <w:rsid w:val="00577FF2"/>
    <w:rsid w:val="0058038D"/>
    <w:rsid w:val="005804F5"/>
    <w:rsid w:val="005809B6"/>
    <w:rsid w:val="00580B70"/>
    <w:rsid w:val="00580F3F"/>
    <w:rsid w:val="005810D2"/>
    <w:rsid w:val="005814F3"/>
    <w:rsid w:val="005817B5"/>
    <w:rsid w:val="00581B40"/>
    <w:rsid w:val="00581D3A"/>
    <w:rsid w:val="00581DE3"/>
    <w:rsid w:val="00581E9D"/>
    <w:rsid w:val="0058205F"/>
    <w:rsid w:val="005820A2"/>
    <w:rsid w:val="0058226A"/>
    <w:rsid w:val="00582418"/>
    <w:rsid w:val="00582681"/>
    <w:rsid w:val="00582A3B"/>
    <w:rsid w:val="00582C47"/>
    <w:rsid w:val="00582C5C"/>
    <w:rsid w:val="00582E12"/>
    <w:rsid w:val="00583050"/>
    <w:rsid w:val="0058316E"/>
    <w:rsid w:val="00583300"/>
    <w:rsid w:val="005834C8"/>
    <w:rsid w:val="00583522"/>
    <w:rsid w:val="0058454D"/>
    <w:rsid w:val="00584742"/>
    <w:rsid w:val="00584AEF"/>
    <w:rsid w:val="00584D64"/>
    <w:rsid w:val="00585364"/>
    <w:rsid w:val="0058585F"/>
    <w:rsid w:val="00585A6A"/>
    <w:rsid w:val="00585B64"/>
    <w:rsid w:val="00585C46"/>
    <w:rsid w:val="00585EF3"/>
    <w:rsid w:val="00586078"/>
    <w:rsid w:val="005860CC"/>
    <w:rsid w:val="005860FF"/>
    <w:rsid w:val="0058611A"/>
    <w:rsid w:val="00586212"/>
    <w:rsid w:val="0058636A"/>
    <w:rsid w:val="00586460"/>
    <w:rsid w:val="00586796"/>
    <w:rsid w:val="00586811"/>
    <w:rsid w:val="00586A11"/>
    <w:rsid w:val="00586A14"/>
    <w:rsid w:val="00586CFC"/>
    <w:rsid w:val="00586E20"/>
    <w:rsid w:val="00586E40"/>
    <w:rsid w:val="00587207"/>
    <w:rsid w:val="0058732A"/>
    <w:rsid w:val="0058746B"/>
    <w:rsid w:val="005874FE"/>
    <w:rsid w:val="0058770B"/>
    <w:rsid w:val="0058771A"/>
    <w:rsid w:val="00587782"/>
    <w:rsid w:val="00587864"/>
    <w:rsid w:val="005879AE"/>
    <w:rsid w:val="005879F7"/>
    <w:rsid w:val="00587BC4"/>
    <w:rsid w:val="00587BDA"/>
    <w:rsid w:val="0059026E"/>
    <w:rsid w:val="005907E5"/>
    <w:rsid w:val="0059089C"/>
    <w:rsid w:val="005910D7"/>
    <w:rsid w:val="005910FE"/>
    <w:rsid w:val="005911E9"/>
    <w:rsid w:val="005912D3"/>
    <w:rsid w:val="0059135E"/>
    <w:rsid w:val="00591669"/>
    <w:rsid w:val="00591782"/>
    <w:rsid w:val="00591847"/>
    <w:rsid w:val="00591C0D"/>
    <w:rsid w:val="00591C6D"/>
    <w:rsid w:val="00591CEB"/>
    <w:rsid w:val="00591E1C"/>
    <w:rsid w:val="00592401"/>
    <w:rsid w:val="00592768"/>
    <w:rsid w:val="00592817"/>
    <w:rsid w:val="0059290D"/>
    <w:rsid w:val="005932B0"/>
    <w:rsid w:val="005932EE"/>
    <w:rsid w:val="005933A4"/>
    <w:rsid w:val="005936E5"/>
    <w:rsid w:val="00593B83"/>
    <w:rsid w:val="00593E59"/>
    <w:rsid w:val="00593E9C"/>
    <w:rsid w:val="00593F7B"/>
    <w:rsid w:val="0059421A"/>
    <w:rsid w:val="005945AF"/>
    <w:rsid w:val="00595004"/>
    <w:rsid w:val="00595234"/>
    <w:rsid w:val="00595A3A"/>
    <w:rsid w:val="00595C0F"/>
    <w:rsid w:val="00595DA3"/>
    <w:rsid w:val="00595E52"/>
    <w:rsid w:val="00595EF1"/>
    <w:rsid w:val="00596021"/>
    <w:rsid w:val="005960CB"/>
    <w:rsid w:val="005962BE"/>
    <w:rsid w:val="00596419"/>
    <w:rsid w:val="00596609"/>
    <w:rsid w:val="0059692C"/>
    <w:rsid w:val="00596D74"/>
    <w:rsid w:val="005973A7"/>
    <w:rsid w:val="005975E7"/>
    <w:rsid w:val="00597973"/>
    <w:rsid w:val="00597D48"/>
    <w:rsid w:val="005A007B"/>
    <w:rsid w:val="005A0617"/>
    <w:rsid w:val="005A06DD"/>
    <w:rsid w:val="005A08EF"/>
    <w:rsid w:val="005A19C2"/>
    <w:rsid w:val="005A22E4"/>
    <w:rsid w:val="005A2B01"/>
    <w:rsid w:val="005A2D39"/>
    <w:rsid w:val="005A2DF6"/>
    <w:rsid w:val="005A30B5"/>
    <w:rsid w:val="005A3306"/>
    <w:rsid w:val="005A3406"/>
    <w:rsid w:val="005A3754"/>
    <w:rsid w:val="005A39A4"/>
    <w:rsid w:val="005A3AFB"/>
    <w:rsid w:val="005A3CB0"/>
    <w:rsid w:val="005A3CDA"/>
    <w:rsid w:val="005A4184"/>
    <w:rsid w:val="005A46B2"/>
    <w:rsid w:val="005A4780"/>
    <w:rsid w:val="005A4BCE"/>
    <w:rsid w:val="005A4D7F"/>
    <w:rsid w:val="005A5389"/>
    <w:rsid w:val="005A57C4"/>
    <w:rsid w:val="005A5856"/>
    <w:rsid w:val="005A585A"/>
    <w:rsid w:val="005A5A14"/>
    <w:rsid w:val="005A5AB2"/>
    <w:rsid w:val="005A5CA2"/>
    <w:rsid w:val="005A60EB"/>
    <w:rsid w:val="005A665B"/>
    <w:rsid w:val="005A6946"/>
    <w:rsid w:val="005A6B7E"/>
    <w:rsid w:val="005A756D"/>
    <w:rsid w:val="005A75B1"/>
    <w:rsid w:val="005A7C53"/>
    <w:rsid w:val="005B03CC"/>
    <w:rsid w:val="005B0DCC"/>
    <w:rsid w:val="005B121D"/>
    <w:rsid w:val="005B150C"/>
    <w:rsid w:val="005B160B"/>
    <w:rsid w:val="005B176B"/>
    <w:rsid w:val="005B1AD7"/>
    <w:rsid w:val="005B1F03"/>
    <w:rsid w:val="005B2635"/>
    <w:rsid w:val="005B2E29"/>
    <w:rsid w:val="005B2E57"/>
    <w:rsid w:val="005B338D"/>
    <w:rsid w:val="005B39DF"/>
    <w:rsid w:val="005B3A75"/>
    <w:rsid w:val="005B3F08"/>
    <w:rsid w:val="005B40D8"/>
    <w:rsid w:val="005B41CC"/>
    <w:rsid w:val="005B46E2"/>
    <w:rsid w:val="005B4787"/>
    <w:rsid w:val="005B486F"/>
    <w:rsid w:val="005B49F6"/>
    <w:rsid w:val="005B5078"/>
    <w:rsid w:val="005B5389"/>
    <w:rsid w:val="005B567D"/>
    <w:rsid w:val="005B57DD"/>
    <w:rsid w:val="005B58B7"/>
    <w:rsid w:val="005B593B"/>
    <w:rsid w:val="005B5D50"/>
    <w:rsid w:val="005B6979"/>
    <w:rsid w:val="005B6DD9"/>
    <w:rsid w:val="005B6DEC"/>
    <w:rsid w:val="005B6E88"/>
    <w:rsid w:val="005B7166"/>
    <w:rsid w:val="005B7363"/>
    <w:rsid w:val="005B7442"/>
    <w:rsid w:val="005B74FD"/>
    <w:rsid w:val="005B76CF"/>
    <w:rsid w:val="005B7F43"/>
    <w:rsid w:val="005C033A"/>
    <w:rsid w:val="005C0682"/>
    <w:rsid w:val="005C0A6C"/>
    <w:rsid w:val="005C0E12"/>
    <w:rsid w:val="005C1159"/>
    <w:rsid w:val="005C1430"/>
    <w:rsid w:val="005C24D6"/>
    <w:rsid w:val="005C254C"/>
    <w:rsid w:val="005C25AC"/>
    <w:rsid w:val="005C2B04"/>
    <w:rsid w:val="005C2B5F"/>
    <w:rsid w:val="005C2EC3"/>
    <w:rsid w:val="005C3076"/>
    <w:rsid w:val="005C3215"/>
    <w:rsid w:val="005C329C"/>
    <w:rsid w:val="005C3326"/>
    <w:rsid w:val="005C338A"/>
    <w:rsid w:val="005C3478"/>
    <w:rsid w:val="005C38AA"/>
    <w:rsid w:val="005C3953"/>
    <w:rsid w:val="005C3C88"/>
    <w:rsid w:val="005C3FA8"/>
    <w:rsid w:val="005C44B9"/>
    <w:rsid w:val="005C4632"/>
    <w:rsid w:val="005C46FB"/>
    <w:rsid w:val="005C4D49"/>
    <w:rsid w:val="005C5107"/>
    <w:rsid w:val="005C5151"/>
    <w:rsid w:val="005C51EE"/>
    <w:rsid w:val="005C5338"/>
    <w:rsid w:val="005C5BC0"/>
    <w:rsid w:val="005C5DB0"/>
    <w:rsid w:val="005C5E9F"/>
    <w:rsid w:val="005C6566"/>
    <w:rsid w:val="005C65CE"/>
    <w:rsid w:val="005C6ED4"/>
    <w:rsid w:val="005C6F0E"/>
    <w:rsid w:val="005C70E7"/>
    <w:rsid w:val="005C7548"/>
    <w:rsid w:val="005C754E"/>
    <w:rsid w:val="005C7718"/>
    <w:rsid w:val="005C77AD"/>
    <w:rsid w:val="005C78B7"/>
    <w:rsid w:val="005C79A0"/>
    <w:rsid w:val="005C7ED3"/>
    <w:rsid w:val="005D0233"/>
    <w:rsid w:val="005D02DD"/>
    <w:rsid w:val="005D0DFF"/>
    <w:rsid w:val="005D1436"/>
    <w:rsid w:val="005D149D"/>
    <w:rsid w:val="005D151A"/>
    <w:rsid w:val="005D174B"/>
    <w:rsid w:val="005D19FA"/>
    <w:rsid w:val="005D1BB0"/>
    <w:rsid w:val="005D200F"/>
    <w:rsid w:val="005D2131"/>
    <w:rsid w:val="005D23CC"/>
    <w:rsid w:val="005D24D7"/>
    <w:rsid w:val="005D27D1"/>
    <w:rsid w:val="005D2B6F"/>
    <w:rsid w:val="005D2BB5"/>
    <w:rsid w:val="005D3433"/>
    <w:rsid w:val="005D3CDD"/>
    <w:rsid w:val="005D407D"/>
    <w:rsid w:val="005D4126"/>
    <w:rsid w:val="005D44EE"/>
    <w:rsid w:val="005D4A61"/>
    <w:rsid w:val="005D5048"/>
    <w:rsid w:val="005D5790"/>
    <w:rsid w:val="005D5C1C"/>
    <w:rsid w:val="005D5CF2"/>
    <w:rsid w:val="005D62F4"/>
    <w:rsid w:val="005D6614"/>
    <w:rsid w:val="005D68F3"/>
    <w:rsid w:val="005D696F"/>
    <w:rsid w:val="005D6DC6"/>
    <w:rsid w:val="005D6DD6"/>
    <w:rsid w:val="005D70A9"/>
    <w:rsid w:val="005D737F"/>
    <w:rsid w:val="005D7598"/>
    <w:rsid w:val="005D75C9"/>
    <w:rsid w:val="005D771B"/>
    <w:rsid w:val="005D78F6"/>
    <w:rsid w:val="005D79E2"/>
    <w:rsid w:val="005D7A3A"/>
    <w:rsid w:val="005D7B34"/>
    <w:rsid w:val="005D7B99"/>
    <w:rsid w:val="005D7BD2"/>
    <w:rsid w:val="005D7D23"/>
    <w:rsid w:val="005D7FBF"/>
    <w:rsid w:val="005E0534"/>
    <w:rsid w:val="005E0938"/>
    <w:rsid w:val="005E1679"/>
    <w:rsid w:val="005E1786"/>
    <w:rsid w:val="005E1A91"/>
    <w:rsid w:val="005E2150"/>
    <w:rsid w:val="005E262D"/>
    <w:rsid w:val="005E274B"/>
    <w:rsid w:val="005E2F8E"/>
    <w:rsid w:val="005E33F6"/>
    <w:rsid w:val="005E35B3"/>
    <w:rsid w:val="005E368E"/>
    <w:rsid w:val="005E3825"/>
    <w:rsid w:val="005E3A5A"/>
    <w:rsid w:val="005E3BA1"/>
    <w:rsid w:val="005E3C66"/>
    <w:rsid w:val="005E413E"/>
    <w:rsid w:val="005E476C"/>
    <w:rsid w:val="005E48AA"/>
    <w:rsid w:val="005E51EC"/>
    <w:rsid w:val="005E542F"/>
    <w:rsid w:val="005E5652"/>
    <w:rsid w:val="005E5AA7"/>
    <w:rsid w:val="005E5B2C"/>
    <w:rsid w:val="005E5C7E"/>
    <w:rsid w:val="005E61DE"/>
    <w:rsid w:val="005E6263"/>
    <w:rsid w:val="005E6304"/>
    <w:rsid w:val="005E6D09"/>
    <w:rsid w:val="005E6E01"/>
    <w:rsid w:val="005E72D8"/>
    <w:rsid w:val="005E7452"/>
    <w:rsid w:val="005E7460"/>
    <w:rsid w:val="005E793C"/>
    <w:rsid w:val="005E7AE0"/>
    <w:rsid w:val="005E7CB2"/>
    <w:rsid w:val="005F04F9"/>
    <w:rsid w:val="005F0558"/>
    <w:rsid w:val="005F05C6"/>
    <w:rsid w:val="005F0A4A"/>
    <w:rsid w:val="005F0B7D"/>
    <w:rsid w:val="005F0FB1"/>
    <w:rsid w:val="005F114E"/>
    <w:rsid w:val="005F13AB"/>
    <w:rsid w:val="005F1B50"/>
    <w:rsid w:val="005F2354"/>
    <w:rsid w:val="005F23E0"/>
    <w:rsid w:val="005F2429"/>
    <w:rsid w:val="005F274F"/>
    <w:rsid w:val="005F27C0"/>
    <w:rsid w:val="005F3050"/>
    <w:rsid w:val="005F321C"/>
    <w:rsid w:val="005F3350"/>
    <w:rsid w:val="005F34A4"/>
    <w:rsid w:val="005F3561"/>
    <w:rsid w:val="005F3920"/>
    <w:rsid w:val="005F3971"/>
    <w:rsid w:val="005F41A2"/>
    <w:rsid w:val="005F4539"/>
    <w:rsid w:val="005F457B"/>
    <w:rsid w:val="005F4706"/>
    <w:rsid w:val="005F4810"/>
    <w:rsid w:val="005F4996"/>
    <w:rsid w:val="005F4A18"/>
    <w:rsid w:val="005F4A64"/>
    <w:rsid w:val="005F4C07"/>
    <w:rsid w:val="005F4D4A"/>
    <w:rsid w:val="005F505D"/>
    <w:rsid w:val="005F50CE"/>
    <w:rsid w:val="005F52E4"/>
    <w:rsid w:val="005F52E6"/>
    <w:rsid w:val="005F536D"/>
    <w:rsid w:val="005F5400"/>
    <w:rsid w:val="005F5467"/>
    <w:rsid w:val="005F54A6"/>
    <w:rsid w:val="005F55E6"/>
    <w:rsid w:val="005F57E1"/>
    <w:rsid w:val="005F5E57"/>
    <w:rsid w:val="005F5EDF"/>
    <w:rsid w:val="005F60A7"/>
    <w:rsid w:val="005F6183"/>
    <w:rsid w:val="005F6603"/>
    <w:rsid w:val="005F68E7"/>
    <w:rsid w:val="005F69C0"/>
    <w:rsid w:val="005F6D3D"/>
    <w:rsid w:val="005F7039"/>
    <w:rsid w:val="005F762A"/>
    <w:rsid w:val="005F773D"/>
    <w:rsid w:val="005F783A"/>
    <w:rsid w:val="005F7F36"/>
    <w:rsid w:val="00600371"/>
    <w:rsid w:val="00600462"/>
    <w:rsid w:val="006005CA"/>
    <w:rsid w:val="0060090C"/>
    <w:rsid w:val="00600E75"/>
    <w:rsid w:val="00600E7D"/>
    <w:rsid w:val="00600F2E"/>
    <w:rsid w:val="006011CA"/>
    <w:rsid w:val="006017BC"/>
    <w:rsid w:val="006017FE"/>
    <w:rsid w:val="00601A7A"/>
    <w:rsid w:val="00601A8A"/>
    <w:rsid w:val="00601B01"/>
    <w:rsid w:val="00601CEB"/>
    <w:rsid w:val="006024B7"/>
    <w:rsid w:val="006029E9"/>
    <w:rsid w:val="00602A66"/>
    <w:rsid w:val="00602D22"/>
    <w:rsid w:val="00602D7D"/>
    <w:rsid w:val="006038F5"/>
    <w:rsid w:val="00603A0F"/>
    <w:rsid w:val="00603C76"/>
    <w:rsid w:val="00603DBA"/>
    <w:rsid w:val="00603DCC"/>
    <w:rsid w:val="00603E5F"/>
    <w:rsid w:val="00604400"/>
    <w:rsid w:val="006044C2"/>
    <w:rsid w:val="006046D0"/>
    <w:rsid w:val="006046F5"/>
    <w:rsid w:val="006047EC"/>
    <w:rsid w:val="0060492D"/>
    <w:rsid w:val="00604A46"/>
    <w:rsid w:val="00605510"/>
    <w:rsid w:val="006055BD"/>
    <w:rsid w:val="006055D6"/>
    <w:rsid w:val="006058C4"/>
    <w:rsid w:val="00605C47"/>
    <w:rsid w:val="00605CBD"/>
    <w:rsid w:val="00606157"/>
    <w:rsid w:val="006061F9"/>
    <w:rsid w:val="00606223"/>
    <w:rsid w:val="00606888"/>
    <w:rsid w:val="006069D1"/>
    <w:rsid w:val="00606A15"/>
    <w:rsid w:val="00606BA9"/>
    <w:rsid w:val="00606E67"/>
    <w:rsid w:val="00607334"/>
    <w:rsid w:val="0060772A"/>
    <w:rsid w:val="006078FA"/>
    <w:rsid w:val="00607B15"/>
    <w:rsid w:val="00607C8B"/>
    <w:rsid w:val="00610075"/>
    <w:rsid w:val="0061020F"/>
    <w:rsid w:val="00610695"/>
    <w:rsid w:val="0061069E"/>
    <w:rsid w:val="00610A23"/>
    <w:rsid w:val="00610A53"/>
    <w:rsid w:val="00610B83"/>
    <w:rsid w:val="006110BB"/>
    <w:rsid w:val="006111F9"/>
    <w:rsid w:val="00611445"/>
    <w:rsid w:val="0061168C"/>
    <w:rsid w:val="00611BC7"/>
    <w:rsid w:val="00611F42"/>
    <w:rsid w:val="00611FC2"/>
    <w:rsid w:val="006122DF"/>
    <w:rsid w:val="006123FE"/>
    <w:rsid w:val="0061263E"/>
    <w:rsid w:val="00612A69"/>
    <w:rsid w:val="00612E46"/>
    <w:rsid w:val="00613131"/>
    <w:rsid w:val="006131D7"/>
    <w:rsid w:val="006132AD"/>
    <w:rsid w:val="006132B6"/>
    <w:rsid w:val="00613838"/>
    <w:rsid w:val="00613CB4"/>
    <w:rsid w:val="00613E94"/>
    <w:rsid w:val="00613FC9"/>
    <w:rsid w:val="00614245"/>
    <w:rsid w:val="00615141"/>
    <w:rsid w:val="00615314"/>
    <w:rsid w:val="006154A4"/>
    <w:rsid w:val="00615609"/>
    <w:rsid w:val="00615882"/>
    <w:rsid w:val="006159EC"/>
    <w:rsid w:val="00615C61"/>
    <w:rsid w:val="00616150"/>
    <w:rsid w:val="0061679B"/>
    <w:rsid w:val="00616875"/>
    <w:rsid w:val="0061747B"/>
    <w:rsid w:val="006176E8"/>
    <w:rsid w:val="00620028"/>
    <w:rsid w:val="00620068"/>
    <w:rsid w:val="00620121"/>
    <w:rsid w:val="0062015C"/>
    <w:rsid w:val="0062017A"/>
    <w:rsid w:val="006201C8"/>
    <w:rsid w:val="00620541"/>
    <w:rsid w:val="00620573"/>
    <w:rsid w:val="006207D7"/>
    <w:rsid w:val="006208F8"/>
    <w:rsid w:val="00620CBA"/>
    <w:rsid w:val="00621496"/>
    <w:rsid w:val="006214E8"/>
    <w:rsid w:val="006216E9"/>
    <w:rsid w:val="006218AB"/>
    <w:rsid w:val="006218C5"/>
    <w:rsid w:val="0062230A"/>
    <w:rsid w:val="0062248D"/>
    <w:rsid w:val="00622978"/>
    <w:rsid w:val="00622CE0"/>
    <w:rsid w:val="00622E40"/>
    <w:rsid w:val="00623146"/>
    <w:rsid w:val="0062350A"/>
    <w:rsid w:val="0062379F"/>
    <w:rsid w:val="006239B2"/>
    <w:rsid w:val="006239C6"/>
    <w:rsid w:val="00623C25"/>
    <w:rsid w:val="006240C0"/>
    <w:rsid w:val="00624B0A"/>
    <w:rsid w:val="00624B65"/>
    <w:rsid w:val="00624D26"/>
    <w:rsid w:val="00624F98"/>
    <w:rsid w:val="006251CC"/>
    <w:rsid w:val="00625367"/>
    <w:rsid w:val="0062554B"/>
    <w:rsid w:val="00625D70"/>
    <w:rsid w:val="00625E39"/>
    <w:rsid w:val="00625F92"/>
    <w:rsid w:val="00626082"/>
    <w:rsid w:val="00626598"/>
    <w:rsid w:val="00626D42"/>
    <w:rsid w:val="00626E22"/>
    <w:rsid w:val="00626E78"/>
    <w:rsid w:val="006277F0"/>
    <w:rsid w:val="00627A8A"/>
    <w:rsid w:val="00627E1A"/>
    <w:rsid w:val="00630263"/>
    <w:rsid w:val="006304D5"/>
    <w:rsid w:val="0063071C"/>
    <w:rsid w:val="00630D87"/>
    <w:rsid w:val="00631301"/>
    <w:rsid w:val="006313F5"/>
    <w:rsid w:val="00631A22"/>
    <w:rsid w:val="00632098"/>
    <w:rsid w:val="0063234C"/>
    <w:rsid w:val="00632508"/>
    <w:rsid w:val="006326B6"/>
    <w:rsid w:val="00632A7C"/>
    <w:rsid w:val="00632B33"/>
    <w:rsid w:val="00632F2C"/>
    <w:rsid w:val="006334D3"/>
    <w:rsid w:val="006337CF"/>
    <w:rsid w:val="00633B90"/>
    <w:rsid w:val="00633DCA"/>
    <w:rsid w:val="00633EBC"/>
    <w:rsid w:val="00633F65"/>
    <w:rsid w:val="00634056"/>
    <w:rsid w:val="00634076"/>
    <w:rsid w:val="0063407D"/>
    <w:rsid w:val="0063466E"/>
    <w:rsid w:val="00634934"/>
    <w:rsid w:val="00634C71"/>
    <w:rsid w:val="00634E1A"/>
    <w:rsid w:val="006350DD"/>
    <w:rsid w:val="006351E7"/>
    <w:rsid w:val="006351FE"/>
    <w:rsid w:val="006359A0"/>
    <w:rsid w:val="00636860"/>
    <w:rsid w:val="006374D2"/>
    <w:rsid w:val="00637509"/>
    <w:rsid w:val="006377DF"/>
    <w:rsid w:val="006379DF"/>
    <w:rsid w:val="00637B7D"/>
    <w:rsid w:val="006401DE"/>
    <w:rsid w:val="006402C7"/>
    <w:rsid w:val="00640336"/>
    <w:rsid w:val="006404D3"/>
    <w:rsid w:val="006406C5"/>
    <w:rsid w:val="006407D9"/>
    <w:rsid w:val="006409BE"/>
    <w:rsid w:val="00640C41"/>
    <w:rsid w:val="00640DF6"/>
    <w:rsid w:val="006410E4"/>
    <w:rsid w:val="0064117F"/>
    <w:rsid w:val="00641260"/>
    <w:rsid w:val="00641630"/>
    <w:rsid w:val="00641AF0"/>
    <w:rsid w:val="00641B27"/>
    <w:rsid w:val="00641DB7"/>
    <w:rsid w:val="0064239C"/>
    <w:rsid w:val="0064262F"/>
    <w:rsid w:val="00642693"/>
    <w:rsid w:val="00642CFA"/>
    <w:rsid w:val="00642D37"/>
    <w:rsid w:val="00642F62"/>
    <w:rsid w:val="00643006"/>
    <w:rsid w:val="006431DA"/>
    <w:rsid w:val="006431DB"/>
    <w:rsid w:val="00643A18"/>
    <w:rsid w:val="00643BE2"/>
    <w:rsid w:val="00643C26"/>
    <w:rsid w:val="00643D49"/>
    <w:rsid w:val="00644198"/>
    <w:rsid w:val="00644868"/>
    <w:rsid w:val="00644C14"/>
    <w:rsid w:val="00644C9F"/>
    <w:rsid w:val="00645006"/>
    <w:rsid w:val="006450CC"/>
    <w:rsid w:val="006452DD"/>
    <w:rsid w:val="00645472"/>
    <w:rsid w:val="0064556B"/>
    <w:rsid w:val="00645804"/>
    <w:rsid w:val="006459E2"/>
    <w:rsid w:val="00645CD9"/>
    <w:rsid w:val="00645D7E"/>
    <w:rsid w:val="00646434"/>
    <w:rsid w:val="00646643"/>
    <w:rsid w:val="00646D13"/>
    <w:rsid w:val="00646FE1"/>
    <w:rsid w:val="006478C2"/>
    <w:rsid w:val="0064799B"/>
    <w:rsid w:val="006479BB"/>
    <w:rsid w:val="00647BC9"/>
    <w:rsid w:val="00647D67"/>
    <w:rsid w:val="00650C4A"/>
    <w:rsid w:val="00650E53"/>
    <w:rsid w:val="00650ED6"/>
    <w:rsid w:val="0065101E"/>
    <w:rsid w:val="006512C1"/>
    <w:rsid w:val="0065142A"/>
    <w:rsid w:val="00651688"/>
    <w:rsid w:val="0065178C"/>
    <w:rsid w:val="00651AEA"/>
    <w:rsid w:val="00651B15"/>
    <w:rsid w:val="00651F68"/>
    <w:rsid w:val="00652356"/>
    <w:rsid w:val="00652394"/>
    <w:rsid w:val="006527C9"/>
    <w:rsid w:val="00652F03"/>
    <w:rsid w:val="00652FAF"/>
    <w:rsid w:val="006536FA"/>
    <w:rsid w:val="00653738"/>
    <w:rsid w:val="0065453B"/>
    <w:rsid w:val="00654578"/>
    <w:rsid w:val="00654734"/>
    <w:rsid w:val="00654BAE"/>
    <w:rsid w:val="00654BDE"/>
    <w:rsid w:val="00654C91"/>
    <w:rsid w:val="00654EF6"/>
    <w:rsid w:val="00655577"/>
    <w:rsid w:val="00655631"/>
    <w:rsid w:val="00655BC0"/>
    <w:rsid w:val="00655CCC"/>
    <w:rsid w:val="0065622D"/>
    <w:rsid w:val="006562D0"/>
    <w:rsid w:val="006563F3"/>
    <w:rsid w:val="006566AA"/>
    <w:rsid w:val="00656F28"/>
    <w:rsid w:val="00657032"/>
    <w:rsid w:val="006574FB"/>
    <w:rsid w:val="0065763A"/>
    <w:rsid w:val="00657BFA"/>
    <w:rsid w:val="00657E5C"/>
    <w:rsid w:val="00657E8F"/>
    <w:rsid w:val="006602DF"/>
    <w:rsid w:val="0066038B"/>
    <w:rsid w:val="00660A03"/>
    <w:rsid w:val="00660BFA"/>
    <w:rsid w:val="00660BFE"/>
    <w:rsid w:val="00660D8A"/>
    <w:rsid w:val="00661066"/>
    <w:rsid w:val="00661281"/>
    <w:rsid w:val="00661443"/>
    <w:rsid w:val="00661608"/>
    <w:rsid w:val="00661913"/>
    <w:rsid w:val="00662113"/>
    <w:rsid w:val="006622BB"/>
    <w:rsid w:val="006623CC"/>
    <w:rsid w:val="00662419"/>
    <w:rsid w:val="00662741"/>
    <w:rsid w:val="00662949"/>
    <w:rsid w:val="00663132"/>
    <w:rsid w:val="0066355E"/>
    <w:rsid w:val="00663580"/>
    <w:rsid w:val="00663607"/>
    <w:rsid w:val="00663DFF"/>
    <w:rsid w:val="00663E55"/>
    <w:rsid w:val="00663E99"/>
    <w:rsid w:val="0066425A"/>
    <w:rsid w:val="00664277"/>
    <w:rsid w:val="00664371"/>
    <w:rsid w:val="006644BB"/>
    <w:rsid w:val="0066452B"/>
    <w:rsid w:val="00664A3B"/>
    <w:rsid w:val="00664AA1"/>
    <w:rsid w:val="00664FE6"/>
    <w:rsid w:val="00665106"/>
    <w:rsid w:val="006653E4"/>
    <w:rsid w:val="0066581A"/>
    <w:rsid w:val="006659AB"/>
    <w:rsid w:val="006659D5"/>
    <w:rsid w:val="00665AF6"/>
    <w:rsid w:val="00665B52"/>
    <w:rsid w:val="00665CD1"/>
    <w:rsid w:val="00665D69"/>
    <w:rsid w:val="00665E22"/>
    <w:rsid w:val="00665F6B"/>
    <w:rsid w:val="006663F2"/>
    <w:rsid w:val="00666551"/>
    <w:rsid w:val="00666676"/>
    <w:rsid w:val="0066673C"/>
    <w:rsid w:val="00666CA7"/>
    <w:rsid w:val="00666D8E"/>
    <w:rsid w:val="006670B7"/>
    <w:rsid w:val="006671EE"/>
    <w:rsid w:val="006672F9"/>
    <w:rsid w:val="00667310"/>
    <w:rsid w:val="006674F6"/>
    <w:rsid w:val="0066759A"/>
    <w:rsid w:val="006676A1"/>
    <w:rsid w:val="0066775D"/>
    <w:rsid w:val="00667E0B"/>
    <w:rsid w:val="00667EC1"/>
    <w:rsid w:val="0067002B"/>
    <w:rsid w:val="0067038F"/>
    <w:rsid w:val="006703CD"/>
    <w:rsid w:val="00670C2F"/>
    <w:rsid w:val="00670DEC"/>
    <w:rsid w:val="00670E00"/>
    <w:rsid w:val="00670F32"/>
    <w:rsid w:val="006712F9"/>
    <w:rsid w:val="006715AC"/>
    <w:rsid w:val="006717F3"/>
    <w:rsid w:val="00671994"/>
    <w:rsid w:val="00671CAA"/>
    <w:rsid w:val="00671EA0"/>
    <w:rsid w:val="00671EF1"/>
    <w:rsid w:val="00671FEC"/>
    <w:rsid w:val="00672AF3"/>
    <w:rsid w:val="00672FFE"/>
    <w:rsid w:val="006730F1"/>
    <w:rsid w:val="00673763"/>
    <w:rsid w:val="006738EC"/>
    <w:rsid w:val="00673905"/>
    <w:rsid w:val="00673B25"/>
    <w:rsid w:val="00673C8D"/>
    <w:rsid w:val="00673DEB"/>
    <w:rsid w:val="00674108"/>
    <w:rsid w:val="00674223"/>
    <w:rsid w:val="00674ADA"/>
    <w:rsid w:val="006750FE"/>
    <w:rsid w:val="0067525C"/>
    <w:rsid w:val="00675468"/>
    <w:rsid w:val="00675504"/>
    <w:rsid w:val="0067554D"/>
    <w:rsid w:val="00675A2C"/>
    <w:rsid w:val="00676031"/>
    <w:rsid w:val="00676060"/>
    <w:rsid w:val="006765D1"/>
    <w:rsid w:val="006766BB"/>
    <w:rsid w:val="006767A3"/>
    <w:rsid w:val="00676984"/>
    <w:rsid w:val="0067704A"/>
    <w:rsid w:val="006772D2"/>
    <w:rsid w:val="006773DB"/>
    <w:rsid w:val="0067754A"/>
    <w:rsid w:val="00677A30"/>
    <w:rsid w:val="00677B4F"/>
    <w:rsid w:val="00677C47"/>
    <w:rsid w:val="00677D1E"/>
    <w:rsid w:val="006800A3"/>
    <w:rsid w:val="006806EE"/>
    <w:rsid w:val="0068092A"/>
    <w:rsid w:val="00680C0C"/>
    <w:rsid w:val="0068102D"/>
    <w:rsid w:val="006819B7"/>
    <w:rsid w:val="00681AFD"/>
    <w:rsid w:val="00681B48"/>
    <w:rsid w:val="00681D2E"/>
    <w:rsid w:val="00681E6C"/>
    <w:rsid w:val="006820D2"/>
    <w:rsid w:val="006822AB"/>
    <w:rsid w:val="00682544"/>
    <w:rsid w:val="006825B6"/>
    <w:rsid w:val="00682846"/>
    <w:rsid w:val="00682D0A"/>
    <w:rsid w:val="006834D6"/>
    <w:rsid w:val="006835C4"/>
    <w:rsid w:val="0068360F"/>
    <w:rsid w:val="0068374B"/>
    <w:rsid w:val="00684486"/>
    <w:rsid w:val="0068463C"/>
    <w:rsid w:val="00684686"/>
    <w:rsid w:val="0068547B"/>
    <w:rsid w:val="006854AB"/>
    <w:rsid w:val="006856C9"/>
    <w:rsid w:val="00685A70"/>
    <w:rsid w:val="00685D68"/>
    <w:rsid w:val="006863FB"/>
    <w:rsid w:val="00686930"/>
    <w:rsid w:val="00686983"/>
    <w:rsid w:val="00686EAE"/>
    <w:rsid w:val="006871EE"/>
    <w:rsid w:val="00687528"/>
    <w:rsid w:val="0068782D"/>
    <w:rsid w:val="00687A7F"/>
    <w:rsid w:val="00687AE3"/>
    <w:rsid w:val="00687C02"/>
    <w:rsid w:val="00687CC2"/>
    <w:rsid w:val="00687E95"/>
    <w:rsid w:val="00687EF6"/>
    <w:rsid w:val="00690243"/>
    <w:rsid w:val="00690729"/>
    <w:rsid w:val="00690CBC"/>
    <w:rsid w:val="006910DB"/>
    <w:rsid w:val="00691380"/>
    <w:rsid w:val="006914A3"/>
    <w:rsid w:val="00691BDB"/>
    <w:rsid w:val="00691CD3"/>
    <w:rsid w:val="00691D77"/>
    <w:rsid w:val="00691E79"/>
    <w:rsid w:val="00691E7A"/>
    <w:rsid w:val="00692111"/>
    <w:rsid w:val="00692440"/>
    <w:rsid w:val="0069296C"/>
    <w:rsid w:val="00692972"/>
    <w:rsid w:val="00692DB5"/>
    <w:rsid w:val="00692E5D"/>
    <w:rsid w:val="00692FD6"/>
    <w:rsid w:val="0069334D"/>
    <w:rsid w:val="00693362"/>
    <w:rsid w:val="00693497"/>
    <w:rsid w:val="00693853"/>
    <w:rsid w:val="00693900"/>
    <w:rsid w:val="00693ABF"/>
    <w:rsid w:val="00693B86"/>
    <w:rsid w:val="00693DD4"/>
    <w:rsid w:val="00693F9C"/>
    <w:rsid w:val="00694255"/>
    <w:rsid w:val="00694303"/>
    <w:rsid w:val="00694C00"/>
    <w:rsid w:val="00694E22"/>
    <w:rsid w:val="00694FA7"/>
    <w:rsid w:val="006950BC"/>
    <w:rsid w:val="00695271"/>
    <w:rsid w:val="00695916"/>
    <w:rsid w:val="006959B5"/>
    <w:rsid w:val="00696061"/>
    <w:rsid w:val="006960C9"/>
    <w:rsid w:val="0069699C"/>
    <w:rsid w:val="006969DB"/>
    <w:rsid w:val="00696A4A"/>
    <w:rsid w:val="00697554"/>
    <w:rsid w:val="006975AC"/>
    <w:rsid w:val="00697873"/>
    <w:rsid w:val="0069788D"/>
    <w:rsid w:val="00697CCF"/>
    <w:rsid w:val="00697DE5"/>
    <w:rsid w:val="00697FA5"/>
    <w:rsid w:val="006A0095"/>
    <w:rsid w:val="006A065C"/>
    <w:rsid w:val="006A085E"/>
    <w:rsid w:val="006A092C"/>
    <w:rsid w:val="006A0AA2"/>
    <w:rsid w:val="006A0FAB"/>
    <w:rsid w:val="006A12E7"/>
    <w:rsid w:val="006A157B"/>
    <w:rsid w:val="006A15AB"/>
    <w:rsid w:val="006A1646"/>
    <w:rsid w:val="006A175A"/>
    <w:rsid w:val="006A17C4"/>
    <w:rsid w:val="006A2007"/>
    <w:rsid w:val="006A204E"/>
    <w:rsid w:val="006A24A8"/>
    <w:rsid w:val="006A270E"/>
    <w:rsid w:val="006A29AB"/>
    <w:rsid w:val="006A331B"/>
    <w:rsid w:val="006A39F2"/>
    <w:rsid w:val="006A3A07"/>
    <w:rsid w:val="006A3F44"/>
    <w:rsid w:val="006A40A6"/>
    <w:rsid w:val="006A464C"/>
    <w:rsid w:val="006A4916"/>
    <w:rsid w:val="006A4C58"/>
    <w:rsid w:val="006A4CD3"/>
    <w:rsid w:val="006A502C"/>
    <w:rsid w:val="006A5414"/>
    <w:rsid w:val="006A55A3"/>
    <w:rsid w:val="006A5B55"/>
    <w:rsid w:val="006A5DBD"/>
    <w:rsid w:val="006A5EBB"/>
    <w:rsid w:val="006A5FAD"/>
    <w:rsid w:val="006A6273"/>
    <w:rsid w:val="006A6383"/>
    <w:rsid w:val="006A6605"/>
    <w:rsid w:val="006A66BD"/>
    <w:rsid w:val="006A6962"/>
    <w:rsid w:val="006A6B50"/>
    <w:rsid w:val="006A6D1E"/>
    <w:rsid w:val="006A704C"/>
    <w:rsid w:val="006A7132"/>
    <w:rsid w:val="006A7648"/>
    <w:rsid w:val="006A7800"/>
    <w:rsid w:val="006A789B"/>
    <w:rsid w:val="006A78D9"/>
    <w:rsid w:val="006A7F47"/>
    <w:rsid w:val="006B00AC"/>
    <w:rsid w:val="006B00D5"/>
    <w:rsid w:val="006B0358"/>
    <w:rsid w:val="006B0F30"/>
    <w:rsid w:val="006B1081"/>
    <w:rsid w:val="006B11B6"/>
    <w:rsid w:val="006B1392"/>
    <w:rsid w:val="006B1708"/>
    <w:rsid w:val="006B1855"/>
    <w:rsid w:val="006B231E"/>
    <w:rsid w:val="006B233B"/>
    <w:rsid w:val="006B2877"/>
    <w:rsid w:val="006B2893"/>
    <w:rsid w:val="006B289A"/>
    <w:rsid w:val="006B344B"/>
    <w:rsid w:val="006B38FD"/>
    <w:rsid w:val="006B3CDF"/>
    <w:rsid w:val="006B3E5B"/>
    <w:rsid w:val="006B4533"/>
    <w:rsid w:val="006B456F"/>
    <w:rsid w:val="006B4605"/>
    <w:rsid w:val="006B499A"/>
    <w:rsid w:val="006B49F1"/>
    <w:rsid w:val="006B4C00"/>
    <w:rsid w:val="006B5413"/>
    <w:rsid w:val="006B5538"/>
    <w:rsid w:val="006B5769"/>
    <w:rsid w:val="006B58B6"/>
    <w:rsid w:val="006B591A"/>
    <w:rsid w:val="006B59A6"/>
    <w:rsid w:val="006B5F06"/>
    <w:rsid w:val="006B5F44"/>
    <w:rsid w:val="006B637A"/>
    <w:rsid w:val="006B639C"/>
    <w:rsid w:val="006B6C73"/>
    <w:rsid w:val="006B7228"/>
    <w:rsid w:val="006B7331"/>
    <w:rsid w:val="006B7472"/>
    <w:rsid w:val="006B7491"/>
    <w:rsid w:val="006B7561"/>
    <w:rsid w:val="006B767B"/>
    <w:rsid w:val="006B783F"/>
    <w:rsid w:val="006B7896"/>
    <w:rsid w:val="006B7AA0"/>
    <w:rsid w:val="006B7DE3"/>
    <w:rsid w:val="006B7F16"/>
    <w:rsid w:val="006C049C"/>
    <w:rsid w:val="006C071C"/>
    <w:rsid w:val="006C0B4F"/>
    <w:rsid w:val="006C0CE5"/>
    <w:rsid w:val="006C0E2F"/>
    <w:rsid w:val="006C0EC1"/>
    <w:rsid w:val="006C0FAF"/>
    <w:rsid w:val="006C1123"/>
    <w:rsid w:val="006C11CD"/>
    <w:rsid w:val="006C1227"/>
    <w:rsid w:val="006C12B6"/>
    <w:rsid w:val="006C1412"/>
    <w:rsid w:val="006C14DD"/>
    <w:rsid w:val="006C177D"/>
    <w:rsid w:val="006C1FDD"/>
    <w:rsid w:val="006C247C"/>
    <w:rsid w:val="006C2599"/>
    <w:rsid w:val="006C28EE"/>
    <w:rsid w:val="006C2B19"/>
    <w:rsid w:val="006C2E2C"/>
    <w:rsid w:val="006C2FE3"/>
    <w:rsid w:val="006C3143"/>
    <w:rsid w:val="006C3583"/>
    <w:rsid w:val="006C35C2"/>
    <w:rsid w:val="006C393A"/>
    <w:rsid w:val="006C3A62"/>
    <w:rsid w:val="006C4000"/>
    <w:rsid w:val="006C41EE"/>
    <w:rsid w:val="006C41FE"/>
    <w:rsid w:val="006C456E"/>
    <w:rsid w:val="006C4C17"/>
    <w:rsid w:val="006C4CAF"/>
    <w:rsid w:val="006C5571"/>
    <w:rsid w:val="006C58E0"/>
    <w:rsid w:val="006C5904"/>
    <w:rsid w:val="006C5A3B"/>
    <w:rsid w:val="006C5CC4"/>
    <w:rsid w:val="006C628A"/>
    <w:rsid w:val="006C6686"/>
    <w:rsid w:val="006C67A7"/>
    <w:rsid w:val="006C6904"/>
    <w:rsid w:val="006C6EC7"/>
    <w:rsid w:val="006C72DD"/>
    <w:rsid w:val="006C736B"/>
    <w:rsid w:val="006C73D3"/>
    <w:rsid w:val="006C7507"/>
    <w:rsid w:val="006C7771"/>
    <w:rsid w:val="006C7BE5"/>
    <w:rsid w:val="006C7D05"/>
    <w:rsid w:val="006C7F94"/>
    <w:rsid w:val="006D0A5A"/>
    <w:rsid w:val="006D0BDE"/>
    <w:rsid w:val="006D0BE5"/>
    <w:rsid w:val="006D0CF1"/>
    <w:rsid w:val="006D0F26"/>
    <w:rsid w:val="006D0F7A"/>
    <w:rsid w:val="006D1100"/>
    <w:rsid w:val="006D141A"/>
    <w:rsid w:val="006D15FC"/>
    <w:rsid w:val="006D1B21"/>
    <w:rsid w:val="006D20D6"/>
    <w:rsid w:val="006D2543"/>
    <w:rsid w:val="006D2624"/>
    <w:rsid w:val="006D276D"/>
    <w:rsid w:val="006D2795"/>
    <w:rsid w:val="006D2984"/>
    <w:rsid w:val="006D29C4"/>
    <w:rsid w:val="006D2D35"/>
    <w:rsid w:val="006D2EA0"/>
    <w:rsid w:val="006D3BF3"/>
    <w:rsid w:val="006D3C67"/>
    <w:rsid w:val="006D3E32"/>
    <w:rsid w:val="006D3EA2"/>
    <w:rsid w:val="006D3FE7"/>
    <w:rsid w:val="006D4803"/>
    <w:rsid w:val="006D4AB0"/>
    <w:rsid w:val="006D4CF0"/>
    <w:rsid w:val="006D4DFF"/>
    <w:rsid w:val="006D550F"/>
    <w:rsid w:val="006D5568"/>
    <w:rsid w:val="006D5571"/>
    <w:rsid w:val="006D5814"/>
    <w:rsid w:val="006D5D9A"/>
    <w:rsid w:val="006D62B8"/>
    <w:rsid w:val="006D6525"/>
    <w:rsid w:val="006D6AFD"/>
    <w:rsid w:val="006D6C26"/>
    <w:rsid w:val="006D6C3A"/>
    <w:rsid w:val="006D70DC"/>
    <w:rsid w:val="006D75DB"/>
    <w:rsid w:val="006D76E6"/>
    <w:rsid w:val="006D770C"/>
    <w:rsid w:val="006D7767"/>
    <w:rsid w:val="006D7819"/>
    <w:rsid w:val="006D7B12"/>
    <w:rsid w:val="006E00CA"/>
    <w:rsid w:val="006E0405"/>
    <w:rsid w:val="006E097F"/>
    <w:rsid w:val="006E0F8D"/>
    <w:rsid w:val="006E0FA1"/>
    <w:rsid w:val="006E159C"/>
    <w:rsid w:val="006E1782"/>
    <w:rsid w:val="006E1B43"/>
    <w:rsid w:val="006E1CC2"/>
    <w:rsid w:val="006E1FF5"/>
    <w:rsid w:val="006E2092"/>
    <w:rsid w:val="006E22DB"/>
    <w:rsid w:val="006E24C9"/>
    <w:rsid w:val="006E24E3"/>
    <w:rsid w:val="006E2992"/>
    <w:rsid w:val="006E2E17"/>
    <w:rsid w:val="006E2F1D"/>
    <w:rsid w:val="006E2F6C"/>
    <w:rsid w:val="006E301B"/>
    <w:rsid w:val="006E3113"/>
    <w:rsid w:val="006E38C9"/>
    <w:rsid w:val="006E3A3B"/>
    <w:rsid w:val="006E4116"/>
    <w:rsid w:val="006E4445"/>
    <w:rsid w:val="006E4980"/>
    <w:rsid w:val="006E4EC9"/>
    <w:rsid w:val="006E50B3"/>
    <w:rsid w:val="006E55DF"/>
    <w:rsid w:val="006E5A2D"/>
    <w:rsid w:val="006E604F"/>
    <w:rsid w:val="006E67EC"/>
    <w:rsid w:val="006E6CB8"/>
    <w:rsid w:val="006E6CDD"/>
    <w:rsid w:val="006E7383"/>
    <w:rsid w:val="006E7392"/>
    <w:rsid w:val="006E758C"/>
    <w:rsid w:val="006E769B"/>
    <w:rsid w:val="006E7729"/>
    <w:rsid w:val="006E77B9"/>
    <w:rsid w:val="006E7FD6"/>
    <w:rsid w:val="006F0279"/>
    <w:rsid w:val="006F02F4"/>
    <w:rsid w:val="006F0AB0"/>
    <w:rsid w:val="006F0AF2"/>
    <w:rsid w:val="006F0F5C"/>
    <w:rsid w:val="006F0F97"/>
    <w:rsid w:val="006F0F9E"/>
    <w:rsid w:val="006F15FC"/>
    <w:rsid w:val="006F198D"/>
    <w:rsid w:val="006F1B12"/>
    <w:rsid w:val="006F1C7F"/>
    <w:rsid w:val="006F1D69"/>
    <w:rsid w:val="006F20F6"/>
    <w:rsid w:val="006F2283"/>
    <w:rsid w:val="006F22B9"/>
    <w:rsid w:val="006F22DE"/>
    <w:rsid w:val="006F26A9"/>
    <w:rsid w:val="006F2738"/>
    <w:rsid w:val="006F2ACC"/>
    <w:rsid w:val="006F2B76"/>
    <w:rsid w:val="006F2C8E"/>
    <w:rsid w:val="006F325F"/>
    <w:rsid w:val="006F3422"/>
    <w:rsid w:val="006F3593"/>
    <w:rsid w:val="006F383D"/>
    <w:rsid w:val="006F3CE8"/>
    <w:rsid w:val="006F3D1A"/>
    <w:rsid w:val="006F3E73"/>
    <w:rsid w:val="006F4052"/>
    <w:rsid w:val="006F42DC"/>
    <w:rsid w:val="006F448B"/>
    <w:rsid w:val="006F4714"/>
    <w:rsid w:val="006F4B59"/>
    <w:rsid w:val="006F5356"/>
    <w:rsid w:val="006F577D"/>
    <w:rsid w:val="006F585E"/>
    <w:rsid w:val="006F6C3B"/>
    <w:rsid w:val="006F6E36"/>
    <w:rsid w:val="006F78DD"/>
    <w:rsid w:val="006F7B86"/>
    <w:rsid w:val="006F7CD7"/>
    <w:rsid w:val="0070074B"/>
    <w:rsid w:val="0070088A"/>
    <w:rsid w:val="00700D8E"/>
    <w:rsid w:val="007011C5"/>
    <w:rsid w:val="00701A32"/>
    <w:rsid w:val="00701C0D"/>
    <w:rsid w:val="00701C2C"/>
    <w:rsid w:val="00701D83"/>
    <w:rsid w:val="00701EFE"/>
    <w:rsid w:val="00701FD4"/>
    <w:rsid w:val="0070227C"/>
    <w:rsid w:val="007022DA"/>
    <w:rsid w:val="00702439"/>
    <w:rsid w:val="007026EC"/>
    <w:rsid w:val="007027E3"/>
    <w:rsid w:val="007027E9"/>
    <w:rsid w:val="00702EAE"/>
    <w:rsid w:val="00702FD5"/>
    <w:rsid w:val="007032CA"/>
    <w:rsid w:val="007033E1"/>
    <w:rsid w:val="007038F8"/>
    <w:rsid w:val="00703BAB"/>
    <w:rsid w:val="00703D6E"/>
    <w:rsid w:val="0070469E"/>
    <w:rsid w:val="00704CDE"/>
    <w:rsid w:val="00704D3E"/>
    <w:rsid w:val="00704F30"/>
    <w:rsid w:val="007051DB"/>
    <w:rsid w:val="007057DF"/>
    <w:rsid w:val="007058AA"/>
    <w:rsid w:val="00706228"/>
    <w:rsid w:val="00706300"/>
    <w:rsid w:val="007063F2"/>
    <w:rsid w:val="007064F8"/>
    <w:rsid w:val="00706638"/>
    <w:rsid w:val="0070681D"/>
    <w:rsid w:val="0070760A"/>
    <w:rsid w:val="00707792"/>
    <w:rsid w:val="00707A30"/>
    <w:rsid w:val="00707C80"/>
    <w:rsid w:val="007100C5"/>
    <w:rsid w:val="00710166"/>
    <w:rsid w:val="007104B1"/>
    <w:rsid w:val="007105EE"/>
    <w:rsid w:val="0071079F"/>
    <w:rsid w:val="007108F4"/>
    <w:rsid w:val="00710995"/>
    <w:rsid w:val="007109A3"/>
    <w:rsid w:val="00710AC4"/>
    <w:rsid w:val="00710B59"/>
    <w:rsid w:val="00710F38"/>
    <w:rsid w:val="00711410"/>
    <w:rsid w:val="0071162F"/>
    <w:rsid w:val="007116C1"/>
    <w:rsid w:val="007117A0"/>
    <w:rsid w:val="00711C6F"/>
    <w:rsid w:val="00711D39"/>
    <w:rsid w:val="007125A4"/>
    <w:rsid w:val="007125E4"/>
    <w:rsid w:val="00712889"/>
    <w:rsid w:val="007128DE"/>
    <w:rsid w:val="0071290D"/>
    <w:rsid w:val="00712B40"/>
    <w:rsid w:val="00712B9E"/>
    <w:rsid w:val="00712BC5"/>
    <w:rsid w:val="00712D26"/>
    <w:rsid w:val="007137DA"/>
    <w:rsid w:val="00713D67"/>
    <w:rsid w:val="00713E18"/>
    <w:rsid w:val="00713F20"/>
    <w:rsid w:val="00714081"/>
    <w:rsid w:val="00714093"/>
    <w:rsid w:val="007141B4"/>
    <w:rsid w:val="00714593"/>
    <w:rsid w:val="00714AA2"/>
    <w:rsid w:val="00715076"/>
    <w:rsid w:val="00715326"/>
    <w:rsid w:val="007153BB"/>
    <w:rsid w:val="00715799"/>
    <w:rsid w:val="0071583C"/>
    <w:rsid w:val="00715A90"/>
    <w:rsid w:val="00715B99"/>
    <w:rsid w:val="00715CE0"/>
    <w:rsid w:val="00715EC3"/>
    <w:rsid w:val="007160E4"/>
    <w:rsid w:val="0071630E"/>
    <w:rsid w:val="0071711A"/>
    <w:rsid w:val="0071734A"/>
    <w:rsid w:val="00717669"/>
    <w:rsid w:val="0071791A"/>
    <w:rsid w:val="00720008"/>
    <w:rsid w:val="0072024F"/>
    <w:rsid w:val="0072034F"/>
    <w:rsid w:val="0072054F"/>
    <w:rsid w:val="00720715"/>
    <w:rsid w:val="00720AD8"/>
    <w:rsid w:val="00720D17"/>
    <w:rsid w:val="00721099"/>
    <w:rsid w:val="007210CB"/>
    <w:rsid w:val="0072133E"/>
    <w:rsid w:val="00721626"/>
    <w:rsid w:val="00721773"/>
    <w:rsid w:val="00721777"/>
    <w:rsid w:val="00721925"/>
    <w:rsid w:val="00721C88"/>
    <w:rsid w:val="00721FED"/>
    <w:rsid w:val="00722237"/>
    <w:rsid w:val="00722294"/>
    <w:rsid w:val="00722543"/>
    <w:rsid w:val="00722915"/>
    <w:rsid w:val="00722973"/>
    <w:rsid w:val="00722EB4"/>
    <w:rsid w:val="00722EBA"/>
    <w:rsid w:val="00723170"/>
    <w:rsid w:val="007238CF"/>
    <w:rsid w:val="00723B70"/>
    <w:rsid w:val="00723FB6"/>
    <w:rsid w:val="007244BA"/>
    <w:rsid w:val="007244EA"/>
    <w:rsid w:val="00724E53"/>
    <w:rsid w:val="0072535D"/>
    <w:rsid w:val="007254F9"/>
    <w:rsid w:val="00725689"/>
    <w:rsid w:val="00725731"/>
    <w:rsid w:val="007259EF"/>
    <w:rsid w:val="00726423"/>
    <w:rsid w:val="0072652D"/>
    <w:rsid w:val="00726D30"/>
    <w:rsid w:val="00726F58"/>
    <w:rsid w:val="00727533"/>
    <w:rsid w:val="00727B60"/>
    <w:rsid w:val="00727DE0"/>
    <w:rsid w:val="0073012E"/>
    <w:rsid w:val="007307E8"/>
    <w:rsid w:val="00730806"/>
    <w:rsid w:val="00730817"/>
    <w:rsid w:val="007309E1"/>
    <w:rsid w:val="00730BA6"/>
    <w:rsid w:val="00730E23"/>
    <w:rsid w:val="00730F0A"/>
    <w:rsid w:val="007312E9"/>
    <w:rsid w:val="007314B9"/>
    <w:rsid w:val="00731650"/>
    <w:rsid w:val="00731B86"/>
    <w:rsid w:val="00732055"/>
    <w:rsid w:val="0073232E"/>
    <w:rsid w:val="007325BF"/>
    <w:rsid w:val="007326C6"/>
    <w:rsid w:val="00732A57"/>
    <w:rsid w:val="00732FA8"/>
    <w:rsid w:val="007335E0"/>
    <w:rsid w:val="007337F7"/>
    <w:rsid w:val="00733941"/>
    <w:rsid w:val="0073399D"/>
    <w:rsid w:val="0073444E"/>
    <w:rsid w:val="00734496"/>
    <w:rsid w:val="007344C9"/>
    <w:rsid w:val="0073497F"/>
    <w:rsid w:val="007349A3"/>
    <w:rsid w:val="00734A05"/>
    <w:rsid w:val="00734AEC"/>
    <w:rsid w:val="00734D04"/>
    <w:rsid w:val="00734EEB"/>
    <w:rsid w:val="00734EF2"/>
    <w:rsid w:val="00734FA4"/>
    <w:rsid w:val="007350B3"/>
    <w:rsid w:val="007353BD"/>
    <w:rsid w:val="0073554E"/>
    <w:rsid w:val="00735786"/>
    <w:rsid w:val="007357AB"/>
    <w:rsid w:val="00735AC0"/>
    <w:rsid w:val="00735BE5"/>
    <w:rsid w:val="00735CA2"/>
    <w:rsid w:val="00735EAA"/>
    <w:rsid w:val="00735F09"/>
    <w:rsid w:val="0073610B"/>
    <w:rsid w:val="00736944"/>
    <w:rsid w:val="00736A63"/>
    <w:rsid w:val="00736D76"/>
    <w:rsid w:val="00737085"/>
    <w:rsid w:val="007372BC"/>
    <w:rsid w:val="007373A2"/>
    <w:rsid w:val="00737AB0"/>
    <w:rsid w:val="007406E8"/>
    <w:rsid w:val="00740D08"/>
    <w:rsid w:val="00741063"/>
    <w:rsid w:val="0074132B"/>
    <w:rsid w:val="0074155B"/>
    <w:rsid w:val="00741B84"/>
    <w:rsid w:val="00741CA7"/>
    <w:rsid w:val="00741CDB"/>
    <w:rsid w:val="00742419"/>
    <w:rsid w:val="007425F8"/>
    <w:rsid w:val="00742775"/>
    <w:rsid w:val="007427BF"/>
    <w:rsid w:val="00742857"/>
    <w:rsid w:val="00742CE6"/>
    <w:rsid w:val="00742D99"/>
    <w:rsid w:val="00743248"/>
    <w:rsid w:val="007432F0"/>
    <w:rsid w:val="0074363D"/>
    <w:rsid w:val="00743AE4"/>
    <w:rsid w:val="00743D6F"/>
    <w:rsid w:val="00743E0C"/>
    <w:rsid w:val="00744010"/>
    <w:rsid w:val="007445B5"/>
    <w:rsid w:val="0074495E"/>
    <w:rsid w:val="00744A17"/>
    <w:rsid w:val="00744C0B"/>
    <w:rsid w:val="00744E0A"/>
    <w:rsid w:val="00744E23"/>
    <w:rsid w:val="00744F08"/>
    <w:rsid w:val="00745192"/>
    <w:rsid w:val="00745421"/>
    <w:rsid w:val="0074557A"/>
    <w:rsid w:val="007456C2"/>
    <w:rsid w:val="0074598C"/>
    <w:rsid w:val="00745D81"/>
    <w:rsid w:val="00745E32"/>
    <w:rsid w:val="00745F15"/>
    <w:rsid w:val="00745FC7"/>
    <w:rsid w:val="00746384"/>
    <w:rsid w:val="00746482"/>
    <w:rsid w:val="007464C4"/>
    <w:rsid w:val="0074655C"/>
    <w:rsid w:val="007468D8"/>
    <w:rsid w:val="00746A18"/>
    <w:rsid w:val="00746A80"/>
    <w:rsid w:val="00746DCD"/>
    <w:rsid w:val="00746FF3"/>
    <w:rsid w:val="00747053"/>
    <w:rsid w:val="00747106"/>
    <w:rsid w:val="0074733C"/>
    <w:rsid w:val="0074742B"/>
    <w:rsid w:val="00747635"/>
    <w:rsid w:val="0074769C"/>
    <w:rsid w:val="00747827"/>
    <w:rsid w:val="007478A0"/>
    <w:rsid w:val="007479F1"/>
    <w:rsid w:val="00747BCA"/>
    <w:rsid w:val="00747BDA"/>
    <w:rsid w:val="00747F28"/>
    <w:rsid w:val="00747FB9"/>
    <w:rsid w:val="007508AD"/>
    <w:rsid w:val="00750DBD"/>
    <w:rsid w:val="00751024"/>
    <w:rsid w:val="0075124F"/>
    <w:rsid w:val="00751794"/>
    <w:rsid w:val="00751974"/>
    <w:rsid w:val="00751FE8"/>
    <w:rsid w:val="007524F7"/>
    <w:rsid w:val="0075251D"/>
    <w:rsid w:val="007527D2"/>
    <w:rsid w:val="00752AC2"/>
    <w:rsid w:val="00752B9E"/>
    <w:rsid w:val="00752F6B"/>
    <w:rsid w:val="0075321D"/>
    <w:rsid w:val="00753279"/>
    <w:rsid w:val="00754018"/>
    <w:rsid w:val="007541E6"/>
    <w:rsid w:val="00754201"/>
    <w:rsid w:val="00754472"/>
    <w:rsid w:val="007547DE"/>
    <w:rsid w:val="0075485B"/>
    <w:rsid w:val="007554E8"/>
    <w:rsid w:val="0075592D"/>
    <w:rsid w:val="00755B76"/>
    <w:rsid w:val="00755CBB"/>
    <w:rsid w:val="00755D90"/>
    <w:rsid w:val="00755EA3"/>
    <w:rsid w:val="00755F72"/>
    <w:rsid w:val="00755FB2"/>
    <w:rsid w:val="00756029"/>
    <w:rsid w:val="0075654C"/>
    <w:rsid w:val="00756AF7"/>
    <w:rsid w:val="00756B58"/>
    <w:rsid w:val="00757293"/>
    <w:rsid w:val="007578FE"/>
    <w:rsid w:val="00757B85"/>
    <w:rsid w:val="00757E63"/>
    <w:rsid w:val="00757EFE"/>
    <w:rsid w:val="007608C3"/>
    <w:rsid w:val="00760EB1"/>
    <w:rsid w:val="00760F67"/>
    <w:rsid w:val="007610CE"/>
    <w:rsid w:val="007617A5"/>
    <w:rsid w:val="00761EFD"/>
    <w:rsid w:val="00762198"/>
    <w:rsid w:val="007623EB"/>
    <w:rsid w:val="0076242C"/>
    <w:rsid w:val="0076258B"/>
    <w:rsid w:val="00762CE9"/>
    <w:rsid w:val="00762F17"/>
    <w:rsid w:val="00762FAD"/>
    <w:rsid w:val="0076373B"/>
    <w:rsid w:val="0076376C"/>
    <w:rsid w:val="00763A71"/>
    <w:rsid w:val="00763D01"/>
    <w:rsid w:val="00763F7E"/>
    <w:rsid w:val="00764312"/>
    <w:rsid w:val="007644CC"/>
    <w:rsid w:val="007645C5"/>
    <w:rsid w:val="00764CB1"/>
    <w:rsid w:val="007656A8"/>
    <w:rsid w:val="00765759"/>
    <w:rsid w:val="00765D14"/>
    <w:rsid w:val="00765F75"/>
    <w:rsid w:val="007661FB"/>
    <w:rsid w:val="007667A1"/>
    <w:rsid w:val="007667BF"/>
    <w:rsid w:val="007667D3"/>
    <w:rsid w:val="007669E0"/>
    <w:rsid w:val="00766C36"/>
    <w:rsid w:val="00766DB0"/>
    <w:rsid w:val="00767CEB"/>
    <w:rsid w:val="00767E82"/>
    <w:rsid w:val="00770443"/>
    <w:rsid w:val="0077061A"/>
    <w:rsid w:val="007709DA"/>
    <w:rsid w:val="00770C53"/>
    <w:rsid w:val="00770E20"/>
    <w:rsid w:val="00771135"/>
    <w:rsid w:val="0077134B"/>
    <w:rsid w:val="007713EE"/>
    <w:rsid w:val="00771551"/>
    <w:rsid w:val="00771884"/>
    <w:rsid w:val="00771A06"/>
    <w:rsid w:val="00771A18"/>
    <w:rsid w:val="00771F69"/>
    <w:rsid w:val="007722A8"/>
    <w:rsid w:val="00772654"/>
    <w:rsid w:val="00772AA0"/>
    <w:rsid w:val="00772BF0"/>
    <w:rsid w:val="00772D23"/>
    <w:rsid w:val="00772FEB"/>
    <w:rsid w:val="0077344F"/>
    <w:rsid w:val="00773788"/>
    <w:rsid w:val="00773C2C"/>
    <w:rsid w:val="00774441"/>
    <w:rsid w:val="00774598"/>
    <w:rsid w:val="00775137"/>
    <w:rsid w:val="007752A9"/>
    <w:rsid w:val="00775484"/>
    <w:rsid w:val="007754A4"/>
    <w:rsid w:val="0077573C"/>
    <w:rsid w:val="00775746"/>
    <w:rsid w:val="00775775"/>
    <w:rsid w:val="00775AAC"/>
    <w:rsid w:val="00775B76"/>
    <w:rsid w:val="00775D93"/>
    <w:rsid w:val="00775F9F"/>
    <w:rsid w:val="00776590"/>
    <w:rsid w:val="0077677F"/>
    <w:rsid w:val="007768F5"/>
    <w:rsid w:val="007768FC"/>
    <w:rsid w:val="00776EE9"/>
    <w:rsid w:val="007773E0"/>
    <w:rsid w:val="0077744F"/>
    <w:rsid w:val="0077784D"/>
    <w:rsid w:val="007778C5"/>
    <w:rsid w:val="007800A3"/>
    <w:rsid w:val="007800A6"/>
    <w:rsid w:val="0078093F"/>
    <w:rsid w:val="0078103E"/>
    <w:rsid w:val="007811CE"/>
    <w:rsid w:val="007813F1"/>
    <w:rsid w:val="007817A4"/>
    <w:rsid w:val="007817E1"/>
    <w:rsid w:val="00781BDB"/>
    <w:rsid w:val="00781C30"/>
    <w:rsid w:val="00782DCC"/>
    <w:rsid w:val="0078343E"/>
    <w:rsid w:val="0078358C"/>
    <w:rsid w:val="007835AF"/>
    <w:rsid w:val="007836AB"/>
    <w:rsid w:val="007836FD"/>
    <w:rsid w:val="007837C5"/>
    <w:rsid w:val="0078384C"/>
    <w:rsid w:val="007838A5"/>
    <w:rsid w:val="00783D36"/>
    <w:rsid w:val="007846A1"/>
    <w:rsid w:val="00784C66"/>
    <w:rsid w:val="00784C97"/>
    <w:rsid w:val="00784CE0"/>
    <w:rsid w:val="00784E13"/>
    <w:rsid w:val="00784EF8"/>
    <w:rsid w:val="00785013"/>
    <w:rsid w:val="007850CC"/>
    <w:rsid w:val="0078594D"/>
    <w:rsid w:val="00785956"/>
    <w:rsid w:val="00785B98"/>
    <w:rsid w:val="00785EFC"/>
    <w:rsid w:val="0078602F"/>
    <w:rsid w:val="00786117"/>
    <w:rsid w:val="007863E4"/>
    <w:rsid w:val="007867C4"/>
    <w:rsid w:val="00786A17"/>
    <w:rsid w:val="00786CB1"/>
    <w:rsid w:val="00786F74"/>
    <w:rsid w:val="00786FC1"/>
    <w:rsid w:val="007871AD"/>
    <w:rsid w:val="007875DB"/>
    <w:rsid w:val="0078797B"/>
    <w:rsid w:val="0079047D"/>
    <w:rsid w:val="007905AE"/>
    <w:rsid w:val="007907AE"/>
    <w:rsid w:val="00790855"/>
    <w:rsid w:val="00790966"/>
    <w:rsid w:val="007909A2"/>
    <w:rsid w:val="00790EEF"/>
    <w:rsid w:val="00790F7F"/>
    <w:rsid w:val="00790F92"/>
    <w:rsid w:val="00791068"/>
    <w:rsid w:val="00791208"/>
    <w:rsid w:val="00791396"/>
    <w:rsid w:val="007913AE"/>
    <w:rsid w:val="00791565"/>
    <w:rsid w:val="00791A8A"/>
    <w:rsid w:val="00791ADB"/>
    <w:rsid w:val="00791C11"/>
    <w:rsid w:val="007921AC"/>
    <w:rsid w:val="007924C4"/>
    <w:rsid w:val="00792C19"/>
    <w:rsid w:val="00792D43"/>
    <w:rsid w:val="00792F69"/>
    <w:rsid w:val="0079334B"/>
    <w:rsid w:val="00793574"/>
    <w:rsid w:val="007937FD"/>
    <w:rsid w:val="00793942"/>
    <w:rsid w:val="007939AE"/>
    <w:rsid w:val="00793A5A"/>
    <w:rsid w:val="00793B22"/>
    <w:rsid w:val="00793CBE"/>
    <w:rsid w:val="00793E54"/>
    <w:rsid w:val="00794051"/>
    <w:rsid w:val="007942DB"/>
    <w:rsid w:val="00794927"/>
    <w:rsid w:val="00794A2E"/>
    <w:rsid w:val="00794AA0"/>
    <w:rsid w:val="00794EA4"/>
    <w:rsid w:val="00794F4E"/>
    <w:rsid w:val="00794FC8"/>
    <w:rsid w:val="0079505C"/>
    <w:rsid w:val="007950E3"/>
    <w:rsid w:val="0079544F"/>
    <w:rsid w:val="0079545D"/>
    <w:rsid w:val="007954C1"/>
    <w:rsid w:val="00795694"/>
    <w:rsid w:val="0079574A"/>
    <w:rsid w:val="007957E9"/>
    <w:rsid w:val="00795A6B"/>
    <w:rsid w:val="00795B6A"/>
    <w:rsid w:val="00795CC9"/>
    <w:rsid w:val="00795CE0"/>
    <w:rsid w:val="0079600C"/>
    <w:rsid w:val="00796155"/>
    <w:rsid w:val="0079616A"/>
    <w:rsid w:val="0079658D"/>
    <w:rsid w:val="00796898"/>
    <w:rsid w:val="007969A7"/>
    <w:rsid w:val="00796AA4"/>
    <w:rsid w:val="007973FA"/>
    <w:rsid w:val="00797609"/>
    <w:rsid w:val="00797765"/>
    <w:rsid w:val="00797F24"/>
    <w:rsid w:val="007A01DE"/>
    <w:rsid w:val="007A031B"/>
    <w:rsid w:val="007A0B38"/>
    <w:rsid w:val="007A0B95"/>
    <w:rsid w:val="007A0BA8"/>
    <w:rsid w:val="007A11CE"/>
    <w:rsid w:val="007A13F1"/>
    <w:rsid w:val="007A14E6"/>
    <w:rsid w:val="007A15FD"/>
    <w:rsid w:val="007A1619"/>
    <w:rsid w:val="007A1658"/>
    <w:rsid w:val="007A270C"/>
    <w:rsid w:val="007A2778"/>
    <w:rsid w:val="007A2A31"/>
    <w:rsid w:val="007A2E9B"/>
    <w:rsid w:val="007A34DB"/>
    <w:rsid w:val="007A3980"/>
    <w:rsid w:val="007A4012"/>
    <w:rsid w:val="007A45EF"/>
    <w:rsid w:val="007A4896"/>
    <w:rsid w:val="007A498E"/>
    <w:rsid w:val="007A4DF4"/>
    <w:rsid w:val="007A5857"/>
    <w:rsid w:val="007A5CA4"/>
    <w:rsid w:val="007A6005"/>
    <w:rsid w:val="007A6050"/>
    <w:rsid w:val="007A62C2"/>
    <w:rsid w:val="007A63BE"/>
    <w:rsid w:val="007A6825"/>
    <w:rsid w:val="007A688B"/>
    <w:rsid w:val="007A688C"/>
    <w:rsid w:val="007A6A1B"/>
    <w:rsid w:val="007A6A35"/>
    <w:rsid w:val="007A6C32"/>
    <w:rsid w:val="007A6D83"/>
    <w:rsid w:val="007A6FB6"/>
    <w:rsid w:val="007A715D"/>
    <w:rsid w:val="007A721A"/>
    <w:rsid w:val="007A7446"/>
    <w:rsid w:val="007A7525"/>
    <w:rsid w:val="007A787A"/>
    <w:rsid w:val="007A7B7E"/>
    <w:rsid w:val="007A7D62"/>
    <w:rsid w:val="007A7E9B"/>
    <w:rsid w:val="007B021E"/>
    <w:rsid w:val="007B057A"/>
    <w:rsid w:val="007B0C89"/>
    <w:rsid w:val="007B0CCE"/>
    <w:rsid w:val="007B0F4E"/>
    <w:rsid w:val="007B11D4"/>
    <w:rsid w:val="007B1478"/>
    <w:rsid w:val="007B15A9"/>
    <w:rsid w:val="007B169A"/>
    <w:rsid w:val="007B17F0"/>
    <w:rsid w:val="007B1ADE"/>
    <w:rsid w:val="007B2322"/>
    <w:rsid w:val="007B28B1"/>
    <w:rsid w:val="007B2D02"/>
    <w:rsid w:val="007B2D9F"/>
    <w:rsid w:val="007B2F75"/>
    <w:rsid w:val="007B3489"/>
    <w:rsid w:val="007B3663"/>
    <w:rsid w:val="007B3A96"/>
    <w:rsid w:val="007B3AC3"/>
    <w:rsid w:val="007B3F6C"/>
    <w:rsid w:val="007B445B"/>
    <w:rsid w:val="007B4685"/>
    <w:rsid w:val="007B468B"/>
    <w:rsid w:val="007B4736"/>
    <w:rsid w:val="007B47A2"/>
    <w:rsid w:val="007B48AC"/>
    <w:rsid w:val="007B4F6F"/>
    <w:rsid w:val="007B5201"/>
    <w:rsid w:val="007B533F"/>
    <w:rsid w:val="007B54D2"/>
    <w:rsid w:val="007B55D6"/>
    <w:rsid w:val="007B584D"/>
    <w:rsid w:val="007B58BF"/>
    <w:rsid w:val="007B598E"/>
    <w:rsid w:val="007B5A6D"/>
    <w:rsid w:val="007B5BBD"/>
    <w:rsid w:val="007B5CC0"/>
    <w:rsid w:val="007B6092"/>
    <w:rsid w:val="007B66DA"/>
    <w:rsid w:val="007B6AFE"/>
    <w:rsid w:val="007B6B93"/>
    <w:rsid w:val="007B6F05"/>
    <w:rsid w:val="007B71A6"/>
    <w:rsid w:val="007B7398"/>
    <w:rsid w:val="007B73F7"/>
    <w:rsid w:val="007B772F"/>
    <w:rsid w:val="007B7960"/>
    <w:rsid w:val="007B7963"/>
    <w:rsid w:val="007B7D17"/>
    <w:rsid w:val="007B7D72"/>
    <w:rsid w:val="007B7DA4"/>
    <w:rsid w:val="007B7EA1"/>
    <w:rsid w:val="007C0076"/>
    <w:rsid w:val="007C0405"/>
    <w:rsid w:val="007C0463"/>
    <w:rsid w:val="007C0BF9"/>
    <w:rsid w:val="007C0DF2"/>
    <w:rsid w:val="007C1043"/>
    <w:rsid w:val="007C114B"/>
    <w:rsid w:val="007C11E9"/>
    <w:rsid w:val="007C1293"/>
    <w:rsid w:val="007C155F"/>
    <w:rsid w:val="007C182F"/>
    <w:rsid w:val="007C1901"/>
    <w:rsid w:val="007C1A02"/>
    <w:rsid w:val="007C1FF6"/>
    <w:rsid w:val="007C2157"/>
    <w:rsid w:val="007C2224"/>
    <w:rsid w:val="007C236A"/>
    <w:rsid w:val="007C2429"/>
    <w:rsid w:val="007C2609"/>
    <w:rsid w:val="007C282B"/>
    <w:rsid w:val="007C28A6"/>
    <w:rsid w:val="007C28B1"/>
    <w:rsid w:val="007C2DD7"/>
    <w:rsid w:val="007C2ED3"/>
    <w:rsid w:val="007C32CF"/>
    <w:rsid w:val="007C32D4"/>
    <w:rsid w:val="007C334A"/>
    <w:rsid w:val="007C3424"/>
    <w:rsid w:val="007C34C8"/>
    <w:rsid w:val="007C3A1E"/>
    <w:rsid w:val="007C3F4F"/>
    <w:rsid w:val="007C4317"/>
    <w:rsid w:val="007C4484"/>
    <w:rsid w:val="007C44CB"/>
    <w:rsid w:val="007C46C7"/>
    <w:rsid w:val="007C483E"/>
    <w:rsid w:val="007C4CBC"/>
    <w:rsid w:val="007C5358"/>
    <w:rsid w:val="007C546B"/>
    <w:rsid w:val="007C55B9"/>
    <w:rsid w:val="007C58AF"/>
    <w:rsid w:val="007C5A2E"/>
    <w:rsid w:val="007C5C39"/>
    <w:rsid w:val="007C5F8D"/>
    <w:rsid w:val="007C6173"/>
    <w:rsid w:val="007C634C"/>
    <w:rsid w:val="007C651F"/>
    <w:rsid w:val="007C6543"/>
    <w:rsid w:val="007C6651"/>
    <w:rsid w:val="007C6711"/>
    <w:rsid w:val="007C6AD7"/>
    <w:rsid w:val="007C6BC8"/>
    <w:rsid w:val="007C73EA"/>
    <w:rsid w:val="007C7948"/>
    <w:rsid w:val="007C794C"/>
    <w:rsid w:val="007C7C8D"/>
    <w:rsid w:val="007C7FCC"/>
    <w:rsid w:val="007D0517"/>
    <w:rsid w:val="007D07FB"/>
    <w:rsid w:val="007D09E0"/>
    <w:rsid w:val="007D1084"/>
    <w:rsid w:val="007D12C0"/>
    <w:rsid w:val="007D1917"/>
    <w:rsid w:val="007D196D"/>
    <w:rsid w:val="007D29E3"/>
    <w:rsid w:val="007D29F6"/>
    <w:rsid w:val="007D29F7"/>
    <w:rsid w:val="007D2B52"/>
    <w:rsid w:val="007D32E7"/>
    <w:rsid w:val="007D34E0"/>
    <w:rsid w:val="007D399F"/>
    <w:rsid w:val="007D3A2E"/>
    <w:rsid w:val="007D3AAB"/>
    <w:rsid w:val="007D3CA9"/>
    <w:rsid w:val="007D3D98"/>
    <w:rsid w:val="007D3DF0"/>
    <w:rsid w:val="007D40B5"/>
    <w:rsid w:val="007D4A4E"/>
    <w:rsid w:val="007D53E9"/>
    <w:rsid w:val="007D57CD"/>
    <w:rsid w:val="007D5844"/>
    <w:rsid w:val="007D5CB5"/>
    <w:rsid w:val="007D5DFB"/>
    <w:rsid w:val="007D6061"/>
    <w:rsid w:val="007D6126"/>
    <w:rsid w:val="007D6443"/>
    <w:rsid w:val="007D6529"/>
    <w:rsid w:val="007D65A0"/>
    <w:rsid w:val="007D6AEE"/>
    <w:rsid w:val="007D6C82"/>
    <w:rsid w:val="007D733F"/>
    <w:rsid w:val="007D7343"/>
    <w:rsid w:val="007D7763"/>
    <w:rsid w:val="007D7939"/>
    <w:rsid w:val="007D7A7C"/>
    <w:rsid w:val="007D7D82"/>
    <w:rsid w:val="007D7E2C"/>
    <w:rsid w:val="007E0079"/>
    <w:rsid w:val="007E013D"/>
    <w:rsid w:val="007E0233"/>
    <w:rsid w:val="007E0304"/>
    <w:rsid w:val="007E0306"/>
    <w:rsid w:val="007E078A"/>
    <w:rsid w:val="007E08DF"/>
    <w:rsid w:val="007E0E82"/>
    <w:rsid w:val="007E124E"/>
    <w:rsid w:val="007E1703"/>
    <w:rsid w:val="007E18DB"/>
    <w:rsid w:val="007E1A61"/>
    <w:rsid w:val="007E1A7E"/>
    <w:rsid w:val="007E1D52"/>
    <w:rsid w:val="007E1F52"/>
    <w:rsid w:val="007E2500"/>
    <w:rsid w:val="007E2961"/>
    <w:rsid w:val="007E31A2"/>
    <w:rsid w:val="007E393B"/>
    <w:rsid w:val="007E3F5C"/>
    <w:rsid w:val="007E4433"/>
    <w:rsid w:val="007E4530"/>
    <w:rsid w:val="007E460E"/>
    <w:rsid w:val="007E4718"/>
    <w:rsid w:val="007E4D70"/>
    <w:rsid w:val="007E5279"/>
    <w:rsid w:val="007E5332"/>
    <w:rsid w:val="007E53F0"/>
    <w:rsid w:val="007E541B"/>
    <w:rsid w:val="007E54B4"/>
    <w:rsid w:val="007E562A"/>
    <w:rsid w:val="007E5958"/>
    <w:rsid w:val="007E5DA7"/>
    <w:rsid w:val="007E5F51"/>
    <w:rsid w:val="007E6515"/>
    <w:rsid w:val="007E65D5"/>
    <w:rsid w:val="007E6639"/>
    <w:rsid w:val="007E6AD8"/>
    <w:rsid w:val="007E6D7F"/>
    <w:rsid w:val="007E6F4E"/>
    <w:rsid w:val="007E6F7B"/>
    <w:rsid w:val="007E74AD"/>
    <w:rsid w:val="007E7AE0"/>
    <w:rsid w:val="007E7C28"/>
    <w:rsid w:val="007E7C34"/>
    <w:rsid w:val="007E7D4F"/>
    <w:rsid w:val="007E7F5A"/>
    <w:rsid w:val="007F0108"/>
    <w:rsid w:val="007F02E5"/>
    <w:rsid w:val="007F0439"/>
    <w:rsid w:val="007F04ED"/>
    <w:rsid w:val="007F06EF"/>
    <w:rsid w:val="007F0996"/>
    <w:rsid w:val="007F0B5C"/>
    <w:rsid w:val="007F1042"/>
    <w:rsid w:val="007F11E4"/>
    <w:rsid w:val="007F178E"/>
    <w:rsid w:val="007F1D4C"/>
    <w:rsid w:val="007F1D93"/>
    <w:rsid w:val="007F1F96"/>
    <w:rsid w:val="007F2383"/>
    <w:rsid w:val="007F27A9"/>
    <w:rsid w:val="007F2EAE"/>
    <w:rsid w:val="007F3205"/>
    <w:rsid w:val="007F3353"/>
    <w:rsid w:val="007F3412"/>
    <w:rsid w:val="007F3479"/>
    <w:rsid w:val="007F3DD7"/>
    <w:rsid w:val="007F3E20"/>
    <w:rsid w:val="007F3E3F"/>
    <w:rsid w:val="007F4991"/>
    <w:rsid w:val="007F4ABA"/>
    <w:rsid w:val="007F5003"/>
    <w:rsid w:val="007F51D7"/>
    <w:rsid w:val="007F5575"/>
    <w:rsid w:val="007F590E"/>
    <w:rsid w:val="007F59E8"/>
    <w:rsid w:val="007F5AEA"/>
    <w:rsid w:val="007F607E"/>
    <w:rsid w:val="007F62C7"/>
    <w:rsid w:val="007F630C"/>
    <w:rsid w:val="007F6397"/>
    <w:rsid w:val="007F6926"/>
    <w:rsid w:val="007F6A16"/>
    <w:rsid w:val="007F7330"/>
    <w:rsid w:val="007F7378"/>
    <w:rsid w:val="007F73ED"/>
    <w:rsid w:val="007F7532"/>
    <w:rsid w:val="007F763A"/>
    <w:rsid w:val="007F7853"/>
    <w:rsid w:val="007F785F"/>
    <w:rsid w:val="007F7B39"/>
    <w:rsid w:val="007F7BB0"/>
    <w:rsid w:val="007F7C9E"/>
    <w:rsid w:val="007F7F38"/>
    <w:rsid w:val="00800457"/>
    <w:rsid w:val="00800BC1"/>
    <w:rsid w:val="00800D74"/>
    <w:rsid w:val="00801096"/>
    <w:rsid w:val="008014F8"/>
    <w:rsid w:val="00801798"/>
    <w:rsid w:val="00801A27"/>
    <w:rsid w:val="00801AA5"/>
    <w:rsid w:val="00801D3E"/>
    <w:rsid w:val="008021B3"/>
    <w:rsid w:val="00802322"/>
    <w:rsid w:val="008024D9"/>
    <w:rsid w:val="00802705"/>
    <w:rsid w:val="00802832"/>
    <w:rsid w:val="00802936"/>
    <w:rsid w:val="00802A9F"/>
    <w:rsid w:val="00802CA4"/>
    <w:rsid w:val="008030CA"/>
    <w:rsid w:val="008030D8"/>
    <w:rsid w:val="008031BA"/>
    <w:rsid w:val="0080347A"/>
    <w:rsid w:val="0080351E"/>
    <w:rsid w:val="008036A6"/>
    <w:rsid w:val="00803792"/>
    <w:rsid w:val="0080380B"/>
    <w:rsid w:val="00803AA5"/>
    <w:rsid w:val="00803BFA"/>
    <w:rsid w:val="00803C1E"/>
    <w:rsid w:val="00803FE1"/>
    <w:rsid w:val="00804092"/>
    <w:rsid w:val="008043C2"/>
    <w:rsid w:val="0080457B"/>
    <w:rsid w:val="00804C78"/>
    <w:rsid w:val="00804F7C"/>
    <w:rsid w:val="008057CD"/>
    <w:rsid w:val="008059DB"/>
    <w:rsid w:val="00805CEC"/>
    <w:rsid w:val="00805D34"/>
    <w:rsid w:val="00805F9F"/>
    <w:rsid w:val="00805FEE"/>
    <w:rsid w:val="008063B0"/>
    <w:rsid w:val="00806438"/>
    <w:rsid w:val="008066CB"/>
    <w:rsid w:val="00806F22"/>
    <w:rsid w:val="00806F6F"/>
    <w:rsid w:val="00807166"/>
    <w:rsid w:val="008071C3"/>
    <w:rsid w:val="008072EF"/>
    <w:rsid w:val="008077F3"/>
    <w:rsid w:val="0080792E"/>
    <w:rsid w:val="00807BC9"/>
    <w:rsid w:val="00807DCC"/>
    <w:rsid w:val="008100BF"/>
    <w:rsid w:val="0081023E"/>
    <w:rsid w:val="0081062E"/>
    <w:rsid w:val="00810654"/>
    <w:rsid w:val="00810ACB"/>
    <w:rsid w:val="00811103"/>
    <w:rsid w:val="00811868"/>
    <w:rsid w:val="00811C9D"/>
    <w:rsid w:val="00811D74"/>
    <w:rsid w:val="00811E0A"/>
    <w:rsid w:val="0081209B"/>
    <w:rsid w:val="008121E3"/>
    <w:rsid w:val="0081264B"/>
    <w:rsid w:val="00812AC2"/>
    <w:rsid w:val="00812D9E"/>
    <w:rsid w:val="00812E80"/>
    <w:rsid w:val="00812E9C"/>
    <w:rsid w:val="008130A0"/>
    <w:rsid w:val="00813126"/>
    <w:rsid w:val="0081340F"/>
    <w:rsid w:val="0081372B"/>
    <w:rsid w:val="008137A8"/>
    <w:rsid w:val="00813F5C"/>
    <w:rsid w:val="0081440D"/>
    <w:rsid w:val="00814A5C"/>
    <w:rsid w:val="00815058"/>
    <w:rsid w:val="00815271"/>
    <w:rsid w:val="008152E0"/>
    <w:rsid w:val="008156C3"/>
    <w:rsid w:val="008156E5"/>
    <w:rsid w:val="00815DB4"/>
    <w:rsid w:val="00815DCE"/>
    <w:rsid w:val="00815F07"/>
    <w:rsid w:val="00816276"/>
    <w:rsid w:val="008163D1"/>
    <w:rsid w:val="0081675F"/>
    <w:rsid w:val="00816981"/>
    <w:rsid w:val="00816984"/>
    <w:rsid w:val="00816DA3"/>
    <w:rsid w:val="00817976"/>
    <w:rsid w:val="00817FAF"/>
    <w:rsid w:val="00820151"/>
    <w:rsid w:val="008206FE"/>
    <w:rsid w:val="00820D8E"/>
    <w:rsid w:val="00821F8C"/>
    <w:rsid w:val="0082233D"/>
    <w:rsid w:val="0082287F"/>
    <w:rsid w:val="00822A75"/>
    <w:rsid w:val="00822FAF"/>
    <w:rsid w:val="00823645"/>
    <w:rsid w:val="0082388B"/>
    <w:rsid w:val="00823AEC"/>
    <w:rsid w:val="00823BCC"/>
    <w:rsid w:val="00823C1F"/>
    <w:rsid w:val="00823C25"/>
    <w:rsid w:val="00823DCC"/>
    <w:rsid w:val="00824386"/>
    <w:rsid w:val="0082496E"/>
    <w:rsid w:val="00824A1D"/>
    <w:rsid w:val="00824B6D"/>
    <w:rsid w:val="00824F86"/>
    <w:rsid w:val="00824FD2"/>
    <w:rsid w:val="008254AB"/>
    <w:rsid w:val="008254FB"/>
    <w:rsid w:val="00825680"/>
    <w:rsid w:val="0082585E"/>
    <w:rsid w:val="00825D70"/>
    <w:rsid w:val="00825FD4"/>
    <w:rsid w:val="0082664F"/>
    <w:rsid w:val="008266FD"/>
    <w:rsid w:val="00826701"/>
    <w:rsid w:val="00826D9D"/>
    <w:rsid w:val="0082700D"/>
    <w:rsid w:val="00827083"/>
    <w:rsid w:val="00827136"/>
    <w:rsid w:val="008272D4"/>
    <w:rsid w:val="0082755E"/>
    <w:rsid w:val="008275D5"/>
    <w:rsid w:val="008277F2"/>
    <w:rsid w:val="00827A5C"/>
    <w:rsid w:val="00827A84"/>
    <w:rsid w:val="00827FCF"/>
    <w:rsid w:val="008302B3"/>
    <w:rsid w:val="008303C3"/>
    <w:rsid w:val="008303C6"/>
    <w:rsid w:val="008304F7"/>
    <w:rsid w:val="00830C5B"/>
    <w:rsid w:val="00830D84"/>
    <w:rsid w:val="0083119B"/>
    <w:rsid w:val="008314E2"/>
    <w:rsid w:val="0083185A"/>
    <w:rsid w:val="008319D2"/>
    <w:rsid w:val="00831B76"/>
    <w:rsid w:val="00831BC2"/>
    <w:rsid w:val="008322BA"/>
    <w:rsid w:val="008324C1"/>
    <w:rsid w:val="00832611"/>
    <w:rsid w:val="00832C15"/>
    <w:rsid w:val="00832C19"/>
    <w:rsid w:val="00832D9B"/>
    <w:rsid w:val="00833020"/>
    <w:rsid w:val="0083313D"/>
    <w:rsid w:val="0083328B"/>
    <w:rsid w:val="00833425"/>
    <w:rsid w:val="00833957"/>
    <w:rsid w:val="00833AC6"/>
    <w:rsid w:val="00833FF9"/>
    <w:rsid w:val="008347EA"/>
    <w:rsid w:val="00834809"/>
    <w:rsid w:val="00834EA9"/>
    <w:rsid w:val="0083543B"/>
    <w:rsid w:val="0083583A"/>
    <w:rsid w:val="00835903"/>
    <w:rsid w:val="00835BD3"/>
    <w:rsid w:val="00835CDF"/>
    <w:rsid w:val="008364DF"/>
    <w:rsid w:val="0083664E"/>
    <w:rsid w:val="00836EFA"/>
    <w:rsid w:val="0083752B"/>
    <w:rsid w:val="008376EB"/>
    <w:rsid w:val="008378FA"/>
    <w:rsid w:val="00840241"/>
    <w:rsid w:val="008402CC"/>
    <w:rsid w:val="0084076B"/>
    <w:rsid w:val="008410E2"/>
    <w:rsid w:val="0084121E"/>
    <w:rsid w:val="008412EE"/>
    <w:rsid w:val="0084186B"/>
    <w:rsid w:val="00841B2E"/>
    <w:rsid w:val="00841D63"/>
    <w:rsid w:val="00842869"/>
    <w:rsid w:val="00842BE1"/>
    <w:rsid w:val="00842CD6"/>
    <w:rsid w:val="00842F01"/>
    <w:rsid w:val="00842F09"/>
    <w:rsid w:val="00842F34"/>
    <w:rsid w:val="00843099"/>
    <w:rsid w:val="008434FC"/>
    <w:rsid w:val="0084373D"/>
    <w:rsid w:val="008439A1"/>
    <w:rsid w:val="00843D92"/>
    <w:rsid w:val="008441E9"/>
    <w:rsid w:val="00844297"/>
    <w:rsid w:val="0084459A"/>
    <w:rsid w:val="008445B5"/>
    <w:rsid w:val="008447BB"/>
    <w:rsid w:val="00844D29"/>
    <w:rsid w:val="00844EDC"/>
    <w:rsid w:val="00844F8A"/>
    <w:rsid w:val="008450D2"/>
    <w:rsid w:val="008453AD"/>
    <w:rsid w:val="00845673"/>
    <w:rsid w:val="0084567D"/>
    <w:rsid w:val="0084593F"/>
    <w:rsid w:val="00845BE2"/>
    <w:rsid w:val="00845F9B"/>
    <w:rsid w:val="00845FFF"/>
    <w:rsid w:val="00846312"/>
    <w:rsid w:val="008463AC"/>
    <w:rsid w:val="00846654"/>
    <w:rsid w:val="008474C2"/>
    <w:rsid w:val="008477D3"/>
    <w:rsid w:val="0084795A"/>
    <w:rsid w:val="00847AAD"/>
    <w:rsid w:val="00847B21"/>
    <w:rsid w:val="00847B3C"/>
    <w:rsid w:val="00847E0D"/>
    <w:rsid w:val="00847F3D"/>
    <w:rsid w:val="0085051B"/>
    <w:rsid w:val="008505F2"/>
    <w:rsid w:val="0085072B"/>
    <w:rsid w:val="00850ABA"/>
    <w:rsid w:val="00850BCB"/>
    <w:rsid w:val="00850CBB"/>
    <w:rsid w:val="00850EE9"/>
    <w:rsid w:val="0085101D"/>
    <w:rsid w:val="0085108C"/>
    <w:rsid w:val="00851114"/>
    <w:rsid w:val="00851338"/>
    <w:rsid w:val="008513A0"/>
    <w:rsid w:val="0085169D"/>
    <w:rsid w:val="00851A37"/>
    <w:rsid w:val="00851CF7"/>
    <w:rsid w:val="00852369"/>
    <w:rsid w:val="008526FA"/>
    <w:rsid w:val="008527DB"/>
    <w:rsid w:val="00852887"/>
    <w:rsid w:val="00852BA9"/>
    <w:rsid w:val="00852CC6"/>
    <w:rsid w:val="00852D09"/>
    <w:rsid w:val="00852D4E"/>
    <w:rsid w:val="00852E8E"/>
    <w:rsid w:val="008533C3"/>
    <w:rsid w:val="00853497"/>
    <w:rsid w:val="008539A9"/>
    <w:rsid w:val="00853A9F"/>
    <w:rsid w:val="00853DE9"/>
    <w:rsid w:val="00853E14"/>
    <w:rsid w:val="00853EC4"/>
    <w:rsid w:val="00853EED"/>
    <w:rsid w:val="00854BC4"/>
    <w:rsid w:val="00854CA1"/>
    <w:rsid w:val="00854E54"/>
    <w:rsid w:val="0085517E"/>
    <w:rsid w:val="008551C7"/>
    <w:rsid w:val="0085560D"/>
    <w:rsid w:val="0085560E"/>
    <w:rsid w:val="00855637"/>
    <w:rsid w:val="008557D6"/>
    <w:rsid w:val="00855841"/>
    <w:rsid w:val="00855888"/>
    <w:rsid w:val="00855BF6"/>
    <w:rsid w:val="00855E2E"/>
    <w:rsid w:val="00855E33"/>
    <w:rsid w:val="00855F89"/>
    <w:rsid w:val="00856204"/>
    <w:rsid w:val="0085627B"/>
    <w:rsid w:val="008563FC"/>
    <w:rsid w:val="00856459"/>
    <w:rsid w:val="00856523"/>
    <w:rsid w:val="008566FA"/>
    <w:rsid w:val="008567AB"/>
    <w:rsid w:val="00856A54"/>
    <w:rsid w:val="00856CA4"/>
    <w:rsid w:val="00856D7B"/>
    <w:rsid w:val="00856E55"/>
    <w:rsid w:val="0085712D"/>
    <w:rsid w:val="00857272"/>
    <w:rsid w:val="00857301"/>
    <w:rsid w:val="00857331"/>
    <w:rsid w:val="0085739F"/>
    <w:rsid w:val="00860077"/>
    <w:rsid w:val="0086013C"/>
    <w:rsid w:val="00860211"/>
    <w:rsid w:val="00860283"/>
    <w:rsid w:val="008602CC"/>
    <w:rsid w:val="0086058E"/>
    <w:rsid w:val="00860C34"/>
    <w:rsid w:val="00861196"/>
    <w:rsid w:val="00862090"/>
    <w:rsid w:val="00862F65"/>
    <w:rsid w:val="00862FC7"/>
    <w:rsid w:val="008631CA"/>
    <w:rsid w:val="0086342F"/>
    <w:rsid w:val="0086360A"/>
    <w:rsid w:val="008638F0"/>
    <w:rsid w:val="00863A21"/>
    <w:rsid w:val="00863B92"/>
    <w:rsid w:val="00863B9C"/>
    <w:rsid w:val="008641C2"/>
    <w:rsid w:val="0086471E"/>
    <w:rsid w:val="0086475E"/>
    <w:rsid w:val="00864760"/>
    <w:rsid w:val="00864A63"/>
    <w:rsid w:val="00864A7D"/>
    <w:rsid w:val="00864EE7"/>
    <w:rsid w:val="00865D57"/>
    <w:rsid w:val="00865D9B"/>
    <w:rsid w:val="00865E5F"/>
    <w:rsid w:val="00866092"/>
    <w:rsid w:val="0086614C"/>
    <w:rsid w:val="0086653D"/>
    <w:rsid w:val="0086659C"/>
    <w:rsid w:val="008666EC"/>
    <w:rsid w:val="00867060"/>
    <w:rsid w:val="00867137"/>
    <w:rsid w:val="0086782F"/>
    <w:rsid w:val="0086785E"/>
    <w:rsid w:val="00867997"/>
    <w:rsid w:val="00867C38"/>
    <w:rsid w:val="00870002"/>
    <w:rsid w:val="0087073A"/>
    <w:rsid w:val="0087076C"/>
    <w:rsid w:val="00870E7B"/>
    <w:rsid w:val="00870ED0"/>
    <w:rsid w:val="00871085"/>
    <w:rsid w:val="008711EA"/>
    <w:rsid w:val="0087149A"/>
    <w:rsid w:val="0087190D"/>
    <w:rsid w:val="00871B00"/>
    <w:rsid w:val="00871B63"/>
    <w:rsid w:val="00871C5A"/>
    <w:rsid w:val="00871CED"/>
    <w:rsid w:val="00871D6A"/>
    <w:rsid w:val="00871DC9"/>
    <w:rsid w:val="00871E74"/>
    <w:rsid w:val="00872055"/>
    <w:rsid w:val="008720C9"/>
    <w:rsid w:val="00872164"/>
    <w:rsid w:val="0087221C"/>
    <w:rsid w:val="0087247C"/>
    <w:rsid w:val="008726DF"/>
    <w:rsid w:val="00872E78"/>
    <w:rsid w:val="00872F22"/>
    <w:rsid w:val="00872F59"/>
    <w:rsid w:val="00872FFA"/>
    <w:rsid w:val="00873133"/>
    <w:rsid w:val="00873403"/>
    <w:rsid w:val="008735CE"/>
    <w:rsid w:val="008738B9"/>
    <w:rsid w:val="0087404B"/>
    <w:rsid w:val="008742E5"/>
    <w:rsid w:val="00874A5E"/>
    <w:rsid w:val="00874B4C"/>
    <w:rsid w:val="00874C17"/>
    <w:rsid w:val="00874F29"/>
    <w:rsid w:val="00875024"/>
    <w:rsid w:val="008750AA"/>
    <w:rsid w:val="00875158"/>
    <w:rsid w:val="00875351"/>
    <w:rsid w:val="00875A5C"/>
    <w:rsid w:val="00875B37"/>
    <w:rsid w:val="0087606E"/>
    <w:rsid w:val="0087622B"/>
    <w:rsid w:val="008764A6"/>
    <w:rsid w:val="00876747"/>
    <w:rsid w:val="00876903"/>
    <w:rsid w:val="0087691B"/>
    <w:rsid w:val="00876C6A"/>
    <w:rsid w:val="00876D2A"/>
    <w:rsid w:val="00877605"/>
    <w:rsid w:val="0087760E"/>
    <w:rsid w:val="008779C5"/>
    <w:rsid w:val="00877C13"/>
    <w:rsid w:val="00877DBE"/>
    <w:rsid w:val="008800EB"/>
    <w:rsid w:val="008804E9"/>
    <w:rsid w:val="00880F48"/>
    <w:rsid w:val="0088175C"/>
    <w:rsid w:val="008818A5"/>
    <w:rsid w:val="008818EB"/>
    <w:rsid w:val="00881E57"/>
    <w:rsid w:val="0088244D"/>
    <w:rsid w:val="00882710"/>
    <w:rsid w:val="00882A3B"/>
    <w:rsid w:val="00882D04"/>
    <w:rsid w:val="00882F95"/>
    <w:rsid w:val="00883440"/>
    <w:rsid w:val="008834A2"/>
    <w:rsid w:val="00883E78"/>
    <w:rsid w:val="00883F3D"/>
    <w:rsid w:val="00884193"/>
    <w:rsid w:val="00884337"/>
    <w:rsid w:val="008844BB"/>
    <w:rsid w:val="00884539"/>
    <w:rsid w:val="008845DF"/>
    <w:rsid w:val="00884FAA"/>
    <w:rsid w:val="00885467"/>
    <w:rsid w:val="00885BA7"/>
    <w:rsid w:val="00885E26"/>
    <w:rsid w:val="008861A9"/>
    <w:rsid w:val="008869E0"/>
    <w:rsid w:val="00886B62"/>
    <w:rsid w:val="00886DC6"/>
    <w:rsid w:val="00886F07"/>
    <w:rsid w:val="00886F21"/>
    <w:rsid w:val="0088704B"/>
    <w:rsid w:val="008870B3"/>
    <w:rsid w:val="008878AA"/>
    <w:rsid w:val="008879AE"/>
    <w:rsid w:val="008906CA"/>
    <w:rsid w:val="00890E4C"/>
    <w:rsid w:val="00890E81"/>
    <w:rsid w:val="00890FE6"/>
    <w:rsid w:val="008910FD"/>
    <w:rsid w:val="00891267"/>
    <w:rsid w:val="008913E0"/>
    <w:rsid w:val="00891454"/>
    <w:rsid w:val="00891AD4"/>
    <w:rsid w:val="00891C93"/>
    <w:rsid w:val="00891E05"/>
    <w:rsid w:val="00891EEF"/>
    <w:rsid w:val="008920E9"/>
    <w:rsid w:val="008923DA"/>
    <w:rsid w:val="008924B2"/>
    <w:rsid w:val="00892A59"/>
    <w:rsid w:val="00892C74"/>
    <w:rsid w:val="00892C82"/>
    <w:rsid w:val="00892CB0"/>
    <w:rsid w:val="00892E08"/>
    <w:rsid w:val="00892E89"/>
    <w:rsid w:val="008932D5"/>
    <w:rsid w:val="00893493"/>
    <w:rsid w:val="00893B79"/>
    <w:rsid w:val="00893D8D"/>
    <w:rsid w:val="00894081"/>
    <w:rsid w:val="0089421F"/>
    <w:rsid w:val="0089431A"/>
    <w:rsid w:val="00894E93"/>
    <w:rsid w:val="00895115"/>
    <w:rsid w:val="00895253"/>
    <w:rsid w:val="008953DB"/>
    <w:rsid w:val="00895432"/>
    <w:rsid w:val="00895623"/>
    <w:rsid w:val="00895643"/>
    <w:rsid w:val="00895695"/>
    <w:rsid w:val="00895896"/>
    <w:rsid w:val="00895CF0"/>
    <w:rsid w:val="00896035"/>
    <w:rsid w:val="0089630C"/>
    <w:rsid w:val="0089640E"/>
    <w:rsid w:val="00896434"/>
    <w:rsid w:val="00896608"/>
    <w:rsid w:val="00896666"/>
    <w:rsid w:val="00896AA1"/>
    <w:rsid w:val="00896AD4"/>
    <w:rsid w:val="00896D46"/>
    <w:rsid w:val="00897459"/>
    <w:rsid w:val="00897546"/>
    <w:rsid w:val="00897630"/>
    <w:rsid w:val="008977AF"/>
    <w:rsid w:val="00897C87"/>
    <w:rsid w:val="00897EA6"/>
    <w:rsid w:val="008A004D"/>
    <w:rsid w:val="008A0B6B"/>
    <w:rsid w:val="008A0C6F"/>
    <w:rsid w:val="008A10DB"/>
    <w:rsid w:val="008A1319"/>
    <w:rsid w:val="008A1855"/>
    <w:rsid w:val="008A1E33"/>
    <w:rsid w:val="008A1FAD"/>
    <w:rsid w:val="008A2106"/>
    <w:rsid w:val="008A23E6"/>
    <w:rsid w:val="008A2B9F"/>
    <w:rsid w:val="008A3048"/>
    <w:rsid w:val="008A30DE"/>
    <w:rsid w:val="008A31C9"/>
    <w:rsid w:val="008A328C"/>
    <w:rsid w:val="008A3689"/>
    <w:rsid w:val="008A3C47"/>
    <w:rsid w:val="008A3C6A"/>
    <w:rsid w:val="008A3CFB"/>
    <w:rsid w:val="008A3D5E"/>
    <w:rsid w:val="008A409C"/>
    <w:rsid w:val="008A48C5"/>
    <w:rsid w:val="008A4D70"/>
    <w:rsid w:val="008A50A5"/>
    <w:rsid w:val="008A5DB5"/>
    <w:rsid w:val="008A5DEE"/>
    <w:rsid w:val="008A717A"/>
    <w:rsid w:val="008A721A"/>
    <w:rsid w:val="008A739B"/>
    <w:rsid w:val="008A77CA"/>
    <w:rsid w:val="008A7866"/>
    <w:rsid w:val="008A7E22"/>
    <w:rsid w:val="008A7EC8"/>
    <w:rsid w:val="008B0368"/>
    <w:rsid w:val="008B0376"/>
    <w:rsid w:val="008B049B"/>
    <w:rsid w:val="008B0CDC"/>
    <w:rsid w:val="008B0DCD"/>
    <w:rsid w:val="008B0F2C"/>
    <w:rsid w:val="008B11FA"/>
    <w:rsid w:val="008B13D9"/>
    <w:rsid w:val="008B14AF"/>
    <w:rsid w:val="008B14D3"/>
    <w:rsid w:val="008B14E6"/>
    <w:rsid w:val="008B158E"/>
    <w:rsid w:val="008B171F"/>
    <w:rsid w:val="008B177A"/>
    <w:rsid w:val="008B18AE"/>
    <w:rsid w:val="008B2174"/>
    <w:rsid w:val="008B219F"/>
    <w:rsid w:val="008B299C"/>
    <w:rsid w:val="008B2AC7"/>
    <w:rsid w:val="008B2ECE"/>
    <w:rsid w:val="008B3041"/>
    <w:rsid w:val="008B3052"/>
    <w:rsid w:val="008B317A"/>
    <w:rsid w:val="008B3407"/>
    <w:rsid w:val="008B3ACF"/>
    <w:rsid w:val="008B3D35"/>
    <w:rsid w:val="008B3FBB"/>
    <w:rsid w:val="008B41B4"/>
    <w:rsid w:val="008B42B9"/>
    <w:rsid w:val="008B47F0"/>
    <w:rsid w:val="008B48DB"/>
    <w:rsid w:val="008B5078"/>
    <w:rsid w:val="008B5235"/>
    <w:rsid w:val="008B572F"/>
    <w:rsid w:val="008B598F"/>
    <w:rsid w:val="008B5C19"/>
    <w:rsid w:val="008B5D7A"/>
    <w:rsid w:val="008B6130"/>
    <w:rsid w:val="008B6212"/>
    <w:rsid w:val="008B621E"/>
    <w:rsid w:val="008B6536"/>
    <w:rsid w:val="008B6735"/>
    <w:rsid w:val="008B6977"/>
    <w:rsid w:val="008B6B7F"/>
    <w:rsid w:val="008B6DCB"/>
    <w:rsid w:val="008B706D"/>
    <w:rsid w:val="008B710F"/>
    <w:rsid w:val="008B7129"/>
    <w:rsid w:val="008B72F8"/>
    <w:rsid w:val="008B7683"/>
    <w:rsid w:val="008B782B"/>
    <w:rsid w:val="008B7EA0"/>
    <w:rsid w:val="008C0445"/>
    <w:rsid w:val="008C0C29"/>
    <w:rsid w:val="008C0F4C"/>
    <w:rsid w:val="008C1331"/>
    <w:rsid w:val="008C1510"/>
    <w:rsid w:val="008C1F03"/>
    <w:rsid w:val="008C216D"/>
    <w:rsid w:val="008C26B2"/>
    <w:rsid w:val="008C29DD"/>
    <w:rsid w:val="008C3092"/>
    <w:rsid w:val="008C3287"/>
    <w:rsid w:val="008C34B6"/>
    <w:rsid w:val="008C3773"/>
    <w:rsid w:val="008C3806"/>
    <w:rsid w:val="008C3EAC"/>
    <w:rsid w:val="008C3F0B"/>
    <w:rsid w:val="008C3F7C"/>
    <w:rsid w:val="008C46F4"/>
    <w:rsid w:val="008C4AB5"/>
    <w:rsid w:val="008C4EF8"/>
    <w:rsid w:val="008C540A"/>
    <w:rsid w:val="008C5B54"/>
    <w:rsid w:val="008C6239"/>
    <w:rsid w:val="008C640B"/>
    <w:rsid w:val="008C649D"/>
    <w:rsid w:val="008C64AD"/>
    <w:rsid w:val="008C6762"/>
    <w:rsid w:val="008C6845"/>
    <w:rsid w:val="008C6975"/>
    <w:rsid w:val="008C6AE5"/>
    <w:rsid w:val="008C6BE4"/>
    <w:rsid w:val="008C6C7D"/>
    <w:rsid w:val="008C6F9E"/>
    <w:rsid w:val="008C7537"/>
    <w:rsid w:val="008C7892"/>
    <w:rsid w:val="008C79B0"/>
    <w:rsid w:val="008C7B38"/>
    <w:rsid w:val="008C7C99"/>
    <w:rsid w:val="008C7D36"/>
    <w:rsid w:val="008C7F75"/>
    <w:rsid w:val="008D0255"/>
    <w:rsid w:val="008D0498"/>
    <w:rsid w:val="008D064E"/>
    <w:rsid w:val="008D126E"/>
    <w:rsid w:val="008D129B"/>
    <w:rsid w:val="008D144B"/>
    <w:rsid w:val="008D14D5"/>
    <w:rsid w:val="008D1707"/>
    <w:rsid w:val="008D195A"/>
    <w:rsid w:val="008D19FC"/>
    <w:rsid w:val="008D1B81"/>
    <w:rsid w:val="008D1CF5"/>
    <w:rsid w:val="008D222B"/>
    <w:rsid w:val="008D2274"/>
    <w:rsid w:val="008D258E"/>
    <w:rsid w:val="008D2725"/>
    <w:rsid w:val="008D2A15"/>
    <w:rsid w:val="008D2AD7"/>
    <w:rsid w:val="008D2C43"/>
    <w:rsid w:val="008D3242"/>
    <w:rsid w:val="008D3706"/>
    <w:rsid w:val="008D3C38"/>
    <w:rsid w:val="008D3F63"/>
    <w:rsid w:val="008D4029"/>
    <w:rsid w:val="008D43F5"/>
    <w:rsid w:val="008D4656"/>
    <w:rsid w:val="008D4903"/>
    <w:rsid w:val="008D4AD1"/>
    <w:rsid w:val="008D4B00"/>
    <w:rsid w:val="008D4F97"/>
    <w:rsid w:val="008D50AC"/>
    <w:rsid w:val="008D514B"/>
    <w:rsid w:val="008D56A3"/>
    <w:rsid w:val="008D57D6"/>
    <w:rsid w:val="008D5BD2"/>
    <w:rsid w:val="008D5DEB"/>
    <w:rsid w:val="008D6553"/>
    <w:rsid w:val="008D663D"/>
    <w:rsid w:val="008D668C"/>
    <w:rsid w:val="008D6B9B"/>
    <w:rsid w:val="008D6F1B"/>
    <w:rsid w:val="008D7151"/>
    <w:rsid w:val="008D75AC"/>
    <w:rsid w:val="008D75D3"/>
    <w:rsid w:val="008D77E3"/>
    <w:rsid w:val="008D780C"/>
    <w:rsid w:val="008D7B53"/>
    <w:rsid w:val="008D7F9F"/>
    <w:rsid w:val="008E018E"/>
    <w:rsid w:val="008E06E8"/>
    <w:rsid w:val="008E0743"/>
    <w:rsid w:val="008E0789"/>
    <w:rsid w:val="008E08C4"/>
    <w:rsid w:val="008E0A8C"/>
    <w:rsid w:val="008E0B26"/>
    <w:rsid w:val="008E0B9E"/>
    <w:rsid w:val="008E0F9B"/>
    <w:rsid w:val="008E1600"/>
    <w:rsid w:val="008E16A3"/>
    <w:rsid w:val="008E1C1C"/>
    <w:rsid w:val="008E1C2A"/>
    <w:rsid w:val="008E1E30"/>
    <w:rsid w:val="008E2160"/>
    <w:rsid w:val="008E21B8"/>
    <w:rsid w:val="008E2219"/>
    <w:rsid w:val="008E2463"/>
    <w:rsid w:val="008E2493"/>
    <w:rsid w:val="008E2576"/>
    <w:rsid w:val="008E3267"/>
    <w:rsid w:val="008E3357"/>
    <w:rsid w:val="008E34D4"/>
    <w:rsid w:val="008E3594"/>
    <w:rsid w:val="008E403B"/>
    <w:rsid w:val="008E429A"/>
    <w:rsid w:val="008E4379"/>
    <w:rsid w:val="008E45D0"/>
    <w:rsid w:val="008E4761"/>
    <w:rsid w:val="008E4A8A"/>
    <w:rsid w:val="008E4D07"/>
    <w:rsid w:val="008E50AE"/>
    <w:rsid w:val="008E5886"/>
    <w:rsid w:val="008E58B9"/>
    <w:rsid w:val="008E5B41"/>
    <w:rsid w:val="008E5F5E"/>
    <w:rsid w:val="008E6093"/>
    <w:rsid w:val="008E6483"/>
    <w:rsid w:val="008E66C1"/>
    <w:rsid w:val="008E6E04"/>
    <w:rsid w:val="008E6E17"/>
    <w:rsid w:val="008E6FA3"/>
    <w:rsid w:val="008E732D"/>
    <w:rsid w:val="008E74EE"/>
    <w:rsid w:val="008E78F4"/>
    <w:rsid w:val="008E7ABD"/>
    <w:rsid w:val="008E7C30"/>
    <w:rsid w:val="008E7D53"/>
    <w:rsid w:val="008F018C"/>
    <w:rsid w:val="008F02A3"/>
    <w:rsid w:val="008F040E"/>
    <w:rsid w:val="008F054E"/>
    <w:rsid w:val="008F06F9"/>
    <w:rsid w:val="008F0709"/>
    <w:rsid w:val="008F090E"/>
    <w:rsid w:val="008F0AA6"/>
    <w:rsid w:val="008F0C8B"/>
    <w:rsid w:val="008F1006"/>
    <w:rsid w:val="008F147F"/>
    <w:rsid w:val="008F15D6"/>
    <w:rsid w:val="008F15FA"/>
    <w:rsid w:val="008F1761"/>
    <w:rsid w:val="008F1880"/>
    <w:rsid w:val="008F1887"/>
    <w:rsid w:val="008F26A5"/>
    <w:rsid w:val="008F2771"/>
    <w:rsid w:val="008F2B79"/>
    <w:rsid w:val="008F3B8B"/>
    <w:rsid w:val="008F3C60"/>
    <w:rsid w:val="008F3C66"/>
    <w:rsid w:val="008F3F56"/>
    <w:rsid w:val="008F3FAC"/>
    <w:rsid w:val="008F4692"/>
    <w:rsid w:val="008F47F0"/>
    <w:rsid w:val="008F4934"/>
    <w:rsid w:val="008F4AA6"/>
    <w:rsid w:val="008F4B52"/>
    <w:rsid w:val="008F53BA"/>
    <w:rsid w:val="008F59E4"/>
    <w:rsid w:val="008F5EDC"/>
    <w:rsid w:val="008F6260"/>
    <w:rsid w:val="008F6426"/>
    <w:rsid w:val="008F64E5"/>
    <w:rsid w:val="008F6729"/>
    <w:rsid w:val="008F67F4"/>
    <w:rsid w:val="008F686A"/>
    <w:rsid w:val="008F6A9B"/>
    <w:rsid w:val="008F6B5D"/>
    <w:rsid w:val="008F6DC3"/>
    <w:rsid w:val="008F7547"/>
    <w:rsid w:val="0090088A"/>
    <w:rsid w:val="009008A3"/>
    <w:rsid w:val="00900B9A"/>
    <w:rsid w:val="00900D31"/>
    <w:rsid w:val="00900DA2"/>
    <w:rsid w:val="00901050"/>
    <w:rsid w:val="009011AE"/>
    <w:rsid w:val="009011B7"/>
    <w:rsid w:val="0090182A"/>
    <w:rsid w:val="00901A61"/>
    <w:rsid w:val="00901D44"/>
    <w:rsid w:val="0090201C"/>
    <w:rsid w:val="0090258F"/>
    <w:rsid w:val="0090269C"/>
    <w:rsid w:val="00902878"/>
    <w:rsid w:val="009029FF"/>
    <w:rsid w:val="00902B00"/>
    <w:rsid w:val="00902BCF"/>
    <w:rsid w:val="00903670"/>
    <w:rsid w:val="00903B2C"/>
    <w:rsid w:val="00903C74"/>
    <w:rsid w:val="00903D2A"/>
    <w:rsid w:val="009049F9"/>
    <w:rsid w:val="00904B95"/>
    <w:rsid w:val="00904D5E"/>
    <w:rsid w:val="00905146"/>
    <w:rsid w:val="009051D6"/>
    <w:rsid w:val="0090527B"/>
    <w:rsid w:val="0090532F"/>
    <w:rsid w:val="00905460"/>
    <w:rsid w:val="009059B7"/>
    <w:rsid w:val="00905A4C"/>
    <w:rsid w:val="00905B8C"/>
    <w:rsid w:val="00905D9E"/>
    <w:rsid w:val="009065F7"/>
    <w:rsid w:val="00906775"/>
    <w:rsid w:val="009068E6"/>
    <w:rsid w:val="00907024"/>
    <w:rsid w:val="0090729C"/>
    <w:rsid w:val="00907590"/>
    <w:rsid w:val="00907703"/>
    <w:rsid w:val="00907DFC"/>
    <w:rsid w:val="00907EEB"/>
    <w:rsid w:val="00907F74"/>
    <w:rsid w:val="00910087"/>
    <w:rsid w:val="009103F1"/>
    <w:rsid w:val="0091053F"/>
    <w:rsid w:val="00910662"/>
    <w:rsid w:val="0091069C"/>
    <w:rsid w:val="0091086A"/>
    <w:rsid w:val="00910F6E"/>
    <w:rsid w:val="00910FAD"/>
    <w:rsid w:val="0091107D"/>
    <w:rsid w:val="00911195"/>
    <w:rsid w:val="00911340"/>
    <w:rsid w:val="009114DD"/>
    <w:rsid w:val="00911B7D"/>
    <w:rsid w:val="00911D18"/>
    <w:rsid w:val="009123D2"/>
    <w:rsid w:val="009125BC"/>
    <w:rsid w:val="00912B40"/>
    <w:rsid w:val="00912B49"/>
    <w:rsid w:val="00912CFF"/>
    <w:rsid w:val="00912D86"/>
    <w:rsid w:val="009131C5"/>
    <w:rsid w:val="0091333A"/>
    <w:rsid w:val="0091356E"/>
    <w:rsid w:val="0091381D"/>
    <w:rsid w:val="009138BF"/>
    <w:rsid w:val="00913A49"/>
    <w:rsid w:val="00913ABE"/>
    <w:rsid w:val="00913F55"/>
    <w:rsid w:val="009140C0"/>
    <w:rsid w:val="009141B1"/>
    <w:rsid w:val="00914201"/>
    <w:rsid w:val="00914494"/>
    <w:rsid w:val="009146B1"/>
    <w:rsid w:val="00914CDA"/>
    <w:rsid w:val="009157F2"/>
    <w:rsid w:val="00915AAF"/>
    <w:rsid w:val="00915D79"/>
    <w:rsid w:val="00916406"/>
    <w:rsid w:val="009164F1"/>
    <w:rsid w:val="009165C1"/>
    <w:rsid w:val="00916814"/>
    <w:rsid w:val="0091691D"/>
    <w:rsid w:val="00916A39"/>
    <w:rsid w:val="00916BAF"/>
    <w:rsid w:val="00917388"/>
    <w:rsid w:val="00917925"/>
    <w:rsid w:val="00917C21"/>
    <w:rsid w:val="00920199"/>
    <w:rsid w:val="00920A39"/>
    <w:rsid w:val="00920F01"/>
    <w:rsid w:val="00920F25"/>
    <w:rsid w:val="00921177"/>
    <w:rsid w:val="00921252"/>
    <w:rsid w:val="00921528"/>
    <w:rsid w:val="00921813"/>
    <w:rsid w:val="00921872"/>
    <w:rsid w:val="00921C5A"/>
    <w:rsid w:val="00921EC9"/>
    <w:rsid w:val="00921FF2"/>
    <w:rsid w:val="009220F4"/>
    <w:rsid w:val="009221AD"/>
    <w:rsid w:val="0092246D"/>
    <w:rsid w:val="00922A7C"/>
    <w:rsid w:val="00922EE3"/>
    <w:rsid w:val="00923082"/>
    <w:rsid w:val="0092368C"/>
    <w:rsid w:val="0092380B"/>
    <w:rsid w:val="00923A59"/>
    <w:rsid w:val="00923A78"/>
    <w:rsid w:val="00923AB0"/>
    <w:rsid w:val="00923C27"/>
    <w:rsid w:val="00923C96"/>
    <w:rsid w:val="00923C9D"/>
    <w:rsid w:val="00923D47"/>
    <w:rsid w:val="00923D63"/>
    <w:rsid w:val="00923E77"/>
    <w:rsid w:val="00923EF7"/>
    <w:rsid w:val="00924157"/>
    <w:rsid w:val="0092437C"/>
    <w:rsid w:val="009245C8"/>
    <w:rsid w:val="0092479E"/>
    <w:rsid w:val="009248A2"/>
    <w:rsid w:val="00924946"/>
    <w:rsid w:val="00924B1A"/>
    <w:rsid w:val="00924B5F"/>
    <w:rsid w:val="00924DFB"/>
    <w:rsid w:val="00924FBF"/>
    <w:rsid w:val="009251C6"/>
    <w:rsid w:val="00925F10"/>
    <w:rsid w:val="00926175"/>
    <w:rsid w:val="0092621F"/>
    <w:rsid w:val="0092657D"/>
    <w:rsid w:val="0092690F"/>
    <w:rsid w:val="0092692E"/>
    <w:rsid w:val="00926F3D"/>
    <w:rsid w:val="00927516"/>
    <w:rsid w:val="0092797D"/>
    <w:rsid w:val="00927A37"/>
    <w:rsid w:val="00927B72"/>
    <w:rsid w:val="0093008A"/>
    <w:rsid w:val="009302D5"/>
    <w:rsid w:val="00930394"/>
    <w:rsid w:val="009303D1"/>
    <w:rsid w:val="00930674"/>
    <w:rsid w:val="00930989"/>
    <w:rsid w:val="0093129E"/>
    <w:rsid w:val="00931457"/>
    <w:rsid w:val="0093149B"/>
    <w:rsid w:val="00931519"/>
    <w:rsid w:val="0093157F"/>
    <w:rsid w:val="00931889"/>
    <w:rsid w:val="00931D4B"/>
    <w:rsid w:val="00931DB8"/>
    <w:rsid w:val="00931E9A"/>
    <w:rsid w:val="00931EF6"/>
    <w:rsid w:val="00931EF8"/>
    <w:rsid w:val="009320B7"/>
    <w:rsid w:val="00932375"/>
    <w:rsid w:val="009323D9"/>
    <w:rsid w:val="00932591"/>
    <w:rsid w:val="009325AB"/>
    <w:rsid w:val="00932C1A"/>
    <w:rsid w:val="00932CEB"/>
    <w:rsid w:val="00933656"/>
    <w:rsid w:val="00933B80"/>
    <w:rsid w:val="0093415B"/>
    <w:rsid w:val="009341A0"/>
    <w:rsid w:val="009341D8"/>
    <w:rsid w:val="009346B0"/>
    <w:rsid w:val="009347D4"/>
    <w:rsid w:val="00934C8A"/>
    <w:rsid w:val="0093508E"/>
    <w:rsid w:val="0093515C"/>
    <w:rsid w:val="009352E2"/>
    <w:rsid w:val="0093552B"/>
    <w:rsid w:val="009358A9"/>
    <w:rsid w:val="00935BA7"/>
    <w:rsid w:val="00936053"/>
    <w:rsid w:val="0093651D"/>
    <w:rsid w:val="00936F4A"/>
    <w:rsid w:val="0093786B"/>
    <w:rsid w:val="009378CD"/>
    <w:rsid w:val="009379CF"/>
    <w:rsid w:val="009401A4"/>
    <w:rsid w:val="00940676"/>
    <w:rsid w:val="0094067B"/>
    <w:rsid w:val="00940846"/>
    <w:rsid w:val="00940937"/>
    <w:rsid w:val="00940C04"/>
    <w:rsid w:val="00940E9B"/>
    <w:rsid w:val="00941250"/>
    <w:rsid w:val="00941297"/>
    <w:rsid w:val="00941417"/>
    <w:rsid w:val="00941605"/>
    <w:rsid w:val="00941BA3"/>
    <w:rsid w:val="00942286"/>
    <w:rsid w:val="0094266E"/>
    <w:rsid w:val="009427B9"/>
    <w:rsid w:val="00942C45"/>
    <w:rsid w:val="00942DB0"/>
    <w:rsid w:val="0094305F"/>
    <w:rsid w:val="009433FC"/>
    <w:rsid w:val="009436EA"/>
    <w:rsid w:val="009438A2"/>
    <w:rsid w:val="009438A4"/>
    <w:rsid w:val="009438E3"/>
    <w:rsid w:val="0094411A"/>
    <w:rsid w:val="009444C2"/>
    <w:rsid w:val="009445D8"/>
    <w:rsid w:val="00944AE7"/>
    <w:rsid w:val="00944B5A"/>
    <w:rsid w:val="0094562B"/>
    <w:rsid w:val="0094565C"/>
    <w:rsid w:val="00945971"/>
    <w:rsid w:val="00945D9A"/>
    <w:rsid w:val="009462BB"/>
    <w:rsid w:val="00946360"/>
    <w:rsid w:val="009463FB"/>
    <w:rsid w:val="0094665B"/>
    <w:rsid w:val="00947217"/>
    <w:rsid w:val="00947464"/>
    <w:rsid w:val="00947900"/>
    <w:rsid w:val="00947973"/>
    <w:rsid w:val="00950077"/>
    <w:rsid w:val="009500A4"/>
    <w:rsid w:val="0095015A"/>
    <w:rsid w:val="0095066B"/>
    <w:rsid w:val="009509B5"/>
    <w:rsid w:val="00950D63"/>
    <w:rsid w:val="009510F1"/>
    <w:rsid w:val="009518F2"/>
    <w:rsid w:val="00951A70"/>
    <w:rsid w:val="00951B60"/>
    <w:rsid w:val="00951CC7"/>
    <w:rsid w:val="00951FB0"/>
    <w:rsid w:val="0095256F"/>
    <w:rsid w:val="00952799"/>
    <w:rsid w:val="009527F5"/>
    <w:rsid w:val="009528C9"/>
    <w:rsid w:val="00952CC5"/>
    <w:rsid w:val="00952CCE"/>
    <w:rsid w:val="00952D22"/>
    <w:rsid w:val="00952D24"/>
    <w:rsid w:val="009532B7"/>
    <w:rsid w:val="00953474"/>
    <w:rsid w:val="009536E6"/>
    <w:rsid w:val="00953886"/>
    <w:rsid w:val="0095388C"/>
    <w:rsid w:val="00953B99"/>
    <w:rsid w:val="00953F9D"/>
    <w:rsid w:val="009544CB"/>
    <w:rsid w:val="00954506"/>
    <w:rsid w:val="009546BD"/>
    <w:rsid w:val="009554C1"/>
    <w:rsid w:val="009557E7"/>
    <w:rsid w:val="009559B4"/>
    <w:rsid w:val="00955A11"/>
    <w:rsid w:val="00955A6B"/>
    <w:rsid w:val="00955B29"/>
    <w:rsid w:val="00955B9C"/>
    <w:rsid w:val="00955C28"/>
    <w:rsid w:val="00955CA0"/>
    <w:rsid w:val="00955E00"/>
    <w:rsid w:val="00955E61"/>
    <w:rsid w:val="009560B3"/>
    <w:rsid w:val="00956235"/>
    <w:rsid w:val="00956969"/>
    <w:rsid w:val="00956B8F"/>
    <w:rsid w:val="00956C16"/>
    <w:rsid w:val="0095710B"/>
    <w:rsid w:val="00957398"/>
    <w:rsid w:val="009575C4"/>
    <w:rsid w:val="0095762D"/>
    <w:rsid w:val="009578AA"/>
    <w:rsid w:val="00957C13"/>
    <w:rsid w:val="0096006A"/>
    <w:rsid w:val="0096011F"/>
    <w:rsid w:val="00960180"/>
    <w:rsid w:val="00960A50"/>
    <w:rsid w:val="00960A7B"/>
    <w:rsid w:val="00960B83"/>
    <w:rsid w:val="0096103A"/>
    <w:rsid w:val="0096118E"/>
    <w:rsid w:val="00961291"/>
    <w:rsid w:val="00961A4B"/>
    <w:rsid w:val="00962651"/>
    <w:rsid w:val="00963ACA"/>
    <w:rsid w:val="00963D17"/>
    <w:rsid w:val="00963FCF"/>
    <w:rsid w:val="00964188"/>
    <w:rsid w:val="0096447C"/>
    <w:rsid w:val="00964499"/>
    <w:rsid w:val="00965050"/>
    <w:rsid w:val="0096527C"/>
    <w:rsid w:val="009654AF"/>
    <w:rsid w:val="00965D4F"/>
    <w:rsid w:val="00965FFD"/>
    <w:rsid w:val="009661AB"/>
    <w:rsid w:val="009663CC"/>
    <w:rsid w:val="00966511"/>
    <w:rsid w:val="00966598"/>
    <w:rsid w:val="00966996"/>
    <w:rsid w:val="00966B9F"/>
    <w:rsid w:val="00966BE7"/>
    <w:rsid w:val="00966CFF"/>
    <w:rsid w:val="00967793"/>
    <w:rsid w:val="00967C5E"/>
    <w:rsid w:val="00967DFA"/>
    <w:rsid w:val="0097038D"/>
    <w:rsid w:val="0097047C"/>
    <w:rsid w:val="00970627"/>
    <w:rsid w:val="00970C56"/>
    <w:rsid w:val="009713FE"/>
    <w:rsid w:val="00971566"/>
    <w:rsid w:val="009716E8"/>
    <w:rsid w:val="009719C1"/>
    <w:rsid w:val="00971A33"/>
    <w:rsid w:val="00971E19"/>
    <w:rsid w:val="00972166"/>
    <w:rsid w:val="00972484"/>
    <w:rsid w:val="009725CE"/>
    <w:rsid w:val="009726C7"/>
    <w:rsid w:val="00972B9C"/>
    <w:rsid w:val="00972DAD"/>
    <w:rsid w:val="00973047"/>
    <w:rsid w:val="009734E7"/>
    <w:rsid w:val="00973659"/>
    <w:rsid w:val="00973873"/>
    <w:rsid w:val="0097396C"/>
    <w:rsid w:val="00973CB8"/>
    <w:rsid w:val="00973D52"/>
    <w:rsid w:val="00973E9B"/>
    <w:rsid w:val="009743E7"/>
    <w:rsid w:val="00974400"/>
    <w:rsid w:val="0097497C"/>
    <w:rsid w:val="009749D0"/>
    <w:rsid w:val="00974A0D"/>
    <w:rsid w:val="00974BEC"/>
    <w:rsid w:val="00975374"/>
    <w:rsid w:val="009756A8"/>
    <w:rsid w:val="009756DC"/>
    <w:rsid w:val="009757C3"/>
    <w:rsid w:val="009758A9"/>
    <w:rsid w:val="009759E3"/>
    <w:rsid w:val="00975A47"/>
    <w:rsid w:val="00975C97"/>
    <w:rsid w:val="00975E26"/>
    <w:rsid w:val="00976086"/>
    <w:rsid w:val="0097630B"/>
    <w:rsid w:val="00976695"/>
    <w:rsid w:val="00976DE8"/>
    <w:rsid w:val="00976ECC"/>
    <w:rsid w:val="00977123"/>
    <w:rsid w:val="00977A07"/>
    <w:rsid w:val="00977E4D"/>
    <w:rsid w:val="00980088"/>
    <w:rsid w:val="009802BE"/>
    <w:rsid w:val="0098056F"/>
    <w:rsid w:val="0098061A"/>
    <w:rsid w:val="009806D0"/>
    <w:rsid w:val="00980797"/>
    <w:rsid w:val="00980A1D"/>
    <w:rsid w:val="00981022"/>
    <w:rsid w:val="009811B6"/>
    <w:rsid w:val="009812A4"/>
    <w:rsid w:val="00981674"/>
    <w:rsid w:val="00981BC6"/>
    <w:rsid w:val="00981D7F"/>
    <w:rsid w:val="0098227B"/>
    <w:rsid w:val="00982413"/>
    <w:rsid w:val="009826E4"/>
    <w:rsid w:val="009832CE"/>
    <w:rsid w:val="00983300"/>
    <w:rsid w:val="0098344B"/>
    <w:rsid w:val="009834C6"/>
    <w:rsid w:val="0098358B"/>
    <w:rsid w:val="00983722"/>
    <w:rsid w:val="009837CE"/>
    <w:rsid w:val="0098382E"/>
    <w:rsid w:val="009838B0"/>
    <w:rsid w:val="00983BB5"/>
    <w:rsid w:val="009844E3"/>
    <w:rsid w:val="0098463C"/>
    <w:rsid w:val="00984774"/>
    <w:rsid w:val="009849B1"/>
    <w:rsid w:val="00984D06"/>
    <w:rsid w:val="00984DAA"/>
    <w:rsid w:val="00985131"/>
    <w:rsid w:val="00985477"/>
    <w:rsid w:val="009854D3"/>
    <w:rsid w:val="00985B7F"/>
    <w:rsid w:val="00985BFA"/>
    <w:rsid w:val="00985C85"/>
    <w:rsid w:val="009865AD"/>
    <w:rsid w:val="009867A0"/>
    <w:rsid w:val="0098699F"/>
    <w:rsid w:val="00986AE4"/>
    <w:rsid w:val="00986AF1"/>
    <w:rsid w:val="0098791E"/>
    <w:rsid w:val="00987C10"/>
    <w:rsid w:val="00987DC9"/>
    <w:rsid w:val="009901E7"/>
    <w:rsid w:val="00990290"/>
    <w:rsid w:val="0099071D"/>
    <w:rsid w:val="00990B8E"/>
    <w:rsid w:val="00991C13"/>
    <w:rsid w:val="00991E59"/>
    <w:rsid w:val="0099210B"/>
    <w:rsid w:val="0099217A"/>
    <w:rsid w:val="009924F0"/>
    <w:rsid w:val="00992CEC"/>
    <w:rsid w:val="00992D17"/>
    <w:rsid w:val="00993460"/>
    <w:rsid w:val="00993767"/>
    <w:rsid w:val="009937D3"/>
    <w:rsid w:val="00993984"/>
    <w:rsid w:val="00994057"/>
    <w:rsid w:val="00994286"/>
    <w:rsid w:val="009943CB"/>
    <w:rsid w:val="00994411"/>
    <w:rsid w:val="0099455D"/>
    <w:rsid w:val="009945AF"/>
    <w:rsid w:val="0099470F"/>
    <w:rsid w:val="00994BAE"/>
    <w:rsid w:val="00994F46"/>
    <w:rsid w:val="00995077"/>
    <w:rsid w:val="0099534F"/>
    <w:rsid w:val="0099537E"/>
    <w:rsid w:val="00995FF5"/>
    <w:rsid w:val="00996319"/>
    <w:rsid w:val="009964E2"/>
    <w:rsid w:val="0099673D"/>
    <w:rsid w:val="00996B27"/>
    <w:rsid w:val="00996D56"/>
    <w:rsid w:val="00997AB8"/>
    <w:rsid w:val="00997CBE"/>
    <w:rsid w:val="009A0037"/>
    <w:rsid w:val="009A08FE"/>
    <w:rsid w:val="009A0CB4"/>
    <w:rsid w:val="009A17FB"/>
    <w:rsid w:val="009A18C3"/>
    <w:rsid w:val="009A191D"/>
    <w:rsid w:val="009A19FA"/>
    <w:rsid w:val="009A1E12"/>
    <w:rsid w:val="009A1E91"/>
    <w:rsid w:val="009A21D1"/>
    <w:rsid w:val="009A2C18"/>
    <w:rsid w:val="009A2C83"/>
    <w:rsid w:val="009A311B"/>
    <w:rsid w:val="009A32C9"/>
    <w:rsid w:val="009A3BEB"/>
    <w:rsid w:val="009A3C7B"/>
    <w:rsid w:val="009A4150"/>
    <w:rsid w:val="009A43FD"/>
    <w:rsid w:val="009A4A1D"/>
    <w:rsid w:val="009A4E04"/>
    <w:rsid w:val="009A4FE4"/>
    <w:rsid w:val="009A55D4"/>
    <w:rsid w:val="009A5678"/>
    <w:rsid w:val="009A5751"/>
    <w:rsid w:val="009A583C"/>
    <w:rsid w:val="009A58B2"/>
    <w:rsid w:val="009A5CE1"/>
    <w:rsid w:val="009A5D84"/>
    <w:rsid w:val="009A6062"/>
    <w:rsid w:val="009A60D8"/>
    <w:rsid w:val="009A6100"/>
    <w:rsid w:val="009A65CC"/>
    <w:rsid w:val="009A6671"/>
    <w:rsid w:val="009A676E"/>
    <w:rsid w:val="009A6C95"/>
    <w:rsid w:val="009A6CE5"/>
    <w:rsid w:val="009A7166"/>
    <w:rsid w:val="009A72FC"/>
    <w:rsid w:val="009A7810"/>
    <w:rsid w:val="009A79ED"/>
    <w:rsid w:val="009B006B"/>
    <w:rsid w:val="009B01E3"/>
    <w:rsid w:val="009B02F4"/>
    <w:rsid w:val="009B03E6"/>
    <w:rsid w:val="009B088B"/>
    <w:rsid w:val="009B08A9"/>
    <w:rsid w:val="009B097D"/>
    <w:rsid w:val="009B0E7C"/>
    <w:rsid w:val="009B1151"/>
    <w:rsid w:val="009B159B"/>
    <w:rsid w:val="009B163D"/>
    <w:rsid w:val="009B18A7"/>
    <w:rsid w:val="009B22E6"/>
    <w:rsid w:val="009B2898"/>
    <w:rsid w:val="009B2949"/>
    <w:rsid w:val="009B2AF2"/>
    <w:rsid w:val="009B2AF4"/>
    <w:rsid w:val="009B2BD4"/>
    <w:rsid w:val="009B317B"/>
    <w:rsid w:val="009B34C7"/>
    <w:rsid w:val="009B35CD"/>
    <w:rsid w:val="009B386E"/>
    <w:rsid w:val="009B3E33"/>
    <w:rsid w:val="009B3EA6"/>
    <w:rsid w:val="009B3F8F"/>
    <w:rsid w:val="009B43CA"/>
    <w:rsid w:val="009B44B9"/>
    <w:rsid w:val="009B460F"/>
    <w:rsid w:val="009B473F"/>
    <w:rsid w:val="009B48B8"/>
    <w:rsid w:val="009B4B40"/>
    <w:rsid w:val="009B4CF4"/>
    <w:rsid w:val="009B621E"/>
    <w:rsid w:val="009B6B1C"/>
    <w:rsid w:val="009B6CA0"/>
    <w:rsid w:val="009B6FF9"/>
    <w:rsid w:val="009B70CF"/>
    <w:rsid w:val="009B71F5"/>
    <w:rsid w:val="009B722F"/>
    <w:rsid w:val="009B72B0"/>
    <w:rsid w:val="009B72CE"/>
    <w:rsid w:val="009C0245"/>
    <w:rsid w:val="009C0AC2"/>
    <w:rsid w:val="009C0B73"/>
    <w:rsid w:val="009C0E59"/>
    <w:rsid w:val="009C15AC"/>
    <w:rsid w:val="009C1AD3"/>
    <w:rsid w:val="009C1D58"/>
    <w:rsid w:val="009C24E1"/>
    <w:rsid w:val="009C2696"/>
    <w:rsid w:val="009C2A3F"/>
    <w:rsid w:val="009C2A92"/>
    <w:rsid w:val="009C2B18"/>
    <w:rsid w:val="009C332F"/>
    <w:rsid w:val="009C3347"/>
    <w:rsid w:val="009C3688"/>
    <w:rsid w:val="009C3E8C"/>
    <w:rsid w:val="009C4106"/>
    <w:rsid w:val="009C41CC"/>
    <w:rsid w:val="009C4268"/>
    <w:rsid w:val="009C4631"/>
    <w:rsid w:val="009C4C72"/>
    <w:rsid w:val="009C4C78"/>
    <w:rsid w:val="009C4CBC"/>
    <w:rsid w:val="009C4FC1"/>
    <w:rsid w:val="009C55B3"/>
    <w:rsid w:val="009C5963"/>
    <w:rsid w:val="009C6232"/>
    <w:rsid w:val="009C649D"/>
    <w:rsid w:val="009C6966"/>
    <w:rsid w:val="009C6A0E"/>
    <w:rsid w:val="009C6A2C"/>
    <w:rsid w:val="009C6C76"/>
    <w:rsid w:val="009C6FF8"/>
    <w:rsid w:val="009C70DC"/>
    <w:rsid w:val="009C7187"/>
    <w:rsid w:val="009C7447"/>
    <w:rsid w:val="009C745A"/>
    <w:rsid w:val="009C7907"/>
    <w:rsid w:val="009C7A5C"/>
    <w:rsid w:val="009C7A61"/>
    <w:rsid w:val="009C7B7E"/>
    <w:rsid w:val="009C7ED1"/>
    <w:rsid w:val="009C7EF3"/>
    <w:rsid w:val="009D0A5C"/>
    <w:rsid w:val="009D0A99"/>
    <w:rsid w:val="009D0E73"/>
    <w:rsid w:val="009D18DC"/>
    <w:rsid w:val="009D19F9"/>
    <w:rsid w:val="009D1EFA"/>
    <w:rsid w:val="009D21F3"/>
    <w:rsid w:val="009D2282"/>
    <w:rsid w:val="009D2551"/>
    <w:rsid w:val="009D26A5"/>
    <w:rsid w:val="009D2B87"/>
    <w:rsid w:val="009D2C07"/>
    <w:rsid w:val="009D2C6F"/>
    <w:rsid w:val="009D3B21"/>
    <w:rsid w:val="009D3BDB"/>
    <w:rsid w:val="009D3E49"/>
    <w:rsid w:val="009D457B"/>
    <w:rsid w:val="009D483E"/>
    <w:rsid w:val="009D4A70"/>
    <w:rsid w:val="009D4BF2"/>
    <w:rsid w:val="009D4CFD"/>
    <w:rsid w:val="009D5227"/>
    <w:rsid w:val="009D5387"/>
    <w:rsid w:val="009D5985"/>
    <w:rsid w:val="009D5BA1"/>
    <w:rsid w:val="009D5CD6"/>
    <w:rsid w:val="009D5FC8"/>
    <w:rsid w:val="009D601F"/>
    <w:rsid w:val="009D6266"/>
    <w:rsid w:val="009D6820"/>
    <w:rsid w:val="009D6EEA"/>
    <w:rsid w:val="009D7025"/>
    <w:rsid w:val="009D7261"/>
    <w:rsid w:val="009D72F9"/>
    <w:rsid w:val="009D7A63"/>
    <w:rsid w:val="009D7DE9"/>
    <w:rsid w:val="009D7FB6"/>
    <w:rsid w:val="009D7FD6"/>
    <w:rsid w:val="009E009B"/>
    <w:rsid w:val="009E014B"/>
    <w:rsid w:val="009E031D"/>
    <w:rsid w:val="009E0BDC"/>
    <w:rsid w:val="009E0F67"/>
    <w:rsid w:val="009E134F"/>
    <w:rsid w:val="009E16A1"/>
    <w:rsid w:val="009E19F6"/>
    <w:rsid w:val="009E1C18"/>
    <w:rsid w:val="009E1DC4"/>
    <w:rsid w:val="009E1F88"/>
    <w:rsid w:val="009E203F"/>
    <w:rsid w:val="009E2087"/>
    <w:rsid w:val="009E2088"/>
    <w:rsid w:val="009E2401"/>
    <w:rsid w:val="009E275C"/>
    <w:rsid w:val="009E27BE"/>
    <w:rsid w:val="009E2AD9"/>
    <w:rsid w:val="009E34AE"/>
    <w:rsid w:val="009E3506"/>
    <w:rsid w:val="009E3570"/>
    <w:rsid w:val="009E3589"/>
    <w:rsid w:val="009E36A0"/>
    <w:rsid w:val="009E465C"/>
    <w:rsid w:val="009E48E5"/>
    <w:rsid w:val="009E48EB"/>
    <w:rsid w:val="009E4AA8"/>
    <w:rsid w:val="009E4D0E"/>
    <w:rsid w:val="009E5180"/>
    <w:rsid w:val="009E5380"/>
    <w:rsid w:val="009E58BD"/>
    <w:rsid w:val="009E5AB0"/>
    <w:rsid w:val="009E5C2A"/>
    <w:rsid w:val="009E6017"/>
    <w:rsid w:val="009E65B9"/>
    <w:rsid w:val="009E66BC"/>
    <w:rsid w:val="009E677C"/>
    <w:rsid w:val="009E6ABC"/>
    <w:rsid w:val="009E708B"/>
    <w:rsid w:val="009E71AD"/>
    <w:rsid w:val="009E720E"/>
    <w:rsid w:val="009E726C"/>
    <w:rsid w:val="009E72CC"/>
    <w:rsid w:val="009E7AF4"/>
    <w:rsid w:val="009E7CFF"/>
    <w:rsid w:val="009E7EAF"/>
    <w:rsid w:val="009E7EC6"/>
    <w:rsid w:val="009E7F33"/>
    <w:rsid w:val="009F0354"/>
    <w:rsid w:val="009F0657"/>
    <w:rsid w:val="009F0CDA"/>
    <w:rsid w:val="009F0FF8"/>
    <w:rsid w:val="009F1267"/>
    <w:rsid w:val="009F1418"/>
    <w:rsid w:val="009F179B"/>
    <w:rsid w:val="009F1A40"/>
    <w:rsid w:val="009F1CA4"/>
    <w:rsid w:val="009F221C"/>
    <w:rsid w:val="009F229D"/>
    <w:rsid w:val="009F23EB"/>
    <w:rsid w:val="009F2510"/>
    <w:rsid w:val="009F2A71"/>
    <w:rsid w:val="009F2CEC"/>
    <w:rsid w:val="009F3412"/>
    <w:rsid w:val="009F347E"/>
    <w:rsid w:val="009F37B5"/>
    <w:rsid w:val="009F3D4E"/>
    <w:rsid w:val="009F4407"/>
    <w:rsid w:val="009F47AD"/>
    <w:rsid w:val="009F4DC0"/>
    <w:rsid w:val="009F4E16"/>
    <w:rsid w:val="009F502C"/>
    <w:rsid w:val="009F50A5"/>
    <w:rsid w:val="009F5151"/>
    <w:rsid w:val="009F5AC0"/>
    <w:rsid w:val="009F5C5F"/>
    <w:rsid w:val="009F5C61"/>
    <w:rsid w:val="009F5F03"/>
    <w:rsid w:val="009F60FB"/>
    <w:rsid w:val="009F6722"/>
    <w:rsid w:val="009F69B9"/>
    <w:rsid w:val="009F6E67"/>
    <w:rsid w:val="009F6EB3"/>
    <w:rsid w:val="009F7915"/>
    <w:rsid w:val="009F7B27"/>
    <w:rsid w:val="009F7C81"/>
    <w:rsid w:val="009F7D2C"/>
    <w:rsid w:val="009F7D73"/>
    <w:rsid w:val="009F7F65"/>
    <w:rsid w:val="00A00529"/>
    <w:rsid w:val="00A00D88"/>
    <w:rsid w:val="00A01304"/>
    <w:rsid w:val="00A01714"/>
    <w:rsid w:val="00A0171B"/>
    <w:rsid w:val="00A01CAF"/>
    <w:rsid w:val="00A01CF8"/>
    <w:rsid w:val="00A01E34"/>
    <w:rsid w:val="00A02115"/>
    <w:rsid w:val="00A0215C"/>
    <w:rsid w:val="00A024B8"/>
    <w:rsid w:val="00A02667"/>
    <w:rsid w:val="00A030FC"/>
    <w:rsid w:val="00A03205"/>
    <w:rsid w:val="00A034B4"/>
    <w:rsid w:val="00A037CA"/>
    <w:rsid w:val="00A037EC"/>
    <w:rsid w:val="00A03847"/>
    <w:rsid w:val="00A03BCA"/>
    <w:rsid w:val="00A03C06"/>
    <w:rsid w:val="00A03F7B"/>
    <w:rsid w:val="00A03FC9"/>
    <w:rsid w:val="00A0453A"/>
    <w:rsid w:val="00A04566"/>
    <w:rsid w:val="00A046A3"/>
    <w:rsid w:val="00A04D4D"/>
    <w:rsid w:val="00A04F66"/>
    <w:rsid w:val="00A051A6"/>
    <w:rsid w:val="00A0544B"/>
    <w:rsid w:val="00A059B4"/>
    <w:rsid w:val="00A05D57"/>
    <w:rsid w:val="00A05FB8"/>
    <w:rsid w:val="00A066C9"/>
    <w:rsid w:val="00A06BED"/>
    <w:rsid w:val="00A07161"/>
    <w:rsid w:val="00A07717"/>
    <w:rsid w:val="00A07B83"/>
    <w:rsid w:val="00A1027B"/>
    <w:rsid w:val="00A10286"/>
    <w:rsid w:val="00A105E8"/>
    <w:rsid w:val="00A10985"/>
    <w:rsid w:val="00A10AE5"/>
    <w:rsid w:val="00A10FD6"/>
    <w:rsid w:val="00A110AF"/>
    <w:rsid w:val="00A114C6"/>
    <w:rsid w:val="00A118DD"/>
    <w:rsid w:val="00A11AC5"/>
    <w:rsid w:val="00A11BC6"/>
    <w:rsid w:val="00A11D5F"/>
    <w:rsid w:val="00A11D86"/>
    <w:rsid w:val="00A11E9A"/>
    <w:rsid w:val="00A121B0"/>
    <w:rsid w:val="00A12367"/>
    <w:rsid w:val="00A124EF"/>
    <w:rsid w:val="00A1271C"/>
    <w:rsid w:val="00A12BF2"/>
    <w:rsid w:val="00A12C60"/>
    <w:rsid w:val="00A12FF3"/>
    <w:rsid w:val="00A13154"/>
    <w:rsid w:val="00A133BB"/>
    <w:rsid w:val="00A13448"/>
    <w:rsid w:val="00A13E45"/>
    <w:rsid w:val="00A1462A"/>
    <w:rsid w:val="00A14737"/>
    <w:rsid w:val="00A1478E"/>
    <w:rsid w:val="00A1495C"/>
    <w:rsid w:val="00A149E6"/>
    <w:rsid w:val="00A14C95"/>
    <w:rsid w:val="00A14E02"/>
    <w:rsid w:val="00A14F77"/>
    <w:rsid w:val="00A14F8D"/>
    <w:rsid w:val="00A15090"/>
    <w:rsid w:val="00A1513E"/>
    <w:rsid w:val="00A155BB"/>
    <w:rsid w:val="00A15638"/>
    <w:rsid w:val="00A15F5E"/>
    <w:rsid w:val="00A15F91"/>
    <w:rsid w:val="00A15FBC"/>
    <w:rsid w:val="00A15FD9"/>
    <w:rsid w:val="00A160B8"/>
    <w:rsid w:val="00A167F5"/>
    <w:rsid w:val="00A16AE5"/>
    <w:rsid w:val="00A16DD1"/>
    <w:rsid w:val="00A17500"/>
    <w:rsid w:val="00A1785F"/>
    <w:rsid w:val="00A202ED"/>
    <w:rsid w:val="00A20AEA"/>
    <w:rsid w:val="00A20B3E"/>
    <w:rsid w:val="00A20B90"/>
    <w:rsid w:val="00A20BB9"/>
    <w:rsid w:val="00A210D8"/>
    <w:rsid w:val="00A213B6"/>
    <w:rsid w:val="00A21508"/>
    <w:rsid w:val="00A21BA3"/>
    <w:rsid w:val="00A21EC1"/>
    <w:rsid w:val="00A21FB6"/>
    <w:rsid w:val="00A2216C"/>
    <w:rsid w:val="00A22495"/>
    <w:rsid w:val="00A224AE"/>
    <w:rsid w:val="00A2255C"/>
    <w:rsid w:val="00A2257B"/>
    <w:rsid w:val="00A225DC"/>
    <w:rsid w:val="00A22714"/>
    <w:rsid w:val="00A228DC"/>
    <w:rsid w:val="00A22B95"/>
    <w:rsid w:val="00A22C40"/>
    <w:rsid w:val="00A22D25"/>
    <w:rsid w:val="00A23A2A"/>
    <w:rsid w:val="00A23DDA"/>
    <w:rsid w:val="00A23EDB"/>
    <w:rsid w:val="00A24311"/>
    <w:rsid w:val="00A24828"/>
    <w:rsid w:val="00A249B4"/>
    <w:rsid w:val="00A24BE8"/>
    <w:rsid w:val="00A24D10"/>
    <w:rsid w:val="00A24E85"/>
    <w:rsid w:val="00A24ECF"/>
    <w:rsid w:val="00A25012"/>
    <w:rsid w:val="00A2530D"/>
    <w:rsid w:val="00A2583C"/>
    <w:rsid w:val="00A25BFB"/>
    <w:rsid w:val="00A25D37"/>
    <w:rsid w:val="00A25E0F"/>
    <w:rsid w:val="00A25FA6"/>
    <w:rsid w:val="00A2609C"/>
    <w:rsid w:val="00A2630F"/>
    <w:rsid w:val="00A265DF"/>
    <w:rsid w:val="00A26770"/>
    <w:rsid w:val="00A26A89"/>
    <w:rsid w:val="00A26D6D"/>
    <w:rsid w:val="00A27899"/>
    <w:rsid w:val="00A2794E"/>
    <w:rsid w:val="00A27C58"/>
    <w:rsid w:val="00A27DF0"/>
    <w:rsid w:val="00A30449"/>
    <w:rsid w:val="00A305C7"/>
    <w:rsid w:val="00A3082E"/>
    <w:rsid w:val="00A308F5"/>
    <w:rsid w:val="00A309C0"/>
    <w:rsid w:val="00A30CE6"/>
    <w:rsid w:val="00A30F5E"/>
    <w:rsid w:val="00A31196"/>
    <w:rsid w:val="00A3119C"/>
    <w:rsid w:val="00A311AD"/>
    <w:rsid w:val="00A317E2"/>
    <w:rsid w:val="00A319B6"/>
    <w:rsid w:val="00A319BC"/>
    <w:rsid w:val="00A31A4A"/>
    <w:rsid w:val="00A31C0A"/>
    <w:rsid w:val="00A31C4C"/>
    <w:rsid w:val="00A31F25"/>
    <w:rsid w:val="00A3202D"/>
    <w:rsid w:val="00A32332"/>
    <w:rsid w:val="00A32C2C"/>
    <w:rsid w:val="00A32D11"/>
    <w:rsid w:val="00A32D7E"/>
    <w:rsid w:val="00A32EF3"/>
    <w:rsid w:val="00A338DA"/>
    <w:rsid w:val="00A33D39"/>
    <w:rsid w:val="00A33E06"/>
    <w:rsid w:val="00A3404D"/>
    <w:rsid w:val="00A3415C"/>
    <w:rsid w:val="00A343BC"/>
    <w:rsid w:val="00A348CD"/>
    <w:rsid w:val="00A3507F"/>
    <w:rsid w:val="00A354C9"/>
    <w:rsid w:val="00A356FA"/>
    <w:rsid w:val="00A357E2"/>
    <w:rsid w:val="00A35807"/>
    <w:rsid w:val="00A359E5"/>
    <w:rsid w:val="00A35CE2"/>
    <w:rsid w:val="00A35EE4"/>
    <w:rsid w:val="00A363E2"/>
    <w:rsid w:val="00A3678C"/>
    <w:rsid w:val="00A368E7"/>
    <w:rsid w:val="00A3690E"/>
    <w:rsid w:val="00A36E74"/>
    <w:rsid w:val="00A3721F"/>
    <w:rsid w:val="00A376E6"/>
    <w:rsid w:val="00A37984"/>
    <w:rsid w:val="00A37985"/>
    <w:rsid w:val="00A37A4B"/>
    <w:rsid w:val="00A37AC9"/>
    <w:rsid w:val="00A37D52"/>
    <w:rsid w:val="00A37FDE"/>
    <w:rsid w:val="00A4006A"/>
    <w:rsid w:val="00A4022B"/>
    <w:rsid w:val="00A4028A"/>
    <w:rsid w:val="00A4067F"/>
    <w:rsid w:val="00A40A25"/>
    <w:rsid w:val="00A40C24"/>
    <w:rsid w:val="00A40F0D"/>
    <w:rsid w:val="00A40F12"/>
    <w:rsid w:val="00A40FD0"/>
    <w:rsid w:val="00A41044"/>
    <w:rsid w:val="00A41056"/>
    <w:rsid w:val="00A411B6"/>
    <w:rsid w:val="00A4149C"/>
    <w:rsid w:val="00A41A88"/>
    <w:rsid w:val="00A41E9B"/>
    <w:rsid w:val="00A41F8C"/>
    <w:rsid w:val="00A42132"/>
    <w:rsid w:val="00A42594"/>
    <w:rsid w:val="00A42691"/>
    <w:rsid w:val="00A426C2"/>
    <w:rsid w:val="00A42C1E"/>
    <w:rsid w:val="00A43091"/>
    <w:rsid w:val="00A434DE"/>
    <w:rsid w:val="00A43945"/>
    <w:rsid w:val="00A439D0"/>
    <w:rsid w:val="00A43C8C"/>
    <w:rsid w:val="00A43CE7"/>
    <w:rsid w:val="00A43FEA"/>
    <w:rsid w:val="00A44025"/>
    <w:rsid w:val="00A441EA"/>
    <w:rsid w:val="00A445EF"/>
    <w:rsid w:val="00A4466A"/>
    <w:rsid w:val="00A44B23"/>
    <w:rsid w:val="00A44F4F"/>
    <w:rsid w:val="00A4513F"/>
    <w:rsid w:val="00A45397"/>
    <w:rsid w:val="00A453F3"/>
    <w:rsid w:val="00A455C5"/>
    <w:rsid w:val="00A457CD"/>
    <w:rsid w:val="00A45B28"/>
    <w:rsid w:val="00A46091"/>
    <w:rsid w:val="00A46391"/>
    <w:rsid w:val="00A46CF9"/>
    <w:rsid w:val="00A46D4D"/>
    <w:rsid w:val="00A4768D"/>
    <w:rsid w:val="00A4781D"/>
    <w:rsid w:val="00A50494"/>
    <w:rsid w:val="00A50A0A"/>
    <w:rsid w:val="00A50DA3"/>
    <w:rsid w:val="00A50DDC"/>
    <w:rsid w:val="00A50F89"/>
    <w:rsid w:val="00A51372"/>
    <w:rsid w:val="00A513B8"/>
    <w:rsid w:val="00A51441"/>
    <w:rsid w:val="00A51CB7"/>
    <w:rsid w:val="00A51F99"/>
    <w:rsid w:val="00A520F2"/>
    <w:rsid w:val="00A521DD"/>
    <w:rsid w:val="00A52611"/>
    <w:rsid w:val="00A52802"/>
    <w:rsid w:val="00A52C7A"/>
    <w:rsid w:val="00A52DCC"/>
    <w:rsid w:val="00A52DD9"/>
    <w:rsid w:val="00A53144"/>
    <w:rsid w:val="00A53819"/>
    <w:rsid w:val="00A53984"/>
    <w:rsid w:val="00A539D6"/>
    <w:rsid w:val="00A53CB5"/>
    <w:rsid w:val="00A53D29"/>
    <w:rsid w:val="00A53E58"/>
    <w:rsid w:val="00A540AB"/>
    <w:rsid w:val="00A544FE"/>
    <w:rsid w:val="00A54B3A"/>
    <w:rsid w:val="00A54B42"/>
    <w:rsid w:val="00A54D20"/>
    <w:rsid w:val="00A5504A"/>
    <w:rsid w:val="00A552D2"/>
    <w:rsid w:val="00A55981"/>
    <w:rsid w:val="00A55D6D"/>
    <w:rsid w:val="00A55FAF"/>
    <w:rsid w:val="00A55FD3"/>
    <w:rsid w:val="00A562B5"/>
    <w:rsid w:val="00A56340"/>
    <w:rsid w:val="00A564E8"/>
    <w:rsid w:val="00A568E9"/>
    <w:rsid w:val="00A56EBD"/>
    <w:rsid w:val="00A574EB"/>
    <w:rsid w:val="00A5756B"/>
    <w:rsid w:val="00A57588"/>
    <w:rsid w:val="00A5765C"/>
    <w:rsid w:val="00A57807"/>
    <w:rsid w:val="00A6003F"/>
    <w:rsid w:val="00A601D3"/>
    <w:rsid w:val="00A6056F"/>
    <w:rsid w:val="00A60644"/>
    <w:rsid w:val="00A606D3"/>
    <w:rsid w:val="00A609E3"/>
    <w:rsid w:val="00A60C96"/>
    <w:rsid w:val="00A60D11"/>
    <w:rsid w:val="00A60F2C"/>
    <w:rsid w:val="00A613B1"/>
    <w:rsid w:val="00A62188"/>
    <w:rsid w:val="00A625ED"/>
    <w:rsid w:val="00A62731"/>
    <w:rsid w:val="00A62C5D"/>
    <w:rsid w:val="00A62CCC"/>
    <w:rsid w:val="00A62D0D"/>
    <w:rsid w:val="00A63246"/>
    <w:rsid w:val="00A63858"/>
    <w:rsid w:val="00A6386C"/>
    <w:rsid w:val="00A638B5"/>
    <w:rsid w:val="00A638FB"/>
    <w:rsid w:val="00A63D0B"/>
    <w:rsid w:val="00A63DF9"/>
    <w:rsid w:val="00A63FB9"/>
    <w:rsid w:val="00A640FC"/>
    <w:rsid w:val="00A6425E"/>
    <w:rsid w:val="00A64F1C"/>
    <w:rsid w:val="00A64FFD"/>
    <w:rsid w:val="00A6500F"/>
    <w:rsid w:val="00A6520F"/>
    <w:rsid w:val="00A65AF6"/>
    <w:rsid w:val="00A65CBE"/>
    <w:rsid w:val="00A65D72"/>
    <w:rsid w:val="00A65E7B"/>
    <w:rsid w:val="00A66663"/>
    <w:rsid w:val="00A669B8"/>
    <w:rsid w:val="00A669BD"/>
    <w:rsid w:val="00A66D78"/>
    <w:rsid w:val="00A6706E"/>
    <w:rsid w:val="00A671B2"/>
    <w:rsid w:val="00A671F3"/>
    <w:rsid w:val="00A6733E"/>
    <w:rsid w:val="00A673E5"/>
    <w:rsid w:val="00A67D06"/>
    <w:rsid w:val="00A67D4D"/>
    <w:rsid w:val="00A70B34"/>
    <w:rsid w:val="00A70BF9"/>
    <w:rsid w:val="00A711BE"/>
    <w:rsid w:val="00A71583"/>
    <w:rsid w:val="00A71E6A"/>
    <w:rsid w:val="00A71FEF"/>
    <w:rsid w:val="00A71FF2"/>
    <w:rsid w:val="00A722C7"/>
    <w:rsid w:val="00A7237E"/>
    <w:rsid w:val="00A724D9"/>
    <w:rsid w:val="00A72F92"/>
    <w:rsid w:val="00A73232"/>
    <w:rsid w:val="00A733D7"/>
    <w:rsid w:val="00A73689"/>
    <w:rsid w:val="00A7393D"/>
    <w:rsid w:val="00A73B3F"/>
    <w:rsid w:val="00A73ECE"/>
    <w:rsid w:val="00A740A3"/>
    <w:rsid w:val="00A740B0"/>
    <w:rsid w:val="00A74B08"/>
    <w:rsid w:val="00A74C31"/>
    <w:rsid w:val="00A74E6C"/>
    <w:rsid w:val="00A74F2B"/>
    <w:rsid w:val="00A752D4"/>
    <w:rsid w:val="00A7535E"/>
    <w:rsid w:val="00A7544B"/>
    <w:rsid w:val="00A7561F"/>
    <w:rsid w:val="00A7594E"/>
    <w:rsid w:val="00A75996"/>
    <w:rsid w:val="00A76542"/>
    <w:rsid w:val="00A768A3"/>
    <w:rsid w:val="00A76A57"/>
    <w:rsid w:val="00A76CA6"/>
    <w:rsid w:val="00A76D6A"/>
    <w:rsid w:val="00A76DEE"/>
    <w:rsid w:val="00A770D0"/>
    <w:rsid w:val="00A771E7"/>
    <w:rsid w:val="00A7744B"/>
    <w:rsid w:val="00A77522"/>
    <w:rsid w:val="00A77D13"/>
    <w:rsid w:val="00A77F41"/>
    <w:rsid w:val="00A8014B"/>
    <w:rsid w:val="00A8030D"/>
    <w:rsid w:val="00A8040C"/>
    <w:rsid w:val="00A804C7"/>
    <w:rsid w:val="00A80650"/>
    <w:rsid w:val="00A80679"/>
    <w:rsid w:val="00A80739"/>
    <w:rsid w:val="00A80819"/>
    <w:rsid w:val="00A80B2F"/>
    <w:rsid w:val="00A810B2"/>
    <w:rsid w:val="00A8136E"/>
    <w:rsid w:val="00A813EC"/>
    <w:rsid w:val="00A81435"/>
    <w:rsid w:val="00A81518"/>
    <w:rsid w:val="00A815A3"/>
    <w:rsid w:val="00A815C3"/>
    <w:rsid w:val="00A81848"/>
    <w:rsid w:val="00A8199D"/>
    <w:rsid w:val="00A82313"/>
    <w:rsid w:val="00A823C1"/>
    <w:rsid w:val="00A8247C"/>
    <w:rsid w:val="00A8254C"/>
    <w:rsid w:val="00A82623"/>
    <w:rsid w:val="00A827C4"/>
    <w:rsid w:val="00A829FA"/>
    <w:rsid w:val="00A82A85"/>
    <w:rsid w:val="00A82FF1"/>
    <w:rsid w:val="00A83087"/>
    <w:rsid w:val="00A831AA"/>
    <w:rsid w:val="00A84455"/>
    <w:rsid w:val="00A846F4"/>
    <w:rsid w:val="00A84A27"/>
    <w:rsid w:val="00A84B39"/>
    <w:rsid w:val="00A84DFE"/>
    <w:rsid w:val="00A851BD"/>
    <w:rsid w:val="00A851F0"/>
    <w:rsid w:val="00A85343"/>
    <w:rsid w:val="00A853A3"/>
    <w:rsid w:val="00A85766"/>
    <w:rsid w:val="00A8612B"/>
    <w:rsid w:val="00A862BF"/>
    <w:rsid w:val="00A862F6"/>
    <w:rsid w:val="00A863B6"/>
    <w:rsid w:val="00A863E0"/>
    <w:rsid w:val="00A86682"/>
    <w:rsid w:val="00A86880"/>
    <w:rsid w:val="00A86B40"/>
    <w:rsid w:val="00A86E9A"/>
    <w:rsid w:val="00A86FBA"/>
    <w:rsid w:val="00A87508"/>
    <w:rsid w:val="00A87910"/>
    <w:rsid w:val="00A87B77"/>
    <w:rsid w:val="00A9029B"/>
    <w:rsid w:val="00A904AC"/>
    <w:rsid w:val="00A9060A"/>
    <w:rsid w:val="00A90783"/>
    <w:rsid w:val="00A90885"/>
    <w:rsid w:val="00A90A42"/>
    <w:rsid w:val="00A90F00"/>
    <w:rsid w:val="00A91050"/>
    <w:rsid w:val="00A9113C"/>
    <w:rsid w:val="00A91322"/>
    <w:rsid w:val="00A9146B"/>
    <w:rsid w:val="00A9196A"/>
    <w:rsid w:val="00A91BA0"/>
    <w:rsid w:val="00A91F26"/>
    <w:rsid w:val="00A92012"/>
    <w:rsid w:val="00A92E54"/>
    <w:rsid w:val="00A92EC0"/>
    <w:rsid w:val="00A9316B"/>
    <w:rsid w:val="00A93C10"/>
    <w:rsid w:val="00A93C32"/>
    <w:rsid w:val="00A93D7E"/>
    <w:rsid w:val="00A93ED0"/>
    <w:rsid w:val="00A93FDF"/>
    <w:rsid w:val="00A941C5"/>
    <w:rsid w:val="00A943ED"/>
    <w:rsid w:val="00A9478B"/>
    <w:rsid w:val="00A949DB"/>
    <w:rsid w:val="00A95004"/>
    <w:rsid w:val="00A953CC"/>
    <w:rsid w:val="00A95929"/>
    <w:rsid w:val="00A95A2A"/>
    <w:rsid w:val="00A95A5A"/>
    <w:rsid w:val="00A95A83"/>
    <w:rsid w:val="00A95B32"/>
    <w:rsid w:val="00A95DF0"/>
    <w:rsid w:val="00A962A4"/>
    <w:rsid w:val="00A96424"/>
    <w:rsid w:val="00A96456"/>
    <w:rsid w:val="00A969BF"/>
    <w:rsid w:val="00A96A98"/>
    <w:rsid w:val="00A96A9D"/>
    <w:rsid w:val="00A96DE5"/>
    <w:rsid w:val="00A974BB"/>
    <w:rsid w:val="00A97508"/>
    <w:rsid w:val="00A97961"/>
    <w:rsid w:val="00A97A3F"/>
    <w:rsid w:val="00A97FC5"/>
    <w:rsid w:val="00A97FD7"/>
    <w:rsid w:val="00AA0121"/>
    <w:rsid w:val="00AA0268"/>
    <w:rsid w:val="00AA04AD"/>
    <w:rsid w:val="00AA04D8"/>
    <w:rsid w:val="00AA0596"/>
    <w:rsid w:val="00AA08E3"/>
    <w:rsid w:val="00AA094A"/>
    <w:rsid w:val="00AA09D2"/>
    <w:rsid w:val="00AA0E2B"/>
    <w:rsid w:val="00AA0EB9"/>
    <w:rsid w:val="00AA1075"/>
    <w:rsid w:val="00AA174D"/>
    <w:rsid w:val="00AA1809"/>
    <w:rsid w:val="00AA18E8"/>
    <w:rsid w:val="00AA194B"/>
    <w:rsid w:val="00AA1AAB"/>
    <w:rsid w:val="00AA1DF3"/>
    <w:rsid w:val="00AA20E7"/>
    <w:rsid w:val="00AA217C"/>
    <w:rsid w:val="00AA225E"/>
    <w:rsid w:val="00AA2382"/>
    <w:rsid w:val="00AA26AE"/>
    <w:rsid w:val="00AA26CC"/>
    <w:rsid w:val="00AA2E6A"/>
    <w:rsid w:val="00AA2F5A"/>
    <w:rsid w:val="00AA3704"/>
    <w:rsid w:val="00AA3891"/>
    <w:rsid w:val="00AA390E"/>
    <w:rsid w:val="00AA3E01"/>
    <w:rsid w:val="00AA4242"/>
    <w:rsid w:val="00AA42F2"/>
    <w:rsid w:val="00AA4344"/>
    <w:rsid w:val="00AA4702"/>
    <w:rsid w:val="00AA4899"/>
    <w:rsid w:val="00AA4AB6"/>
    <w:rsid w:val="00AA4D13"/>
    <w:rsid w:val="00AA4D5E"/>
    <w:rsid w:val="00AA4F2E"/>
    <w:rsid w:val="00AA4F3E"/>
    <w:rsid w:val="00AA4FC6"/>
    <w:rsid w:val="00AA5219"/>
    <w:rsid w:val="00AA57C9"/>
    <w:rsid w:val="00AA5911"/>
    <w:rsid w:val="00AA5C21"/>
    <w:rsid w:val="00AA5C4A"/>
    <w:rsid w:val="00AA60A1"/>
    <w:rsid w:val="00AA6367"/>
    <w:rsid w:val="00AA6369"/>
    <w:rsid w:val="00AA63D2"/>
    <w:rsid w:val="00AA6893"/>
    <w:rsid w:val="00AA6AE9"/>
    <w:rsid w:val="00AA6B66"/>
    <w:rsid w:val="00AA6C18"/>
    <w:rsid w:val="00AA7002"/>
    <w:rsid w:val="00AA72CF"/>
    <w:rsid w:val="00AA7A05"/>
    <w:rsid w:val="00AB015C"/>
    <w:rsid w:val="00AB0569"/>
    <w:rsid w:val="00AB06A2"/>
    <w:rsid w:val="00AB0D50"/>
    <w:rsid w:val="00AB0D93"/>
    <w:rsid w:val="00AB0FB0"/>
    <w:rsid w:val="00AB0FF4"/>
    <w:rsid w:val="00AB103B"/>
    <w:rsid w:val="00AB132C"/>
    <w:rsid w:val="00AB152A"/>
    <w:rsid w:val="00AB157E"/>
    <w:rsid w:val="00AB18C2"/>
    <w:rsid w:val="00AB1FFB"/>
    <w:rsid w:val="00AB2031"/>
    <w:rsid w:val="00AB23F4"/>
    <w:rsid w:val="00AB2A29"/>
    <w:rsid w:val="00AB2B11"/>
    <w:rsid w:val="00AB309F"/>
    <w:rsid w:val="00AB33B6"/>
    <w:rsid w:val="00AB3598"/>
    <w:rsid w:val="00AB37BB"/>
    <w:rsid w:val="00AB3B26"/>
    <w:rsid w:val="00AB3E57"/>
    <w:rsid w:val="00AB403C"/>
    <w:rsid w:val="00AB40DD"/>
    <w:rsid w:val="00AB482D"/>
    <w:rsid w:val="00AB48BD"/>
    <w:rsid w:val="00AB48E1"/>
    <w:rsid w:val="00AB4B3A"/>
    <w:rsid w:val="00AB4BE9"/>
    <w:rsid w:val="00AB4DB4"/>
    <w:rsid w:val="00AB4DF7"/>
    <w:rsid w:val="00AB5066"/>
    <w:rsid w:val="00AB5809"/>
    <w:rsid w:val="00AB5895"/>
    <w:rsid w:val="00AB5998"/>
    <w:rsid w:val="00AB5AD9"/>
    <w:rsid w:val="00AB5FC2"/>
    <w:rsid w:val="00AB620A"/>
    <w:rsid w:val="00AB641A"/>
    <w:rsid w:val="00AB6784"/>
    <w:rsid w:val="00AB7378"/>
    <w:rsid w:val="00AB743B"/>
    <w:rsid w:val="00AB78CD"/>
    <w:rsid w:val="00AB792A"/>
    <w:rsid w:val="00AB797A"/>
    <w:rsid w:val="00AB7E72"/>
    <w:rsid w:val="00AC0202"/>
    <w:rsid w:val="00AC0218"/>
    <w:rsid w:val="00AC021D"/>
    <w:rsid w:val="00AC0B4A"/>
    <w:rsid w:val="00AC0DF3"/>
    <w:rsid w:val="00AC1051"/>
    <w:rsid w:val="00AC15C7"/>
    <w:rsid w:val="00AC15D5"/>
    <w:rsid w:val="00AC1AF7"/>
    <w:rsid w:val="00AC2804"/>
    <w:rsid w:val="00AC29F8"/>
    <w:rsid w:val="00AC2C64"/>
    <w:rsid w:val="00AC34BD"/>
    <w:rsid w:val="00AC34F4"/>
    <w:rsid w:val="00AC3E8A"/>
    <w:rsid w:val="00AC403A"/>
    <w:rsid w:val="00AC45AF"/>
    <w:rsid w:val="00AC4921"/>
    <w:rsid w:val="00AC496F"/>
    <w:rsid w:val="00AC4C0B"/>
    <w:rsid w:val="00AC4CC0"/>
    <w:rsid w:val="00AC4E36"/>
    <w:rsid w:val="00AC506D"/>
    <w:rsid w:val="00AC59C2"/>
    <w:rsid w:val="00AC5A23"/>
    <w:rsid w:val="00AC5BB8"/>
    <w:rsid w:val="00AC5FD0"/>
    <w:rsid w:val="00AC6049"/>
    <w:rsid w:val="00AC60E9"/>
    <w:rsid w:val="00AC6371"/>
    <w:rsid w:val="00AC6671"/>
    <w:rsid w:val="00AC75A7"/>
    <w:rsid w:val="00AC7886"/>
    <w:rsid w:val="00AC7B02"/>
    <w:rsid w:val="00AC7B84"/>
    <w:rsid w:val="00AC7E3A"/>
    <w:rsid w:val="00AD00E6"/>
    <w:rsid w:val="00AD02AF"/>
    <w:rsid w:val="00AD03CF"/>
    <w:rsid w:val="00AD0493"/>
    <w:rsid w:val="00AD0530"/>
    <w:rsid w:val="00AD055C"/>
    <w:rsid w:val="00AD056B"/>
    <w:rsid w:val="00AD06C3"/>
    <w:rsid w:val="00AD0911"/>
    <w:rsid w:val="00AD1023"/>
    <w:rsid w:val="00AD11D4"/>
    <w:rsid w:val="00AD11FA"/>
    <w:rsid w:val="00AD1204"/>
    <w:rsid w:val="00AD139A"/>
    <w:rsid w:val="00AD14C6"/>
    <w:rsid w:val="00AD15EE"/>
    <w:rsid w:val="00AD173A"/>
    <w:rsid w:val="00AD1801"/>
    <w:rsid w:val="00AD1E90"/>
    <w:rsid w:val="00AD1F8F"/>
    <w:rsid w:val="00AD204F"/>
    <w:rsid w:val="00AD2118"/>
    <w:rsid w:val="00AD23B5"/>
    <w:rsid w:val="00AD283C"/>
    <w:rsid w:val="00AD29D9"/>
    <w:rsid w:val="00AD2AB0"/>
    <w:rsid w:val="00AD2AFB"/>
    <w:rsid w:val="00AD2C41"/>
    <w:rsid w:val="00AD2FF3"/>
    <w:rsid w:val="00AD3371"/>
    <w:rsid w:val="00AD35C5"/>
    <w:rsid w:val="00AD4DD7"/>
    <w:rsid w:val="00AD4F51"/>
    <w:rsid w:val="00AD507F"/>
    <w:rsid w:val="00AD51FD"/>
    <w:rsid w:val="00AD550E"/>
    <w:rsid w:val="00AD5988"/>
    <w:rsid w:val="00AD59B0"/>
    <w:rsid w:val="00AD59D1"/>
    <w:rsid w:val="00AD5F2F"/>
    <w:rsid w:val="00AD62AB"/>
    <w:rsid w:val="00AD658E"/>
    <w:rsid w:val="00AD6773"/>
    <w:rsid w:val="00AD6E7C"/>
    <w:rsid w:val="00AD752B"/>
    <w:rsid w:val="00AE05E2"/>
    <w:rsid w:val="00AE0A60"/>
    <w:rsid w:val="00AE0FC2"/>
    <w:rsid w:val="00AE1710"/>
    <w:rsid w:val="00AE1A9F"/>
    <w:rsid w:val="00AE1B44"/>
    <w:rsid w:val="00AE1D35"/>
    <w:rsid w:val="00AE1FB1"/>
    <w:rsid w:val="00AE212D"/>
    <w:rsid w:val="00AE27DE"/>
    <w:rsid w:val="00AE2AEE"/>
    <w:rsid w:val="00AE30C8"/>
    <w:rsid w:val="00AE3839"/>
    <w:rsid w:val="00AE4195"/>
    <w:rsid w:val="00AE428C"/>
    <w:rsid w:val="00AE44C3"/>
    <w:rsid w:val="00AE45E8"/>
    <w:rsid w:val="00AE469D"/>
    <w:rsid w:val="00AE4B21"/>
    <w:rsid w:val="00AE4F58"/>
    <w:rsid w:val="00AE5851"/>
    <w:rsid w:val="00AE5C10"/>
    <w:rsid w:val="00AE5D9C"/>
    <w:rsid w:val="00AE5EBB"/>
    <w:rsid w:val="00AE6012"/>
    <w:rsid w:val="00AE6095"/>
    <w:rsid w:val="00AE68E2"/>
    <w:rsid w:val="00AE6ADF"/>
    <w:rsid w:val="00AE703D"/>
    <w:rsid w:val="00AE7075"/>
    <w:rsid w:val="00AE7203"/>
    <w:rsid w:val="00AE7480"/>
    <w:rsid w:val="00AE761E"/>
    <w:rsid w:val="00AE78E1"/>
    <w:rsid w:val="00AF005D"/>
    <w:rsid w:val="00AF041E"/>
    <w:rsid w:val="00AF047A"/>
    <w:rsid w:val="00AF04ED"/>
    <w:rsid w:val="00AF0690"/>
    <w:rsid w:val="00AF0787"/>
    <w:rsid w:val="00AF0AAE"/>
    <w:rsid w:val="00AF0B3E"/>
    <w:rsid w:val="00AF0B46"/>
    <w:rsid w:val="00AF1C33"/>
    <w:rsid w:val="00AF1E90"/>
    <w:rsid w:val="00AF1F2C"/>
    <w:rsid w:val="00AF20C4"/>
    <w:rsid w:val="00AF215B"/>
    <w:rsid w:val="00AF21E9"/>
    <w:rsid w:val="00AF2397"/>
    <w:rsid w:val="00AF26FB"/>
    <w:rsid w:val="00AF2A7F"/>
    <w:rsid w:val="00AF2D3C"/>
    <w:rsid w:val="00AF3309"/>
    <w:rsid w:val="00AF3761"/>
    <w:rsid w:val="00AF379D"/>
    <w:rsid w:val="00AF37E8"/>
    <w:rsid w:val="00AF3810"/>
    <w:rsid w:val="00AF39CE"/>
    <w:rsid w:val="00AF3C14"/>
    <w:rsid w:val="00AF3E81"/>
    <w:rsid w:val="00AF3EAB"/>
    <w:rsid w:val="00AF43D5"/>
    <w:rsid w:val="00AF4654"/>
    <w:rsid w:val="00AF4661"/>
    <w:rsid w:val="00AF47E7"/>
    <w:rsid w:val="00AF4A5F"/>
    <w:rsid w:val="00AF4C40"/>
    <w:rsid w:val="00AF4C93"/>
    <w:rsid w:val="00AF4E7A"/>
    <w:rsid w:val="00AF4F56"/>
    <w:rsid w:val="00AF50DA"/>
    <w:rsid w:val="00AF554E"/>
    <w:rsid w:val="00AF5A12"/>
    <w:rsid w:val="00AF5CAA"/>
    <w:rsid w:val="00AF5DB7"/>
    <w:rsid w:val="00AF5F65"/>
    <w:rsid w:val="00AF6D72"/>
    <w:rsid w:val="00AF6F55"/>
    <w:rsid w:val="00AF6F57"/>
    <w:rsid w:val="00AF7A9D"/>
    <w:rsid w:val="00B0065B"/>
    <w:rsid w:val="00B00A8D"/>
    <w:rsid w:val="00B00F85"/>
    <w:rsid w:val="00B00FBC"/>
    <w:rsid w:val="00B012F4"/>
    <w:rsid w:val="00B014A4"/>
    <w:rsid w:val="00B014D4"/>
    <w:rsid w:val="00B016B8"/>
    <w:rsid w:val="00B01E79"/>
    <w:rsid w:val="00B01F1E"/>
    <w:rsid w:val="00B01F39"/>
    <w:rsid w:val="00B0200D"/>
    <w:rsid w:val="00B02A0E"/>
    <w:rsid w:val="00B02B79"/>
    <w:rsid w:val="00B02CD3"/>
    <w:rsid w:val="00B030C6"/>
    <w:rsid w:val="00B03195"/>
    <w:rsid w:val="00B036B1"/>
    <w:rsid w:val="00B03A3D"/>
    <w:rsid w:val="00B03A5D"/>
    <w:rsid w:val="00B03C90"/>
    <w:rsid w:val="00B03CB1"/>
    <w:rsid w:val="00B03F6E"/>
    <w:rsid w:val="00B0409E"/>
    <w:rsid w:val="00B04BAD"/>
    <w:rsid w:val="00B0503B"/>
    <w:rsid w:val="00B054EA"/>
    <w:rsid w:val="00B05722"/>
    <w:rsid w:val="00B05852"/>
    <w:rsid w:val="00B05C41"/>
    <w:rsid w:val="00B05ED5"/>
    <w:rsid w:val="00B06713"/>
    <w:rsid w:val="00B06C72"/>
    <w:rsid w:val="00B0728E"/>
    <w:rsid w:val="00B0735F"/>
    <w:rsid w:val="00B0746F"/>
    <w:rsid w:val="00B07D7C"/>
    <w:rsid w:val="00B1015A"/>
    <w:rsid w:val="00B103F4"/>
    <w:rsid w:val="00B108C5"/>
    <w:rsid w:val="00B108F6"/>
    <w:rsid w:val="00B10AF0"/>
    <w:rsid w:val="00B10C85"/>
    <w:rsid w:val="00B10F16"/>
    <w:rsid w:val="00B1131C"/>
    <w:rsid w:val="00B113C8"/>
    <w:rsid w:val="00B117C6"/>
    <w:rsid w:val="00B1193F"/>
    <w:rsid w:val="00B11D5D"/>
    <w:rsid w:val="00B11E41"/>
    <w:rsid w:val="00B11E4E"/>
    <w:rsid w:val="00B12100"/>
    <w:rsid w:val="00B12889"/>
    <w:rsid w:val="00B12AAA"/>
    <w:rsid w:val="00B12BBB"/>
    <w:rsid w:val="00B13141"/>
    <w:rsid w:val="00B131F5"/>
    <w:rsid w:val="00B13276"/>
    <w:rsid w:val="00B13331"/>
    <w:rsid w:val="00B135BD"/>
    <w:rsid w:val="00B13B7E"/>
    <w:rsid w:val="00B13E4A"/>
    <w:rsid w:val="00B13E87"/>
    <w:rsid w:val="00B141B3"/>
    <w:rsid w:val="00B1424B"/>
    <w:rsid w:val="00B143DF"/>
    <w:rsid w:val="00B14BBB"/>
    <w:rsid w:val="00B14BD2"/>
    <w:rsid w:val="00B15036"/>
    <w:rsid w:val="00B15321"/>
    <w:rsid w:val="00B15452"/>
    <w:rsid w:val="00B1593E"/>
    <w:rsid w:val="00B15ABC"/>
    <w:rsid w:val="00B15C2F"/>
    <w:rsid w:val="00B15EAF"/>
    <w:rsid w:val="00B15F5A"/>
    <w:rsid w:val="00B15F9E"/>
    <w:rsid w:val="00B16092"/>
    <w:rsid w:val="00B160A2"/>
    <w:rsid w:val="00B167F5"/>
    <w:rsid w:val="00B16912"/>
    <w:rsid w:val="00B16A40"/>
    <w:rsid w:val="00B16C0C"/>
    <w:rsid w:val="00B17440"/>
    <w:rsid w:val="00B175B5"/>
    <w:rsid w:val="00B17A42"/>
    <w:rsid w:val="00B17AA5"/>
    <w:rsid w:val="00B17C02"/>
    <w:rsid w:val="00B17D52"/>
    <w:rsid w:val="00B20054"/>
    <w:rsid w:val="00B202C4"/>
    <w:rsid w:val="00B2040C"/>
    <w:rsid w:val="00B2063E"/>
    <w:rsid w:val="00B20F73"/>
    <w:rsid w:val="00B20FAA"/>
    <w:rsid w:val="00B21AA3"/>
    <w:rsid w:val="00B21BB8"/>
    <w:rsid w:val="00B21CBD"/>
    <w:rsid w:val="00B2219C"/>
    <w:rsid w:val="00B2248F"/>
    <w:rsid w:val="00B22594"/>
    <w:rsid w:val="00B22644"/>
    <w:rsid w:val="00B22D32"/>
    <w:rsid w:val="00B22D9C"/>
    <w:rsid w:val="00B22E0A"/>
    <w:rsid w:val="00B22E59"/>
    <w:rsid w:val="00B23038"/>
    <w:rsid w:val="00B23337"/>
    <w:rsid w:val="00B2450C"/>
    <w:rsid w:val="00B2467D"/>
    <w:rsid w:val="00B2489B"/>
    <w:rsid w:val="00B24E89"/>
    <w:rsid w:val="00B24FC9"/>
    <w:rsid w:val="00B25556"/>
    <w:rsid w:val="00B2592F"/>
    <w:rsid w:val="00B25E48"/>
    <w:rsid w:val="00B25E77"/>
    <w:rsid w:val="00B25ED2"/>
    <w:rsid w:val="00B268FB"/>
    <w:rsid w:val="00B26B92"/>
    <w:rsid w:val="00B26C38"/>
    <w:rsid w:val="00B26D79"/>
    <w:rsid w:val="00B26FEF"/>
    <w:rsid w:val="00B2771D"/>
    <w:rsid w:val="00B279EA"/>
    <w:rsid w:val="00B30107"/>
    <w:rsid w:val="00B307F6"/>
    <w:rsid w:val="00B3097C"/>
    <w:rsid w:val="00B30B52"/>
    <w:rsid w:val="00B30B7E"/>
    <w:rsid w:val="00B30C5F"/>
    <w:rsid w:val="00B30E80"/>
    <w:rsid w:val="00B31069"/>
    <w:rsid w:val="00B311A2"/>
    <w:rsid w:val="00B3149A"/>
    <w:rsid w:val="00B316D7"/>
    <w:rsid w:val="00B31901"/>
    <w:rsid w:val="00B31A26"/>
    <w:rsid w:val="00B31EBC"/>
    <w:rsid w:val="00B320FF"/>
    <w:rsid w:val="00B32540"/>
    <w:rsid w:val="00B32F63"/>
    <w:rsid w:val="00B3325B"/>
    <w:rsid w:val="00B33315"/>
    <w:rsid w:val="00B336A5"/>
    <w:rsid w:val="00B339AB"/>
    <w:rsid w:val="00B33D3B"/>
    <w:rsid w:val="00B33EFA"/>
    <w:rsid w:val="00B33F43"/>
    <w:rsid w:val="00B3418B"/>
    <w:rsid w:val="00B34709"/>
    <w:rsid w:val="00B35299"/>
    <w:rsid w:val="00B35984"/>
    <w:rsid w:val="00B35C88"/>
    <w:rsid w:val="00B3642C"/>
    <w:rsid w:val="00B3655A"/>
    <w:rsid w:val="00B36703"/>
    <w:rsid w:val="00B3677B"/>
    <w:rsid w:val="00B367D3"/>
    <w:rsid w:val="00B368FE"/>
    <w:rsid w:val="00B36AE3"/>
    <w:rsid w:val="00B3745E"/>
    <w:rsid w:val="00B375CF"/>
    <w:rsid w:val="00B37613"/>
    <w:rsid w:val="00B37873"/>
    <w:rsid w:val="00B379CF"/>
    <w:rsid w:val="00B37A2E"/>
    <w:rsid w:val="00B40176"/>
    <w:rsid w:val="00B406C9"/>
    <w:rsid w:val="00B40B34"/>
    <w:rsid w:val="00B40DCD"/>
    <w:rsid w:val="00B41041"/>
    <w:rsid w:val="00B411AC"/>
    <w:rsid w:val="00B413D4"/>
    <w:rsid w:val="00B414E5"/>
    <w:rsid w:val="00B41B43"/>
    <w:rsid w:val="00B42BC5"/>
    <w:rsid w:val="00B42BFD"/>
    <w:rsid w:val="00B42D26"/>
    <w:rsid w:val="00B42EFB"/>
    <w:rsid w:val="00B42F6B"/>
    <w:rsid w:val="00B42FEA"/>
    <w:rsid w:val="00B431BD"/>
    <w:rsid w:val="00B4325E"/>
    <w:rsid w:val="00B435BF"/>
    <w:rsid w:val="00B43FEC"/>
    <w:rsid w:val="00B441F3"/>
    <w:rsid w:val="00B44886"/>
    <w:rsid w:val="00B4553B"/>
    <w:rsid w:val="00B4554E"/>
    <w:rsid w:val="00B45904"/>
    <w:rsid w:val="00B45A02"/>
    <w:rsid w:val="00B45AED"/>
    <w:rsid w:val="00B45C67"/>
    <w:rsid w:val="00B45CF8"/>
    <w:rsid w:val="00B45F54"/>
    <w:rsid w:val="00B46006"/>
    <w:rsid w:val="00B4615D"/>
    <w:rsid w:val="00B4680C"/>
    <w:rsid w:val="00B46B13"/>
    <w:rsid w:val="00B46BCE"/>
    <w:rsid w:val="00B46C25"/>
    <w:rsid w:val="00B47047"/>
    <w:rsid w:val="00B47308"/>
    <w:rsid w:val="00B47827"/>
    <w:rsid w:val="00B47AAB"/>
    <w:rsid w:val="00B47FE3"/>
    <w:rsid w:val="00B5007C"/>
    <w:rsid w:val="00B502B7"/>
    <w:rsid w:val="00B504DA"/>
    <w:rsid w:val="00B505F4"/>
    <w:rsid w:val="00B50D15"/>
    <w:rsid w:val="00B50D54"/>
    <w:rsid w:val="00B513F8"/>
    <w:rsid w:val="00B5160F"/>
    <w:rsid w:val="00B5173B"/>
    <w:rsid w:val="00B518BA"/>
    <w:rsid w:val="00B51CED"/>
    <w:rsid w:val="00B5227A"/>
    <w:rsid w:val="00B52317"/>
    <w:rsid w:val="00B52440"/>
    <w:rsid w:val="00B524F2"/>
    <w:rsid w:val="00B5250C"/>
    <w:rsid w:val="00B525B4"/>
    <w:rsid w:val="00B52637"/>
    <w:rsid w:val="00B52661"/>
    <w:rsid w:val="00B5274C"/>
    <w:rsid w:val="00B5285C"/>
    <w:rsid w:val="00B52A21"/>
    <w:rsid w:val="00B52EA0"/>
    <w:rsid w:val="00B5317B"/>
    <w:rsid w:val="00B5324C"/>
    <w:rsid w:val="00B5359A"/>
    <w:rsid w:val="00B53813"/>
    <w:rsid w:val="00B5390D"/>
    <w:rsid w:val="00B53D00"/>
    <w:rsid w:val="00B53D9A"/>
    <w:rsid w:val="00B53E2E"/>
    <w:rsid w:val="00B53FFD"/>
    <w:rsid w:val="00B5424E"/>
    <w:rsid w:val="00B54719"/>
    <w:rsid w:val="00B54A6B"/>
    <w:rsid w:val="00B54BE9"/>
    <w:rsid w:val="00B54D64"/>
    <w:rsid w:val="00B55334"/>
    <w:rsid w:val="00B553DE"/>
    <w:rsid w:val="00B5588A"/>
    <w:rsid w:val="00B55B94"/>
    <w:rsid w:val="00B5602E"/>
    <w:rsid w:val="00B562BE"/>
    <w:rsid w:val="00B5677E"/>
    <w:rsid w:val="00B56A4D"/>
    <w:rsid w:val="00B56F6D"/>
    <w:rsid w:val="00B570EE"/>
    <w:rsid w:val="00B57391"/>
    <w:rsid w:val="00B57791"/>
    <w:rsid w:val="00B57840"/>
    <w:rsid w:val="00B57E69"/>
    <w:rsid w:val="00B57FDF"/>
    <w:rsid w:val="00B6055E"/>
    <w:rsid w:val="00B60655"/>
    <w:rsid w:val="00B60677"/>
    <w:rsid w:val="00B609A0"/>
    <w:rsid w:val="00B60A66"/>
    <w:rsid w:val="00B61319"/>
    <w:rsid w:val="00B617B7"/>
    <w:rsid w:val="00B61A00"/>
    <w:rsid w:val="00B61E74"/>
    <w:rsid w:val="00B622BB"/>
    <w:rsid w:val="00B622D7"/>
    <w:rsid w:val="00B6240B"/>
    <w:rsid w:val="00B62687"/>
    <w:rsid w:val="00B626B4"/>
    <w:rsid w:val="00B627F2"/>
    <w:rsid w:val="00B62B13"/>
    <w:rsid w:val="00B62CAC"/>
    <w:rsid w:val="00B62FA3"/>
    <w:rsid w:val="00B632EE"/>
    <w:rsid w:val="00B63399"/>
    <w:rsid w:val="00B63776"/>
    <w:rsid w:val="00B637DE"/>
    <w:rsid w:val="00B639BC"/>
    <w:rsid w:val="00B63CF7"/>
    <w:rsid w:val="00B63D0B"/>
    <w:rsid w:val="00B63F83"/>
    <w:rsid w:val="00B64264"/>
    <w:rsid w:val="00B645FF"/>
    <w:rsid w:val="00B64646"/>
    <w:rsid w:val="00B64678"/>
    <w:rsid w:val="00B64A74"/>
    <w:rsid w:val="00B64EF1"/>
    <w:rsid w:val="00B65B3F"/>
    <w:rsid w:val="00B65BDF"/>
    <w:rsid w:val="00B6609C"/>
    <w:rsid w:val="00B66106"/>
    <w:rsid w:val="00B663A6"/>
    <w:rsid w:val="00B6681A"/>
    <w:rsid w:val="00B668FD"/>
    <w:rsid w:val="00B66927"/>
    <w:rsid w:val="00B66DB3"/>
    <w:rsid w:val="00B66EE3"/>
    <w:rsid w:val="00B67146"/>
    <w:rsid w:val="00B6722E"/>
    <w:rsid w:val="00B67607"/>
    <w:rsid w:val="00B67809"/>
    <w:rsid w:val="00B70151"/>
    <w:rsid w:val="00B7049B"/>
    <w:rsid w:val="00B7053E"/>
    <w:rsid w:val="00B70AC7"/>
    <w:rsid w:val="00B70D04"/>
    <w:rsid w:val="00B70F0C"/>
    <w:rsid w:val="00B70F0F"/>
    <w:rsid w:val="00B711A4"/>
    <w:rsid w:val="00B71840"/>
    <w:rsid w:val="00B71B2C"/>
    <w:rsid w:val="00B71CD0"/>
    <w:rsid w:val="00B7216E"/>
    <w:rsid w:val="00B721C1"/>
    <w:rsid w:val="00B722E2"/>
    <w:rsid w:val="00B7237B"/>
    <w:rsid w:val="00B72525"/>
    <w:rsid w:val="00B727C9"/>
    <w:rsid w:val="00B7295A"/>
    <w:rsid w:val="00B72C53"/>
    <w:rsid w:val="00B72CB5"/>
    <w:rsid w:val="00B72FB8"/>
    <w:rsid w:val="00B73149"/>
    <w:rsid w:val="00B73154"/>
    <w:rsid w:val="00B7315B"/>
    <w:rsid w:val="00B731FE"/>
    <w:rsid w:val="00B7331E"/>
    <w:rsid w:val="00B7337A"/>
    <w:rsid w:val="00B738B5"/>
    <w:rsid w:val="00B73A57"/>
    <w:rsid w:val="00B73E3F"/>
    <w:rsid w:val="00B7405B"/>
    <w:rsid w:val="00B740B0"/>
    <w:rsid w:val="00B742B7"/>
    <w:rsid w:val="00B74755"/>
    <w:rsid w:val="00B74A4E"/>
    <w:rsid w:val="00B74A8A"/>
    <w:rsid w:val="00B74B99"/>
    <w:rsid w:val="00B74ECD"/>
    <w:rsid w:val="00B74FFD"/>
    <w:rsid w:val="00B75151"/>
    <w:rsid w:val="00B75217"/>
    <w:rsid w:val="00B75323"/>
    <w:rsid w:val="00B75370"/>
    <w:rsid w:val="00B75BCD"/>
    <w:rsid w:val="00B75CA3"/>
    <w:rsid w:val="00B75D76"/>
    <w:rsid w:val="00B75DD0"/>
    <w:rsid w:val="00B7600D"/>
    <w:rsid w:val="00B76283"/>
    <w:rsid w:val="00B76A77"/>
    <w:rsid w:val="00B76B5B"/>
    <w:rsid w:val="00B775A2"/>
    <w:rsid w:val="00B77823"/>
    <w:rsid w:val="00B77E22"/>
    <w:rsid w:val="00B800A3"/>
    <w:rsid w:val="00B805BC"/>
    <w:rsid w:val="00B80AB7"/>
    <w:rsid w:val="00B80FE9"/>
    <w:rsid w:val="00B81017"/>
    <w:rsid w:val="00B81147"/>
    <w:rsid w:val="00B81293"/>
    <w:rsid w:val="00B815ED"/>
    <w:rsid w:val="00B817A2"/>
    <w:rsid w:val="00B81CB9"/>
    <w:rsid w:val="00B81D5A"/>
    <w:rsid w:val="00B820CA"/>
    <w:rsid w:val="00B820F0"/>
    <w:rsid w:val="00B826AE"/>
    <w:rsid w:val="00B82CE6"/>
    <w:rsid w:val="00B82DA5"/>
    <w:rsid w:val="00B83046"/>
    <w:rsid w:val="00B8338B"/>
    <w:rsid w:val="00B837F1"/>
    <w:rsid w:val="00B83AEF"/>
    <w:rsid w:val="00B83C1E"/>
    <w:rsid w:val="00B83E64"/>
    <w:rsid w:val="00B83FF0"/>
    <w:rsid w:val="00B84198"/>
    <w:rsid w:val="00B85392"/>
    <w:rsid w:val="00B8569B"/>
    <w:rsid w:val="00B85BCB"/>
    <w:rsid w:val="00B85CED"/>
    <w:rsid w:val="00B85D1D"/>
    <w:rsid w:val="00B85D54"/>
    <w:rsid w:val="00B86096"/>
    <w:rsid w:val="00B864B6"/>
    <w:rsid w:val="00B864F6"/>
    <w:rsid w:val="00B86585"/>
    <w:rsid w:val="00B86699"/>
    <w:rsid w:val="00B86BAC"/>
    <w:rsid w:val="00B87699"/>
    <w:rsid w:val="00B879C3"/>
    <w:rsid w:val="00B87B03"/>
    <w:rsid w:val="00B87F32"/>
    <w:rsid w:val="00B87F6D"/>
    <w:rsid w:val="00B90146"/>
    <w:rsid w:val="00B9085F"/>
    <w:rsid w:val="00B908BC"/>
    <w:rsid w:val="00B909E2"/>
    <w:rsid w:val="00B90A53"/>
    <w:rsid w:val="00B90C89"/>
    <w:rsid w:val="00B90E8B"/>
    <w:rsid w:val="00B91FA7"/>
    <w:rsid w:val="00B921E4"/>
    <w:rsid w:val="00B92206"/>
    <w:rsid w:val="00B9230F"/>
    <w:rsid w:val="00B92320"/>
    <w:rsid w:val="00B92750"/>
    <w:rsid w:val="00B92809"/>
    <w:rsid w:val="00B92950"/>
    <w:rsid w:val="00B92BC8"/>
    <w:rsid w:val="00B92CDE"/>
    <w:rsid w:val="00B93322"/>
    <w:rsid w:val="00B934DE"/>
    <w:rsid w:val="00B93512"/>
    <w:rsid w:val="00B93521"/>
    <w:rsid w:val="00B937EC"/>
    <w:rsid w:val="00B93A9A"/>
    <w:rsid w:val="00B93D6C"/>
    <w:rsid w:val="00B946D9"/>
    <w:rsid w:val="00B9485D"/>
    <w:rsid w:val="00B94DD9"/>
    <w:rsid w:val="00B94FA7"/>
    <w:rsid w:val="00B9507A"/>
    <w:rsid w:val="00B950A8"/>
    <w:rsid w:val="00B951B4"/>
    <w:rsid w:val="00B95A41"/>
    <w:rsid w:val="00B95B1E"/>
    <w:rsid w:val="00B95BD2"/>
    <w:rsid w:val="00B96269"/>
    <w:rsid w:val="00B962D3"/>
    <w:rsid w:val="00B96407"/>
    <w:rsid w:val="00B96468"/>
    <w:rsid w:val="00B96D4E"/>
    <w:rsid w:val="00B96FB0"/>
    <w:rsid w:val="00B977D0"/>
    <w:rsid w:val="00B97810"/>
    <w:rsid w:val="00B97BC3"/>
    <w:rsid w:val="00BA001D"/>
    <w:rsid w:val="00BA0360"/>
    <w:rsid w:val="00BA0369"/>
    <w:rsid w:val="00BA090A"/>
    <w:rsid w:val="00BA1274"/>
    <w:rsid w:val="00BA12DD"/>
    <w:rsid w:val="00BA13A8"/>
    <w:rsid w:val="00BA150E"/>
    <w:rsid w:val="00BA155C"/>
    <w:rsid w:val="00BA16DC"/>
    <w:rsid w:val="00BA16EE"/>
    <w:rsid w:val="00BA1B9F"/>
    <w:rsid w:val="00BA1C8A"/>
    <w:rsid w:val="00BA1CFA"/>
    <w:rsid w:val="00BA26A3"/>
    <w:rsid w:val="00BA26D9"/>
    <w:rsid w:val="00BA342B"/>
    <w:rsid w:val="00BA38BE"/>
    <w:rsid w:val="00BA3926"/>
    <w:rsid w:val="00BA392C"/>
    <w:rsid w:val="00BA3AC2"/>
    <w:rsid w:val="00BA3CD9"/>
    <w:rsid w:val="00BA3FAE"/>
    <w:rsid w:val="00BA4203"/>
    <w:rsid w:val="00BA4232"/>
    <w:rsid w:val="00BA44E8"/>
    <w:rsid w:val="00BA4622"/>
    <w:rsid w:val="00BA4A0C"/>
    <w:rsid w:val="00BA4B72"/>
    <w:rsid w:val="00BA4F09"/>
    <w:rsid w:val="00BA5077"/>
    <w:rsid w:val="00BA508C"/>
    <w:rsid w:val="00BA5302"/>
    <w:rsid w:val="00BA5378"/>
    <w:rsid w:val="00BA543E"/>
    <w:rsid w:val="00BA5453"/>
    <w:rsid w:val="00BA55BB"/>
    <w:rsid w:val="00BA5B05"/>
    <w:rsid w:val="00BA5C32"/>
    <w:rsid w:val="00BA5C56"/>
    <w:rsid w:val="00BA5D2E"/>
    <w:rsid w:val="00BA5E98"/>
    <w:rsid w:val="00BA6429"/>
    <w:rsid w:val="00BA6738"/>
    <w:rsid w:val="00BA67B5"/>
    <w:rsid w:val="00BA6A70"/>
    <w:rsid w:val="00BA7171"/>
    <w:rsid w:val="00BA745F"/>
    <w:rsid w:val="00BA7796"/>
    <w:rsid w:val="00BA77E9"/>
    <w:rsid w:val="00BA79B5"/>
    <w:rsid w:val="00BA7A56"/>
    <w:rsid w:val="00BA7D8F"/>
    <w:rsid w:val="00BB00D2"/>
    <w:rsid w:val="00BB01A4"/>
    <w:rsid w:val="00BB03BF"/>
    <w:rsid w:val="00BB03EC"/>
    <w:rsid w:val="00BB09C9"/>
    <w:rsid w:val="00BB0A89"/>
    <w:rsid w:val="00BB0E33"/>
    <w:rsid w:val="00BB0EE7"/>
    <w:rsid w:val="00BB0F4F"/>
    <w:rsid w:val="00BB1066"/>
    <w:rsid w:val="00BB119F"/>
    <w:rsid w:val="00BB1264"/>
    <w:rsid w:val="00BB12DF"/>
    <w:rsid w:val="00BB1341"/>
    <w:rsid w:val="00BB15AA"/>
    <w:rsid w:val="00BB1BA7"/>
    <w:rsid w:val="00BB228F"/>
    <w:rsid w:val="00BB2479"/>
    <w:rsid w:val="00BB28ED"/>
    <w:rsid w:val="00BB2A0F"/>
    <w:rsid w:val="00BB2FB7"/>
    <w:rsid w:val="00BB31FC"/>
    <w:rsid w:val="00BB355C"/>
    <w:rsid w:val="00BB372C"/>
    <w:rsid w:val="00BB3B82"/>
    <w:rsid w:val="00BB3CDD"/>
    <w:rsid w:val="00BB41C9"/>
    <w:rsid w:val="00BB42EF"/>
    <w:rsid w:val="00BB4350"/>
    <w:rsid w:val="00BB43A9"/>
    <w:rsid w:val="00BB463E"/>
    <w:rsid w:val="00BB46A2"/>
    <w:rsid w:val="00BB4F2C"/>
    <w:rsid w:val="00BB4FE6"/>
    <w:rsid w:val="00BB5054"/>
    <w:rsid w:val="00BB521F"/>
    <w:rsid w:val="00BB53D8"/>
    <w:rsid w:val="00BB58F3"/>
    <w:rsid w:val="00BB5CE6"/>
    <w:rsid w:val="00BB5DDF"/>
    <w:rsid w:val="00BB6393"/>
    <w:rsid w:val="00BB73FD"/>
    <w:rsid w:val="00BB747A"/>
    <w:rsid w:val="00BB7629"/>
    <w:rsid w:val="00BB763A"/>
    <w:rsid w:val="00BB77B1"/>
    <w:rsid w:val="00BC002B"/>
    <w:rsid w:val="00BC03BA"/>
    <w:rsid w:val="00BC0556"/>
    <w:rsid w:val="00BC07E6"/>
    <w:rsid w:val="00BC0849"/>
    <w:rsid w:val="00BC1B87"/>
    <w:rsid w:val="00BC1BA9"/>
    <w:rsid w:val="00BC1CB9"/>
    <w:rsid w:val="00BC1DEC"/>
    <w:rsid w:val="00BC1E8F"/>
    <w:rsid w:val="00BC279E"/>
    <w:rsid w:val="00BC2892"/>
    <w:rsid w:val="00BC2935"/>
    <w:rsid w:val="00BC2CE4"/>
    <w:rsid w:val="00BC2D25"/>
    <w:rsid w:val="00BC30C7"/>
    <w:rsid w:val="00BC3486"/>
    <w:rsid w:val="00BC3A9B"/>
    <w:rsid w:val="00BC3D7B"/>
    <w:rsid w:val="00BC40CA"/>
    <w:rsid w:val="00BC41DE"/>
    <w:rsid w:val="00BC4209"/>
    <w:rsid w:val="00BC4273"/>
    <w:rsid w:val="00BC49AA"/>
    <w:rsid w:val="00BC49B6"/>
    <w:rsid w:val="00BC49C6"/>
    <w:rsid w:val="00BC4E65"/>
    <w:rsid w:val="00BC5110"/>
    <w:rsid w:val="00BC55CC"/>
    <w:rsid w:val="00BC5661"/>
    <w:rsid w:val="00BC586C"/>
    <w:rsid w:val="00BC5CD5"/>
    <w:rsid w:val="00BC5E52"/>
    <w:rsid w:val="00BC629F"/>
    <w:rsid w:val="00BC650D"/>
    <w:rsid w:val="00BC655D"/>
    <w:rsid w:val="00BC6709"/>
    <w:rsid w:val="00BC6776"/>
    <w:rsid w:val="00BC6906"/>
    <w:rsid w:val="00BC6CF3"/>
    <w:rsid w:val="00BC6FF1"/>
    <w:rsid w:val="00BC7050"/>
    <w:rsid w:val="00BC707F"/>
    <w:rsid w:val="00BC7167"/>
    <w:rsid w:val="00BC71B2"/>
    <w:rsid w:val="00BC71D2"/>
    <w:rsid w:val="00BC726F"/>
    <w:rsid w:val="00BC7852"/>
    <w:rsid w:val="00BC7D31"/>
    <w:rsid w:val="00BC7E36"/>
    <w:rsid w:val="00BD006A"/>
    <w:rsid w:val="00BD0933"/>
    <w:rsid w:val="00BD118F"/>
    <w:rsid w:val="00BD18F1"/>
    <w:rsid w:val="00BD1B09"/>
    <w:rsid w:val="00BD1BAA"/>
    <w:rsid w:val="00BD1BB7"/>
    <w:rsid w:val="00BD1F8B"/>
    <w:rsid w:val="00BD202B"/>
    <w:rsid w:val="00BD26ED"/>
    <w:rsid w:val="00BD2A0B"/>
    <w:rsid w:val="00BD2A49"/>
    <w:rsid w:val="00BD2ED8"/>
    <w:rsid w:val="00BD3289"/>
    <w:rsid w:val="00BD3338"/>
    <w:rsid w:val="00BD34BC"/>
    <w:rsid w:val="00BD3DF5"/>
    <w:rsid w:val="00BD40BF"/>
    <w:rsid w:val="00BD46F3"/>
    <w:rsid w:val="00BD4931"/>
    <w:rsid w:val="00BD4BCC"/>
    <w:rsid w:val="00BD4C54"/>
    <w:rsid w:val="00BD4E94"/>
    <w:rsid w:val="00BD5468"/>
    <w:rsid w:val="00BD55DE"/>
    <w:rsid w:val="00BD5C68"/>
    <w:rsid w:val="00BD604B"/>
    <w:rsid w:val="00BD6183"/>
    <w:rsid w:val="00BD62C7"/>
    <w:rsid w:val="00BD6591"/>
    <w:rsid w:val="00BD659D"/>
    <w:rsid w:val="00BD6B2A"/>
    <w:rsid w:val="00BD6C09"/>
    <w:rsid w:val="00BD6D2D"/>
    <w:rsid w:val="00BD707D"/>
    <w:rsid w:val="00BD71FB"/>
    <w:rsid w:val="00BD74A7"/>
    <w:rsid w:val="00BD7999"/>
    <w:rsid w:val="00BD7AB6"/>
    <w:rsid w:val="00BD7DE3"/>
    <w:rsid w:val="00BD7E48"/>
    <w:rsid w:val="00BD7E8D"/>
    <w:rsid w:val="00BE010F"/>
    <w:rsid w:val="00BE050E"/>
    <w:rsid w:val="00BE0882"/>
    <w:rsid w:val="00BE0906"/>
    <w:rsid w:val="00BE0BFF"/>
    <w:rsid w:val="00BE0E0F"/>
    <w:rsid w:val="00BE0F4C"/>
    <w:rsid w:val="00BE1054"/>
    <w:rsid w:val="00BE120F"/>
    <w:rsid w:val="00BE1212"/>
    <w:rsid w:val="00BE180F"/>
    <w:rsid w:val="00BE1AE2"/>
    <w:rsid w:val="00BE1B91"/>
    <w:rsid w:val="00BE21A4"/>
    <w:rsid w:val="00BE21E7"/>
    <w:rsid w:val="00BE223F"/>
    <w:rsid w:val="00BE2354"/>
    <w:rsid w:val="00BE2385"/>
    <w:rsid w:val="00BE23EF"/>
    <w:rsid w:val="00BE2565"/>
    <w:rsid w:val="00BE25F2"/>
    <w:rsid w:val="00BE2EEF"/>
    <w:rsid w:val="00BE3041"/>
    <w:rsid w:val="00BE3124"/>
    <w:rsid w:val="00BE3B9C"/>
    <w:rsid w:val="00BE3E56"/>
    <w:rsid w:val="00BE417A"/>
    <w:rsid w:val="00BE4511"/>
    <w:rsid w:val="00BE45EE"/>
    <w:rsid w:val="00BE4764"/>
    <w:rsid w:val="00BE4A4B"/>
    <w:rsid w:val="00BE4EB9"/>
    <w:rsid w:val="00BE4F6F"/>
    <w:rsid w:val="00BE502D"/>
    <w:rsid w:val="00BE52EB"/>
    <w:rsid w:val="00BE53FF"/>
    <w:rsid w:val="00BE5571"/>
    <w:rsid w:val="00BE57DB"/>
    <w:rsid w:val="00BE58BF"/>
    <w:rsid w:val="00BE67D3"/>
    <w:rsid w:val="00BE6836"/>
    <w:rsid w:val="00BE6C44"/>
    <w:rsid w:val="00BE6E8C"/>
    <w:rsid w:val="00BE706D"/>
    <w:rsid w:val="00BE7161"/>
    <w:rsid w:val="00BE7681"/>
    <w:rsid w:val="00BE781A"/>
    <w:rsid w:val="00BE7884"/>
    <w:rsid w:val="00BE78B9"/>
    <w:rsid w:val="00BE7952"/>
    <w:rsid w:val="00BE7A4B"/>
    <w:rsid w:val="00BF04EB"/>
    <w:rsid w:val="00BF0518"/>
    <w:rsid w:val="00BF0980"/>
    <w:rsid w:val="00BF09C0"/>
    <w:rsid w:val="00BF09C7"/>
    <w:rsid w:val="00BF0B14"/>
    <w:rsid w:val="00BF0C9F"/>
    <w:rsid w:val="00BF0E98"/>
    <w:rsid w:val="00BF0FD8"/>
    <w:rsid w:val="00BF144B"/>
    <w:rsid w:val="00BF1557"/>
    <w:rsid w:val="00BF178F"/>
    <w:rsid w:val="00BF1A35"/>
    <w:rsid w:val="00BF1CCE"/>
    <w:rsid w:val="00BF1E82"/>
    <w:rsid w:val="00BF213E"/>
    <w:rsid w:val="00BF218F"/>
    <w:rsid w:val="00BF2461"/>
    <w:rsid w:val="00BF25FC"/>
    <w:rsid w:val="00BF2E71"/>
    <w:rsid w:val="00BF3060"/>
    <w:rsid w:val="00BF31A8"/>
    <w:rsid w:val="00BF3335"/>
    <w:rsid w:val="00BF3340"/>
    <w:rsid w:val="00BF37B3"/>
    <w:rsid w:val="00BF3B2C"/>
    <w:rsid w:val="00BF3E55"/>
    <w:rsid w:val="00BF3E78"/>
    <w:rsid w:val="00BF3FE7"/>
    <w:rsid w:val="00BF42B9"/>
    <w:rsid w:val="00BF4654"/>
    <w:rsid w:val="00BF47D6"/>
    <w:rsid w:val="00BF4816"/>
    <w:rsid w:val="00BF4E96"/>
    <w:rsid w:val="00BF4FF6"/>
    <w:rsid w:val="00BF519C"/>
    <w:rsid w:val="00BF5528"/>
    <w:rsid w:val="00BF5569"/>
    <w:rsid w:val="00BF5CDD"/>
    <w:rsid w:val="00BF5F0A"/>
    <w:rsid w:val="00BF6098"/>
    <w:rsid w:val="00BF643B"/>
    <w:rsid w:val="00BF64A0"/>
    <w:rsid w:val="00BF667B"/>
    <w:rsid w:val="00BF6873"/>
    <w:rsid w:val="00BF6A49"/>
    <w:rsid w:val="00BF6CBD"/>
    <w:rsid w:val="00BF72AB"/>
    <w:rsid w:val="00BF7497"/>
    <w:rsid w:val="00BF75FD"/>
    <w:rsid w:val="00BF7BC9"/>
    <w:rsid w:val="00BF7F78"/>
    <w:rsid w:val="00C00891"/>
    <w:rsid w:val="00C00986"/>
    <w:rsid w:val="00C00D48"/>
    <w:rsid w:val="00C00E2E"/>
    <w:rsid w:val="00C00FA5"/>
    <w:rsid w:val="00C0100F"/>
    <w:rsid w:val="00C0108D"/>
    <w:rsid w:val="00C0166A"/>
    <w:rsid w:val="00C017BE"/>
    <w:rsid w:val="00C01F38"/>
    <w:rsid w:val="00C02147"/>
    <w:rsid w:val="00C0216B"/>
    <w:rsid w:val="00C021AE"/>
    <w:rsid w:val="00C024F6"/>
    <w:rsid w:val="00C0255B"/>
    <w:rsid w:val="00C028E8"/>
    <w:rsid w:val="00C029F2"/>
    <w:rsid w:val="00C03291"/>
    <w:rsid w:val="00C03731"/>
    <w:rsid w:val="00C04363"/>
    <w:rsid w:val="00C043C9"/>
    <w:rsid w:val="00C0468A"/>
    <w:rsid w:val="00C04927"/>
    <w:rsid w:val="00C0535A"/>
    <w:rsid w:val="00C05580"/>
    <w:rsid w:val="00C05818"/>
    <w:rsid w:val="00C05AAA"/>
    <w:rsid w:val="00C06247"/>
    <w:rsid w:val="00C0669C"/>
    <w:rsid w:val="00C066CA"/>
    <w:rsid w:val="00C06951"/>
    <w:rsid w:val="00C06BE2"/>
    <w:rsid w:val="00C07342"/>
    <w:rsid w:val="00C07DCB"/>
    <w:rsid w:val="00C102E5"/>
    <w:rsid w:val="00C10831"/>
    <w:rsid w:val="00C10F01"/>
    <w:rsid w:val="00C10FCD"/>
    <w:rsid w:val="00C110A3"/>
    <w:rsid w:val="00C111A1"/>
    <w:rsid w:val="00C11944"/>
    <w:rsid w:val="00C11F81"/>
    <w:rsid w:val="00C12105"/>
    <w:rsid w:val="00C12419"/>
    <w:rsid w:val="00C125F5"/>
    <w:rsid w:val="00C126B6"/>
    <w:rsid w:val="00C12759"/>
    <w:rsid w:val="00C12942"/>
    <w:rsid w:val="00C129DE"/>
    <w:rsid w:val="00C12ACC"/>
    <w:rsid w:val="00C12DCE"/>
    <w:rsid w:val="00C12EFE"/>
    <w:rsid w:val="00C13031"/>
    <w:rsid w:val="00C13734"/>
    <w:rsid w:val="00C13D56"/>
    <w:rsid w:val="00C13DD4"/>
    <w:rsid w:val="00C1405C"/>
    <w:rsid w:val="00C14093"/>
    <w:rsid w:val="00C140E0"/>
    <w:rsid w:val="00C1424D"/>
    <w:rsid w:val="00C143B2"/>
    <w:rsid w:val="00C145C7"/>
    <w:rsid w:val="00C1537A"/>
    <w:rsid w:val="00C1540A"/>
    <w:rsid w:val="00C1548A"/>
    <w:rsid w:val="00C15FB8"/>
    <w:rsid w:val="00C15FBE"/>
    <w:rsid w:val="00C162DB"/>
    <w:rsid w:val="00C16672"/>
    <w:rsid w:val="00C168B2"/>
    <w:rsid w:val="00C169C2"/>
    <w:rsid w:val="00C16B84"/>
    <w:rsid w:val="00C175F2"/>
    <w:rsid w:val="00C17942"/>
    <w:rsid w:val="00C1795B"/>
    <w:rsid w:val="00C179E6"/>
    <w:rsid w:val="00C17B51"/>
    <w:rsid w:val="00C17C40"/>
    <w:rsid w:val="00C17CE1"/>
    <w:rsid w:val="00C20097"/>
    <w:rsid w:val="00C20158"/>
    <w:rsid w:val="00C20369"/>
    <w:rsid w:val="00C205F5"/>
    <w:rsid w:val="00C20C5F"/>
    <w:rsid w:val="00C20CBA"/>
    <w:rsid w:val="00C20DAE"/>
    <w:rsid w:val="00C210C2"/>
    <w:rsid w:val="00C21146"/>
    <w:rsid w:val="00C2156C"/>
    <w:rsid w:val="00C21990"/>
    <w:rsid w:val="00C21A0A"/>
    <w:rsid w:val="00C21CEF"/>
    <w:rsid w:val="00C21E30"/>
    <w:rsid w:val="00C22278"/>
    <w:rsid w:val="00C2245D"/>
    <w:rsid w:val="00C22D5F"/>
    <w:rsid w:val="00C22EEC"/>
    <w:rsid w:val="00C23006"/>
    <w:rsid w:val="00C2300D"/>
    <w:rsid w:val="00C23090"/>
    <w:rsid w:val="00C233FD"/>
    <w:rsid w:val="00C23713"/>
    <w:rsid w:val="00C237EE"/>
    <w:rsid w:val="00C23B06"/>
    <w:rsid w:val="00C23BF7"/>
    <w:rsid w:val="00C23CEB"/>
    <w:rsid w:val="00C23E99"/>
    <w:rsid w:val="00C2404A"/>
    <w:rsid w:val="00C240BE"/>
    <w:rsid w:val="00C24160"/>
    <w:rsid w:val="00C244D8"/>
    <w:rsid w:val="00C246D6"/>
    <w:rsid w:val="00C24961"/>
    <w:rsid w:val="00C24FF5"/>
    <w:rsid w:val="00C25783"/>
    <w:rsid w:val="00C25922"/>
    <w:rsid w:val="00C25A71"/>
    <w:rsid w:val="00C25A9D"/>
    <w:rsid w:val="00C25C0D"/>
    <w:rsid w:val="00C25D61"/>
    <w:rsid w:val="00C25F3D"/>
    <w:rsid w:val="00C25F7F"/>
    <w:rsid w:val="00C2653D"/>
    <w:rsid w:val="00C26929"/>
    <w:rsid w:val="00C269F2"/>
    <w:rsid w:val="00C26A8B"/>
    <w:rsid w:val="00C26BB6"/>
    <w:rsid w:val="00C27466"/>
    <w:rsid w:val="00C27C9F"/>
    <w:rsid w:val="00C30025"/>
    <w:rsid w:val="00C3040A"/>
    <w:rsid w:val="00C305B8"/>
    <w:rsid w:val="00C307FE"/>
    <w:rsid w:val="00C30A93"/>
    <w:rsid w:val="00C30ABC"/>
    <w:rsid w:val="00C30B7F"/>
    <w:rsid w:val="00C30C0A"/>
    <w:rsid w:val="00C318F3"/>
    <w:rsid w:val="00C31EE5"/>
    <w:rsid w:val="00C322BD"/>
    <w:rsid w:val="00C322C9"/>
    <w:rsid w:val="00C322E5"/>
    <w:rsid w:val="00C32E68"/>
    <w:rsid w:val="00C3312E"/>
    <w:rsid w:val="00C33508"/>
    <w:rsid w:val="00C33749"/>
    <w:rsid w:val="00C33797"/>
    <w:rsid w:val="00C33B9A"/>
    <w:rsid w:val="00C3474B"/>
    <w:rsid w:val="00C34A6C"/>
    <w:rsid w:val="00C34AAE"/>
    <w:rsid w:val="00C34AEC"/>
    <w:rsid w:val="00C34B7B"/>
    <w:rsid w:val="00C34BDB"/>
    <w:rsid w:val="00C34C2F"/>
    <w:rsid w:val="00C34C62"/>
    <w:rsid w:val="00C358B7"/>
    <w:rsid w:val="00C35AC4"/>
    <w:rsid w:val="00C35AED"/>
    <w:rsid w:val="00C35B58"/>
    <w:rsid w:val="00C35E80"/>
    <w:rsid w:val="00C35EF2"/>
    <w:rsid w:val="00C35FA6"/>
    <w:rsid w:val="00C36480"/>
    <w:rsid w:val="00C364C5"/>
    <w:rsid w:val="00C36739"/>
    <w:rsid w:val="00C3685E"/>
    <w:rsid w:val="00C36F1C"/>
    <w:rsid w:val="00C370E9"/>
    <w:rsid w:val="00C37A99"/>
    <w:rsid w:val="00C37F12"/>
    <w:rsid w:val="00C37F2D"/>
    <w:rsid w:val="00C37FC1"/>
    <w:rsid w:val="00C400D0"/>
    <w:rsid w:val="00C40489"/>
    <w:rsid w:val="00C40504"/>
    <w:rsid w:val="00C4063B"/>
    <w:rsid w:val="00C408EB"/>
    <w:rsid w:val="00C40C0E"/>
    <w:rsid w:val="00C40D00"/>
    <w:rsid w:val="00C40D57"/>
    <w:rsid w:val="00C410E9"/>
    <w:rsid w:val="00C413C8"/>
    <w:rsid w:val="00C413CB"/>
    <w:rsid w:val="00C41460"/>
    <w:rsid w:val="00C41856"/>
    <w:rsid w:val="00C41C47"/>
    <w:rsid w:val="00C41D67"/>
    <w:rsid w:val="00C42143"/>
    <w:rsid w:val="00C42298"/>
    <w:rsid w:val="00C42912"/>
    <w:rsid w:val="00C42A1F"/>
    <w:rsid w:val="00C42B0F"/>
    <w:rsid w:val="00C42B2F"/>
    <w:rsid w:val="00C42CEE"/>
    <w:rsid w:val="00C42D93"/>
    <w:rsid w:val="00C43711"/>
    <w:rsid w:val="00C43A0A"/>
    <w:rsid w:val="00C43A1F"/>
    <w:rsid w:val="00C43BFE"/>
    <w:rsid w:val="00C43DE6"/>
    <w:rsid w:val="00C43FA6"/>
    <w:rsid w:val="00C44018"/>
    <w:rsid w:val="00C44050"/>
    <w:rsid w:val="00C44204"/>
    <w:rsid w:val="00C442B6"/>
    <w:rsid w:val="00C45077"/>
    <w:rsid w:val="00C450B5"/>
    <w:rsid w:val="00C451FD"/>
    <w:rsid w:val="00C4526D"/>
    <w:rsid w:val="00C454D4"/>
    <w:rsid w:val="00C45545"/>
    <w:rsid w:val="00C45B73"/>
    <w:rsid w:val="00C45C2F"/>
    <w:rsid w:val="00C45F38"/>
    <w:rsid w:val="00C4608B"/>
    <w:rsid w:val="00C46AF2"/>
    <w:rsid w:val="00C46EB8"/>
    <w:rsid w:val="00C470BF"/>
    <w:rsid w:val="00C47193"/>
    <w:rsid w:val="00C471B9"/>
    <w:rsid w:val="00C47637"/>
    <w:rsid w:val="00C47993"/>
    <w:rsid w:val="00C47C63"/>
    <w:rsid w:val="00C50262"/>
    <w:rsid w:val="00C50312"/>
    <w:rsid w:val="00C503FC"/>
    <w:rsid w:val="00C508C5"/>
    <w:rsid w:val="00C508C6"/>
    <w:rsid w:val="00C50AB2"/>
    <w:rsid w:val="00C50C30"/>
    <w:rsid w:val="00C50D97"/>
    <w:rsid w:val="00C510A7"/>
    <w:rsid w:val="00C513A8"/>
    <w:rsid w:val="00C5172F"/>
    <w:rsid w:val="00C51B4B"/>
    <w:rsid w:val="00C51DB6"/>
    <w:rsid w:val="00C51FDE"/>
    <w:rsid w:val="00C51FE0"/>
    <w:rsid w:val="00C52079"/>
    <w:rsid w:val="00C52676"/>
    <w:rsid w:val="00C5316B"/>
    <w:rsid w:val="00C5319A"/>
    <w:rsid w:val="00C53460"/>
    <w:rsid w:val="00C53767"/>
    <w:rsid w:val="00C5393E"/>
    <w:rsid w:val="00C53977"/>
    <w:rsid w:val="00C53DCD"/>
    <w:rsid w:val="00C5409B"/>
    <w:rsid w:val="00C54BEA"/>
    <w:rsid w:val="00C54D15"/>
    <w:rsid w:val="00C54FE0"/>
    <w:rsid w:val="00C551DF"/>
    <w:rsid w:val="00C55372"/>
    <w:rsid w:val="00C555F5"/>
    <w:rsid w:val="00C55629"/>
    <w:rsid w:val="00C55661"/>
    <w:rsid w:val="00C55713"/>
    <w:rsid w:val="00C55BEB"/>
    <w:rsid w:val="00C55FA4"/>
    <w:rsid w:val="00C564CB"/>
    <w:rsid w:val="00C568EE"/>
    <w:rsid w:val="00C56C9D"/>
    <w:rsid w:val="00C56CE0"/>
    <w:rsid w:val="00C57269"/>
    <w:rsid w:val="00C57377"/>
    <w:rsid w:val="00C574BF"/>
    <w:rsid w:val="00C5758D"/>
    <w:rsid w:val="00C575D8"/>
    <w:rsid w:val="00C5763C"/>
    <w:rsid w:val="00C6024B"/>
    <w:rsid w:val="00C604D4"/>
    <w:rsid w:val="00C604DC"/>
    <w:rsid w:val="00C60556"/>
    <w:rsid w:val="00C60981"/>
    <w:rsid w:val="00C609ED"/>
    <w:rsid w:val="00C60B5C"/>
    <w:rsid w:val="00C60B8C"/>
    <w:rsid w:val="00C60BCA"/>
    <w:rsid w:val="00C60BF9"/>
    <w:rsid w:val="00C60C24"/>
    <w:rsid w:val="00C60C31"/>
    <w:rsid w:val="00C60CD5"/>
    <w:rsid w:val="00C60F31"/>
    <w:rsid w:val="00C610A7"/>
    <w:rsid w:val="00C613E1"/>
    <w:rsid w:val="00C6163F"/>
    <w:rsid w:val="00C61F65"/>
    <w:rsid w:val="00C62028"/>
    <w:rsid w:val="00C6231D"/>
    <w:rsid w:val="00C62A23"/>
    <w:rsid w:val="00C62B4C"/>
    <w:rsid w:val="00C62D85"/>
    <w:rsid w:val="00C63094"/>
    <w:rsid w:val="00C635F3"/>
    <w:rsid w:val="00C6362A"/>
    <w:rsid w:val="00C6376A"/>
    <w:rsid w:val="00C63F60"/>
    <w:rsid w:val="00C63F92"/>
    <w:rsid w:val="00C646DB"/>
    <w:rsid w:val="00C64E5B"/>
    <w:rsid w:val="00C64FA6"/>
    <w:rsid w:val="00C64FBF"/>
    <w:rsid w:val="00C6545D"/>
    <w:rsid w:val="00C65585"/>
    <w:rsid w:val="00C656B5"/>
    <w:rsid w:val="00C65930"/>
    <w:rsid w:val="00C65A63"/>
    <w:rsid w:val="00C65A98"/>
    <w:rsid w:val="00C65C6C"/>
    <w:rsid w:val="00C65F4D"/>
    <w:rsid w:val="00C65FBD"/>
    <w:rsid w:val="00C6655E"/>
    <w:rsid w:val="00C66B57"/>
    <w:rsid w:val="00C66C2C"/>
    <w:rsid w:val="00C67009"/>
    <w:rsid w:val="00C67146"/>
    <w:rsid w:val="00C671CC"/>
    <w:rsid w:val="00C67501"/>
    <w:rsid w:val="00C67758"/>
    <w:rsid w:val="00C67AAB"/>
    <w:rsid w:val="00C67AE4"/>
    <w:rsid w:val="00C67DB8"/>
    <w:rsid w:val="00C70082"/>
    <w:rsid w:val="00C700AA"/>
    <w:rsid w:val="00C70250"/>
    <w:rsid w:val="00C7040C"/>
    <w:rsid w:val="00C707EA"/>
    <w:rsid w:val="00C70A5C"/>
    <w:rsid w:val="00C70BC8"/>
    <w:rsid w:val="00C70BFA"/>
    <w:rsid w:val="00C710F4"/>
    <w:rsid w:val="00C71975"/>
    <w:rsid w:val="00C71CC7"/>
    <w:rsid w:val="00C71D5D"/>
    <w:rsid w:val="00C72141"/>
    <w:rsid w:val="00C72554"/>
    <w:rsid w:val="00C72AC5"/>
    <w:rsid w:val="00C72B46"/>
    <w:rsid w:val="00C72C64"/>
    <w:rsid w:val="00C7325E"/>
    <w:rsid w:val="00C735B9"/>
    <w:rsid w:val="00C73DA7"/>
    <w:rsid w:val="00C7452A"/>
    <w:rsid w:val="00C749C9"/>
    <w:rsid w:val="00C74C29"/>
    <w:rsid w:val="00C75284"/>
    <w:rsid w:val="00C75367"/>
    <w:rsid w:val="00C75518"/>
    <w:rsid w:val="00C75896"/>
    <w:rsid w:val="00C75A36"/>
    <w:rsid w:val="00C76132"/>
    <w:rsid w:val="00C76201"/>
    <w:rsid w:val="00C76C8D"/>
    <w:rsid w:val="00C76C9E"/>
    <w:rsid w:val="00C76EAE"/>
    <w:rsid w:val="00C7714F"/>
    <w:rsid w:val="00C77152"/>
    <w:rsid w:val="00C77366"/>
    <w:rsid w:val="00C77563"/>
    <w:rsid w:val="00C77A33"/>
    <w:rsid w:val="00C77B1D"/>
    <w:rsid w:val="00C800AF"/>
    <w:rsid w:val="00C8041C"/>
    <w:rsid w:val="00C80561"/>
    <w:rsid w:val="00C80588"/>
    <w:rsid w:val="00C80717"/>
    <w:rsid w:val="00C8078B"/>
    <w:rsid w:val="00C80DFA"/>
    <w:rsid w:val="00C8106E"/>
    <w:rsid w:val="00C81B61"/>
    <w:rsid w:val="00C8216E"/>
    <w:rsid w:val="00C8234F"/>
    <w:rsid w:val="00C826BE"/>
    <w:rsid w:val="00C827B4"/>
    <w:rsid w:val="00C827CB"/>
    <w:rsid w:val="00C82AB7"/>
    <w:rsid w:val="00C82D1F"/>
    <w:rsid w:val="00C82D95"/>
    <w:rsid w:val="00C82E46"/>
    <w:rsid w:val="00C833D1"/>
    <w:rsid w:val="00C834F0"/>
    <w:rsid w:val="00C83644"/>
    <w:rsid w:val="00C8380F"/>
    <w:rsid w:val="00C8390E"/>
    <w:rsid w:val="00C8396A"/>
    <w:rsid w:val="00C83990"/>
    <w:rsid w:val="00C83AF2"/>
    <w:rsid w:val="00C83B15"/>
    <w:rsid w:val="00C84247"/>
    <w:rsid w:val="00C84696"/>
    <w:rsid w:val="00C8496A"/>
    <w:rsid w:val="00C8501B"/>
    <w:rsid w:val="00C85A2E"/>
    <w:rsid w:val="00C85DC3"/>
    <w:rsid w:val="00C85F84"/>
    <w:rsid w:val="00C861A6"/>
    <w:rsid w:val="00C8670F"/>
    <w:rsid w:val="00C86950"/>
    <w:rsid w:val="00C86CC9"/>
    <w:rsid w:val="00C86FD9"/>
    <w:rsid w:val="00C8717D"/>
    <w:rsid w:val="00C872E1"/>
    <w:rsid w:val="00C876B2"/>
    <w:rsid w:val="00C87876"/>
    <w:rsid w:val="00C87A3F"/>
    <w:rsid w:val="00C87FE8"/>
    <w:rsid w:val="00C90097"/>
    <w:rsid w:val="00C90135"/>
    <w:rsid w:val="00C9030B"/>
    <w:rsid w:val="00C90337"/>
    <w:rsid w:val="00C90428"/>
    <w:rsid w:val="00C904D6"/>
    <w:rsid w:val="00C905C7"/>
    <w:rsid w:val="00C9071B"/>
    <w:rsid w:val="00C91217"/>
    <w:rsid w:val="00C913F7"/>
    <w:rsid w:val="00C915D6"/>
    <w:rsid w:val="00C91A09"/>
    <w:rsid w:val="00C92332"/>
    <w:rsid w:val="00C927F8"/>
    <w:rsid w:val="00C92804"/>
    <w:rsid w:val="00C9281B"/>
    <w:rsid w:val="00C92A2A"/>
    <w:rsid w:val="00C92CCE"/>
    <w:rsid w:val="00C930D3"/>
    <w:rsid w:val="00C9320F"/>
    <w:rsid w:val="00C93EFA"/>
    <w:rsid w:val="00C9412E"/>
    <w:rsid w:val="00C94657"/>
    <w:rsid w:val="00C9479E"/>
    <w:rsid w:val="00C94955"/>
    <w:rsid w:val="00C94D7A"/>
    <w:rsid w:val="00C950E1"/>
    <w:rsid w:val="00C95408"/>
    <w:rsid w:val="00C95672"/>
    <w:rsid w:val="00C95800"/>
    <w:rsid w:val="00C959DF"/>
    <w:rsid w:val="00C95AE1"/>
    <w:rsid w:val="00C95DB2"/>
    <w:rsid w:val="00C95EBC"/>
    <w:rsid w:val="00C95EFC"/>
    <w:rsid w:val="00C961B3"/>
    <w:rsid w:val="00C96C86"/>
    <w:rsid w:val="00C96DF2"/>
    <w:rsid w:val="00C97183"/>
    <w:rsid w:val="00C97283"/>
    <w:rsid w:val="00C97334"/>
    <w:rsid w:val="00C97427"/>
    <w:rsid w:val="00C979C5"/>
    <w:rsid w:val="00C97F8D"/>
    <w:rsid w:val="00CA00D8"/>
    <w:rsid w:val="00CA03FB"/>
    <w:rsid w:val="00CA05B3"/>
    <w:rsid w:val="00CA0830"/>
    <w:rsid w:val="00CA0DB9"/>
    <w:rsid w:val="00CA0EEB"/>
    <w:rsid w:val="00CA1230"/>
    <w:rsid w:val="00CA1DD8"/>
    <w:rsid w:val="00CA22B3"/>
    <w:rsid w:val="00CA2AE1"/>
    <w:rsid w:val="00CA2AE8"/>
    <w:rsid w:val="00CA2AFC"/>
    <w:rsid w:val="00CA2C80"/>
    <w:rsid w:val="00CA2DCD"/>
    <w:rsid w:val="00CA2F8A"/>
    <w:rsid w:val="00CA30BC"/>
    <w:rsid w:val="00CA3651"/>
    <w:rsid w:val="00CA36D1"/>
    <w:rsid w:val="00CA3B5A"/>
    <w:rsid w:val="00CA3DF5"/>
    <w:rsid w:val="00CA3F97"/>
    <w:rsid w:val="00CA3FEB"/>
    <w:rsid w:val="00CA3FF1"/>
    <w:rsid w:val="00CA467D"/>
    <w:rsid w:val="00CA47C7"/>
    <w:rsid w:val="00CA48A3"/>
    <w:rsid w:val="00CA4D54"/>
    <w:rsid w:val="00CA4D76"/>
    <w:rsid w:val="00CA4F92"/>
    <w:rsid w:val="00CA4FD1"/>
    <w:rsid w:val="00CA53A5"/>
    <w:rsid w:val="00CA5486"/>
    <w:rsid w:val="00CA5666"/>
    <w:rsid w:val="00CA5CC5"/>
    <w:rsid w:val="00CA62ED"/>
    <w:rsid w:val="00CA690C"/>
    <w:rsid w:val="00CA6943"/>
    <w:rsid w:val="00CA6952"/>
    <w:rsid w:val="00CA6BC9"/>
    <w:rsid w:val="00CA6CBD"/>
    <w:rsid w:val="00CA7280"/>
    <w:rsid w:val="00CA7297"/>
    <w:rsid w:val="00CA77E5"/>
    <w:rsid w:val="00CA796E"/>
    <w:rsid w:val="00CA7A89"/>
    <w:rsid w:val="00CA7BFC"/>
    <w:rsid w:val="00CA7CD5"/>
    <w:rsid w:val="00CA7E99"/>
    <w:rsid w:val="00CB00C6"/>
    <w:rsid w:val="00CB017E"/>
    <w:rsid w:val="00CB0684"/>
    <w:rsid w:val="00CB0AAA"/>
    <w:rsid w:val="00CB10C9"/>
    <w:rsid w:val="00CB12EE"/>
    <w:rsid w:val="00CB1517"/>
    <w:rsid w:val="00CB1935"/>
    <w:rsid w:val="00CB1DC2"/>
    <w:rsid w:val="00CB1EC6"/>
    <w:rsid w:val="00CB1ECC"/>
    <w:rsid w:val="00CB1EDC"/>
    <w:rsid w:val="00CB1F82"/>
    <w:rsid w:val="00CB217A"/>
    <w:rsid w:val="00CB2680"/>
    <w:rsid w:val="00CB2AAC"/>
    <w:rsid w:val="00CB2C41"/>
    <w:rsid w:val="00CB2F0F"/>
    <w:rsid w:val="00CB3139"/>
    <w:rsid w:val="00CB3248"/>
    <w:rsid w:val="00CB3588"/>
    <w:rsid w:val="00CB358F"/>
    <w:rsid w:val="00CB3756"/>
    <w:rsid w:val="00CB3C23"/>
    <w:rsid w:val="00CB3CCE"/>
    <w:rsid w:val="00CB3E76"/>
    <w:rsid w:val="00CB4273"/>
    <w:rsid w:val="00CB4A37"/>
    <w:rsid w:val="00CB4BC2"/>
    <w:rsid w:val="00CB4DFE"/>
    <w:rsid w:val="00CB50D4"/>
    <w:rsid w:val="00CB51A8"/>
    <w:rsid w:val="00CB5220"/>
    <w:rsid w:val="00CB52DB"/>
    <w:rsid w:val="00CB53A4"/>
    <w:rsid w:val="00CB574D"/>
    <w:rsid w:val="00CB5810"/>
    <w:rsid w:val="00CB5EBF"/>
    <w:rsid w:val="00CB5F6C"/>
    <w:rsid w:val="00CB5FB2"/>
    <w:rsid w:val="00CB603A"/>
    <w:rsid w:val="00CB60BC"/>
    <w:rsid w:val="00CB62AE"/>
    <w:rsid w:val="00CB6824"/>
    <w:rsid w:val="00CB68B1"/>
    <w:rsid w:val="00CB68F4"/>
    <w:rsid w:val="00CB6A1F"/>
    <w:rsid w:val="00CB6DC2"/>
    <w:rsid w:val="00CB7087"/>
    <w:rsid w:val="00CB718B"/>
    <w:rsid w:val="00CB71EB"/>
    <w:rsid w:val="00CB750F"/>
    <w:rsid w:val="00CB7D73"/>
    <w:rsid w:val="00CB7E15"/>
    <w:rsid w:val="00CC028B"/>
    <w:rsid w:val="00CC0706"/>
    <w:rsid w:val="00CC090E"/>
    <w:rsid w:val="00CC0B03"/>
    <w:rsid w:val="00CC10F9"/>
    <w:rsid w:val="00CC11DD"/>
    <w:rsid w:val="00CC12A1"/>
    <w:rsid w:val="00CC1672"/>
    <w:rsid w:val="00CC2112"/>
    <w:rsid w:val="00CC296B"/>
    <w:rsid w:val="00CC2BAF"/>
    <w:rsid w:val="00CC2CC9"/>
    <w:rsid w:val="00CC2E9D"/>
    <w:rsid w:val="00CC3074"/>
    <w:rsid w:val="00CC326A"/>
    <w:rsid w:val="00CC32F9"/>
    <w:rsid w:val="00CC342D"/>
    <w:rsid w:val="00CC369B"/>
    <w:rsid w:val="00CC3BDB"/>
    <w:rsid w:val="00CC40EB"/>
    <w:rsid w:val="00CC41DD"/>
    <w:rsid w:val="00CC44B0"/>
    <w:rsid w:val="00CC466F"/>
    <w:rsid w:val="00CC46AA"/>
    <w:rsid w:val="00CC4D5B"/>
    <w:rsid w:val="00CC4EEC"/>
    <w:rsid w:val="00CC50EA"/>
    <w:rsid w:val="00CC52E4"/>
    <w:rsid w:val="00CC542B"/>
    <w:rsid w:val="00CC5665"/>
    <w:rsid w:val="00CC5A69"/>
    <w:rsid w:val="00CC649C"/>
    <w:rsid w:val="00CC66D7"/>
    <w:rsid w:val="00CC6A5D"/>
    <w:rsid w:val="00CC6C7B"/>
    <w:rsid w:val="00CC6D9F"/>
    <w:rsid w:val="00CC7039"/>
    <w:rsid w:val="00CC7189"/>
    <w:rsid w:val="00CC71AB"/>
    <w:rsid w:val="00CC7638"/>
    <w:rsid w:val="00CC7B47"/>
    <w:rsid w:val="00CC7C47"/>
    <w:rsid w:val="00CD0031"/>
    <w:rsid w:val="00CD0059"/>
    <w:rsid w:val="00CD0D77"/>
    <w:rsid w:val="00CD0F20"/>
    <w:rsid w:val="00CD0FB3"/>
    <w:rsid w:val="00CD139C"/>
    <w:rsid w:val="00CD16D7"/>
    <w:rsid w:val="00CD1917"/>
    <w:rsid w:val="00CD1B95"/>
    <w:rsid w:val="00CD1BDF"/>
    <w:rsid w:val="00CD1E04"/>
    <w:rsid w:val="00CD25F6"/>
    <w:rsid w:val="00CD2B5B"/>
    <w:rsid w:val="00CD2F96"/>
    <w:rsid w:val="00CD34C3"/>
    <w:rsid w:val="00CD3593"/>
    <w:rsid w:val="00CD3604"/>
    <w:rsid w:val="00CD3909"/>
    <w:rsid w:val="00CD3D02"/>
    <w:rsid w:val="00CD411A"/>
    <w:rsid w:val="00CD417C"/>
    <w:rsid w:val="00CD418D"/>
    <w:rsid w:val="00CD435D"/>
    <w:rsid w:val="00CD498F"/>
    <w:rsid w:val="00CD4B8D"/>
    <w:rsid w:val="00CD4C5A"/>
    <w:rsid w:val="00CD5419"/>
    <w:rsid w:val="00CD550C"/>
    <w:rsid w:val="00CD5CB0"/>
    <w:rsid w:val="00CD5E5D"/>
    <w:rsid w:val="00CD605C"/>
    <w:rsid w:val="00CD61CB"/>
    <w:rsid w:val="00CD62C6"/>
    <w:rsid w:val="00CD6838"/>
    <w:rsid w:val="00CD684E"/>
    <w:rsid w:val="00CD6896"/>
    <w:rsid w:val="00CD68F9"/>
    <w:rsid w:val="00CD6A80"/>
    <w:rsid w:val="00CD6B85"/>
    <w:rsid w:val="00CD6B8F"/>
    <w:rsid w:val="00CD6BD0"/>
    <w:rsid w:val="00CD6DCB"/>
    <w:rsid w:val="00CD6F3E"/>
    <w:rsid w:val="00CD77EA"/>
    <w:rsid w:val="00CD7BC0"/>
    <w:rsid w:val="00CD7BDD"/>
    <w:rsid w:val="00CE09C2"/>
    <w:rsid w:val="00CE0A59"/>
    <w:rsid w:val="00CE0B00"/>
    <w:rsid w:val="00CE0D8E"/>
    <w:rsid w:val="00CE0E56"/>
    <w:rsid w:val="00CE10A4"/>
    <w:rsid w:val="00CE1150"/>
    <w:rsid w:val="00CE12EB"/>
    <w:rsid w:val="00CE17DD"/>
    <w:rsid w:val="00CE18A6"/>
    <w:rsid w:val="00CE1A52"/>
    <w:rsid w:val="00CE1F2E"/>
    <w:rsid w:val="00CE1FF3"/>
    <w:rsid w:val="00CE2016"/>
    <w:rsid w:val="00CE219F"/>
    <w:rsid w:val="00CE2D9C"/>
    <w:rsid w:val="00CE2FF0"/>
    <w:rsid w:val="00CE3773"/>
    <w:rsid w:val="00CE3AAE"/>
    <w:rsid w:val="00CE4780"/>
    <w:rsid w:val="00CE4E1A"/>
    <w:rsid w:val="00CE5087"/>
    <w:rsid w:val="00CE5210"/>
    <w:rsid w:val="00CE524E"/>
    <w:rsid w:val="00CE54F6"/>
    <w:rsid w:val="00CE5BC9"/>
    <w:rsid w:val="00CE5D96"/>
    <w:rsid w:val="00CE67EF"/>
    <w:rsid w:val="00CE6922"/>
    <w:rsid w:val="00CE6DBA"/>
    <w:rsid w:val="00CE7038"/>
    <w:rsid w:val="00CE7188"/>
    <w:rsid w:val="00CE720B"/>
    <w:rsid w:val="00CE7505"/>
    <w:rsid w:val="00CE7642"/>
    <w:rsid w:val="00CE7927"/>
    <w:rsid w:val="00CE79F3"/>
    <w:rsid w:val="00CE7DBA"/>
    <w:rsid w:val="00CF01EE"/>
    <w:rsid w:val="00CF0427"/>
    <w:rsid w:val="00CF05D5"/>
    <w:rsid w:val="00CF08F8"/>
    <w:rsid w:val="00CF0E55"/>
    <w:rsid w:val="00CF0EC2"/>
    <w:rsid w:val="00CF0FBD"/>
    <w:rsid w:val="00CF18D2"/>
    <w:rsid w:val="00CF1941"/>
    <w:rsid w:val="00CF1AEE"/>
    <w:rsid w:val="00CF1B52"/>
    <w:rsid w:val="00CF255F"/>
    <w:rsid w:val="00CF27AF"/>
    <w:rsid w:val="00CF294E"/>
    <w:rsid w:val="00CF29B6"/>
    <w:rsid w:val="00CF2A1A"/>
    <w:rsid w:val="00CF2C34"/>
    <w:rsid w:val="00CF2E2E"/>
    <w:rsid w:val="00CF2F66"/>
    <w:rsid w:val="00CF3019"/>
    <w:rsid w:val="00CF3446"/>
    <w:rsid w:val="00CF3507"/>
    <w:rsid w:val="00CF3511"/>
    <w:rsid w:val="00CF3526"/>
    <w:rsid w:val="00CF3C61"/>
    <w:rsid w:val="00CF3E93"/>
    <w:rsid w:val="00CF44B8"/>
    <w:rsid w:val="00CF4957"/>
    <w:rsid w:val="00CF49CD"/>
    <w:rsid w:val="00CF4AC7"/>
    <w:rsid w:val="00CF4C48"/>
    <w:rsid w:val="00CF4D2F"/>
    <w:rsid w:val="00CF4EB4"/>
    <w:rsid w:val="00CF5000"/>
    <w:rsid w:val="00CF5012"/>
    <w:rsid w:val="00CF5AA9"/>
    <w:rsid w:val="00CF6219"/>
    <w:rsid w:val="00CF6A82"/>
    <w:rsid w:val="00CF6BD3"/>
    <w:rsid w:val="00CF719F"/>
    <w:rsid w:val="00CF722A"/>
    <w:rsid w:val="00CF739C"/>
    <w:rsid w:val="00CF7455"/>
    <w:rsid w:val="00CF74C0"/>
    <w:rsid w:val="00CF7630"/>
    <w:rsid w:val="00CF7788"/>
    <w:rsid w:val="00CF7B6F"/>
    <w:rsid w:val="00CF7BBE"/>
    <w:rsid w:val="00CF7FE1"/>
    <w:rsid w:val="00CF7FE3"/>
    <w:rsid w:val="00D00415"/>
    <w:rsid w:val="00D007D5"/>
    <w:rsid w:val="00D00D87"/>
    <w:rsid w:val="00D01555"/>
    <w:rsid w:val="00D0163B"/>
    <w:rsid w:val="00D02508"/>
    <w:rsid w:val="00D02619"/>
    <w:rsid w:val="00D0265E"/>
    <w:rsid w:val="00D02842"/>
    <w:rsid w:val="00D02945"/>
    <w:rsid w:val="00D02B57"/>
    <w:rsid w:val="00D02CE3"/>
    <w:rsid w:val="00D02FB0"/>
    <w:rsid w:val="00D030C4"/>
    <w:rsid w:val="00D031BD"/>
    <w:rsid w:val="00D032E1"/>
    <w:rsid w:val="00D033A4"/>
    <w:rsid w:val="00D036D7"/>
    <w:rsid w:val="00D04478"/>
    <w:rsid w:val="00D04546"/>
    <w:rsid w:val="00D046B5"/>
    <w:rsid w:val="00D049EE"/>
    <w:rsid w:val="00D04A4E"/>
    <w:rsid w:val="00D04AE8"/>
    <w:rsid w:val="00D04D2B"/>
    <w:rsid w:val="00D052AB"/>
    <w:rsid w:val="00D0533D"/>
    <w:rsid w:val="00D054DD"/>
    <w:rsid w:val="00D055A9"/>
    <w:rsid w:val="00D05640"/>
    <w:rsid w:val="00D05736"/>
    <w:rsid w:val="00D0588A"/>
    <w:rsid w:val="00D05BF2"/>
    <w:rsid w:val="00D05BF5"/>
    <w:rsid w:val="00D05C53"/>
    <w:rsid w:val="00D061B4"/>
    <w:rsid w:val="00D0637F"/>
    <w:rsid w:val="00D065BC"/>
    <w:rsid w:val="00D06785"/>
    <w:rsid w:val="00D067B0"/>
    <w:rsid w:val="00D06DA8"/>
    <w:rsid w:val="00D07037"/>
    <w:rsid w:val="00D076BB"/>
    <w:rsid w:val="00D077F3"/>
    <w:rsid w:val="00D10061"/>
    <w:rsid w:val="00D10142"/>
    <w:rsid w:val="00D101FA"/>
    <w:rsid w:val="00D104DD"/>
    <w:rsid w:val="00D104E3"/>
    <w:rsid w:val="00D10A4D"/>
    <w:rsid w:val="00D10C04"/>
    <w:rsid w:val="00D11784"/>
    <w:rsid w:val="00D11C2D"/>
    <w:rsid w:val="00D120DA"/>
    <w:rsid w:val="00D121FA"/>
    <w:rsid w:val="00D1272F"/>
    <w:rsid w:val="00D1285A"/>
    <w:rsid w:val="00D12FC5"/>
    <w:rsid w:val="00D13021"/>
    <w:rsid w:val="00D13483"/>
    <w:rsid w:val="00D134FE"/>
    <w:rsid w:val="00D136D6"/>
    <w:rsid w:val="00D13B7E"/>
    <w:rsid w:val="00D13C6F"/>
    <w:rsid w:val="00D13D91"/>
    <w:rsid w:val="00D13E64"/>
    <w:rsid w:val="00D13FFE"/>
    <w:rsid w:val="00D14314"/>
    <w:rsid w:val="00D143B8"/>
    <w:rsid w:val="00D146D3"/>
    <w:rsid w:val="00D14F87"/>
    <w:rsid w:val="00D1526E"/>
    <w:rsid w:val="00D158D8"/>
    <w:rsid w:val="00D15C37"/>
    <w:rsid w:val="00D15E66"/>
    <w:rsid w:val="00D15EBD"/>
    <w:rsid w:val="00D160B8"/>
    <w:rsid w:val="00D163FC"/>
    <w:rsid w:val="00D16474"/>
    <w:rsid w:val="00D164A3"/>
    <w:rsid w:val="00D165C4"/>
    <w:rsid w:val="00D166DA"/>
    <w:rsid w:val="00D16862"/>
    <w:rsid w:val="00D16C91"/>
    <w:rsid w:val="00D16D44"/>
    <w:rsid w:val="00D16EAF"/>
    <w:rsid w:val="00D170CB"/>
    <w:rsid w:val="00D171B2"/>
    <w:rsid w:val="00D174FE"/>
    <w:rsid w:val="00D1763A"/>
    <w:rsid w:val="00D17A79"/>
    <w:rsid w:val="00D17AF1"/>
    <w:rsid w:val="00D17C5A"/>
    <w:rsid w:val="00D17DAC"/>
    <w:rsid w:val="00D17DDD"/>
    <w:rsid w:val="00D17F9C"/>
    <w:rsid w:val="00D202C5"/>
    <w:rsid w:val="00D203E6"/>
    <w:rsid w:val="00D20700"/>
    <w:rsid w:val="00D209C9"/>
    <w:rsid w:val="00D20CE4"/>
    <w:rsid w:val="00D20FD4"/>
    <w:rsid w:val="00D21187"/>
    <w:rsid w:val="00D21253"/>
    <w:rsid w:val="00D212B7"/>
    <w:rsid w:val="00D212BF"/>
    <w:rsid w:val="00D2131D"/>
    <w:rsid w:val="00D214DE"/>
    <w:rsid w:val="00D21523"/>
    <w:rsid w:val="00D219CE"/>
    <w:rsid w:val="00D21E2F"/>
    <w:rsid w:val="00D222F3"/>
    <w:rsid w:val="00D23263"/>
    <w:rsid w:val="00D2343F"/>
    <w:rsid w:val="00D23451"/>
    <w:rsid w:val="00D2345B"/>
    <w:rsid w:val="00D237E2"/>
    <w:rsid w:val="00D23811"/>
    <w:rsid w:val="00D23A6F"/>
    <w:rsid w:val="00D23C35"/>
    <w:rsid w:val="00D23CC2"/>
    <w:rsid w:val="00D24145"/>
    <w:rsid w:val="00D24191"/>
    <w:rsid w:val="00D245AA"/>
    <w:rsid w:val="00D2461D"/>
    <w:rsid w:val="00D24665"/>
    <w:rsid w:val="00D2467B"/>
    <w:rsid w:val="00D2483C"/>
    <w:rsid w:val="00D24D8C"/>
    <w:rsid w:val="00D24FD0"/>
    <w:rsid w:val="00D2501F"/>
    <w:rsid w:val="00D251E6"/>
    <w:rsid w:val="00D25307"/>
    <w:rsid w:val="00D2539C"/>
    <w:rsid w:val="00D254E9"/>
    <w:rsid w:val="00D25520"/>
    <w:rsid w:val="00D255CF"/>
    <w:rsid w:val="00D255ED"/>
    <w:rsid w:val="00D25D1A"/>
    <w:rsid w:val="00D262B1"/>
    <w:rsid w:val="00D2678E"/>
    <w:rsid w:val="00D26863"/>
    <w:rsid w:val="00D2694C"/>
    <w:rsid w:val="00D26F57"/>
    <w:rsid w:val="00D26F9F"/>
    <w:rsid w:val="00D271C9"/>
    <w:rsid w:val="00D272A2"/>
    <w:rsid w:val="00D276BB"/>
    <w:rsid w:val="00D27853"/>
    <w:rsid w:val="00D301A2"/>
    <w:rsid w:val="00D304E0"/>
    <w:rsid w:val="00D30A13"/>
    <w:rsid w:val="00D30AE0"/>
    <w:rsid w:val="00D310AE"/>
    <w:rsid w:val="00D31270"/>
    <w:rsid w:val="00D31763"/>
    <w:rsid w:val="00D32155"/>
    <w:rsid w:val="00D321B8"/>
    <w:rsid w:val="00D3239C"/>
    <w:rsid w:val="00D32442"/>
    <w:rsid w:val="00D3255F"/>
    <w:rsid w:val="00D3296E"/>
    <w:rsid w:val="00D32B2F"/>
    <w:rsid w:val="00D3307C"/>
    <w:rsid w:val="00D331A9"/>
    <w:rsid w:val="00D331F1"/>
    <w:rsid w:val="00D3342A"/>
    <w:rsid w:val="00D33581"/>
    <w:rsid w:val="00D33986"/>
    <w:rsid w:val="00D33AC0"/>
    <w:rsid w:val="00D33D9E"/>
    <w:rsid w:val="00D34313"/>
    <w:rsid w:val="00D3434A"/>
    <w:rsid w:val="00D34379"/>
    <w:rsid w:val="00D34F04"/>
    <w:rsid w:val="00D34FB1"/>
    <w:rsid w:val="00D350AF"/>
    <w:rsid w:val="00D353D1"/>
    <w:rsid w:val="00D358BB"/>
    <w:rsid w:val="00D3601B"/>
    <w:rsid w:val="00D36107"/>
    <w:rsid w:val="00D36A87"/>
    <w:rsid w:val="00D37058"/>
    <w:rsid w:val="00D376CF"/>
    <w:rsid w:val="00D37785"/>
    <w:rsid w:val="00D37852"/>
    <w:rsid w:val="00D379A8"/>
    <w:rsid w:val="00D37BDE"/>
    <w:rsid w:val="00D37E14"/>
    <w:rsid w:val="00D37F37"/>
    <w:rsid w:val="00D400D0"/>
    <w:rsid w:val="00D40B8D"/>
    <w:rsid w:val="00D40D1B"/>
    <w:rsid w:val="00D40D89"/>
    <w:rsid w:val="00D41040"/>
    <w:rsid w:val="00D411B3"/>
    <w:rsid w:val="00D413EC"/>
    <w:rsid w:val="00D41840"/>
    <w:rsid w:val="00D41BDF"/>
    <w:rsid w:val="00D41C99"/>
    <w:rsid w:val="00D41CE7"/>
    <w:rsid w:val="00D41D11"/>
    <w:rsid w:val="00D41E44"/>
    <w:rsid w:val="00D42591"/>
    <w:rsid w:val="00D4312C"/>
    <w:rsid w:val="00D433C8"/>
    <w:rsid w:val="00D43FEA"/>
    <w:rsid w:val="00D44172"/>
    <w:rsid w:val="00D4421B"/>
    <w:rsid w:val="00D44301"/>
    <w:rsid w:val="00D4444E"/>
    <w:rsid w:val="00D445E6"/>
    <w:rsid w:val="00D447BF"/>
    <w:rsid w:val="00D449C1"/>
    <w:rsid w:val="00D44A16"/>
    <w:rsid w:val="00D45687"/>
    <w:rsid w:val="00D45A9E"/>
    <w:rsid w:val="00D45B10"/>
    <w:rsid w:val="00D45CDA"/>
    <w:rsid w:val="00D45E05"/>
    <w:rsid w:val="00D45F34"/>
    <w:rsid w:val="00D462E4"/>
    <w:rsid w:val="00D467FA"/>
    <w:rsid w:val="00D4689B"/>
    <w:rsid w:val="00D4689C"/>
    <w:rsid w:val="00D46E18"/>
    <w:rsid w:val="00D472FC"/>
    <w:rsid w:val="00D4783F"/>
    <w:rsid w:val="00D47C7E"/>
    <w:rsid w:val="00D50510"/>
    <w:rsid w:val="00D508D0"/>
    <w:rsid w:val="00D50DED"/>
    <w:rsid w:val="00D50ECC"/>
    <w:rsid w:val="00D511DD"/>
    <w:rsid w:val="00D514B8"/>
    <w:rsid w:val="00D514FE"/>
    <w:rsid w:val="00D516AB"/>
    <w:rsid w:val="00D518CF"/>
    <w:rsid w:val="00D51D27"/>
    <w:rsid w:val="00D51D4B"/>
    <w:rsid w:val="00D51E95"/>
    <w:rsid w:val="00D5203E"/>
    <w:rsid w:val="00D5219F"/>
    <w:rsid w:val="00D52398"/>
    <w:rsid w:val="00D5282D"/>
    <w:rsid w:val="00D52E71"/>
    <w:rsid w:val="00D532AA"/>
    <w:rsid w:val="00D53589"/>
    <w:rsid w:val="00D5380F"/>
    <w:rsid w:val="00D53815"/>
    <w:rsid w:val="00D540FA"/>
    <w:rsid w:val="00D542C1"/>
    <w:rsid w:val="00D54599"/>
    <w:rsid w:val="00D54A66"/>
    <w:rsid w:val="00D54CEC"/>
    <w:rsid w:val="00D54D41"/>
    <w:rsid w:val="00D54DED"/>
    <w:rsid w:val="00D551FD"/>
    <w:rsid w:val="00D5521B"/>
    <w:rsid w:val="00D55225"/>
    <w:rsid w:val="00D55325"/>
    <w:rsid w:val="00D55561"/>
    <w:rsid w:val="00D55763"/>
    <w:rsid w:val="00D55B3C"/>
    <w:rsid w:val="00D55CAA"/>
    <w:rsid w:val="00D55CED"/>
    <w:rsid w:val="00D55F8B"/>
    <w:rsid w:val="00D566C7"/>
    <w:rsid w:val="00D567E1"/>
    <w:rsid w:val="00D56A30"/>
    <w:rsid w:val="00D56CA6"/>
    <w:rsid w:val="00D56D29"/>
    <w:rsid w:val="00D57491"/>
    <w:rsid w:val="00D57A4B"/>
    <w:rsid w:val="00D57A61"/>
    <w:rsid w:val="00D57C03"/>
    <w:rsid w:val="00D60077"/>
    <w:rsid w:val="00D601E6"/>
    <w:rsid w:val="00D60296"/>
    <w:rsid w:val="00D60743"/>
    <w:rsid w:val="00D60B94"/>
    <w:rsid w:val="00D60DE4"/>
    <w:rsid w:val="00D60E3E"/>
    <w:rsid w:val="00D6125B"/>
    <w:rsid w:val="00D61583"/>
    <w:rsid w:val="00D61F26"/>
    <w:rsid w:val="00D61F49"/>
    <w:rsid w:val="00D6224C"/>
    <w:rsid w:val="00D622F2"/>
    <w:rsid w:val="00D62623"/>
    <w:rsid w:val="00D62941"/>
    <w:rsid w:val="00D634B7"/>
    <w:rsid w:val="00D635A7"/>
    <w:rsid w:val="00D63938"/>
    <w:rsid w:val="00D63D9C"/>
    <w:rsid w:val="00D63EEE"/>
    <w:rsid w:val="00D6438E"/>
    <w:rsid w:val="00D6441B"/>
    <w:rsid w:val="00D647A5"/>
    <w:rsid w:val="00D647B3"/>
    <w:rsid w:val="00D649B0"/>
    <w:rsid w:val="00D649DE"/>
    <w:rsid w:val="00D64D7A"/>
    <w:rsid w:val="00D64E6F"/>
    <w:rsid w:val="00D65430"/>
    <w:rsid w:val="00D65C6F"/>
    <w:rsid w:val="00D65EDD"/>
    <w:rsid w:val="00D66130"/>
    <w:rsid w:val="00D6616A"/>
    <w:rsid w:val="00D66230"/>
    <w:rsid w:val="00D6631E"/>
    <w:rsid w:val="00D6688E"/>
    <w:rsid w:val="00D66A2A"/>
    <w:rsid w:val="00D66B7B"/>
    <w:rsid w:val="00D67515"/>
    <w:rsid w:val="00D6758A"/>
    <w:rsid w:val="00D6794E"/>
    <w:rsid w:val="00D67A88"/>
    <w:rsid w:val="00D67AD0"/>
    <w:rsid w:val="00D67C2B"/>
    <w:rsid w:val="00D67C6B"/>
    <w:rsid w:val="00D67CAC"/>
    <w:rsid w:val="00D67DD6"/>
    <w:rsid w:val="00D67EDB"/>
    <w:rsid w:val="00D7025B"/>
    <w:rsid w:val="00D70A73"/>
    <w:rsid w:val="00D70C0A"/>
    <w:rsid w:val="00D70DB2"/>
    <w:rsid w:val="00D71178"/>
    <w:rsid w:val="00D71264"/>
    <w:rsid w:val="00D717BB"/>
    <w:rsid w:val="00D717C6"/>
    <w:rsid w:val="00D718B4"/>
    <w:rsid w:val="00D71D41"/>
    <w:rsid w:val="00D722F2"/>
    <w:rsid w:val="00D72331"/>
    <w:rsid w:val="00D72391"/>
    <w:rsid w:val="00D7279E"/>
    <w:rsid w:val="00D72902"/>
    <w:rsid w:val="00D72D42"/>
    <w:rsid w:val="00D72FE9"/>
    <w:rsid w:val="00D738D4"/>
    <w:rsid w:val="00D73AE7"/>
    <w:rsid w:val="00D73B6D"/>
    <w:rsid w:val="00D741CE"/>
    <w:rsid w:val="00D74232"/>
    <w:rsid w:val="00D74352"/>
    <w:rsid w:val="00D74893"/>
    <w:rsid w:val="00D74913"/>
    <w:rsid w:val="00D74DD2"/>
    <w:rsid w:val="00D755EE"/>
    <w:rsid w:val="00D758AB"/>
    <w:rsid w:val="00D759B7"/>
    <w:rsid w:val="00D75B73"/>
    <w:rsid w:val="00D75DC5"/>
    <w:rsid w:val="00D75DFA"/>
    <w:rsid w:val="00D76007"/>
    <w:rsid w:val="00D76032"/>
    <w:rsid w:val="00D762B3"/>
    <w:rsid w:val="00D764F2"/>
    <w:rsid w:val="00D76A39"/>
    <w:rsid w:val="00D76CEC"/>
    <w:rsid w:val="00D76FBD"/>
    <w:rsid w:val="00D7727A"/>
    <w:rsid w:val="00D7742A"/>
    <w:rsid w:val="00D775F7"/>
    <w:rsid w:val="00D801A0"/>
    <w:rsid w:val="00D801C7"/>
    <w:rsid w:val="00D80252"/>
    <w:rsid w:val="00D80359"/>
    <w:rsid w:val="00D80627"/>
    <w:rsid w:val="00D80A91"/>
    <w:rsid w:val="00D80BB0"/>
    <w:rsid w:val="00D80CC9"/>
    <w:rsid w:val="00D80ECF"/>
    <w:rsid w:val="00D80FF9"/>
    <w:rsid w:val="00D8148B"/>
    <w:rsid w:val="00D8184C"/>
    <w:rsid w:val="00D81A71"/>
    <w:rsid w:val="00D81C3E"/>
    <w:rsid w:val="00D81CB2"/>
    <w:rsid w:val="00D81F8F"/>
    <w:rsid w:val="00D82110"/>
    <w:rsid w:val="00D8232D"/>
    <w:rsid w:val="00D823E4"/>
    <w:rsid w:val="00D8240A"/>
    <w:rsid w:val="00D82472"/>
    <w:rsid w:val="00D82849"/>
    <w:rsid w:val="00D8285B"/>
    <w:rsid w:val="00D83081"/>
    <w:rsid w:val="00D839E9"/>
    <w:rsid w:val="00D83A5E"/>
    <w:rsid w:val="00D83BA0"/>
    <w:rsid w:val="00D83C91"/>
    <w:rsid w:val="00D8434E"/>
    <w:rsid w:val="00D84418"/>
    <w:rsid w:val="00D84527"/>
    <w:rsid w:val="00D84D13"/>
    <w:rsid w:val="00D84E86"/>
    <w:rsid w:val="00D8537C"/>
    <w:rsid w:val="00D8543E"/>
    <w:rsid w:val="00D85A3B"/>
    <w:rsid w:val="00D85D8D"/>
    <w:rsid w:val="00D862A5"/>
    <w:rsid w:val="00D8705E"/>
    <w:rsid w:val="00D871A0"/>
    <w:rsid w:val="00D871A8"/>
    <w:rsid w:val="00D87233"/>
    <w:rsid w:val="00D875BB"/>
    <w:rsid w:val="00D901B9"/>
    <w:rsid w:val="00D90256"/>
    <w:rsid w:val="00D90718"/>
    <w:rsid w:val="00D90961"/>
    <w:rsid w:val="00D90A7E"/>
    <w:rsid w:val="00D90D3F"/>
    <w:rsid w:val="00D90DAB"/>
    <w:rsid w:val="00D90E3F"/>
    <w:rsid w:val="00D911C5"/>
    <w:rsid w:val="00D912CC"/>
    <w:rsid w:val="00D915E4"/>
    <w:rsid w:val="00D915EC"/>
    <w:rsid w:val="00D9162B"/>
    <w:rsid w:val="00D917C7"/>
    <w:rsid w:val="00D918A3"/>
    <w:rsid w:val="00D91DAB"/>
    <w:rsid w:val="00D91EAA"/>
    <w:rsid w:val="00D92099"/>
    <w:rsid w:val="00D921F8"/>
    <w:rsid w:val="00D925B0"/>
    <w:rsid w:val="00D92AA1"/>
    <w:rsid w:val="00D92D45"/>
    <w:rsid w:val="00D92E04"/>
    <w:rsid w:val="00D93800"/>
    <w:rsid w:val="00D93C62"/>
    <w:rsid w:val="00D94153"/>
    <w:rsid w:val="00D943A3"/>
    <w:rsid w:val="00D948E4"/>
    <w:rsid w:val="00D94B6D"/>
    <w:rsid w:val="00D94BE4"/>
    <w:rsid w:val="00D9503A"/>
    <w:rsid w:val="00D951AD"/>
    <w:rsid w:val="00D952A5"/>
    <w:rsid w:val="00D9539C"/>
    <w:rsid w:val="00D953CC"/>
    <w:rsid w:val="00D95578"/>
    <w:rsid w:val="00D95BF7"/>
    <w:rsid w:val="00D962EA"/>
    <w:rsid w:val="00D963D3"/>
    <w:rsid w:val="00D96415"/>
    <w:rsid w:val="00D9648C"/>
    <w:rsid w:val="00D965D2"/>
    <w:rsid w:val="00D9660B"/>
    <w:rsid w:val="00D9685E"/>
    <w:rsid w:val="00D968F0"/>
    <w:rsid w:val="00D96BC1"/>
    <w:rsid w:val="00D96C63"/>
    <w:rsid w:val="00D96CD6"/>
    <w:rsid w:val="00D96CDD"/>
    <w:rsid w:val="00D96D9C"/>
    <w:rsid w:val="00D96EB1"/>
    <w:rsid w:val="00D96F75"/>
    <w:rsid w:val="00D9718F"/>
    <w:rsid w:val="00D971BC"/>
    <w:rsid w:val="00D972D1"/>
    <w:rsid w:val="00D97347"/>
    <w:rsid w:val="00DA0018"/>
    <w:rsid w:val="00DA0352"/>
    <w:rsid w:val="00DA0497"/>
    <w:rsid w:val="00DA0678"/>
    <w:rsid w:val="00DA0CDD"/>
    <w:rsid w:val="00DA13AD"/>
    <w:rsid w:val="00DA19D4"/>
    <w:rsid w:val="00DA1A47"/>
    <w:rsid w:val="00DA1AE3"/>
    <w:rsid w:val="00DA1C12"/>
    <w:rsid w:val="00DA1CA3"/>
    <w:rsid w:val="00DA2630"/>
    <w:rsid w:val="00DA2661"/>
    <w:rsid w:val="00DA2864"/>
    <w:rsid w:val="00DA2C5B"/>
    <w:rsid w:val="00DA2FAF"/>
    <w:rsid w:val="00DA3078"/>
    <w:rsid w:val="00DA3282"/>
    <w:rsid w:val="00DA331F"/>
    <w:rsid w:val="00DA356B"/>
    <w:rsid w:val="00DA3584"/>
    <w:rsid w:val="00DA3719"/>
    <w:rsid w:val="00DA39AF"/>
    <w:rsid w:val="00DA3C76"/>
    <w:rsid w:val="00DA3FFE"/>
    <w:rsid w:val="00DA41D7"/>
    <w:rsid w:val="00DA4322"/>
    <w:rsid w:val="00DA4741"/>
    <w:rsid w:val="00DA4978"/>
    <w:rsid w:val="00DA49C7"/>
    <w:rsid w:val="00DA4BA5"/>
    <w:rsid w:val="00DA51A9"/>
    <w:rsid w:val="00DA5F3B"/>
    <w:rsid w:val="00DA5FC3"/>
    <w:rsid w:val="00DA6004"/>
    <w:rsid w:val="00DA6122"/>
    <w:rsid w:val="00DA6275"/>
    <w:rsid w:val="00DA6302"/>
    <w:rsid w:val="00DA64ED"/>
    <w:rsid w:val="00DA681E"/>
    <w:rsid w:val="00DA68C4"/>
    <w:rsid w:val="00DA6BBA"/>
    <w:rsid w:val="00DA6DB6"/>
    <w:rsid w:val="00DA6E63"/>
    <w:rsid w:val="00DA6F17"/>
    <w:rsid w:val="00DA7032"/>
    <w:rsid w:val="00DA730A"/>
    <w:rsid w:val="00DB006F"/>
    <w:rsid w:val="00DB01E5"/>
    <w:rsid w:val="00DB0319"/>
    <w:rsid w:val="00DB04A8"/>
    <w:rsid w:val="00DB0659"/>
    <w:rsid w:val="00DB0851"/>
    <w:rsid w:val="00DB0999"/>
    <w:rsid w:val="00DB0B74"/>
    <w:rsid w:val="00DB0E39"/>
    <w:rsid w:val="00DB1447"/>
    <w:rsid w:val="00DB15E7"/>
    <w:rsid w:val="00DB221D"/>
    <w:rsid w:val="00DB255F"/>
    <w:rsid w:val="00DB2612"/>
    <w:rsid w:val="00DB26EC"/>
    <w:rsid w:val="00DB2745"/>
    <w:rsid w:val="00DB2D66"/>
    <w:rsid w:val="00DB30C0"/>
    <w:rsid w:val="00DB334F"/>
    <w:rsid w:val="00DB33AC"/>
    <w:rsid w:val="00DB357B"/>
    <w:rsid w:val="00DB3679"/>
    <w:rsid w:val="00DB36B3"/>
    <w:rsid w:val="00DB36D3"/>
    <w:rsid w:val="00DB375D"/>
    <w:rsid w:val="00DB3AEE"/>
    <w:rsid w:val="00DB3EB7"/>
    <w:rsid w:val="00DB410A"/>
    <w:rsid w:val="00DB41E6"/>
    <w:rsid w:val="00DB43A8"/>
    <w:rsid w:val="00DB475F"/>
    <w:rsid w:val="00DB492C"/>
    <w:rsid w:val="00DB4A63"/>
    <w:rsid w:val="00DB4CCB"/>
    <w:rsid w:val="00DB5C18"/>
    <w:rsid w:val="00DB5C7A"/>
    <w:rsid w:val="00DB5F08"/>
    <w:rsid w:val="00DB60D5"/>
    <w:rsid w:val="00DB6122"/>
    <w:rsid w:val="00DB627F"/>
    <w:rsid w:val="00DB6290"/>
    <w:rsid w:val="00DB6463"/>
    <w:rsid w:val="00DB66D5"/>
    <w:rsid w:val="00DB697C"/>
    <w:rsid w:val="00DB6A46"/>
    <w:rsid w:val="00DB7236"/>
    <w:rsid w:val="00DB724D"/>
    <w:rsid w:val="00DB7699"/>
    <w:rsid w:val="00DB7B98"/>
    <w:rsid w:val="00DB7E87"/>
    <w:rsid w:val="00DB7FCA"/>
    <w:rsid w:val="00DC00C5"/>
    <w:rsid w:val="00DC02B3"/>
    <w:rsid w:val="00DC09C2"/>
    <w:rsid w:val="00DC0C44"/>
    <w:rsid w:val="00DC11F0"/>
    <w:rsid w:val="00DC1633"/>
    <w:rsid w:val="00DC199A"/>
    <w:rsid w:val="00DC19D3"/>
    <w:rsid w:val="00DC1E3C"/>
    <w:rsid w:val="00DC2068"/>
    <w:rsid w:val="00DC228E"/>
    <w:rsid w:val="00DC231A"/>
    <w:rsid w:val="00DC2757"/>
    <w:rsid w:val="00DC28E0"/>
    <w:rsid w:val="00DC2B12"/>
    <w:rsid w:val="00DC2F7A"/>
    <w:rsid w:val="00DC3066"/>
    <w:rsid w:val="00DC30FF"/>
    <w:rsid w:val="00DC342A"/>
    <w:rsid w:val="00DC3582"/>
    <w:rsid w:val="00DC3769"/>
    <w:rsid w:val="00DC4385"/>
    <w:rsid w:val="00DC456C"/>
    <w:rsid w:val="00DC4653"/>
    <w:rsid w:val="00DC4A0B"/>
    <w:rsid w:val="00DC4CA6"/>
    <w:rsid w:val="00DC4DE8"/>
    <w:rsid w:val="00DC4F22"/>
    <w:rsid w:val="00DC5174"/>
    <w:rsid w:val="00DC5467"/>
    <w:rsid w:val="00DC57B3"/>
    <w:rsid w:val="00DC58E4"/>
    <w:rsid w:val="00DC5BD3"/>
    <w:rsid w:val="00DC60CC"/>
    <w:rsid w:val="00DC6786"/>
    <w:rsid w:val="00DC69AF"/>
    <w:rsid w:val="00DC6E69"/>
    <w:rsid w:val="00DC70FA"/>
    <w:rsid w:val="00DC725F"/>
    <w:rsid w:val="00DC73DA"/>
    <w:rsid w:val="00DC7483"/>
    <w:rsid w:val="00DC750F"/>
    <w:rsid w:val="00DC78E1"/>
    <w:rsid w:val="00DC7D98"/>
    <w:rsid w:val="00DC7E68"/>
    <w:rsid w:val="00DD0368"/>
    <w:rsid w:val="00DD07C5"/>
    <w:rsid w:val="00DD0860"/>
    <w:rsid w:val="00DD0ECF"/>
    <w:rsid w:val="00DD0FB9"/>
    <w:rsid w:val="00DD0FCD"/>
    <w:rsid w:val="00DD10AF"/>
    <w:rsid w:val="00DD161F"/>
    <w:rsid w:val="00DD17BD"/>
    <w:rsid w:val="00DD1862"/>
    <w:rsid w:val="00DD1B8E"/>
    <w:rsid w:val="00DD1E35"/>
    <w:rsid w:val="00DD2111"/>
    <w:rsid w:val="00DD237E"/>
    <w:rsid w:val="00DD239F"/>
    <w:rsid w:val="00DD256F"/>
    <w:rsid w:val="00DD2C3B"/>
    <w:rsid w:val="00DD2D0E"/>
    <w:rsid w:val="00DD3FE9"/>
    <w:rsid w:val="00DD4173"/>
    <w:rsid w:val="00DD42E7"/>
    <w:rsid w:val="00DD47C9"/>
    <w:rsid w:val="00DD4A14"/>
    <w:rsid w:val="00DD4AB7"/>
    <w:rsid w:val="00DD4E61"/>
    <w:rsid w:val="00DD50A9"/>
    <w:rsid w:val="00DD55C0"/>
    <w:rsid w:val="00DD5E51"/>
    <w:rsid w:val="00DD63C8"/>
    <w:rsid w:val="00DD67A7"/>
    <w:rsid w:val="00DD6A3C"/>
    <w:rsid w:val="00DD6BDF"/>
    <w:rsid w:val="00DD6CD6"/>
    <w:rsid w:val="00DD6FBD"/>
    <w:rsid w:val="00DD76EF"/>
    <w:rsid w:val="00DE0386"/>
    <w:rsid w:val="00DE0891"/>
    <w:rsid w:val="00DE0BDD"/>
    <w:rsid w:val="00DE0E8C"/>
    <w:rsid w:val="00DE1136"/>
    <w:rsid w:val="00DE1186"/>
    <w:rsid w:val="00DE120C"/>
    <w:rsid w:val="00DE166B"/>
    <w:rsid w:val="00DE177F"/>
    <w:rsid w:val="00DE19FA"/>
    <w:rsid w:val="00DE1C41"/>
    <w:rsid w:val="00DE2320"/>
    <w:rsid w:val="00DE2628"/>
    <w:rsid w:val="00DE2692"/>
    <w:rsid w:val="00DE2958"/>
    <w:rsid w:val="00DE29F9"/>
    <w:rsid w:val="00DE2AD2"/>
    <w:rsid w:val="00DE2D50"/>
    <w:rsid w:val="00DE2F92"/>
    <w:rsid w:val="00DE307F"/>
    <w:rsid w:val="00DE367F"/>
    <w:rsid w:val="00DE393B"/>
    <w:rsid w:val="00DE3EE9"/>
    <w:rsid w:val="00DE4318"/>
    <w:rsid w:val="00DE48B3"/>
    <w:rsid w:val="00DE4D0C"/>
    <w:rsid w:val="00DE52B6"/>
    <w:rsid w:val="00DE64CA"/>
    <w:rsid w:val="00DE65F1"/>
    <w:rsid w:val="00DE6649"/>
    <w:rsid w:val="00DE6E04"/>
    <w:rsid w:val="00DE6F7D"/>
    <w:rsid w:val="00DE712C"/>
    <w:rsid w:val="00DE7190"/>
    <w:rsid w:val="00DE726B"/>
    <w:rsid w:val="00DE74E7"/>
    <w:rsid w:val="00DE7770"/>
    <w:rsid w:val="00DE788D"/>
    <w:rsid w:val="00DE79BA"/>
    <w:rsid w:val="00DE7CAA"/>
    <w:rsid w:val="00DE7D84"/>
    <w:rsid w:val="00DF019D"/>
    <w:rsid w:val="00DF0206"/>
    <w:rsid w:val="00DF08AE"/>
    <w:rsid w:val="00DF0B28"/>
    <w:rsid w:val="00DF0D4A"/>
    <w:rsid w:val="00DF106A"/>
    <w:rsid w:val="00DF111C"/>
    <w:rsid w:val="00DF128A"/>
    <w:rsid w:val="00DF12C9"/>
    <w:rsid w:val="00DF13E0"/>
    <w:rsid w:val="00DF1492"/>
    <w:rsid w:val="00DF1677"/>
    <w:rsid w:val="00DF1813"/>
    <w:rsid w:val="00DF1C33"/>
    <w:rsid w:val="00DF1DEC"/>
    <w:rsid w:val="00DF2375"/>
    <w:rsid w:val="00DF2378"/>
    <w:rsid w:val="00DF243E"/>
    <w:rsid w:val="00DF2714"/>
    <w:rsid w:val="00DF271C"/>
    <w:rsid w:val="00DF273A"/>
    <w:rsid w:val="00DF2791"/>
    <w:rsid w:val="00DF279B"/>
    <w:rsid w:val="00DF2941"/>
    <w:rsid w:val="00DF2B27"/>
    <w:rsid w:val="00DF2CBB"/>
    <w:rsid w:val="00DF2E88"/>
    <w:rsid w:val="00DF327A"/>
    <w:rsid w:val="00DF35AC"/>
    <w:rsid w:val="00DF35B5"/>
    <w:rsid w:val="00DF384A"/>
    <w:rsid w:val="00DF3CEC"/>
    <w:rsid w:val="00DF3E28"/>
    <w:rsid w:val="00DF3F7E"/>
    <w:rsid w:val="00DF41D0"/>
    <w:rsid w:val="00DF43AE"/>
    <w:rsid w:val="00DF44F1"/>
    <w:rsid w:val="00DF4698"/>
    <w:rsid w:val="00DF47B0"/>
    <w:rsid w:val="00DF4808"/>
    <w:rsid w:val="00DF4E30"/>
    <w:rsid w:val="00DF54BA"/>
    <w:rsid w:val="00DF5666"/>
    <w:rsid w:val="00DF56C1"/>
    <w:rsid w:val="00DF583C"/>
    <w:rsid w:val="00DF596D"/>
    <w:rsid w:val="00DF5A38"/>
    <w:rsid w:val="00DF5A74"/>
    <w:rsid w:val="00DF5D0E"/>
    <w:rsid w:val="00DF5D66"/>
    <w:rsid w:val="00DF5D94"/>
    <w:rsid w:val="00DF5F9B"/>
    <w:rsid w:val="00DF60FF"/>
    <w:rsid w:val="00DF61AC"/>
    <w:rsid w:val="00DF6262"/>
    <w:rsid w:val="00DF62E4"/>
    <w:rsid w:val="00DF6603"/>
    <w:rsid w:val="00DF6660"/>
    <w:rsid w:val="00DF666E"/>
    <w:rsid w:val="00DF6BEB"/>
    <w:rsid w:val="00DF6E4C"/>
    <w:rsid w:val="00DF712C"/>
    <w:rsid w:val="00DF73E9"/>
    <w:rsid w:val="00E00683"/>
    <w:rsid w:val="00E00733"/>
    <w:rsid w:val="00E00749"/>
    <w:rsid w:val="00E00863"/>
    <w:rsid w:val="00E00F61"/>
    <w:rsid w:val="00E01254"/>
    <w:rsid w:val="00E01387"/>
    <w:rsid w:val="00E0145F"/>
    <w:rsid w:val="00E01461"/>
    <w:rsid w:val="00E015B8"/>
    <w:rsid w:val="00E015DE"/>
    <w:rsid w:val="00E0171B"/>
    <w:rsid w:val="00E01786"/>
    <w:rsid w:val="00E01835"/>
    <w:rsid w:val="00E018E0"/>
    <w:rsid w:val="00E01AD6"/>
    <w:rsid w:val="00E01BE6"/>
    <w:rsid w:val="00E01BE9"/>
    <w:rsid w:val="00E01BF8"/>
    <w:rsid w:val="00E01F91"/>
    <w:rsid w:val="00E02134"/>
    <w:rsid w:val="00E021BF"/>
    <w:rsid w:val="00E0272B"/>
    <w:rsid w:val="00E027CF"/>
    <w:rsid w:val="00E02D55"/>
    <w:rsid w:val="00E02DDA"/>
    <w:rsid w:val="00E02EE8"/>
    <w:rsid w:val="00E03AD1"/>
    <w:rsid w:val="00E03C28"/>
    <w:rsid w:val="00E03CB6"/>
    <w:rsid w:val="00E03E70"/>
    <w:rsid w:val="00E03F54"/>
    <w:rsid w:val="00E04537"/>
    <w:rsid w:val="00E04649"/>
    <w:rsid w:val="00E047AF"/>
    <w:rsid w:val="00E04C46"/>
    <w:rsid w:val="00E04F58"/>
    <w:rsid w:val="00E0561E"/>
    <w:rsid w:val="00E0574C"/>
    <w:rsid w:val="00E05880"/>
    <w:rsid w:val="00E06615"/>
    <w:rsid w:val="00E066A4"/>
    <w:rsid w:val="00E07227"/>
    <w:rsid w:val="00E1005D"/>
    <w:rsid w:val="00E10169"/>
    <w:rsid w:val="00E10711"/>
    <w:rsid w:val="00E10C50"/>
    <w:rsid w:val="00E10EAA"/>
    <w:rsid w:val="00E11264"/>
    <w:rsid w:val="00E116D2"/>
    <w:rsid w:val="00E117D6"/>
    <w:rsid w:val="00E118A2"/>
    <w:rsid w:val="00E11FC1"/>
    <w:rsid w:val="00E121A1"/>
    <w:rsid w:val="00E1246E"/>
    <w:rsid w:val="00E125D4"/>
    <w:rsid w:val="00E12714"/>
    <w:rsid w:val="00E128FD"/>
    <w:rsid w:val="00E12C60"/>
    <w:rsid w:val="00E12F98"/>
    <w:rsid w:val="00E1301E"/>
    <w:rsid w:val="00E13521"/>
    <w:rsid w:val="00E13AEF"/>
    <w:rsid w:val="00E13EDC"/>
    <w:rsid w:val="00E13EED"/>
    <w:rsid w:val="00E141A4"/>
    <w:rsid w:val="00E14302"/>
    <w:rsid w:val="00E14D8B"/>
    <w:rsid w:val="00E153A7"/>
    <w:rsid w:val="00E15851"/>
    <w:rsid w:val="00E15FE1"/>
    <w:rsid w:val="00E16109"/>
    <w:rsid w:val="00E16427"/>
    <w:rsid w:val="00E170BD"/>
    <w:rsid w:val="00E1749C"/>
    <w:rsid w:val="00E17EBD"/>
    <w:rsid w:val="00E17ED4"/>
    <w:rsid w:val="00E20007"/>
    <w:rsid w:val="00E20280"/>
    <w:rsid w:val="00E20CB9"/>
    <w:rsid w:val="00E20E9A"/>
    <w:rsid w:val="00E213B6"/>
    <w:rsid w:val="00E213DF"/>
    <w:rsid w:val="00E21BE1"/>
    <w:rsid w:val="00E21BE9"/>
    <w:rsid w:val="00E21D89"/>
    <w:rsid w:val="00E21DDC"/>
    <w:rsid w:val="00E21E69"/>
    <w:rsid w:val="00E21E83"/>
    <w:rsid w:val="00E225C7"/>
    <w:rsid w:val="00E22D5A"/>
    <w:rsid w:val="00E22D83"/>
    <w:rsid w:val="00E22DA9"/>
    <w:rsid w:val="00E22DB6"/>
    <w:rsid w:val="00E232E9"/>
    <w:rsid w:val="00E2378F"/>
    <w:rsid w:val="00E2392C"/>
    <w:rsid w:val="00E23B4C"/>
    <w:rsid w:val="00E23EC2"/>
    <w:rsid w:val="00E23FA5"/>
    <w:rsid w:val="00E2432B"/>
    <w:rsid w:val="00E243D5"/>
    <w:rsid w:val="00E24C4A"/>
    <w:rsid w:val="00E24C59"/>
    <w:rsid w:val="00E24F56"/>
    <w:rsid w:val="00E251E2"/>
    <w:rsid w:val="00E252C7"/>
    <w:rsid w:val="00E25371"/>
    <w:rsid w:val="00E25403"/>
    <w:rsid w:val="00E254E6"/>
    <w:rsid w:val="00E25B00"/>
    <w:rsid w:val="00E25B68"/>
    <w:rsid w:val="00E26057"/>
    <w:rsid w:val="00E261B2"/>
    <w:rsid w:val="00E26254"/>
    <w:rsid w:val="00E262AA"/>
    <w:rsid w:val="00E2651F"/>
    <w:rsid w:val="00E269D1"/>
    <w:rsid w:val="00E26C03"/>
    <w:rsid w:val="00E26CDF"/>
    <w:rsid w:val="00E27011"/>
    <w:rsid w:val="00E27094"/>
    <w:rsid w:val="00E2775F"/>
    <w:rsid w:val="00E27977"/>
    <w:rsid w:val="00E27B62"/>
    <w:rsid w:val="00E27D34"/>
    <w:rsid w:val="00E27D92"/>
    <w:rsid w:val="00E27DF2"/>
    <w:rsid w:val="00E3071B"/>
    <w:rsid w:val="00E307B5"/>
    <w:rsid w:val="00E30A6F"/>
    <w:rsid w:val="00E30C61"/>
    <w:rsid w:val="00E30F62"/>
    <w:rsid w:val="00E31049"/>
    <w:rsid w:val="00E311FC"/>
    <w:rsid w:val="00E312D8"/>
    <w:rsid w:val="00E316C8"/>
    <w:rsid w:val="00E31725"/>
    <w:rsid w:val="00E319A3"/>
    <w:rsid w:val="00E31B50"/>
    <w:rsid w:val="00E31F93"/>
    <w:rsid w:val="00E3218D"/>
    <w:rsid w:val="00E32294"/>
    <w:rsid w:val="00E32699"/>
    <w:rsid w:val="00E33140"/>
    <w:rsid w:val="00E336F1"/>
    <w:rsid w:val="00E33BD8"/>
    <w:rsid w:val="00E33C8A"/>
    <w:rsid w:val="00E33F61"/>
    <w:rsid w:val="00E34174"/>
    <w:rsid w:val="00E3470A"/>
    <w:rsid w:val="00E347D6"/>
    <w:rsid w:val="00E34E25"/>
    <w:rsid w:val="00E35484"/>
    <w:rsid w:val="00E356C7"/>
    <w:rsid w:val="00E357B0"/>
    <w:rsid w:val="00E3587D"/>
    <w:rsid w:val="00E36534"/>
    <w:rsid w:val="00E36708"/>
    <w:rsid w:val="00E36963"/>
    <w:rsid w:val="00E36B77"/>
    <w:rsid w:val="00E36F20"/>
    <w:rsid w:val="00E37307"/>
    <w:rsid w:val="00E37A4F"/>
    <w:rsid w:val="00E37D9F"/>
    <w:rsid w:val="00E40630"/>
    <w:rsid w:val="00E407DE"/>
    <w:rsid w:val="00E40CEE"/>
    <w:rsid w:val="00E4167D"/>
    <w:rsid w:val="00E418FF"/>
    <w:rsid w:val="00E41923"/>
    <w:rsid w:val="00E41CA2"/>
    <w:rsid w:val="00E424B9"/>
    <w:rsid w:val="00E429B4"/>
    <w:rsid w:val="00E42AC8"/>
    <w:rsid w:val="00E42BB6"/>
    <w:rsid w:val="00E42CB4"/>
    <w:rsid w:val="00E42D3F"/>
    <w:rsid w:val="00E42FD6"/>
    <w:rsid w:val="00E43074"/>
    <w:rsid w:val="00E43433"/>
    <w:rsid w:val="00E434F7"/>
    <w:rsid w:val="00E4353E"/>
    <w:rsid w:val="00E43647"/>
    <w:rsid w:val="00E437C7"/>
    <w:rsid w:val="00E43C57"/>
    <w:rsid w:val="00E43DA0"/>
    <w:rsid w:val="00E43F4E"/>
    <w:rsid w:val="00E43FB3"/>
    <w:rsid w:val="00E440A0"/>
    <w:rsid w:val="00E446B0"/>
    <w:rsid w:val="00E44A7C"/>
    <w:rsid w:val="00E44B77"/>
    <w:rsid w:val="00E44C3E"/>
    <w:rsid w:val="00E44EE9"/>
    <w:rsid w:val="00E44F95"/>
    <w:rsid w:val="00E454EC"/>
    <w:rsid w:val="00E45719"/>
    <w:rsid w:val="00E45721"/>
    <w:rsid w:val="00E45B61"/>
    <w:rsid w:val="00E45B73"/>
    <w:rsid w:val="00E45BBC"/>
    <w:rsid w:val="00E45E04"/>
    <w:rsid w:val="00E46234"/>
    <w:rsid w:val="00E46574"/>
    <w:rsid w:val="00E465AD"/>
    <w:rsid w:val="00E46A66"/>
    <w:rsid w:val="00E46AC9"/>
    <w:rsid w:val="00E46AE6"/>
    <w:rsid w:val="00E46CD1"/>
    <w:rsid w:val="00E46D29"/>
    <w:rsid w:val="00E4705D"/>
    <w:rsid w:val="00E47CE8"/>
    <w:rsid w:val="00E47F52"/>
    <w:rsid w:val="00E50071"/>
    <w:rsid w:val="00E50651"/>
    <w:rsid w:val="00E50A0E"/>
    <w:rsid w:val="00E50C35"/>
    <w:rsid w:val="00E50DB2"/>
    <w:rsid w:val="00E512FB"/>
    <w:rsid w:val="00E51DBC"/>
    <w:rsid w:val="00E51E53"/>
    <w:rsid w:val="00E52256"/>
    <w:rsid w:val="00E522B2"/>
    <w:rsid w:val="00E522BC"/>
    <w:rsid w:val="00E529C3"/>
    <w:rsid w:val="00E52AF4"/>
    <w:rsid w:val="00E52B68"/>
    <w:rsid w:val="00E52B87"/>
    <w:rsid w:val="00E52E6D"/>
    <w:rsid w:val="00E5340D"/>
    <w:rsid w:val="00E5363B"/>
    <w:rsid w:val="00E539DD"/>
    <w:rsid w:val="00E53DDA"/>
    <w:rsid w:val="00E53DF8"/>
    <w:rsid w:val="00E54033"/>
    <w:rsid w:val="00E543E0"/>
    <w:rsid w:val="00E544A3"/>
    <w:rsid w:val="00E545C6"/>
    <w:rsid w:val="00E54AAC"/>
    <w:rsid w:val="00E54D9C"/>
    <w:rsid w:val="00E54DB5"/>
    <w:rsid w:val="00E54FE7"/>
    <w:rsid w:val="00E55486"/>
    <w:rsid w:val="00E5576B"/>
    <w:rsid w:val="00E5595E"/>
    <w:rsid w:val="00E55AF7"/>
    <w:rsid w:val="00E55E38"/>
    <w:rsid w:val="00E55EDD"/>
    <w:rsid w:val="00E55F17"/>
    <w:rsid w:val="00E56347"/>
    <w:rsid w:val="00E567CD"/>
    <w:rsid w:val="00E56F6A"/>
    <w:rsid w:val="00E57056"/>
    <w:rsid w:val="00E57391"/>
    <w:rsid w:val="00E573BC"/>
    <w:rsid w:val="00E5764A"/>
    <w:rsid w:val="00E57777"/>
    <w:rsid w:val="00E5793B"/>
    <w:rsid w:val="00E57CB9"/>
    <w:rsid w:val="00E57D64"/>
    <w:rsid w:val="00E57E87"/>
    <w:rsid w:val="00E57EAD"/>
    <w:rsid w:val="00E57F33"/>
    <w:rsid w:val="00E607F8"/>
    <w:rsid w:val="00E60CDD"/>
    <w:rsid w:val="00E60CF7"/>
    <w:rsid w:val="00E60DDF"/>
    <w:rsid w:val="00E61030"/>
    <w:rsid w:val="00E6113F"/>
    <w:rsid w:val="00E6160F"/>
    <w:rsid w:val="00E61768"/>
    <w:rsid w:val="00E61E50"/>
    <w:rsid w:val="00E6217C"/>
    <w:rsid w:val="00E622C3"/>
    <w:rsid w:val="00E6250E"/>
    <w:rsid w:val="00E62BE9"/>
    <w:rsid w:val="00E632BF"/>
    <w:rsid w:val="00E635D6"/>
    <w:rsid w:val="00E63FEB"/>
    <w:rsid w:val="00E640D4"/>
    <w:rsid w:val="00E6453A"/>
    <w:rsid w:val="00E646A8"/>
    <w:rsid w:val="00E648C7"/>
    <w:rsid w:val="00E649E0"/>
    <w:rsid w:val="00E64BF8"/>
    <w:rsid w:val="00E64DA8"/>
    <w:rsid w:val="00E64DDF"/>
    <w:rsid w:val="00E64EA9"/>
    <w:rsid w:val="00E650AC"/>
    <w:rsid w:val="00E65244"/>
    <w:rsid w:val="00E65592"/>
    <w:rsid w:val="00E656FA"/>
    <w:rsid w:val="00E6595F"/>
    <w:rsid w:val="00E65BB4"/>
    <w:rsid w:val="00E65C29"/>
    <w:rsid w:val="00E65C55"/>
    <w:rsid w:val="00E65C6C"/>
    <w:rsid w:val="00E66F24"/>
    <w:rsid w:val="00E67342"/>
    <w:rsid w:val="00E67853"/>
    <w:rsid w:val="00E678C9"/>
    <w:rsid w:val="00E67ADA"/>
    <w:rsid w:val="00E67C62"/>
    <w:rsid w:val="00E67E1F"/>
    <w:rsid w:val="00E67EF0"/>
    <w:rsid w:val="00E70378"/>
    <w:rsid w:val="00E705CC"/>
    <w:rsid w:val="00E7099A"/>
    <w:rsid w:val="00E70A0C"/>
    <w:rsid w:val="00E711F6"/>
    <w:rsid w:val="00E71220"/>
    <w:rsid w:val="00E712B7"/>
    <w:rsid w:val="00E71602"/>
    <w:rsid w:val="00E718C9"/>
    <w:rsid w:val="00E7244E"/>
    <w:rsid w:val="00E727D2"/>
    <w:rsid w:val="00E73258"/>
    <w:rsid w:val="00E73627"/>
    <w:rsid w:val="00E73667"/>
    <w:rsid w:val="00E73768"/>
    <w:rsid w:val="00E743D2"/>
    <w:rsid w:val="00E747AC"/>
    <w:rsid w:val="00E74EE7"/>
    <w:rsid w:val="00E754E4"/>
    <w:rsid w:val="00E755B3"/>
    <w:rsid w:val="00E75C21"/>
    <w:rsid w:val="00E75D52"/>
    <w:rsid w:val="00E75F72"/>
    <w:rsid w:val="00E7611C"/>
    <w:rsid w:val="00E77038"/>
    <w:rsid w:val="00E776AC"/>
    <w:rsid w:val="00E7772F"/>
    <w:rsid w:val="00E77807"/>
    <w:rsid w:val="00E77A07"/>
    <w:rsid w:val="00E77C00"/>
    <w:rsid w:val="00E77EB8"/>
    <w:rsid w:val="00E800ED"/>
    <w:rsid w:val="00E80113"/>
    <w:rsid w:val="00E80279"/>
    <w:rsid w:val="00E80455"/>
    <w:rsid w:val="00E80590"/>
    <w:rsid w:val="00E805AF"/>
    <w:rsid w:val="00E8072F"/>
    <w:rsid w:val="00E808D5"/>
    <w:rsid w:val="00E80CCD"/>
    <w:rsid w:val="00E80D20"/>
    <w:rsid w:val="00E811DB"/>
    <w:rsid w:val="00E8122B"/>
    <w:rsid w:val="00E81710"/>
    <w:rsid w:val="00E8171D"/>
    <w:rsid w:val="00E81877"/>
    <w:rsid w:val="00E81AA2"/>
    <w:rsid w:val="00E81BA8"/>
    <w:rsid w:val="00E820A4"/>
    <w:rsid w:val="00E820AD"/>
    <w:rsid w:val="00E8212C"/>
    <w:rsid w:val="00E822D2"/>
    <w:rsid w:val="00E827C5"/>
    <w:rsid w:val="00E82C9D"/>
    <w:rsid w:val="00E830FB"/>
    <w:rsid w:val="00E835B4"/>
    <w:rsid w:val="00E836B2"/>
    <w:rsid w:val="00E8373E"/>
    <w:rsid w:val="00E83949"/>
    <w:rsid w:val="00E83BFB"/>
    <w:rsid w:val="00E83CDA"/>
    <w:rsid w:val="00E83CFD"/>
    <w:rsid w:val="00E83E67"/>
    <w:rsid w:val="00E84027"/>
    <w:rsid w:val="00E84598"/>
    <w:rsid w:val="00E845EB"/>
    <w:rsid w:val="00E848C5"/>
    <w:rsid w:val="00E84E26"/>
    <w:rsid w:val="00E84EF4"/>
    <w:rsid w:val="00E84FAC"/>
    <w:rsid w:val="00E851FB"/>
    <w:rsid w:val="00E85345"/>
    <w:rsid w:val="00E853E2"/>
    <w:rsid w:val="00E8565A"/>
    <w:rsid w:val="00E85675"/>
    <w:rsid w:val="00E85A36"/>
    <w:rsid w:val="00E85BF0"/>
    <w:rsid w:val="00E85E2C"/>
    <w:rsid w:val="00E86504"/>
    <w:rsid w:val="00E86BF0"/>
    <w:rsid w:val="00E86C3F"/>
    <w:rsid w:val="00E86CA8"/>
    <w:rsid w:val="00E873CB"/>
    <w:rsid w:val="00E8766F"/>
    <w:rsid w:val="00E876C6"/>
    <w:rsid w:val="00E87E5B"/>
    <w:rsid w:val="00E90089"/>
    <w:rsid w:val="00E900F3"/>
    <w:rsid w:val="00E9011C"/>
    <w:rsid w:val="00E90156"/>
    <w:rsid w:val="00E90C75"/>
    <w:rsid w:val="00E9112C"/>
    <w:rsid w:val="00E9146F"/>
    <w:rsid w:val="00E9149B"/>
    <w:rsid w:val="00E918B9"/>
    <w:rsid w:val="00E918DF"/>
    <w:rsid w:val="00E91DEC"/>
    <w:rsid w:val="00E91E40"/>
    <w:rsid w:val="00E92038"/>
    <w:rsid w:val="00E920AC"/>
    <w:rsid w:val="00E923C1"/>
    <w:rsid w:val="00E9279D"/>
    <w:rsid w:val="00E927A0"/>
    <w:rsid w:val="00E927BA"/>
    <w:rsid w:val="00E92B1B"/>
    <w:rsid w:val="00E92B4B"/>
    <w:rsid w:val="00E92BB9"/>
    <w:rsid w:val="00E92BC1"/>
    <w:rsid w:val="00E92C0F"/>
    <w:rsid w:val="00E92C24"/>
    <w:rsid w:val="00E9304D"/>
    <w:rsid w:val="00E930E4"/>
    <w:rsid w:val="00E934BF"/>
    <w:rsid w:val="00E93639"/>
    <w:rsid w:val="00E93807"/>
    <w:rsid w:val="00E93A74"/>
    <w:rsid w:val="00E94187"/>
    <w:rsid w:val="00E9447C"/>
    <w:rsid w:val="00E94CC7"/>
    <w:rsid w:val="00E94D73"/>
    <w:rsid w:val="00E94E51"/>
    <w:rsid w:val="00E9535E"/>
    <w:rsid w:val="00E95695"/>
    <w:rsid w:val="00E95A8F"/>
    <w:rsid w:val="00E95C7C"/>
    <w:rsid w:val="00E96351"/>
    <w:rsid w:val="00E964DF"/>
    <w:rsid w:val="00E9658E"/>
    <w:rsid w:val="00E9665C"/>
    <w:rsid w:val="00E96768"/>
    <w:rsid w:val="00E9681B"/>
    <w:rsid w:val="00E96B58"/>
    <w:rsid w:val="00E96B92"/>
    <w:rsid w:val="00E96E5B"/>
    <w:rsid w:val="00E9760E"/>
    <w:rsid w:val="00E97754"/>
    <w:rsid w:val="00E979EF"/>
    <w:rsid w:val="00E97AC6"/>
    <w:rsid w:val="00E97BD4"/>
    <w:rsid w:val="00E97EBF"/>
    <w:rsid w:val="00EA0135"/>
    <w:rsid w:val="00EA05D5"/>
    <w:rsid w:val="00EA0A55"/>
    <w:rsid w:val="00EA0A5B"/>
    <w:rsid w:val="00EA10A5"/>
    <w:rsid w:val="00EA10EF"/>
    <w:rsid w:val="00EA1759"/>
    <w:rsid w:val="00EA17A0"/>
    <w:rsid w:val="00EA17B6"/>
    <w:rsid w:val="00EA1945"/>
    <w:rsid w:val="00EA1DBB"/>
    <w:rsid w:val="00EA1E33"/>
    <w:rsid w:val="00EA202F"/>
    <w:rsid w:val="00EA25FF"/>
    <w:rsid w:val="00EA2AC3"/>
    <w:rsid w:val="00EA2AC6"/>
    <w:rsid w:val="00EA2E8D"/>
    <w:rsid w:val="00EA3353"/>
    <w:rsid w:val="00EA34C1"/>
    <w:rsid w:val="00EA35C4"/>
    <w:rsid w:val="00EA369E"/>
    <w:rsid w:val="00EA3A0E"/>
    <w:rsid w:val="00EA3A39"/>
    <w:rsid w:val="00EA3C36"/>
    <w:rsid w:val="00EA3EB0"/>
    <w:rsid w:val="00EA4424"/>
    <w:rsid w:val="00EA4475"/>
    <w:rsid w:val="00EA45B4"/>
    <w:rsid w:val="00EA4B34"/>
    <w:rsid w:val="00EA4C72"/>
    <w:rsid w:val="00EA52A7"/>
    <w:rsid w:val="00EA5559"/>
    <w:rsid w:val="00EA5772"/>
    <w:rsid w:val="00EA5FD1"/>
    <w:rsid w:val="00EA619E"/>
    <w:rsid w:val="00EA6254"/>
    <w:rsid w:val="00EA6BC3"/>
    <w:rsid w:val="00EA6BE0"/>
    <w:rsid w:val="00EA6BFD"/>
    <w:rsid w:val="00EA7284"/>
    <w:rsid w:val="00EA7960"/>
    <w:rsid w:val="00EA7C4C"/>
    <w:rsid w:val="00EA7CA9"/>
    <w:rsid w:val="00EA7D4D"/>
    <w:rsid w:val="00EB00C5"/>
    <w:rsid w:val="00EB0CC9"/>
    <w:rsid w:val="00EB0D9A"/>
    <w:rsid w:val="00EB1098"/>
    <w:rsid w:val="00EB111E"/>
    <w:rsid w:val="00EB1482"/>
    <w:rsid w:val="00EB1952"/>
    <w:rsid w:val="00EB1970"/>
    <w:rsid w:val="00EB1B98"/>
    <w:rsid w:val="00EB1CE6"/>
    <w:rsid w:val="00EB2188"/>
    <w:rsid w:val="00EB2380"/>
    <w:rsid w:val="00EB23AE"/>
    <w:rsid w:val="00EB2DB9"/>
    <w:rsid w:val="00EB3035"/>
    <w:rsid w:val="00EB3135"/>
    <w:rsid w:val="00EB349D"/>
    <w:rsid w:val="00EB409F"/>
    <w:rsid w:val="00EB45A7"/>
    <w:rsid w:val="00EB4683"/>
    <w:rsid w:val="00EB495D"/>
    <w:rsid w:val="00EB4965"/>
    <w:rsid w:val="00EB4DE5"/>
    <w:rsid w:val="00EB4E86"/>
    <w:rsid w:val="00EB4FB8"/>
    <w:rsid w:val="00EB50D3"/>
    <w:rsid w:val="00EB5380"/>
    <w:rsid w:val="00EB56B1"/>
    <w:rsid w:val="00EB5A30"/>
    <w:rsid w:val="00EB5B82"/>
    <w:rsid w:val="00EB5CD2"/>
    <w:rsid w:val="00EB5CF1"/>
    <w:rsid w:val="00EB6324"/>
    <w:rsid w:val="00EB69BE"/>
    <w:rsid w:val="00EB6A2F"/>
    <w:rsid w:val="00EB6A6A"/>
    <w:rsid w:val="00EB7572"/>
    <w:rsid w:val="00EB7F43"/>
    <w:rsid w:val="00EC0608"/>
    <w:rsid w:val="00EC0A3B"/>
    <w:rsid w:val="00EC0A5C"/>
    <w:rsid w:val="00EC0C9F"/>
    <w:rsid w:val="00EC0D55"/>
    <w:rsid w:val="00EC105F"/>
    <w:rsid w:val="00EC1675"/>
    <w:rsid w:val="00EC215E"/>
    <w:rsid w:val="00EC233F"/>
    <w:rsid w:val="00EC243C"/>
    <w:rsid w:val="00EC25D8"/>
    <w:rsid w:val="00EC2A11"/>
    <w:rsid w:val="00EC2A27"/>
    <w:rsid w:val="00EC319A"/>
    <w:rsid w:val="00EC33FA"/>
    <w:rsid w:val="00EC349A"/>
    <w:rsid w:val="00EC351C"/>
    <w:rsid w:val="00EC3968"/>
    <w:rsid w:val="00EC3B8D"/>
    <w:rsid w:val="00EC3F4B"/>
    <w:rsid w:val="00EC3FF3"/>
    <w:rsid w:val="00EC4379"/>
    <w:rsid w:val="00EC442A"/>
    <w:rsid w:val="00EC469C"/>
    <w:rsid w:val="00EC48D2"/>
    <w:rsid w:val="00EC4C93"/>
    <w:rsid w:val="00EC4D8B"/>
    <w:rsid w:val="00EC5988"/>
    <w:rsid w:val="00EC5CF9"/>
    <w:rsid w:val="00EC5F1F"/>
    <w:rsid w:val="00EC6216"/>
    <w:rsid w:val="00EC6254"/>
    <w:rsid w:val="00EC62C0"/>
    <w:rsid w:val="00EC6474"/>
    <w:rsid w:val="00EC6530"/>
    <w:rsid w:val="00EC65B9"/>
    <w:rsid w:val="00EC6B6B"/>
    <w:rsid w:val="00EC6BC1"/>
    <w:rsid w:val="00EC6F12"/>
    <w:rsid w:val="00EC7010"/>
    <w:rsid w:val="00EC71AC"/>
    <w:rsid w:val="00EC7244"/>
    <w:rsid w:val="00EC7257"/>
    <w:rsid w:val="00EC7329"/>
    <w:rsid w:val="00EC77CC"/>
    <w:rsid w:val="00EC7A6C"/>
    <w:rsid w:val="00EC7C45"/>
    <w:rsid w:val="00ED0174"/>
    <w:rsid w:val="00ED0342"/>
    <w:rsid w:val="00ED0759"/>
    <w:rsid w:val="00ED0B03"/>
    <w:rsid w:val="00ED0C08"/>
    <w:rsid w:val="00ED0D88"/>
    <w:rsid w:val="00ED0EAF"/>
    <w:rsid w:val="00ED10DF"/>
    <w:rsid w:val="00ED1239"/>
    <w:rsid w:val="00ED13B2"/>
    <w:rsid w:val="00ED1806"/>
    <w:rsid w:val="00ED1A68"/>
    <w:rsid w:val="00ED2564"/>
    <w:rsid w:val="00ED2631"/>
    <w:rsid w:val="00ED2B08"/>
    <w:rsid w:val="00ED2EF1"/>
    <w:rsid w:val="00ED3125"/>
    <w:rsid w:val="00ED31E8"/>
    <w:rsid w:val="00ED3241"/>
    <w:rsid w:val="00ED34A5"/>
    <w:rsid w:val="00ED372A"/>
    <w:rsid w:val="00ED383D"/>
    <w:rsid w:val="00ED398B"/>
    <w:rsid w:val="00ED3A99"/>
    <w:rsid w:val="00ED44A3"/>
    <w:rsid w:val="00ED44F2"/>
    <w:rsid w:val="00ED4814"/>
    <w:rsid w:val="00ED53EB"/>
    <w:rsid w:val="00ED5456"/>
    <w:rsid w:val="00ED5637"/>
    <w:rsid w:val="00ED5B6A"/>
    <w:rsid w:val="00ED5C72"/>
    <w:rsid w:val="00ED5DBC"/>
    <w:rsid w:val="00ED5DFB"/>
    <w:rsid w:val="00ED6773"/>
    <w:rsid w:val="00ED6CCE"/>
    <w:rsid w:val="00ED6D3A"/>
    <w:rsid w:val="00ED7106"/>
    <w:rsid w:val="00ED71F7"/>
    <w:rsid w:val="00ED7318"/>
    <w:rsid w:val="00ED74A5"/>
    <w:rsid w:val="00ED7570"/>
    <w:rsid w:val="00EE01DB"/>
    <w:rsid w:val="00EE036C"/>
    <w:rsid w:val="00EE039E"/>
    <w:rsid w:val="00EE0619"/>
    <w:rsid w:val="00EE0A56"/>
    <w:rsid w:val="00EE0AD6"/>
    <w:rsid w:val="00EE0BAC"/>
    <w:rsid w:val="00EE0C59"/>
    <w:rsid w:val="00EE0FB2"/>
    <w:rsid w:val="00EE14DF"/>
    <w:rsid w:val="00EE1B32"/>
    <w:rsid w:val="00EE2A96"/>
    <w:rsid w:val="00EE2B0B"/>
    <w:rsid w:val="00EE2C20"/>
    <w:rsid w:val="00EE2DDA"/>
    <w:rsid w:val="00EE2E1D"/>
    <w:rsid w:val="00EE300F"/>
    <w:rsid w:val="00EE3199"/>
    <w:rsid w:val="00EE3B57"/>
    <w:rsid w:val="00EE3BDE"/>
    <w:rsid w:val="00EE3C8E"/>
    <w:rsid w:val="00EE3D23"/>
    <w:rsid w:val="00EE4103"/>
    <w:rsid w:val="00EE4106"/>
    <w:rsid w:val="00EE42C3"/>
    <w:rsid w:val="00EE487A"/>
    <w:rsid w:val="00EE4C1C"/>
    <w:rsid w:val="00EE4C7C"/>
    <w:rsid w:val="00EE4DB1"/>
    <w:rsid w:val="00EE53CB"/>
    <w:rsid w:val="00EE5642"/>
    <w:rsid w:val="00EE5AC7"/>
    <w:rsid w:val="00EE5AF9"/>
    <w:rsid w:val="00EE60EF"/>
    <w:rsid w:val="00EE6137"/>
    <w:rsid w:val="00EE6428"/>
    <w:rsid w:val="00EE674B"/>
    <w:rsid w:val="00EE67FD"/>
    <w:rsid w:val="00EE6A8E"/>
    <w:rsid w:val="00EE71C8"/>
    <w:rsid w:val="00EE71D4"/>
    <w:rsid w:val="00EE737F"/>
    <w:rsid w:val="00EE767E"/>
    <w:rsid w:val="00EE76ED"/>
    <w:rsid w:val="00EE7A15"/>
    <w:rsid w:val="00EE7B24"/>
    <w:rsid w:val="00EE7E1A"/>
    <w:rsid w:val="00EF0013"/>
    <w:rsid w:val="00EF019B"/>
    <w:rsid w:val="00EF03D9"/>
    <w:rsid w:val="00EF0775"/>
    <w:rsid w:val="00EF0BC9"/>
    <w:rsid w:val="00EF0DCD"/>
    <w:rsid w:val="00EF10B2"/>
    <w:rsid w:val="00EF11D4"/>
    <w:rsid w:val="00EF1526"/>
    <w:rsid w:val="00EF1720"/>
    <w:rsid w:val="00EF2092"/>
    <w:rsid w:val="00EF210F"/>
    <w:rsid w:val="00EF2335"/>
    <w:rsid w:val="00EF29FE"/>
    <w:rsid w:val="00EF2B39"/>
    <w:rsid w:val="00EF310B"/>
    <w:rsid w:val="00EF33BC"/>
    <w:rsid w:val="00EF3A75"/>
    <w:rsid w:val="00EF3D0C"/>
    <w:rsid w:val="00EF3E9E"/>
    <w:rsid w:val="00EF4409"/>
    <w:rsid w:val="00EF4462"/>
    <w:rsid w:val="00EF44E9"/>
    <w:rsid w:val="00EF450D"/>
    <w:rsid w:val="00EF45D7"/>
    <w:rsid w:val="00EF4611"/>
    <w:rsid w:val="00EF47C3"/>
    <w:rsid w:val="00EF48BC"/>
    <w:rsid w:val="00EF4967"/>
    <w:rsid w:val="00EF5373"/>
    <w:rsid w:val="00EF541C"/>
    <w:rsid w:val="00EF5483"/>
    <w:rsid w:val="00EF5A9C"/>
    <w:rsid w:val="00EF5CC9"/>
    <w:rsid w:val="00EF5D62"/>
    <w:rsid w:val="00EF5FEC"/>
    <w:rsid w:val="00EF6027"/>
    <w:rsid w:val="00EF6099"/>
    <w:rsid w:val="00EF6183"/>
    <w:rsid w:val="00EF61D5"/>
    <w:rsid w:val="00EF676F"/>
    <w:rsid w:val="00EF6DAE"/>
    <w:rsid w:val="00EF6FB7"/>
    <w:rsid w:val="00EF6FC3"/>
    <w:rsid w:val="00EF703C"/>
    <w:rsid w:val="00EF71BD"/>
    <w:rsid w:val="00EF72CB"/>
    <w:rsid w:val="00EF72D1"/>
    <w:rsid w:val="00EF736B"/>
    <w:rsid w:val="00EF74A5"/>
    <w:rsid w:val="00EF7651"/>
    <w:rsid w:val="00EF7698"/>
    <w:rsid w:val="00EF7882"/>
    <w:rsid w:val="00EF7E81"/>
    <w:rsid w:val="00EF7F1C"/>
    <w:rsid w:val="00F00336"/>
    <w:rsid w:val="00F0039A"/>
    <w:rsid w:val="00F008B6"/>
    <w:rsid w:val="00F0093A"/>
    <w:rsid w:val="00F00B97"/>
    <w:rsid w:val="00F00BFA"/>
    <w:rsid w:val="00F00F8C"/>
    <w:rsid w:val="00F01233"/>
    <w:rsid w:val="00F017DE"/>
    <w:rsid w:val="00F01C9D"/>
    <w:rsid w:val="00F01F50"/>
    <w:rsid w:val="00F02370"/>
    <w:rsid w:val="00F02871"/>
    <w:rsid w:val="00F029BA"/>
    <w:rsid w:val="00F02C83"/>
    <w:rsid w:val="00F02E24"/>
    <w:rsid w:val="00F02ECB"/>
    <w:rsid w:val="00F0301F"/>
    <w:rsid w:val="00F032DC"/>
    <w:rsid w:val="00F03DFF"/>
    <w:rsid w:val="00F03E8D"/>
    <w:rsid w:val="00F0422A"/>
    <w:rsid w:val="00F043FC"/>
    <w:rsid w:val="00F0456C"/>
    <w:rsid w:val="00F045E7"/>
    <w:rsid w:val="00F049F3"/>
    <w:rsid w:val="00F04AF2"/>
    <w:rsid w:val="00F04CE7"/>
    <w:rsid w:val="00F04E85"/>
    <w:rsid w:val="00F05C75"/>
    <w:rsid w:val="00F06136"/>
    <w:rsid w:val="00F066D7"/>
    <w:rsid w:val="00F0681C"/>
    <w:rsid w:val="00F069B7"/>
    <w:rsid w:val="00F06F01"/>
    <w:rsid w:val="00F06F97"/>
    <w:rsid w:val="00F070F8"/>
    <w:rsid w:val="00F07174"/>
    <w:rsid w:val="00F0728D"/>
    <w:rsid w:val="00F0763C"/>
    <w:rsid w:val="00F07843"/>
    <w:rsid w:val="00F07905"/>
    <w:rsid w:val="00F07DCF"/>
    <w:rsid w:val="00F07F57"/>
    <w:rsid w:val="00F1013C"/>
    <w:rsid w:val="00F107B8"/>
    <w:rsid w:val="00F10BFD"/>
    <w:rsid w:val="00F10CD3"/>
    <w:rsid w:val="00F10D66"/>
    <w:rsid w:val="00F112BC"/>
    <w:rsid w:val="00F1157C"/>
    <w:rsid w:val="00F11EC8"/>
    <w:rsid w:val="00F12084"/>
    <w:rsid w:val="00F120DD"/>
    <w:rsid w:val="00F123BA"/>
    <w:rsid w:val="00F12702"/>
    <w:rsid w:val="00F128CE"/>
    <w:rsid w:val="00F12BB8"/>
    <w:rsid w:val="00F12C6F"/>
    <w:rsid w:val="00F13BAE"/>
    <w:rsid w:val="00F13DB6"/>
    <w:rsid w:val="00F1429A"/>
    <w:rsid w:val="00F14449"/>
    <w:rsid w:val="00F14896"/>
    <w:rsid w:val="00F14A28"/>
    <w:rsid w:val="00F14A98"/>
    <w:rsid w:val="00F14C76"/>
    <w:rsid w:val="00F14FE8"/>
    <w:rsid w:val="00F15011"/>
    <w:rsid w:val="00F153DE"/>
    <w:rsid w:val="00F154F3"/>
    <w:rsid w:val="00F15596"/>
    <w:rsid w:val="00F15AD5"/>
    <w:rsid w:val="00F15EE9"/>
    <w:rsid w:val="00F15F0F"/>
    <w:rsid w:val="00F161E1"/>
    <w:rsid w:val="00F1621C"/>
    <w:rsid w:val="00F169C6"/>
    <w:rsid w:val="00F174C5"/>
    <w:rsid w:val="00F17518"/>
    <w:rsid w:val="00F179D9"/>
    <w:rsid w:val="00F2003F"/>
    <w:rsid w:val="00F20241"/>
    <w:rsid w:val="00F20D01"/>
    <w:rsid w:val="00F21139"/>
    <w:rsid w:val="00F21296"/>
    <w:rsid w:val="00F214EF"/>
    <w:rsid w:val="00F2193C"/>
    <w:rsid w:val="00F21E9D"/>
    <w:rsid w:val="00F22117"/>
    <w:rsid w:val="00F2235F"/>
    <w:rsid w:val="00F2250D"/>
    <w:rsid w:val="00F22726"/>
    <w:rsid w:val="00F228E8"/>
    <w:rsid w:val="00F22AF9"/>
    <w:rsid w:val="00F22C3C"/>
    <w:rsid w:val="00F22C52"/>
    <w:rsid w:val="00F22C80"/>
    <w:rsid w:val="00F2300F"/>
    <w:rsid w:val="00F231DD"/>
    <w:rsid w:val="00F23438"/>
    <w:rsid w:val="00F2356E"/>
    <w:rsid w:val="00F23684"/>
    <w:rsid w:val="00F23981"/>
    <w:rsid w:val="00F23D0C"/>
    <w:rsid w:val="00F23D17"/>
    <w:rsid w:val="00F2482F"/>
    <w:rsid w:val="00F24DC0"/>
    <w:rsid w:val="00F24E3C"/>
    <w:rsid w:val="00F25323"/>
    <w:rsid w:val="00F2554E"/>
    <w:rsid w:val="00F25BC2"/>
    <w:rsid w:val="00F2604A"/>
    <w:rsid w:val="00F2655C"/>
    <w:rsid w:val="00F265E6"/>
    <w:rsid w:val="00F26675"/>
    <w:rsid w:val="00F26678"/>
    <w:rsid w:val="00F269CB"/>
    <w:rsid w:val="00F26A2C"/>
    <w:rsid w:val="00F26AF9"/>
    <w:rsid w:val="00F2709B"/>
    <w:rsid w:val="00F27238"/>
    <w:rsid w:val="00F27295"/>
    <w:rsid w:val="00F2765F"/>
    <w:rsid w:val="00F27875"/>
    <w:rsid w:val="00F27955"/>
    <w:rsid w:val="00F279CE"/>
    <w:rsid w:val="00F27A49"/>
    <w:rsid w:val="00F27ACD"/>
    <w:rsid w:val="00F27ED9"/>
    <w:rsid w:val="00F301ED"/>
    <w:rsid w:val="00F302FE"/>
    <w:rsid w:val="00F303E3"/>
    <w:rsid w:val="00F30870"/>
    <w:rsid w:val="00F309EE"/>
    <w:rsid w:val="00F30B02"/>
    <w:rsid w:val="00F30D13"/>
    <w:rsid w:val="00F30D29"/>
    <w:rsid w:val="00F30E5F"/>
    <w:rsid w:val="00F30E8A"/>
    <w:rsid w:val="00F30F77"/>
    <w:rsid w:val="00F30F87"/>
    <w:rsid w:val="00F31123"/>
    <w:rsid w:val="00F3147C"/>
    <w:rsid w:val="00F31E08"/>
    <w:rsid w:val="00F320F1"/>
    <w:rsid w:val="00F3226F"/>
    <w:rsid w:val="00F32CC8"/>
    <w:rsid w:val="00F32EF7"/>
    <w:rsid w:val="00F33051"/>
    <w:rsid w:val="00F33233"/>
    <w:rsid w:val="00F3371B"/>
    <w:rsid w:val="00F33744"/>
    <w:rsid w:val="00F33A9D"/>
    <w:rsid w:val="00F33B90"/>
    <w:rsid w:val="00F33E48"/>
    <w:rsid w:val="00F341C7"/>
    <w:rsid w:val="00F3431C"/>
    <w:rsid w:val="00F344CB"/>
    <w:rsid w:val="00F344D7"/>
    <w:rsid w:val="00F352C3"/>
    <w:rsid w:val="00F35517"/>
    <w:rsid w:val="00F35A93"/>
    <w:rsid w:val="00F35B9A"/>
    <w:rsid w:val="00F35D62"/>
    <w:rsid w:val="00F36548"/>
    <w:rsid w:val="00F3664C"/>
    <w:rsid w:val="00F36826"/>
    <w:rsid w:val="00F36AF3"/>
    <w:rsid w:val="00F36E8F"/>
    <w:rsid w:val="00F37149"/>
    <w:rsid w:val="00F3748B"/>
    <w:rsid w:val="00F374D2"/>
    <w:rsid w:val="00F37B45"/>
    <w:rsid w:val="00F400D4"/>
    <w:rsid w:val="00F40220"/>
    <w:rsid w:val="00F40245"/>
    <w:rsid w:val="00F40662"/>
    <w:rsid w:val="00F406F8"/>
    <w:rsid w:val="00F4077C"/>
    <w:rsid w:val="00F40D4A"/>
    <w:rsid w:val="00F40F3E"/>
    <w:rsid w:val="00F41319"/>
    <w:rsid w:val="00F41343"/>
    <w:rsid w:val="00F416A5"/>
    <w:rsid w:val="00F41EBA"/>
    <w:rsid w:val="00F41FAA"/>
    <w:rsid w:val="00F42254"/>
    <w:rsid w:val="00F42366"/>
    <w:rsid w:val="00F42C90"/>
    <w:rsid w:val="00F43177"/>
    <w:rsid w:val="00F4347E"/>
    <w:rsid w:val="00F4350A"/>
    <w:rsid w:val="00F43679"/>
    <w:rsid w:val="00F436E2"/>
    <w:rsid w:val="00F43826"/>
    <w:rsid w:val="00F438C6"/>
    <w:rsid w:val="00F43D0A"/>
    <w:rsid w:val="00F43E2B"/>
    <w:rsid w:val="00F44120"/>
    <w:rsid w:val="00F442B1"/>
    <w:rsid w:val="00F44467"/>
    <w:rsid w:val="00F44806"/>
    <w:rsid w:val="00F449FB"/>
    <w:rsid w:val="00F44AA0"/>
    <w:rsid w:val="00F44C34"/>
    <w:rsid w:val="00F453AF"/>
    <w:rsid w:val="00F453B7"/>
    <w:rsid w:val="00F4561A"/>
    <w:rsid w:val="00F457C6"/>
    <w:rsid w:val="00F4585A"/>
    <w:rsid w:val="00F459E9"/>
    <w:rsid w:val="00F45BD1"/>
    <w:rsid w:val="00F45C32"/>
    <w:rsid w:val="00F45CE2"/>
    <w:rsid w:val="00F45D39"/>
    <w:rsid w:val="00F460B7"/>
    <w:rsid w:val="00F4637F"/>
    <w:rsid w:val="00F46506"/>
    <w:rsid w:val="00F46726"/>
    <w:rsid w:val="00F4689B"/>
    <w:rsid w:val="00F46974"/>
    <w:rsid w:val="00F46A3A"/>
    <w:rsid w:val="00F46B54"/>
    <w:rsid w:val="00F46BBB"/>
    <w:rsid w:val="00F46BE9"/>
    <w:rsid w:val="00F46C81"/>
    <w:rsid w:val="00F47033"/>
    <w:rsid w:val="00F475EE"/>
    <w:rsid w:val="00F4760C"/>
    <w:rsid w:val="00F4777D"/>
    <w:rsid w:val="00F47950"/>
    <w:rsid w:val="00F47A2C"/>
    <w:rsid w:val="00F47F77"/>
    <w:rsid w:val="00F5009E"/>
    <w:rsid w:val="00F506E6"/>
    <w:rsid w:val="00F508C1"/>
    <w:rsid w:val="00F517FD"/>
    <w:rsid w:val="00F51882"/>
    <w:rsid w:val="00F51B78"/>
    <w:rsid w:val="00F51E29"/>
    <w:rsid w:val="00F51ED0"/>
    <w:rsid w:val="00F5204E"/>
    <w:rsid w:val="00F52181"/>
    <w:rsid w:val="00F523E6"/>
    <w:rsid w:val="00F529BF"/>
    <w:rsid w:val="00F52FB9"/>
    <w:rsid w:val="00F53279"/>
    <w:rsid w:val="00F5337E"/>
    <w:rsid w:val="00F5381E"/>
    <w:rsid w:val="00F53903"/>
    <w:rsid w:val="00F53C64"/>
    <w:rsid w:val="00F53DBE"/>
    <w:rsid w:val="00F53DDB"/>
    <w:rsid w:val="00F5409B"/>
    <w:rsid w:val="00F54240"/>
    <w:rsid w:val="00F54531"/>
    <w:rsid w:val="00F545FE"/>
    <w:rsid w:val="00F54645"/>
    <w:rsid w:val="00F54874"/>
    <w:rsid w:val="00F54942"/>
    <w:rsid w:val="00F54AF1"/>
    <w:rsid w:val="00F54B77"/>
    <w:rsid w:val="00F5585D"/>
    <w:rsid w:val="00F55C12"/>
    <w:rsid w:val="00F55DC1"/>
    <w:rsid w:val="00F55EC6"/>
    <w:rsid w:val="00F55FF7"/>
    <w:rsid w:val="00F56754"/>
    <w:rsid w:val="00F567C9"/>
    <w:rsid w:val="00F568D9"/>
    <w:rsid w:val="00F56AF3"/>
    <w:rsid w:val="00F56D12"/>
    <w:rsid w:val="00F56DD4"/>
    <w:rsid w:val="00F56DFE"/>
    <w:rsid w:val="00F571F2"/>
    <w:rsid w:val="00F57278"/>
    <w:rsid w:val="00F574A1"/>
    <w:rsid w:val="00F57647"/>
    <w:rsid w:val="00F5789C"/>
    <w:rsid w:val="00F602AB"/>
    <w:rsid w:val="00F602BD"/>
    <w:rsid w:val="00F603CA"/>
    <w:rsid w:val="00F60CEE"/>
    <w:rsid w:val="00F61309"/>
    <w:rsid w:val="00F61B14"/>
    <w:rsid w:val="00F61B34"/>
    <w:rsid w:val="00F61C26"/>
    <w:rsid w:val="00F61EE4"/>
    <w:rsid w:val="00F61FDA"/>
    <w:rsid w:val="00F62252"/>
    <w:rsid w:val="00F6249B"/>
    <w:rsid w:val="00F629C5"/>
    <w:rsid w:val="00F62E59"/>
    <w:rsid w:val="00F63040"/>
    <w:rsid w:val="00F6318B"/>
    <w:rsid w:val="00F635A6"/>
    <w:rsid w:val="00F6377A"/>
    <w:rsid w:val="00F638B7"/>
    <w:rsid w:val="00F63B9D"/>
    <w:rsid w:val="00F640EC"/>
    <w:rsid w:val="00F64137"/>
    <w:rsid w:val="00F642F0"/>
    <w:rsid w:val="00F64703"/>
    <w:rsid w:val="00F647A3"/>
    <w:rsid w:val="00F647C9"/>
    <w:rsid w:val="00F64B4C"/>
    <w:rsid w:val="00F64E64"/>
    <w:rsid w:val="00F656C3"/>
    <w:rsid w:val="00F65B34"/>
    <w:rsid w:val="00F65BEB"/>
    <w:rsid w:val="00F6615C"/>
    <w:rsid w:val="00F66436"/>
    <w:rsid w:val="00F665B2"/>
    <w:rsid w:val="00F668DF"/>
    <w:rsid w:val="00F66957"/>
    <w:rsid w:val="00F66B2E"/>
    <w:rsid w:val="00F66BB4"/>
    <w:rsid w:val="00F6706D"/>
    <w:rsid w:val="00F67579"/>
    <w:rsid w:val="00F6759C"/>
    <w:rsid w:val="00F67A7B"/>
    <w:rsid w:val="00F67EE7"/>
    <w:rsid w:val="00F700D7"/>
    <w:rsid w:val="00F70486"/>
    <w:rsid w:val="00F7080E"/>
    <w:rsid w:val="00F70B38"/>
    <w:rsid w:val="00F70F5D"/>
    <w:rsid w:val="00F70F8D"/>
    <w:rsid w:val="00F710A1"/>
    <w:rsid w:val="00F71202"/>
    <w:rsid w:val="00F7121D"/>
    <w:rsid w:val="00F712B8"/>
    <w:rsid w:val="00F7139E"/>
    <w:rsid w:val="00F7144B"/>
    <w:rsid w:val="00F718A1"/>
    <w:rsid w:val="00F71E05"/>
    <w:rsid w:val="00F71EB0"/>
    <w:rsid w:val="00F722D9"/>
    <w:rsid w:val="00F72369"/>
    <w:rsid w:val="00F72744"/>
    <w:rsid w:val="00F7312F"/>
    <w:rsid w:val="00F73201"/>
    <w:rsid w:val="00F73505"/>
    <w:rsid w:val="00F735CD"/>
    <w:rsid w:val="00F736EB"/>
    <w:rsid w:val="00F73A09"/>
    <w:rsid w:val="00F73C3D"/>
    <w:rsid w:val="00F73ECE"/>
    <w:rsid w:val="00F73F8D"/>
    <w:rsid w:val="00F74231"/>
    <w:rsid w:val="00F7437E"/>
    <w:rsid w:val="00F74495"/>
    <w:rsid w:val="00F746AF"/>
    <w:rsid w:val="00F746FB"/>
    <w:rsid w:val="00F748FD"/>
    <w:rsid w:val="00F74B88"/>
    <w:rsid w:val="00F74F5C"/>
    <w:rsid w:val="00F751CB"/>
    <w:rsid w:val="00F751FD"/>
    <w:rsid w:val="00F7606B"/>
    <w:rsid w:val="00F7637D"/>
    <w:rsid w:val="00F7638A"/>
    <w:rsid w:val="00F763F3"/>
    <w:rsid w:val="00F7691F"/>
    <w:rsid w:val="00F76B15"/>
    <w:rsid w:val="00F76F6F"/>
    <w:rsid w:val="00F772D0"/>
    <w:rsid w:val="00F779BA"/>
    <w:rsid w:val="00F77A1B"/>
    <w:rsid w:val="00F8020E"/>
    <w:rsid w:val="00F8071B"/>
    <w:rsid w:val="00F807C9"/>
    <w:rsid w:val="00F80B9E"/>
    <w:rsid w:val="00F80F70"/>
    <w:rsid w:val="00F81022"/>
    <w:rsid w:val="00F813BA"/>
    <w:rsid w:val="00F81B69"/>
    <w:rsid w:val="00F8204F"/>
    <w:rsid w:val="00F821B2"/>
    <w:rsid w:val="00F823A4"/>
    <w:rsid w:val="00F828CA"/>
    <w:rsid w:val="00F82DA6"/>
    <w:rsid w:val="00F82FC2"/>
    <w:rsid w:val="00F83235"/>
    <w:rsid w:val="00F83666"/>
    <w:rsid w:val="00F836C6"/>
    <w:rsid w:val="00F83712"/>
    <w:rsid w:val="00F838EB"/>
    <w:rsid w:val="00F83A8A"/>
    <w:rsid w:val="00F83F45"/>
    <w:rsid w:val="00F83FBE"/>
    <w:rsid w:val="00F848EF"/>
    <w:rsid w:val="00F852BD"/>
    <w:rsid w:val="00F852F4"/>
    <w:rsid w:val="00F85662"/>
    <w:rsid w:val="00F856C4"/>
    <w:rsid w:val="00F86526"/>
    <w:rsid w:val="00F866A0"/>
    <w:rsid w:val="00F866B1"/>
    <w:rsid w:val="00F86731"/>
    <w:rsid w:val="00F8690F"/>
    <w:rsid w:val="00F870E3"/>
    <w:rsid w:val="00F874A9"/>
    <w:rsid w:val="00F8770A"/>
    <w:rsid w:val="00F8793C"/>
    <w:rsid w:val="00F901B5"/>
    <w:rsid w:val="00F9087C"/>
    <w:rsid w:val="00F9099C"/>
    <w:rsid w:val="00F90A38"/>
    <w:rsid w:val="00F90A52"/>
    <w:rsid w:val="00F90B95"/>
    <w:rsid w:val="00F90D83"/>
    <w:rsid w:val="00F90EB7"/>
    <w:rsid w:val="00F90FAE"/>
    <w:rsid w:val="00F913CB"/>
    <w:rsid w:val="00F91465"/>
    <w:rsid w:val="00F9187E"/>
    <w:rsid w:val="00F91A45"/>
    <w:rsid w:val="00F91D9A"/>
    <w:rsid w:val="00F91E3F"/>
    <w:rsid w:val="00F9208C"/>
    <w:rsid w:val="00F922F5"/>
    <w:rsid w:val="00F9259F"/>
    <w:rsid w:val="00F92888"/>
    <w:rsid w:val="00F92936"/>
    <w:rsid w:val="00F92A0C"/>
    <w:rsid w:val="00F92C73"/>
    <w:rsid w:val="00F931B2"/>
    <w:rsid w:val="00F93325"/>
    <w:rsid w:val="00F936CC"/>
    <w:rsid w:val="00F93714"/>
    <w:rsid w:val="00F93E50"/>
    <w:rsid w:val="00F94643"/>
    <w:rsid w:val="00F94774"/>
    <w:rsid w:val="00F94883"/>
    <w:rsid w:val="00F94B6A"/>
    <w:rsid w:val="00F94B93"/>
    <w:rsid w:val="00F952A7"/>
    <w:rsid w:val="00F958E3"/>
    <w:rsid w:val="00F959DB"/>
    <w:rsid w:val="00F95C16"/>
    <w:rsid w:val="00F95F51"/>
    <w:rsid w:val="00F96290"/>
    <w:rsid w:val="00F968AC"/>
    <w:rsid w:val="00F968C9"/>
    <w:rsid w:val="00F96AB8"/>
    <w:rsid w:val="00F96B30"/>
    <w:rsid w:val="00F96D53"/>
    <w:rsid w:val="00F96ED9"/>
    <w:rsid w:val="00F96FB2"/>
    <w:rsid w:val="00F96FB5"/>
    <w:rsid w:val="00F97999"/>
    <w:rsid w:val="00F97A02"/>
    <w:rsid w:val="00FA0339"/>
    <w:rsid w:val="00FA03E7"/>
    <w:rsid w:val="00FA04FF"/>
    <w:rsid w:val="00FA05F3"/>
    <w:rsid w:val="00FA07BB"/>
    <w:rsid w:val="00FA09AB"/>
    <w:rsid w:val="00FA0C3D"/>
    <w:rsid w:val="00FA106C"/>
    <w:rsid w:val="00FA13D6"/>
    <w:rsid w:val="00FA178E"/>
    <w:rsid w:val="00FA1C96"/>
    <w:rsid w:val="00FA20B3"/>
    <w:rsid w:val="00FA20F1"/>
    <w:rsid w:val="00FA2148"/>
    <w:rsid w:val="00FA2344"/>
    <w:rsid w:val="00FA2603"/>
    <w:rsid w:val="00FA27BD"/>
    <w:rsid w:val="00FA2A61"/>
    <w:rsid w:val="00FA2C1E"/>
    <w:rsid w:val="00FA3226"/>
    <w:rsid w:val="00FA3E1D"/>
    <w:rsid w:val="00FA46C1"/>
    <w:rsid w:val="00FA4B12"/>
    <w:rsid w:val="00FA4DD8"/>
    <w:rsid w:val="00FA4E1E"/>
    <w:rsid w:val="00FA4FEB"/>
    <w:rsid w:val="00FA5036"/>
    <w:rsid w:val="00FA5370"/>
    <w:rsid w:val="00FA5411"/>
    <w:rsid w:val="00FA54C8"/>
    <w:rsid w:val="00FA5616"/>
    <w:rsid w:val="00FA5654"/>
    <w:rsid w:val="00FA56D7"/>
    <w:rsid w:val="00FA5768"/>
    <w:rsid w:val="00FA57C1"/>
    <w:rsid w:val="00FA586A"/>
    <w:rsid w:val="00FA5983"/>
    <w:rsid w:val="00FA598D"/>
    <w:rsid w:val="00FA5DA0"/>
    <w:rsid w:val="00FA618C"/>
    <w:rsid w:val="00FA61D8"/>
    <w:rsid w:val="00FA6609"/>
    <w:rsid w:val="00FA676D"/>
    <w:rsid w:val="00FA6B6A"/>
    <w:rsid w:val="00FA6CAA"/>
    <w:rsid w:val="00FA6DEA"/>
    <w:rsid w:val="00FA70C7"/>
    <w:rsid w:val="00FA718C"/>
    <w:rsid w:val="00FA71EA"/>
    <w:rsid w:val="00FA77A5"/>
    <w:rsid w:val="00FA77B4"/>
    <w:rsid w:val="00FA787C"/>
    <w:rsid w:val="00FA7955"/>
    <w:rsid w:val="00FA7E79"/>
    <w:rsid w:val="00FB03E8"/>
    <w:rsid w:val="00FB05EA"/>
    <w:rsid w:val="00FB060B"/>
    <w:rsid w:val="00FB0A79"/>
    <w:rsid w:val="00FB0C6E"/>
    <w:rsid w:val="00FB125E"/>
    <w:rsid w:val="00FB150D"/>
    <w:rsid w:val="00FB165F"/>
    <w:rsid w:val="00FB18DA"/>
    <w:rsid w:val="00FB1BAA"/>
    <w:rsid w:val="00FB20CD"/>
    <w:rsid w:val="00FB29F6"/>
    <w:rsid w:val="00FB2A1F"/>
    <w:rsid w:val="00FB2C86"/>
    <w:rsid w:val="00FB2FD0"/>
    <w:rsid w:val="00FB3400"/>
    <w:rsid w:val="00FB342E"/>
    <w:rsid w:val="00FB3509"/>
    <w:rsid w:val="00FB36BD"/>
    <w:rsid w:val="00FB3831"/>
    <w:rsid w:val="00FB38B0"/>
    <w:rsid w:val="00FB3A54"/>
    <w:rsid w:val="00FB3D15"/>
    <w:rsid w:val="00FB43F0"/>
    <w:rsid w:val="00FB4913"/>
    <w:rsid w:val="00FB4EF8"/>
    <w:rsid w:val="00FB50A7"/>
    <w:rsid w:val="00FB528C"/>
    <w:rsid w:val="00FB5316"/>
    <w:rsid w:val="00FB5468"/>
    <w:rsid w:val="00FB554C"/>
    <w:rsid w:val="00FB5B35"/>
    <w:rsid w:val="00FB5E10"/>
    <w:rsid w:val="00FB624E"/>
    <w:rsid w:val="00FB648A"/>
    <w:rsid w:val="00FB65F9"/>
    <w:rsid w:val="00FB695D"/>
    <w:rsid w:val="00FB6B19"/>
    <w:rsid w:val="00FB6D52"/>
    <w:rsid w:val="00FB6DE2"/>
    <w:rsid w:val="00FB7136"/>
    <w:rsid w:val="00FB7CC5"/>
    <w:rsid w:val="00FB7EBB"/>
    <w:rsid w:val="00FC0206"/>
    <w:rsid w:val="00FC07B9"/>
    <w:rsid w:val="00FC0C72"/>
    <w:rsid w:val="00FC0D62"/>
    <w:rsid w:val="00FC0DC9"/>
    <w:rsid w:val="00FC0EB1"/>
    <w:rsid w:val="00FC1219"/>
    <w:rsid w:val="00FC1549"/>
    <w:rsid w:val="00FC18FD"/>
    <w:rsid w:val="00FC19B0"/>
    <w:rsid w:val="00FC1D86"/>
    <w:rsid w:val="00FC23DD"/>
    <w:rsid w:val="00FC2489"/>
    <w:rsid w:val="00FC2950"/>
    <w:rsid w:val="00FC327F"/>
    <w:rsid w:val="00FC3466"/>
    <w:rsid w:val="00FC378E"/>
    <w:rsid w:val="00FC37B9"/>
    <w:rsid w:val="00FC3A49"/>
    <w:rsid w:val="00FC3D6C"/>
    <w:rsid w:val="00FC3DF5"/>
    <w:rsid w:val="00FC401B"/>
    <w:rsid w:val="00FC47DD"/>
    <w:rsid w:val="00FC486B"/>
    <w:rsid w:val="00FC4A9D"/>
    <w:rsid w:val="00FC4C85"/>
    <w:rsid w:val="00FC520C"/>
    <w:rsid w:val="00FC540C"/>
    <w:rsid w:val="00FC541E"/>
    <w:rsid w:val="00FC5540"/>
    <w:rsid w:val="00FC564A"/>
    <w:rsid w:val="00FC5654"/>
    <w:rsid w:val="00FC63EA"/>
    <w:rsid w:val="00FC65F0"/>
    <w:rsid w:val="00FC6CA2"/>
    <w:rsid w:val="00FC6D4A"/>
    <w:rsid w:val="00FC7375"/>
    <w:rsid w:val="00FC73C5"/>
    <w:rsid w:val="00FC783C"/>
    <w:rsid w:val="00FC7ACF"/>
    <w:rsid w:val="00FC7C90"/>
    <w:rsid w:val="00FD0291"/>
    <w:rsid w:val="00FD0311"/>
    <w:rsid w:val="00FD047B"/>
    <w:rsid w:val="00FD04B7"/>
    <w:rsid w:val="00FD05A3"/>
    <w:rsid w:val="00FD0851"/>
    <w:rsid w:val="00FD086E"/>
    <w:rsid w:val="00FD0E93"/>
    <w:rsid w:val="00FD0EBA"/>
    <w:rsid w:val="00FD1D87"/>
    <w:rsid w:val="00FD1ECE"/>
    <w:rsid w:val="00FD201A"/>
    <w:rsid w:val="00FD21EE"/>
    <w:rsid w:val="00FD2969"/>
    <w:rsid w:val="00FD2F0A"/>
    <w:rsid w:val="00FD312D"/>
    <w:rsid w:val="00FD3348"/>
    <w:rsid w:val="00FD33B5"/>
    <w:rsid w:val="00FD35CC"/>
    <w:rsid w:val="00FD36CA"/>
    <w:rsid w:val="00FD3E60"/>
    <w:rsid w:val="00FD3F5B"/>
    <w:rsid w:val="00FD4426"/>
    <w:rsid w:val="00FD472E"/>
    <w:rsid w:val="00FD4887"/>
    <w:rsid w:val="00FD49DE"/>
    <w:rsid w:val="00FD4E7C"/>
    <w:rsid w:val="00FD5010"/>
    <w:rsid w:val="00FD508A"/>
    <w:rsid w:val="00FD50D7"/>
    <w:rsid w:val="00FD51DE"/>
    <w:rsid w:val="00FD5213"/>
    <w:rsid w:val="00FD546D"/>
    <w:rsid w:val="00FD549B"/>
    <w:rsid w:val="00FD57C2"/>
    <w:rsid w:val="00FD5ADF"/>
    <w:rsid w:val="00FD5B0C"/>
    <w:rsid w:val="00FD5DBC"/>
    <w:rsid w:val="00FD6185"/>
    <w:rsid w:val="00FD6286"/>
    <w:rsid w:val="00FD6458"/>
    <w:rsid w:val="00FD645D"/>
    <w:rsid w:val="00FD65B6"/>
    <w:rsid w:val="00FD66B4"/>
    <w:rsid w:val="00FD68DC"/>
    <w:rsid w:val="00FD76C3"/>
    <w:rsid w:val="00FD7741"/>
    <w:rsid w:val="00FD7B72"/>
    <w:rsid w:val="00FD7EA2"/>
    <w:rsid w:val="00FE0679"/>
    <w:rsid w:val="00FE07ED"/>
    <w:rsid w:val="00FE0844"/>
    <w:rsid w:val="00FE0DF1"/>
    <w:rsid w:val="00FE0F1B"/>
    <w:rsid w:val="00FE14CF"/>
    <w:rsid w:val="00FE164E"/>
    <w:rsid w:val="00FE1872"/>
    <w:rsid w:val="00FE1BE6"/>
    <w:rsid w:val="00FE1E3E"/>
    <w:rsid w:val="00FE1ED3"/>
    <w:rsid w:val="00FE1F71"/>
    <w:rsid w:val="00FE2142"/>
    <w:rsid w:val="00FE2173"/>
    <w:rsid w:val="00FE2198"/>
    <w:rsid w:val="00FE223A"/>
    <w:rsid w:val="00FE2375"/>
    <w:rsid w:val="00FE2874"/>
    <w:rsid w:val="00FE2B13"/>
    <w:rsid w:val="00FE2C1B"/>
    <w:rsid w:val="00FE2CBB"/>
    <w:rsid w:val="00FE2DC5"/>
    <w:rsid w:val="00FE34B5"/>
    <w:rsid w:val="00FE384D"/>
    <w:rsid w:val="00FE3AC9"/>
    <w:rsid w:val="00FE3BF0"/>
    <w:rsid w:val="00FE42A0"/>
    <w:rsid w:val="00FE45C0"/>
    <w:rsid w:val="00FE4640"/>
    <w:rsid w:val="00FE47BF"/>
    <w:rsid w:val="00FE4ED1"/>
    <w:rsid w:val="00FE51F1"/>
    <w:rsid w:val="00FE5244"/>
    <w:rsid w:val="00FE5979"/>
    <w:rsid w:val="00FE5D19"/>
    <w:rsid w:val="00FE6189"/>
    <w:rsid w:val="00FE653F"/>
    <w:rsid w:val="00FE66F3"/>
    <w:rsid w:val="00FE67A1"/>
    <w:rsid w:val="00FE6B3B"/>
    <w:rsid w:val="00FE6C15"/>
    <w:rsid w:val="00FE6C5B"/>
    <w:rsid w:val="00FE7129"/>
    <w:rsid w:val="00FE767F"/>
    <w:rsid w:val="00FE7692"/>
    <w:rsid w:val="00FF00AB"/>
    <w:rsid w:val="00FF022D"/>
    <w:rsid w:val="00FF028A"/>
    <w:rsid w:val="00FF03F3"/>
    <w:rsid w:val="00FF0C0A"/>
    <w:rsid w:val="00FF0D27"/>
    <w:rsid w:val="00FF0DE7"/>
    <w:rsid w:val="00FF0EE5"/>
    <w:rsid w:val="00FF122A"/>
    <w:rsid w:val="00FF1640"/>
    <w:rsid w:val="00FF1869"/>
    <w:rsid w:val="00FF1D12"/>
    <w:rsid w:val="00FF1D62"/>
    <w:rsid w:val="00FF1E8E"/>
    <w:rsid w:val="00FF1FCB"/>
    <w:rsid w:val="00FF20C1"/>
    <w:rsid w:val="00FF23D7"/>
    <w:rsid w:val="00FF2624"/>
    <w:rsid w:val="00FF26F6"/>
    <w:rsid w:val="00FF2958"/>
    <w:rsid w:val="00FF2C73"/>
    <w:rsid w:val="00FF2FEC"/>
    <w:rsid w:val="00FF31F9"/>
    <w:rsid w:val="00FF3365"/>
    <w:rsid w:val="00FF3774"/>
    <w:rsid w:val="00FF3859"/>
    <w:rsid w:val="00FF3BA1"/>
    <w:rsid w:val="00FF433E"/>
    <w:rsid w:val="00FF4458"/>
    <w:rsid w:val="00FF4512"/>
    <w:rsid w:val="00FF4D52"/>
    <w:rsid w:val="00FF4F84"/>
    <w:rsid w:val="00FF5343"/>
    <w:rsid w:val="00FF55CD"/>
    <w:rsid w:val="00FF607F"/>
    <w:rsid w:val="00FF618D"/>
    <w:rsid w:val="00FF623A"/>
    <w:rsid w:val="00FF6388"/>
    <w:rsid w:val="00FF64BD"/>
    <w:rsid w:val="00FF6869"/>
    <w:rsid w:val="00FF6951"/>
    <w:rsid w:val="00FF6C1C"/>
    <w:rsid w:val="00FF6C9E"/>
    <w:rsid w:val="00FF6CB1"/>
    <w:rsid w:val="00FF6F15"/>
    <w:rsid w:val="00FF73C1"/>
    <w:rsid w:val="00FF7537"/>
    <w:rsid w:val="00FF75EC"/>
    <w:rsid w:val="00FF7982"/>
    <w:rsid w:val="1B823C4B"/>
    <w:rsid w:val="33460824"/>
    <w:rsid w:val="3EA31D5C"/>
    <w:rsid w:val="49783356"/>
    <w:rsid w:val="53B54FAB"/>
    <w:rsid w:val="5FC86CDC"/>
    <w:rsid w:val="678B6769"/>
    <w:rsid w:val="69027D57"/>
    <w:rsid w:val="6FFE3D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qFormat="1" w:unhideWhenUsed="0" w:uiPriority="0" w:semiHidden="0"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uiPriority="99" w:name="Body Text First Indent"/>
    <w:lsdException w:uiPriority="99" w:name="Body Text First Indent 2"/>
    <w:lsdException w:qFormat="1"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1"/>
      <w:szCs w:val="24"/>
      <w:lang w:val="en-US" w:eastAsia="zh-CN" w:bidi="ar-SA"/>
    </w:rPr>
  </w:style>
  <w:style w:type="paragraph" w:styleId="2">
    <w:name w:val="heading 1"/>
    <w:basedOn w:val="1"/>
    <w:next w:val="1"/>
    <w:link w:val="44"/>
    <w:qFormat/>
    <w:uiPriority w:val="99"/>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styleId="3">
    <w:name w:val="heading 2"/>
    <w:basedOn w:val="1"/>
    <w:next w:val="1"/>
    <w:link w:val="45"/>
    <w:qFormat/>
    <w:uiPriority w:val="0"/>
    <w:pPr>
      <w:keepNext/>
      <w:keepLines/>
      <w:widowControl w:val="0"/>
      <w:spacing w:before="60" w:after="60"/>
      <w:jc w:val="both"/>
      <w:outlineLvl w:val="1"/>
    </w:pPr>
    <w:rPr>
      <w:rFonts w:ascii="Arial" w:hAnsi="Arial" w:cs="Times New Roman"/>
      <w:b/>
      <w:bCs/>
      <w:kern w:val="2"/>
      <w:szCs w:val="21"/>
    </w:rPr>
  </w:style>
  <w:style w:type="paragraph" w:styleId="4">
    <w:name w:val="heading 3"/>
    <w:basedOn w:val="1"/>
    <w:next w:val="1"/>
    <w:link w:val="46"/>
    <w:qFormat/>
    <w:uiPriority w:val="9"/>
    <w:pPr>
      <w:keepNext/>
      <w:keepLines/>
      <w:widowControl w:val="0"/>
      <w:spacing w:before="60" w:after="60"/>
      <w:jc w:val="both"/>
      <w:outlineLvl w:val="2"/>
    </w:pPr>
    <w:rPr>
      <w:rFonts w:ascii="Calibri" w:hAnsi="Calibri" w:cs="Times New Roman"/>
      <w:b/>
      <w:bCs/>
      <w:kern w:val="2"/>
      <w:szCs w:val="32"/>
    </w:rPr>
  </w:style>
  <w:style w:type="paragraph" w:styleId="5">
    <w:name w:val="heading 4"/>
    <w:basedOn w:val="1"/>
    <w:next w:val="1"/>
    <w:link w:val="47"/>
    <w:qFormat/>
    <w:uiPriority w:val="9"/>
    <w:pPr>
      <w:keepNext/>
      <w:keepLines/>
      <w:widowControl w:val="0"/>
      <w:spacing w:before="60" w:after="60"/>
      <w:jc w:val="both"/>
      <w:outlineLvl w:val="3"/>
    </w:pPr>
    <w:rPr>
      <w:rFonts w:cs="Times New Roman" w:asciiTheme="minorEastAsia" w:hAnsiTheme="minorEastAsia" w:eastAsiaTheme="minorEastAsia"/>
      <w:b/>
      <w:bCs/>
      <w:kern w:val="2"/>
      <w:szCs w:val="28"/>
    </w:rPr>
  </w:style>
  <w:style w:type="paragraph" w:styleId="6">
    <w:name w:val="heading 5"/>
    <w:basedOn w:val="1"/>
    <w:next w:val="1"/>
    <w:link w:val="48"/>
    <w:qFormat/>
    <w:uiPriority w:val="9"/>
    <w:pPr>
      <w:keepNext/>
      <w:keepLines/>
      <w:widowControl w:val="0"/>
      <w:spacing w:before="60" w:after="60"/>
      <w:jc w:val="both"/>
      <w:outlineLvl w:val="4"/>
    </w:pPr>
    <w:rPr>
      <w:rFonts w:ascii="Calibri" w:hAnsi="Calibri" w:cs="Times New Roman"/>
      <w:b/>
      <w:bCs/>
      <w:kern w:val="2"/>
      <w:szCs w:val="28"/>
    </w:rPr>
  </w:style>
  <w:style w:type="paragraph" w:styleId="7">
    <w:name w:val="heading 6"/>
    <w:basedOn w:val="1"/>
    <w:next w:val="1"/>
    <w:link w:val="73"/>
    <w:unhideWhenUsed/>
    <w:qFormat/>
    <w:uiPriority w:val="9"/>
    <w:pPr>
      <w:keepNext/>
      <w:keepLines/>
      <w:spacing w:before="60" w:after="60"/>
      <w:outlineLvl w:val="5"/>
    </w:pPr>
    <w:rPr>
      <w:rFonts w:asciiTheme="majorHAnsi" w:hAnsiTheme="majorHAnsi" w:cstheme="majorBidi"/>
      <w:b/>
      <w:bCs/>
    </w:rPr>
  </w:style>
  <w:style w:type="paragraph" w:styleId="8">
    <w:name w:val="heading 7"/>
    <w:basedOn w:val="1"/>
    <w:next w:val="1"/>
    <w:link w:val="79"/>
    <w:unhideWhenUsed/>
    <w:qFormat/>
    <w:uiPriority w:val="9"/>
    <w:pPr>
      <w:keepNext/>
      <w:keepLines/>
      <w:spacing w:before="240" w:after="64" w:line="320" w:lineRule="auto"/>
      <w:outlineLvl w:val="6"/>
    </w:pPr>
    <w:rPr>
      <w:b/>
      <w:bCs/>
      <w:sz w:val="24"/>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styleId="10">
    <w:name w:val="Note Heading"/>
    <w:basedOn w:val="1"/>
    <w:next w:val="1"/>
    <w:link w:val="64"/>
    <w:qFormat/>
    <w:uiPriority w:val="99"/>
    <w:pPr>
      <w:widowControl w:val="0"/>
      <w:jc w:val="center"/>
    </w:pPr>
    <w:rPr>
      <w:rFonts w:ascii="Times New Roman" w:hAnsi="Times New Roman" w:cs="Times New Roman"/>
      <w:kern w:val="2"/>
      <w:szCs w:val="21"/>
    </w:rPr>
  </w:style>
  <w:style w:type="paragraph" w:styleId="11">
    <w:name w:val="Normal Indent"/>
    <w:basedOn w:val="1"/>
    <w:link w:val="160"/>
    <w:qFormat/>
    <w:uiPriority w:val="0"/>
    <w:pPr>
      <w:widowControl w:val="0"/>
      <w:ind w:firstLine="420" w:firstLineChars="200"/>
      <w:jc w:val="both"/>
    </w:pPr>
    <w:rPr>
      <w:rFonts w:ascii="Times New Roman" w:hAnsi="Times New Roman" w:cs="Times New Roman"/>
      <w:kern w:val="2"/>
      <w:szCs w:val="21"/>
    </w:rPr>
  </w:style>
  <w:style w:type="paragraph" w:styleId="12">
    <w:name w:val="Document Map"/>
    <w:basedOn w:val="1"/>
    <w:link w:val="69"/>
    <w:semiHidden/>
    <w:unhideWhenUsed/>
    <w:qFormat/>
    <w:uiPriority w:val="99"/>
    <w:pPr>
      <w:widowControl w:val="0"/>
      <w:jc w:val="both"/>
    </w:pPr>
    <w:rPr>
      <w:rFonts w:hAnsi="Calibri" w:cs="Times New Roman"/>
      <w:kern w:val="2"/>
      <w:sz w:val="18"/>
      <w:szCs w:val="18"/>
    </w:rPr>
  </w:style>
  <w:style w:type="paragraph" w:styleId="13">
    <w:name w:val="toa heading"/>
    <w:basedOn w:val="1"/>
    <w:next w:val="1"/>
    <w:link w:val="162"/>
    <w:semiHidden/>
    <w:qFormat/>
    <w:uiPriority w:val="0"/>
    <w:pPr>
      <w:widowControl w:val="0"/>
      <w:spacing w:before="120"/>
      <w:jc w:val="both"/>
    </w:pPr>
    <w:rPr>
      <w:rFonts w:ascii="Arial" w:hAnsi="Arial" w:cs="Times New Roman"/>
      <w:b/>
      <w:bCs/>
      <w:kern w:val="2"/>
      <w:szCs w:val="21"/>
    </w:rPr>
  </w:style>
  <w:style w:type="paragraph" w:styleId="14">
    <w:name w:val="annotation text"/>
    <w:basedOn w:val="1"/>
    <w:link w:val="50"/>
    <w:qFormat/>
    <w:uiPriority w:val="99"/>
    <w:pPr>
      <w:widowControl w:val="0"/>
    </w:pPr>
    <w:rPr>
      <w:rFonts w:ascii="Times New Roman" w:hAnsi="Times New Roman" w:cs="Times New Roman"/>
      <w:kern w:val="2"/>
      <w:szCs w:val="21"/>
    </w:rPr>
  </w:style>
  <w:style w:type="paragraph" w:styleId="15">
    <w:name w:val="Salutation"/>
    <w:basedOn w:val="1"/>
    <w:next w:val="1"/>
    <w:link w:val="52"/>
    <w:qFormat/>
    <w:uiPriority w:val="99"/>
    <w:pPr>
      <w:widowControl w:val="0"/>
      <w:jc w:val="both"/>
    </w:pPr>
    <w:rPr>
      <w:rFonts w:ascii="Times New Roman" w:hAnsi="Times New Roman" w:cs="Times New Roman"/>
      <w:kern w:val="2"/>
      <w:szCs w:val="21"/>
    </w:rPr>
  </w:style>
  <w:style w:type="paragraph" w:styleId="16">
    <w:name w:val="List Bullet 3"/>
    <w:basedOn w:val="1"/>
    <w:qFormat/>
    <w:uiPriority w:val="0"/>
    <w:pPr>
      <w:widowControl w:val="0"/>
      <w:tabs>
        <w:tab w:val="left" w:pos="1200"/>
      </w:tabs>
      <w:jc w:val="both"/>
    </w:pPr>
    <w:rPr>
      <w:rFonts w:ascii="Times New Roman" w:hAnsi="Times New Roman" w:cs="Times New Roman"/>
      <w:kern w:val="2"/>
      <w:szCs w:val="21"/>
    </w:rPr>
  </w:style>
  <w:style w:type="paragraph" w:styleId="17">
    <w:name w:val="Body Text"/>
    <w:basedOn w:val="1"/>
    <w:link w:val="61"/>
    <w:qFormat/>
    <w:uiPriority w:val="99"/>
    <w:pPr>
      <w:widowControl w:val="0"/>
      <w:spacing w:after="120"/>
      <w:jc w:val="both"/>
    </w:pPr>
    <w:rPr>
      <w:rFonts w:ascii="Times New Roman" w:hAnsi="Times New Roman" w:cs="Times New Roman"/>
      <w:kern w:val="2"/>
      <w:szCs w:val="21"/>
    </w:rPr>
  </w:style>
  <w:style w:type="paragraph" w:styleId="18">
    <w:name w:val="toc 5"/>
    <w:basedOn w:val="1"/>
    <w:next w:val="1"/>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styleId="19">
    <w:name w:val="toc 3"/>
    <w:basedOn w:val="1"/>
    <w:next w:val="1"/>
    <w:unhideWhenUsed/>
    <w:qFormat/>
    <w:uiPriority w:val="39"/>
    <w:pPr>
      <w:spacing w:after="100" w:line="276" w:lineRule="auto"/>
      <w:ind w:left="440"/>
    </w:pPr>
    <w:rPr>
      <w:rFonts w:ascii="Calibri" w:hAnsi="Calibri" w:cs="Times New Roman"/>
      <w:sz w:val="22"/>
      <w:szCs w:val="22"/>
    </w:rPr>
  </w:style>
  <w:style w:type="paragraph" w:styleId="20">
    <w:name w:val="Plain Text"/>
    <w:basedOn w:val="1"/>
    <w:link w:val="59"/>
    <w:qFormat/>
    <w:uiPriority w:val="0"/>
    <w:pPr>
      <w:widowControl w:val="0"/>
      <w:jc w:val="both"/>
    </w:pPr>
    <w:rPr>
      <w:rFonts w:hAnsi="Courier New" w:cs="Times New Roman"/>
      <w:kern w:val="2"/>
      <w:szCs w:val="20"/>
    </w:rPr>
  </w:style>
  <w:style w:type="paragraph" w:styleId="21">
    <w:name w:val="toc 8"/>
    <w:basedOn w:val="1"/>
    <w:next w:val="1"/>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styleId="22">
    <w:name w:val="Date"/>
    <w:basedOn w:val="1"/>
    <w:next w:val="1"/>
    <w:link w:val="63"/>
    <w:qFormat/>
    <w:uiPriority w:val="99"/>
    <w:pPr>
      <w:widowControl w:val="0"/>
      <w:ind w:left="100" w:leftChars="2500"/>
      <w:jc w:val="both"/>
    </w:pPr>
    <w:rPr>
      <w:rFonts w:ascii="Times New Roman" w:hAnsi="Times New Roman" w:cs="Times New Roman"/>
      <w:kern w:val="2"/>
      <w:szCs w:val="21"/>
    </w:rPr>
  </w:style>
  <w:style w:type="paragraph" w:styleId="23">
    <w:name w:val="endnote text"/>
    <w:basedOn w:val="1"/>
    <w:link w:val="74"/>
    <w:semiHidden/>
    <w:unhideWhenUsed/>
    <w:qFormat/>
    <w:uiPriority w:val="99"/>
    <w:pPr>
      <w:snapToGrid w:val="0"/>
    </w:pPr>
  </w:style>
  <w:style w:type="paragraph" w:styleId="24">
    <w:name w:val="Balloon Text"/>
    <w:basedOn w:val="1"/>
    <w:link w:val="51"/>
    <w:unhideWhenUsed/>
    <w:qFormat/>
    <w:uiPriority w:val="99"/>
    <w:pPr>
      <w:widowControl w:val="0"/>
      <w:jc w:val="both"/>
    </w:pPr>
    <w:rPr>
      <w:rFonts w:ascii="Calibri" w:hAnsi="Calibri" w:cs="Times New Roman"/>
      <w:kern w:val="2"/>
      <w:sz w:val="18"/>
      <w:szCs w:val="18"/>
    </w:rPr>
  </w:style>
  <w:style w:type="paragraph" w:styleId="25">
    <w:name w:val="footer"/>
    <w:basedOn w:val="1"/>
    <w:link w:val="58"/>
    <w:unhideWhenUsed/>
    <w:qFormat/>
    <w:uiPriority w:val="99"/>
    <w:pPr>
      <w:widowControl w:val="0"/>
      <w:tabs>
        <w:tab w:val="center" w:pos="4153"/>
        <w:tab w:val="right" w:pos="8306"/>
      </w:tabs>
      <w:snapToGrid w:val="0"/>
    </w:pPr>
    <w:rPr>
      <w:rFonts w:ascii="Calibri" w:hAnsi="Calibri" w:cs="Times New Roman"/>
      <w:kern w:val="2"/>
      <w:sz w:val="18"/>
      <w:szCs w:val="18"/>
    </w:rPr>
  </w:style>
  <w:style w:type="paragraph" w:styleId="26">
    <w:name w:val="header"/>
    <w:basedOn w:val="1"/>
    <w:link w:val="57"/>
    <w:unhideWhenUsed/>
    <w:qFormat/>
    <w:uiPriority w:val="99"/>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styleId="27">
    <w:name w:val="toc 1"/>
    <w:basedOn w:val="1"/>
    <w:next w:val="1"/>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styleId="28">
    <w:name w:val="toc 4"/>
    <w:basedOn w:val="1"/>
    <w:next w:val="1"/>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styleId="29">
    <w:name w:val="toc 6"/>
    <w:basedOn w:val="1"/>
    <w:next w:val="1"/>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styleId="30">
    <w:name w:val="toc 2"/>
    <w:basedOn w:val="1"/>
    <w:next w:val="1"/>
    <w:qFormat/>
    <w:uiPriority w:val="39"/>
    <w:pPr>
      <w:widowControl w:val="0"/>
      <w:ind w:left="420" w:leftChars="200"/>
      <w:jc w:val="both"/>
    </w:pPr>
    <w:rPr>
      <w:rFonts w:ascii="Times New Roman" w:hAnsi="Times New Roman" w:cs="Times New Roman"/>
      <w:kern w:val="2"/>
      <w:szCs w:val="21"/>
    </w:rPr>
  </w:style>
  <w:style w:type="paragraph" w:styleId="31">
    <w:name w:val="toc 9"/>
    <w:basedOn w:val="1"/>
    <w:next w:val="1"/>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styleId="32">
    <w:name w:val="Normal (Web)"/>
    <w:basedOn w:val="1"/>
    <w:qFormat/>
    <w:uiPriority w:val="99"/>
    <w:pPr>
      <w:spacing w:before="100" w:beforeAutospacing="1" w:after="100" w:afterAutospacing="1"/>
    </w:pPr>
    <w:rPr>
      <w:sz w:val="24"/>
    </w:rPr>
  </w:style>
  <w:style w:type="paragraph" w:styleId="33">
    <w:name w:val="index 1"/>
    <w:basedOn w:val="1"/>
    <w:next w:val="1"/>
    <w:semiHidden/>
    <w:qFormat/>
    <w:uiPriority w:val="0"/>
    <w:pPr>
      <w:ind w:firstLine="420" w:firstLineChars="200"/>
    </w:pPr>
    <w:rPr>
      <w:rFonts w:cs="Times New Roman"/>
      <w:color w:val="000000"/>
      <w:szCs w:val="21"/>
    </w:rPr>
  </w:style>
  <w:style w:type="paragraph" w:styleId="34">
    <w:name w:val="Title"/>
    <w:basedOn w:val="1"/>
    <w:next w:val="1"/>
    <w:link w:val="71"/>
    <w:qFormat/>
    <w:uiPriority w:val="10"/>
    <w:pPr>
      <w:widowControl w:val="0"/>
      <w:spacing w:before="240" w:after="60"/>
      <w:jc w:val="center"/>
      <w:outlineLvl w:val="0"/>
    </w:pPr>
    <w:rPr>
      <w:rFonts w:asciiTheme="majorHAnsi" w:hAnsiTheme="majorHAnsi" w:cstheme="majorBidi"/>
      <w:b/>
      <w:bCs/>
      <w:kern w:val="2"/>
      <w:sz w:val="32"/>
      <w:szCs w:val="32"/>
    </w:rPr>
  </w:style>
  <w:style w:type="paragraph" w:styleId="35">
    <w:name w:val="annotation subject"/>
    <w:basedOn w:val="14"/>
    <w:next w:val="14"/>
    <w:link w:val="56"/>
    <w:unhideWhenUsed/>
    <w:qFormat/>
    <w:uiPriority w:val="99"/>
    <w:rPr>
      <w:rFonts w:ascii="Calibri" w:hAnsi="Calibri"/>
      <w:b/>
      <w:bCs/>
      <w:szCs w:val="22"/>
    </w:rPr>
  </w:style>
  <w:style w:type="table" w:styleId="37">
    <w:name w:val="Table Grid"/>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endnote reference"/>
    <w:basedOn w:val="38"/>
    <w:link w:val="40"/>
    <w:semiHidden/>
    <w:unhideWhenUsed/>
    <w:qFormat/>
    <w:uiPriority w:val="99"/>
    <w:rPr>
      <w:vertAlign w:val="superscript"/>
    </w:rPr>
  </w:style>
  <w:style w:type="paragraph" w:customStyle="1" w:styleId="40">
    <w:name w:val="_Style 132"/>
    <w:basedOn w:val="1"/>
    <w:link w:val="39"/>
    <w:qFormat/>
    <w:uiPriority w:val="0"/>
    <w:pPr>
      <w:widowControl w:val="0"/>
      <w:tabs>
        <w:tab w:val="center" w:pos="4153"/>
        <w:tab w:val="right" w:pos="8306"/>
      </w:tabs>
      <w:snapToGrid w:val="0"/>
    </w:pPr>
    <w:rPr>
      <w:rFonts w:ascii="Calibri" w:hAnsi="Calibri" w:cs="Times New Roman"/>
      <w:kern w:val="2"/>
      <w:sz w:val="18"/>
      <w:szCs w:val="18"/>
    </w:rPr>
  </w:style>
  <w:style w:type="character" w:styleId="41">
    <w:name w:val="Hyperlink"/>
    <w:basedOn w:val="38"/>
    <w:qFormat/>
    <w:uiPriority w:val="99"/>
    <w:rPr>
      <w:rFonts w:cs="Times New Roman"/>
      <w:color w:val="0000FF"/>
      <w:u w:val="single"/>
    </w:rPr>
  </w:style>
  <w:style w:type="character" w:styleId="42">
    <w:name w:val="annotation reference"/>
    <w:basedOn w:val="38"/>
    <w:link w:val="43"/>
    <w:qFormat/>
    <w:uiPriority w:val="99"/>
    <w:rPr>
      <w:rFonts w:eastAsia="宋体" w:cs="Times New Roman"/>
      <w:kern w:val="2"/>
      <w:sz w:val="21"/>
      <w:szCs w:val="21"/>
      <w:lang w:val="en-US" w:eastAsia="zh-CN" w:bidi="ar-SA"/>
    </w:rPr>
  </w:style>
  <w:style w:type="paragraph" w:customStyle="1" w:styleId="43">
    <w:name w:val="_Style 117"/>
    <w:basedOn w:val="1"/>
    <w:next w:val="1"/>
    <w:link w:val="42"/>
    <w:qFormat/>
    <w:uiPriority w:val="0"/>
    <w:pPr>
      <w:widowControl w:val="0"/>
      <w:jc w:val="center"/>
    </w:pPr>
    <w:rPr>
      <w:rFonts w:ascii="Times New Roman" w:hAnsi="Times New Roman" w:cs="Times New Roman"/>
      <w:kern w:val="2"/>
      <w:szCs w:val="21"/>
    </w:rPr>
  </w:style>
  <w:style w:type="character" w:customStyle="1" w:styleId="44">
    <w:name w:val="标题 1 Char"/>
    <w:basedOn w:val="38"/>
    <w:link w:val="2"/>
    <w:qFormat/>
    <w:uiPriority w:val="99"/>
    <w:rPr>
      <w:rFonts w:eastAsia="黑体"/>
      <w:b/>
      <w:bCs/>
      <w:kern w:val="44"/>
      <w:sz w:val="28"/>
      <w:szCs w:val="44"/>
    </w:rPr>
  </w:style>
  <w:style w:type="character" w:customStyle="1" w:styleId="45">
    <w:name w:val="标题 2 Char2"/>
    <w:basedOn w:val="38"/>
    <w:link w:val="3"/>
    <w:qFormat/>
    <w:uiPriority w:val="0"/>
    <w:rPr>
      <w:rFonts w:ascii="Arial" w:hAnsi="Arial"/>
      <w:b/>
      <w:bCs/>
      <w:kern w:val="2"/>
      <w:sz w:val="21"/>
      <w:szCs w:val="21"/>
    </w:rPr>
  </w:style>
  <w:style w:type="character" w:customStyle="1" w:styleId="46">
    <w:name w:val="标题 3 Char3"/>
    <w:basedOn w:val="38"/>
    <w:link w:val="4"/>
    <w:qFormat/>
    <w:uiPriority w:val="9"/>
    <w:rPr>
      <w:b/>
      <w:bCs/>
      <w:kern w:val="2"/>
      <w:sz w:val="21"/>
      <w:szCs w:val="32"/>
    </w:rPr>
  </w:style>
  <w:style w:type="character" w:customStyle="1" w:styleId="47">
    <w:name w:val="标题 4 Char1"/>
    <w:basedOn w:val="38"/>
    <w:link w:val="5"/>
    <w:qFormat/>
    <w:uiPriority w:val="9"/>
    <w:rPr>
      <w:rFonts w:asciiTheme="minorEastAsia" w:hAnsiTheme="minorEastAsia" w:eastAsiaTheme="minorEastAsia"/>
      <w:b/>
      <w:bCs/>
      <w:kern w:val="2"/>
      <w:sz w:val="21"/>
      <w:szCs w:val="28"/>
    </w:rPr>
  </w:style>
  <w:style w:type="character" w:customStyle="1" w:styleId="48">
    <w:name w:val="标题 5 Char3"/>
    <w:basedOn w:val="38"/>
    <w:link w:val="6"/>
    <w:qFormat/>
    <w:uiPriority w:val="9"/>
    <w:rPr>
      <w:b/>
      <w:bCs/>
      <w:kern w:val="2"/>
      <w:sz w:val="21"/>
      <w:szCs w:val="28"/>
    </w:rPr>
  </w:style>
  <w:style w:type="paragraph" w:customStyle="1" w:styleId="49">
    <w:name w:val="TOC 标题1"/>
    <w:basedOn w:val="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50">
    <w:name w:val="批注文字 Char3"/>
    <w:basedOn w:val="38"/>
    <w:link w:val="14"/>
    <w:qFormat/>
    <w:uiPriority w:val="99"/>
    <w:rPr>
      <w:rFonts w:ascii="Times New Roman" w:hAnsi="Times New Roman" w:eastAsia="宋体" w:cs="Times New Roman"/>
      <w:szCs w:val="21"/>
    </w:rPr>
  </w:style>
  <w:style w:type="character" w:customStyle="1" w:styleId="51">
    <w:name w:val="批注框文本 Char"/>
    <w:basedOn w:val="38"/>
    <w:link w:val="24"/>
    <w:qFormat/>
    <w:uiPriority w:val="99"/>
    <w:rPr>
      <w:rFonts w:ascii="Calibri" w:hAnsi="Calibri" w:eastAsia="宋体" w:cs="Times New Roman"/>
      <w:sz w:val="18"/>
      <w:szCs w:val="18"/>
    </w:rPr>
  </w:style>
  <w:style w:type="character" w:customStyle="1" w:styleId="52">
    <w:name w:val="称呼 Char1"/>
    <w:basedOn w:val="38"/>
    <w:link w:val="15"/>
    <w:qFormat/>
    <w:uiPriority w:val="99"/>
    <w:rPr>
      <w:rFonts w:ascii="Times New Roman" w:hAnsi="Times New Roman" w:eastAsia="宋体" w:cs="Times New Roman"/>
      <w:szCs w:val="21"/>
    </w:rPr>
  </w:style>
  <w:style w:type="character" w:customStyle="1" w:styleId="53">
    <w:name w:val="notnullcss1"/>
    <w:basedOn w:val="38"/>
    <w:qFormat/>
    <w:uiPriority w:val="99"/>
    <w:rPr>
      <w:rFonts w:eastAsia="宋体" w:cs="Times New Roman"/>
      <w:color w:val="FF0000"/>
      <w:kern w:val="2"/>
      <w:sz w:val="24"/>
      <w:szCs w:val="24"/>
      <w:lang w:val="en-US" w:eastAsia="zh-CN" w:bidi="ar-SA"/>
    </w:rPr>
  </w:style>
  <w:style w:type="paragraph" w:customStyle="1" w:styleId="54">
    <w:name w:val="xl61"/>
    <w:basedOn w:val="1"/>
    <w:qFormat/>
    <w:uiPriority w:val="99"/>
    <w:pPr>
      <w:spacing w:before="100" w:after="100"/>
      <w:jc w:val="right"/>
    </w:pPr>
    <w:rPr>
      <w:rFonts w:ascii="Arial Unicode MS" w:hAnsi="Times New Roman" w:eastAsia="Arial Unicode MS" w:cs="Times New Roman"/>
      <w:sz w:val="18"/>
      <w:szCs w:val="18"/>
    </w:rPr>
  </w:style>
  <w:style w:type="paragraph" w:styleId="55">
    <w:name w:val="List Paragraph"/>
    <w:basedOn w:val="1"/>
    <w:link w:val="155"/>
    <w:qFormat/>
    <w:uiPriority w:val="34"/>
    <w:pPr>
      <w:widowControl w:val="0"/>
      <w:ind w:firstLine="420" w:firstLineChars="200"/>
      <w:jc w:val="both"/>
    </w:pPr>
    <w:rPr>
      <w:rFonts w:ascii="Calibri" w:hAnsi="Calibri" w:cs="Times New Roman"/>
      <w:kern w:val="2"/>
      <w:szCs w:val="22"/>
    </w:rPr>
  </w:style>
  <w:style w:type="character" w:customStyle="1" w:styleId="56">
    <w:name w:val="批注主题 Char"/>
    <w:basedOn w:val="50"/>
    <w:link w:val="35"/>
    <w:qFormat/>
    <w:uiPriority w:val="99"/>
    <w:rPr>
      <w:rFonts w:ascii="Calibri" w:hAnsi="Calibri" w:eastAsia="宋体" w:cs="Times New Roman"/>
      <w:b/>
      <w:bCs/>
      <w:szCs w:val="21"/>
    </w:rPr>
  </w:style>
  <w:style w:type="character" w:customStyle="1" w:styleId="57">
    <w:name w:val="页眉 Char"/>
    <w:basedOn w:val="38"/>
    <w:link w:val="26"/>
    <w:qFormat/>
    <w:uiPriority w:val="99"/>
    <w:rPr>
      <w:rFonts w:ascii="Calibri" w:hAnsi="Calibri" w:eastAsia="宋体" w:cs="Times New Roman"/>
      <w:sz w:val="18"/>
      <w:szCs w:val="18"/>
    </w:rPr>
  </w:style>
  <w:style w:type="character" w:customStyle="1" w:styleId="58">
    <w:name w:val="页脚 Char"/>
    <w:basedOn w:val="38"/>
    <w:link w:val="25"/>
    <w:qFormat/>
    <w:uiPriority w:val="99"/>
    <w:rPr>
      <w:rFonts w:ascii="Calibri" w:hAnsi="Calibri" w:eastAsia="宋体" w:cs="Times New Roman"/>
      <w:sz w:val="18"/>
      <w:szCs w:val="18"/>
    </w:rPr>
  </w:style>
  <w:style w:type="character" w:customStyle="1" w:styleId="59">
    <w:name w:val="纯文本 Char"/>
    <w:basedOn w:val="38"/>
    <w:link w:val="20"/>
    <w:qFormat/>
    <w:uiPriority w:val="0"/>
    <w:rPr>
      <w:rFonts w:ascii="宋体" w:hAnsi="Courier New" w:eastAsia="宋体" w:cs="Times New Roman"/>
      <w:szCs w:val="20"/>
    </w:rPr>
  </w:style>
  <w:style w:type="character" w:customStyle="1" w:styleId="60">
    <w:name w:val="headline-content2"/>
    <w:basedOn w:val="38"/>
    <w:qFormat/>
    <w:uiPriority w:val="0"/>
    <w:rPr>
      <w:rFonts w:eastAsia="宋体" w:cs="Times New Roman"/>
      <w:kern w:val="2"/>
      <w:sz w:val="24"/>
      <w:szCs w:val="24"/>
      <w:lang w:val="en-US" w:eastAsia="zh-CN" w:bidi="ar-SA"/>
    </w:rPr>
  </w:style>
  <w:style w:type="character" w:customStyle="1" w:styleId="61">
    <w:name w:val="正文文本 Char"/>
    <w:basedOn w:val="38"/>
    <w:link w:val="17"/>
    <w:qFormat/>
    <w:uiPriority w:val="99"/>
    <w:rPr>
      <w:rFonts w:ascii="Times New Roman" w:hAnsi="Times New Roman" w:eastAsia="宋体" w:cs="Times New Roman"/>
      <w:szCs w:val="21"/>
    </w:rPr>
  </w:style>
  <w:style w:type="paragraph" w:customStyle="1" w:styleId="62">
    <w:name w:val="write2"/>
    <w:basedOn w:val="1"/>
    <w:qFormat/>
    <w:uiPriority w:val="99"/>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character" w:customStyle="1" w:styleId="63">
    <w:name w:val="日期 Char"/>
    <w:basedOn w:val="38"/>
    <w:link w:val="22"/>
    <w:qFormat/>
    <w:uiPriority w:val="99"/>
    <w:rPr>
      <w:rFonts w:ascii="Times New Roman" w:hAnsi="Times New Roman" w:eastAsia="宋体" w:cs="Times New Roman"/>
      <w:szCs w:val="21"/>
    </w:rPr>
  </w:style>
  <w:style w:type="character" w:customStyle="1" w:styleId="64">
    <w:name w:val="注释标题 Char"/>
    <w:basedOn w:val="38"/>
    <w:link w:val="10"/>
    <w:qFormat/>
    <w:uiPriority w:val="99"/>
    <w:rPr>
      <w:rFonts w:ascii="Times New Roman" w:hAnsi="Times New Roman" w:eastAsia="宋体" w:cs="Times New Roman"/>
      <w:szCs w:val="21"/>
    </w:rPr>
  </w:style>
  <w:style w:type="paragraph" w:customStyle="1" w:styleId="65">
    <w:name w:val="标题5"/>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66">
    <w:name w:val="修订1"/>
    <w:hidden/>
    <w:semiHidden/>
    <w:qFormat/>
    <w:uiPriority w:val="99"/>
    <w:rPr>
      <w:rFonts w:ascii="Calibri" w:hAnsi="Calibri" w:eastAsia="宋体" w:cs="Times New Roman"/>
      <w:kern w:val="2"/>
      <w:sz w:val="21"/>
      <w:szCs w:val="22"/>
      <w:lang w:val="en-US" w:eastAsia="zh-CN" w:bidi="ar-SA"/>
    </w:rPr>
  </w:style>
  <w:style w:type="character" w:customStyle="1" w:styleId="67">
    <w:name w:val="正文的样式 Char"/>
    <w:basedOn w:val="38"/>
    <w:link w:val="68"/>
    <w:qFormat/>
    <w:uiPriority w:val="0"/>
    <w:rPr>
      <w:kern w:val="2"/>
      <w:sz w:val="21"/>
      <w:szCs w:val="24"/>
    </w:rPr>
  </w:style>
  <w:style w:type="paragraph" w:customStyle="1" w:styleId="68">
    <w:name w:val="正文的样式"/>
    <w:basedOn w:val="1"/>
    <w:link w:val="67"/>
    <w:qFormat/>
    <w:uiPriority w:val="0"/>
    <w:pPr>
      <w:widowControl w:val="0"/>
      <w:spacing w:before="100" w:after="100"/>
      <w:jc w:val="both"/>
    </w:pPr>
    <w:rPr>
      <w:rFonts w:ascii="Calibri" w:hAnsi="Calibri" w:cs="Times New Roman"/>
      <w:kern w:val="2"/>
    </w:rPr>
  </w:style>
  <w:style w:type="character" w:customStyle="1" w:styleId="69">
    <w:name w:val="文档结构图 Char"/>
    <w:basedOn w:val="38"/>
    <w:link w:val="12"/>
    <w:semiHidden/>
    <w:qFormat/>
    <w:uiPriority w:val="99"/>
    <w:rPr>
      <w:rFonts w:ascii="宋体"/>
      <w:kern w:val="2"/>
      <w:sz w:val="18"/>
      <w:szCs w:val="18"/>
    </w:rPr>
  </w:style>
  <w:style w:type="character" w:styleId="70">
    <w:name w:val="Placeholder Text"/>
    <w:basedOn w:val="38"/>
    <w:semiHidden/>
    <w:qFormat/>
    <w:uiPriority w:val="99"/>
    <w:rPr>
      <w:color w:val="auto"/>
    </w:rPr>
  </w:style>
  <w:style w:type="character" w:customStyle="1" w:styleId="71">
    <w:name w:val="标题 Char"/>
    <w:basedOn w:val="38"/>
    <w:link w:val="34"/>
    <w:qFormat/>
    <w:uiPriority w:val="10"/>
    <w:rPr>
      <w:rFonts w:asciiTheme="majorHAnsi" w:hAnsiTheme="majorHAnsi" w:cstheme="majorBidi"/>
      <w:b/>
      <w:bCs/>
      <w:kern w:val="2"/>
      <w:sz w:val="32"/>
      <w:szCs w:val="32"/>
    </w:rPr>
  </w:style>
  <w:style w:type="paragraph" w:styleId="72">
    <w:name w:val="No Spacing"/>
    <w:link w:val="156"/>
    <w:qFormat/>
    <w:uiPriority w:val="1"/>
    <w:pPr>
      <w:widowControl w:val="0"/>
      <w:jc w:val="both"/>
    </w:pPr>
    <w:rPr>
      <w:rFonts w:ascii="Calibri" w:hAnsi="Calibri" w:eastAsia="宋体" w:cs="Times New Roman"/>
      <w:kern w:val="2"/>
      <w:sz w:val="21"/>
      <w:szCs w:val="22"/>
      <w:lang w:val="en-US" w:eastAsia="zh-CN" w:bidi="ar-SA"/>
    </w:rPr>
  </w:style>
  <w:style w:type="character" w:customStyle="1" w:styleId="73">
    <w:name w:val="标题 6 Char"/>
    <w:basedOn w:val="38"/>
    <w:link w:val="7"/>
    <w:qFormat/>
    <w:uiPriority w:val="9"/>
    <w:rPr>
      <w:rFonts w:asciiTheme="majorHAnsi" w:hAnsiTheme="majorHAnsi" w:cstheme="majorBidi"/>
      <w:b/>
      <w:bCs/>
      <w:sz w:val="21"/>
      <w:szCs w:val="24"/>
    </w:rPr>
  </w:style>
  <w:style w:type="character" w:customStyle="1" w:styleId="74">
    <w:name w:val="尾注文本 Char"/>
    <w:basedOn w:val="38"/>
    <w:link w:val="23"/>
    <w:semiHidden/>
    <w:qFormat/>
    <w:uiPriority w:val="99"/>
    <w:rPr>
      <w:rFonts w:ascii="宋体" w:hAnsi="宋体" w:cs="宋体"/>
      <w:sz w:val="21"/>
      <w:szCs w:val="24"/>
    </w:rPr>
  </w:style>
  <w:style w:type="character" w:customStyle="1" w:styleId="75">
    <w:name w:val="批注主题 Char1"/>
    <w:basedOn w:val="50"/>
    <w:semiHidden/>
    <w:qFormat/>
    <w:uiPriority w:val="99"/>
    <w:rPr>
      <w:rFonts w:ascii="Times New Roman" w:hAnsi="Times New Roman" w:eastAsia="宋体" w:cs="Times New Roman"/>
      <w:b/>
      <w:bCs/>
      <w:szCs w:val="21"/>
    </w:rPr>
  </w:style>
  <w:style w:type="character" w:customStyle="1" w:styleId="76">
    <w:name w:val="span_"/>
    <w:basedOn w:val="38"/>
    <w:qFormat/>
    <w:uiPriority w:val="0"/>
  </w:style>
  <w:style w:type="paragraph" w:customStyle="1" w:styleId="77">
    <w:name w:val="标题  3"/>
    <w:basedOn w:val="1"/>
    <w:next w:val="1"/>
    <w:link w:val="78"/>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78">
    <w:name w:val="标题  3 Char"/>
    <w:basedOn w:val="38"/>
    <w:link w:val="77"/>
    <w:qFormat/>
    <w:uiPriority w:val="0"/>
    <w:rPr>
      <w:rFonts w:ascii="Times New Roman" w:hAnsi="Times New Roman"/>
      <w:b/>
      <w:kern w:val="2"/>
      <w:sz w:val="21"/>
      <w:szCs w:val="24"/>
    </w:rPr>
  </w:style>
  <w:style w:type="character" w:customStyle="1" w:styleId="79">
    <w:name w:val="标题 7 Char"/>
    <w:basedOn w:val="38"/>
    <w:link w:val="8"/>
    <w:qFormat/>
    <w:uiPriority w:val="9"/>
    <w:rPr>
      <w:rFonts w:ascii="宋体" w:hAnsi="宋体" w:cs="宋体"/>
      <w:b/>
      <w:bCs/>
      <w:sz w:val="24"/>
      <w:szCs w:val="24"/>
    </w:rPr>
  </w:style>
  <w:style w:type="character" w:customStyle="1" w:styleId="80">
    <w:name w:val="批注主题 字符1"/>
    <w:basedOn w:val="50"/>
    <w:semiHidden/>
    <w:qFormat/>
    <w:uiPriority w:val="99"/>
    <w:rPr>
      <w:rFonts w:ascii="Times New Roman" w:hAnsi="Times New Roman" w:eastAsia="宋体" w:cs="Times New Roman"/>
      <w:b/>
      <w:bCs/>
      <w:szCs w:val="21"/>
    </w:rPr>
  </w:style>
  <w:style w:type="character" w:customStyle="1" w:styleId="81">
    <w:name w:val="标题 4 Char"/>
    <w:qFormat/>
    <w:uiPriority w:val="9"/>
    <w:rPr>
      <w:rFonts w:ascii="Cambria" w:hAnsi="Cambria"/>
      <w:b/>
      <w:bCs/>
      <w:kern w:val="2"/>
      <w:sz w:val="21"/>
      <w:szCs w:val="28"/>
    </w:rPr>
  </w:style>
  <w:style w:type="paragraph" w:customStyle="1" w:styleId="82">
    <w:name w:val="4"/>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3">
    <w:name w:val="3"/>
    <w:basedOn w:val="1"/>
    <w:next w:val="55"/>
    <w:link w:val="210"/>
    <w:qFormat/>
    <w:uiPriority w:val="34"/>
    <w:pPr>
      <w:widowControl w:val="0"/>
      <w:ind w:firstLine="420" w:firstLineChars="200"/>
      <w:jc w:val="both"/>
    </w:pPr>
    <w:rPr>
      <w:rFonts w:ascii="Calibri" w:hAnsi="Calibri" w:cs="Times New Roman"/>
      <w:kern w:val="2"/>
      <w:szCs w:val="22"/>
    </w:rPr>
  </w:style>
  <w:style w:type="character" w:customStyle="1" w:styleId="84">
    <w:name w:val="标题 3 Char"/>
    <w:qFormat/>
    <w:uiPriority w:val="9"/>
    <w:rPr>
      <w:b/>
      <w:bCs/>
      <w:kern w:val="2"/>
      <w:sz w:val="21"/>
      <w:szCs w:val="32"/>
    </w:rPr>
  </w:style>
  <w:style w:type="paragraph" w:customStyle="1" w:styleId="85">
    <w:name w:val="2"/>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6">
    <w:name w:val="1"/>
    <w:basedOn w:val="1"/>
    <w:next w:val="55"/>
    <w:qFormat/>
    <w:uiPriority w:val="34"/>
    <w:pPr>
      <w:widowControl w:val="0"/>
      <w:ind w:firstLine="420" w:firstLineChars="200"/>
      <w:jc w:val="both"/>
    </w:pPr>
    <w:rPr>
      <w:rFonts w:ascii="Calibri" w:hAnsi="Calibri" w:cs="Times New Roman"/>
      <w:kern w:val="2"/>
      <w:szCs w:val="22"/>
    </w:rPr>
  </w:style>
  <w:style w:type="paragraph" w:customStyle="1" w:styleId="87">
    <w:name w:val="Table Paragraph"/>
    <w:basedOn w:val="1"/>
    <w:qFormat/>
    <w:uiPriority w:val="0"/>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88">
    <w:name w:val="批注文字 Char"/>
    <w:qFormat/>
    <w:uiPriority w:val="0"/>
    <w:rPr>
      <w:rFonts w:ascii="Times New Roman" w:hAnsi="Times New Roman"/>
      <w:kern w:val="2"/>
      <w:sz w:val="21"/>
      <w:szCs w:val="21"/>
    </w:rPr>
  </w:style>
  <w:style w:type="character" w:customStyle="1" w:styleId="89">
    <w:name w:val="标题 3 Char1"/>
    <w:qFormat/>
    <w:uiPriority w:val="9"/>
    <w:rPr>
      <w:b/>
      <w:bCs/>
      <w:kern w:val="2"/>
      <w:sz w:val="21"/>
      <w:szCs w:val="32"/>
    </w:rPr>
  </w:style>
  <w:style w:type="character" w:customStyle="1" w:styleId="90">
    <w:name w:val="标题 2 Char"/>
    <w:qFormat/>
    <w:uiPriority w:val="0"/>
    <w:rPr>
      <w:rFonts w:ascii="Arial" w:hAnsi="Arial"/>
      <w:b/>
      <w:bCs/>
      <w:kern w:val="2"/>
      <w:sz w:val="21"/>
      <w:szCs w:val="21"/>
    </w:rPr>
  </w:style>
  <w:style w:type="character" w:customStyle="1" w:styleId="91">
    <w:name w:val="标题 5 Char"/>
    <w:qFormat/>
    <w:uiPriority w:val="9"/>
    <w:rPr>
      <w:b/>
      <w:bCs/>
      <w:kern w:val="2"/>
      <w:sz w:val="21"/>
      <w:szCs w:val="28"/>
    </w:rPr>
  </w:style>
  <w:style w:type="paragraph" w:customStyle="1" w:styleId="92">
    <w:name w:val="_Style 89"/>
    <w:basedOn w:val="1"/>
    <w:next w:val="55"/>
    <w:qFormat/>
    <w:uiPriority w:val="34"/>
    <w:pPr>
      <w:widowControl w:val="0"/>
      <w:ind w:firstLine="420" w:firstLineChars="200"/>
      <w:jc w:val="both"/>
    </w:pPr>
    <w:rPr>
      <w:rFonts w:ascii="Calibri" w:hAnsi="Calibri" w:cs="Times New Roman"/>
      <w:kern w:val="2"/>
      <w:szCs w:val="22"/>
    </w:rPr>
  </w:style>
  <w:style w:type="character" w:customStyle="1" w:styleId="93">
    <w:name w:val="称呼 Char"/>
    <w:qFormat/>
    <w:uiPriority w:val="99"/>
    <w:rPr>
      <w:rFonts w:ascii="Times New Roman" w:hAnsi="Times New Roman"/>
      <w:kern w:val="2"/>
      <w:sz w:val="21"/>
      <w:szCs w:val="21"/>
    </w:rPr>
  </w:style>
  <w:style w:type="character" w:customStyle="1" w:styleId="94">
    <w:name w:val="fontstyle01"/>
    <w:qFormat/>
    <w:uiPriority w:val="0"/>
    <w:rPr>
      <w:rFonts w:hint="default" w:ascii="FZLTSK--GBK1-0" w:hAnsi="FZLTSK--GBK1-0"/>
      <w:color w:val="000000"/>
      <w:sz w:val="20"/>
      <w:szCs w:val="20"/>
    </w:rPr>
  </w:style>
  <w:style w:type="paragraph" w:customStyle="1" w:styleId="95">
    <w:name w:val="_Style 92"/>
    <w:basedOn w:val="1"/>
    <w:next w:val="55"/>
    <w:link w:val="239"/>
    <w:qFormat/>
    <w:uiPriority w:val="34"/>
    <w:pPr>
      <w:widowControl w:val="0"/>
      <w:ind w:firstLine="420" w:firstLineChars="200"/>
      <w:jc w:val="both"/>
    </w:pPr>
    <w:rPr>
      <w:rFonts w:ascii="Calibri" w:hAnsi="Calibri" w:cs="Times New Roman"/>
      <w:kern w:val="2"/>
      <w:szCs w:val="22"/>
    </w:rPr>
  </w:style>
  <w:style w:type="character" w:customStyle="1" w:styleId="96">
    <w:name w:val="批注文字 Char1"/>
    <w:qFormat/>
    <w:uiPriority w:val="99"/>
    <w:rPr>
      <w:rFonts w:ascii="Times New Roman" w:hAnsi="Times New Roman"/>
      <w:kern w:val="2"/>
      <w:sz w:val="21"/>
      <w:szCs w:val="21"/>
    </w:rPr>
  </w:style>
  <w:style w:type="character" w:customStyle="1" w:styleId="97">
    <w:name w:val="标题 5 Char1"/>
    <w:qFormat/>
    <w:uiPriority w:val="9"/>
    <w:rPr>
      <w:b/>
      <w:bCs/>
      <w:kern w:val="2"/>
      <w:sz w:val="21"/>
      <w:szCs w:val="28"/>
    </w:rPr>
  </w:style>
  <w:style w:type="character" w:customStyle="1" w:styleId="98">
    <w:name w:val="批注文字 字符1"/>
    <w:semiHidden/>
    <w:qFormat/>
    <w:locked/>
    <w:uiPriority w:val="99"/>
    <w:rPr>
      <w:rFonts w:ascii="Times New Roman" w:hAnsi="Times New Roman"/>
      <w:kern w:val="2"/>
      <w:sz w:val="21"/>
      <w:szCs w:val="21"/>
    </w:rPr>
  </w:style>
  <w:style w:type="character" w:customStyle="1" w:styleId="99">
    <w:name w:val="标题 2 Char1"/>
    <w:qFormat/>
    <w:uiPriority w:val="0"/>
    <w:rPr>
      <w:rFonts w:ascii="Arial" w:hAnsi="Arial"/>
      <w:b/>
      <w:bCs/>
      <w:kern w:val="2"/>
      <w:sz w:val="21"/>
      <w:szCs w:val="21"/>
    </w:rPr>
  </w:style>
  <w:style w:type="character" w:customStyle="1" w:styleId="100">
    <w:name w:val="批注文字 Char2"/>
    <w:qFormat/>
    <w:uiPriority w:val="99"/>
    <w:rPr>
      <w:rFonts w:ascii="Times New Roman" w:hAnsi="Times New Roman"/>
      <w:kern w:val="2"/>
      <w:sz w:val="21"/>
      <w:szCs w:val="21"/>
    </w:rPr>
  </w:style>
  <w:style w:type="character" w:customStyle="1" w:styleId="101">
    <w:name w:val="标题 5 Char2"/>
    <w:qFormat/>
    <w:uiPriority w:val="9"/>
    <w:rPr>
      <w:b/>
      <w:bCs/>
      <w:kern w:val="2"/>
      <w:sz w:val="21"/>
      <w:szCs w:val="28"/>
    </w:rPr>
  </w:style>
  <w:style w:type="paragraph" w:customStyle="1" w:styleId="102">
    <w:name w:val="_Style 99"/>
    <w:basedOn w:val="1"/>
    <w:next w:val="55"/>
    <w:qFormat/>
    <w:uiPriority w:val="34"/>
    <w:pPr>
      <w:widowControl w:val="0"/>
      <w:ind w:firstLine="420" w:firstLineChars="200"/>
      <w:jc w:val="both"/>
    </w:pPr>
    <w:rPr>
      <w:rFonts w:ascii="Calibri" w:hAnsi="Calibri" w:cs="Times New Roman"/>
      <w:kern w:val="2"/>
      <w:szCs w:val="22"/>
    </w:rPr>
  </w:style>
  <w:style w:type="character" w:customStyle="1" w:styleId="103">
    <w:name w:val="标题 3 Char2"/>
    <w:qFormat/>
    <w:uiPriority w:val="9"/>
    <w:rPr>
      <w:b/>
      <w:bCs/>
      <w:kern w:val="2"/>
      <w:sz w:val="21"/>
      <w:szCs w:val="32"/>
    </w:rPr>
  </w:style>
  <w:style w:type="paragraph" w:customStyle="1" w:styleId="104">
    <w:name w:val="正文1"/>
    <w:qFormat/>
    <w:uiPriority w:val="0"/>
    <w:pPr>
      <w:jc w:val="both"/>
    </w:pPr>
    <w:rPr>
      <w:rFonts w:ascii="Calibri" w:hAnsi="Calibri" w:eastAsia="宋体" w:cs="宋体"/>
      <w:kern w:val="2"/>
      <w:sz w:val="21"/>
      <w:szCs w:val="21"/>
      <w:lang w:val="en-US" w:eastAsia="zh-CN" w:bidi="ar-SA"/>
    </w:rPr>
  </w:style>
  <w:style w:type="paragraph" w:customStyle="1" w:styleId="105">
    <w:name w:val="正文2"/>
    <w:qFormat/>
    <w:uiPriority w:val="0"/>
    <w:pPr>
      <w:jc w:val="both"/>
    </w:pPr>
    <w:rPr>
      <w:rFonts w:ascii="Calibri" w:hAnsi="Calibri" w:eastAsia="宋体" w:cs="宋体"/>
      <w:kern w:val="2"/>
      <w:sz w:val="21"/>
      <w:szCs w:val="21"/>
      <w:lang w:val="en-US" w:eastAsia="zh-CN" w:bidi="ar-SA"/>
    </w:rPr>
  </w:style>
  <w:style w:type="table" w:customStyle="1" w:styleId="106">
    <w:name w:val="g3"/>
    <w:semiHidden/>
    <w:unhideWhenUsed/>
    <w:qFormat/>
    <w:uiPriority w:val="99"/>
    <w:tblPr>
      <w:tblCellMar>
        <w:top w:w="0" w:type="dxa"/>
        <w:left w:w="108" w:type="dxa"/>
        <w:bottom w:w="0" w:type="dxa"/>
        <w:right w:w="108" w:type="dxa"/>
      </w:tblCellMar>
    </w:tblPr>
  </w:style>
  <w:style w:type="character" w:customStyle="1" w:styleId="107">
    <w:name w:val="NormalCharacter"/>
    <w:qFormat/>
    <w:uiPriority w:val="0"/>
  </w:style>
  <w:style w:type="table" w:customStyle="1" w:styleId="108">
    <w:name w:val="g1"/>
    <w:semiHidden/>
    <w:unhideWhenUsed/>
    <w:qFormat/>
    <w:uiPriority w:val="99"/>
    <w:tblPr>
      <w:tblCellMar>
        <w:top w:w="0" w:type="dxa"/>
        <w:left w:w="108" w:type="dxa"/>
        <w:bottom w:w="0" w:type="dxa"/>
        <w:right w:w="108" w:type="dxa"/>
      </w:tblCellMar>
    </w:tblPr>
  </w:style>
  <w:style w:type="table" w:customStyle="1" w:styleId="109">
    <w:name w:val="g2"/>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10">
    <w:name w:val="g5"/>
    <w:semiHidden/>
    <w:unhideWhenUsed/>
    <w:qFormat/>
    <w:uiPriority w:val="99"/>
    <w:tblPr>
      <w:tblCellMar>
        <w:top w:w="0" w:type="dxa"/>
        <w:left w:w="108" w:type="dxa"/>
        <w:bottom w:w="0" w:type="dxa"/>
        <w:right w:w="108" w:type="dxa"/>
      </w:tblCellMar>
    </w:tblPr>
  </w:style>
  <w:style w:type="table" w:customStyle="1" w:styleId="111">
    <w:name w:val="g6"/>
    <w:basedOn w:val="36"/>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2">
    <w:name w:val="_Style 109"/>
    <w:basedOn w:val="1"/>
    <w:next w:val="1"/>
    <w:qFormat/>
    <w:uiPriority w:val="0"/>
    <w:pPr>
      <w:keepNext/>
      <w:keepLines/>
      <w:widowControl w:val="0"/>
      <w:spacing w:before="60" w:after="60" w:line="360" w:lineRule="auto"/>
      <w:jc w:val="center"/>
      <w:outlineLvl w:val="0"/>
    </w:pPr>
    <w:rPr>
      <w:rFonts w:ascii="Calibri" w:hAnsi="Calibri" w:eastAsia="黑体" w:cs="Times New Roman"/>
      <w:b/>
      <w:bCs/>
      <w:kern w:val="44"/>
      <w:sz w:val="28"/>
      <w:szCs w:val="44"/>
    </w:rPr>
  </w:style>
  <w:style w:type="paragraph" w:customStyle="1" w:styleId="113">
    <w:name w:val="目录 2 字符"/>
    <w:basedOn w:val="1"/>
    <w:next w:val="1"/>
    <w:semiHidden/>
    <w:unhideWhenUsed/>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114">
    <w:name w:val="目录 3 字符"/>
    <w:basedOn w:val="1"/>
    <w:next w:val="1"/>
    <w:unhideWhenUsed/>
    <w:qFormat/>
    <w:uiPriority w:val="9"/>
    <w:pPr>
      <w:keepNext/>
      <w:keepLines/>
      <w:widowControl w:val="0"/>
      <w:spacing w:before="60" w:after="60"/>
      <w:jc w:val="both"/>
      <w:outlineLvl w:val="2"/>
    </w:pPr>
    <w:rPr>
      <w:rFonts w:ascii="Calibri" w:hAnsi="Calibri" w:cs="Times New Roman"/>
      <w:b/>
      <w:bCs/>
      <w:kern w:val="2"/>
      <w:szCs w:val="32"/>
    </w:rPr>
  </w:style>
  <w:style w:type="paragraph" w:customStyle="1" w:styleId="115">
    <w:name w:val="目录 4 字符"/>
    <w:basedOn w:val="1"/>
    <w:next w:val="1"/>
    <w:unhideWhenUsed/>
    <w:qFormat/>
    <w:uiPriority w:val="9"/>
    <w:pPr>
      <w:keepNext/>
      <w:keepLines/>
      <w:widowControl w:val="0"/>
      <w:spacing w:before="60" w:after="60"/>
      <w:jc w:val="both"/>
      <w:outlineLvl w:val="3"/>
    </w:pPr>
    <w:rPr>
      <w:rFonts w:cs="Times New Roman" w:asciiTheme="minorEastAsia" w:hAnsiTheme="minorEastAsia" w:eastAsiaTheme="minorEastAsia"/>
      <w:b/>
      <w:bCs/>
      <w:kern w:val="2"/>
      <w:szCs w:val="28"/>
    </w:rPr>
  </w:style>
  <w:style w:type="paragraph" w:customStyle="1" w:styleId="116">
    <w:name w:val="_Style 113"/>
    <w:basedOn w:val="1"/>
    <w:next w:val="1"/>
    <w:semiHidden/>
    <w:unhideWhenUsed/>
    <w:qFormat/>
    <w:uiPriority w:val="0"/>
    <w:pPr>
      <w:keepNext/>
      <w:keepLines/>
      <w:widowControl w:val="0"/>
      <w:spacing w:before="60" w:after="60"/>
      <w:jc w:val="both"/>
      <w:outlineLvl w:val="4"/>
    </w:pPr>
    <w:rPr>
      <w:rFonts w:ascii="Calibri" w:hAnsi="Calibri" w:cs="Times New Roman"/>
      <w:b/>
      <w:bCs/>
      <w:kern w:val="2"/>
      <w:szCs w:val="28"/>
    </w:rPr>
  </w:style>
  <w:style w:type="paragraph" w:customStyle="1" w:styleId="117">
    <w:name w:val="目录 6 字符"/>
    <w:basedOn w:val="1"/>
    <w:next w:val="1"/>
    <w:semiHidden/>
    <w:unhideWhenUsed/>
    <w:qFormat/>
    <w:uiPriority w:val="0"/>
    <w:pPr>
      <w:keepNext/>
      <w:keepLines/>
      <w:spacing w:before="60" w:after="60"/>
      <w:outlineLvl w:val="5"/>
    </w:pPr>
    <w:rPr>
      <w:rFonts w:asciiTheme="majorHAnsi" w:hAnsiTheme="majorHAnsi" w:cstheme="majorBidi"/>
      <w:b/>
      <w:bCs/>
    </w:rPr>
  </w:style>
  <w:style w:type="paragraph" w:customStyle="1" w:styleId="118">
    <w:name w:val="目录 7 字符"/>
    <w:basedOn w:val="1"/>
    <w:next w:val="1"/>
    <w:semiHidden/>
    <w:unhideWhenUsed/>
    <w:qFormat/>
    <w:uiPriority w:val="0"/>
    <w:pPr>
      <w:keepNext/>
      <w:keepLines/>
      <w:spacing w:before="240" w:after="64" w:line="320" w:lineRule="auto"/>
      <w:outlineLvl w:val="6"/>
    </w:pPr>
    <w:rPr>
      <w:b/>
      <w:bCs/>
      <w:sz w:val="24"/>
    </w:rPr>
  </w:style>
  <w:style w:type="paragraph" w:customStyle="1" w:styleId="119">
    <w:name w:val="_Style 116"/>
    <w:basedOn w:val="1"/>
    <w:next w:val="1"/>
    <w:qFormat/>
    <w:uiPriority w:val="0"/>
    <w:pPr>
      <w:widowControl w:val="0"/>
      <w:ind w:left="2520" w:leftChars="1200"/>
      <w:jc w:val="both"/>
    </w:pPr>
    <w:rPr>
      <w:rFonts w:asciiTheme="minorHAnsi" w:hAnsiTheme="minorHAnsi" w:eastAsiaTheme="minorEastAsia" w:cstheme="minorBidi"/>
      <w:kern w:val="2"/>
      <w:szCs w:val="22"/>
    </w:rPr>
  </w:style>
  <w:style w:type="paragraph" w:customStyle="1" w:styleId="120">
    <w:name w:val="_Style 118"/>
    <w:basedOn w:val="1"/>
    <w:qFormat/>
    <w:uiPriority w:val="0"/>
    <w:pPr>
      <w:widowControl w:val="0"/>
      <w:ind w:firstLine="420" w:firstLineChars="200"/>
      <w:jc w:val="both"/>
    </w:pPr>
    <w:rPr>
      <w:rFonts w:ascii="Times New Roman" w:hAnsi="Times New Roman" w:cs="Times New Roman"/>
      <w:kern w:val="2"/>
      <w:szCs w:val="21"/>
    </w:rPr>
  </w:style>
  <w:style w:type="paragraph" w:customStyle="1" w:styleId="121">
    <w:name w:val="_Style 119"/>
    <w:basedOn w:val="1"/>
    <w:qFormat/>
    <w:uiPriority w:val="0"/>
    <w:pPr>
      <w:widowControl w:val="0"/>
      <w:jc w:val="both"/>
    </w:pPr>
    <w:rPr>
      <w:rFonts w:hAnsi="Calibri" w:cs="Times New Roman"/>
      <w:kern w:val="2"/>
      <w:sz w:val="18"/>
      <w:szCs w:val="18"/>
    </w:rPr>
  </w:style>
  <w:style w:type="paragraph" w:customStyle="1" w:styleId="122">
    <w:name w:val="_Style 120"/>
    <w:basedOn w:val="1"/>
    <w:next w:val="1"/>
    <w:qFormat/>
    <w:uiPriority w:val="0"/>
    <w:pPr>
      <w:widowControl w:val="0"/>
      <w:spacing w:before="120"/>
      <w:jc w:val="both"/>
    </w:pPr>
    <w:rPr>
      <w:rFonts w:ascii="Arial" w:hAnsi="Arial" w:cs="Times New Roman"/>
      <w:b/>
      <w:bCs/>
      <w:kern w:val="2"/>
      <w:szCs w:val="21"/>
    </w:rPr>
  </w:style>
  <w:style w:type="paragraph" w:customStyle="1" w:styleId="123">
    <w:name w:val="_Style 121"/>
    <w:basedOn w:val="1"/>
    <w:qFormat/>
    <w:uiPriority w:val="0"/>
    <w:pPr>
      <w:widowControl w:val="0"/>
    </w:pPr>
    <w:rPr>
      <w:rFonts w:ascii="Times New Roman" w:hAnsi="Times New Roman" w:cs="Times New Roman"/>
      <w:kern w:val="2"/>
      <w:szCs w:val="21"/>
    </w:rPr>
  </w:style>
  <w:style w:type="paragraph" w:customStyle="1" w:styleId="124">
    <w:name w:val="_Style 122"/>
    <w:basedOn w:val="1"/>
    <w:next w:val="1"/>
    <w:qFormat/>
    <w:uiPriority w:val="0"/>
    <w:pPr>
      <w:widowControl w:val="0"/>
      <w:jc w:val="both"/>
    </w:pPr>
    <w:rPr>
      <w:rFonts w:ascii="Times New Roman" w:hAnsi="Times New Roman" w:cs="Times New Roman"/>
      <w:kern w:val="2"/>
      <w:szCs w:val="21"/>
    </w:rPr>
  </w:style>
  <w:style w:type="paragraph" w:customStyle="1" w:styleId="125">
    <w:name w:val="_Style 123"/>
    <w:basedOn w:val="1"/>
    <w:qFormat/>
    <w:uiPriority w:val="0"/>
    <w:pPr>
      <w:widowControl w:val="0"/>
      <w:spacing w:after="120"/>
      <w:jc w:val="both"/>
    </w:pPr>
    <w:rPr>
      <w:rFonts w:ascii="Times New Roman" w:hAnsi="Times New Roman" w:cs="Times New Roman"/>
      <w:kern w:val="2"/>
      <w:szCs w:val="21"/>
    </w:rPr>
  </w:style>
  <w:style w:type="paragraph" w:customStyle="1" w:styleId="126">
    <w:name w:val="_Style 124"/>
    <w:basedOn w:val="1"/>
    <w:qFormat/>
    <w:uiPriority w:val="0"/>
    <w:pPr>
      <w:spacing w:after="120"/>
      <w:ind w:left="420" w:leftChars="200"/>
    </w:pPr>
  </w:style>
  <w:style w:type="paragraph" w:customStyle="1" w:styleId="127">
    <w:name w:val="_Style 125"/>
    <w:basedOn w:val="1"/>
    <w:next w:val="1"/>
    <w:qFormat/>
    <w:uiPriority w:val="0"/>
    <w:pPr>
      <w:widowControl w:val="0"/>
      <w:ind w:left="1680" w:leftChars="800"/>
      <w:jc w:val="both"/>
    </w:pPr>
    <w:rPr>
      <w:rFonts w:asciiTheme="minorHAnsi" w:hAnsiTheme="minorHAnsi" w:eastAsiaTheme="minorEastAsia" w:cstheme="minorBidi"/>
      <w:kern w:val="2"/>
      <w:szCs w:val="22"/>
    </w:rPr>
  </w:style>
  <w:style w:type="paragraph" w:customStyle="1" w:styleId="128">
    <w:name w:val="_Style 126"/>
    <w:basedOn w:val="1"/>
    <w:next w:val="1"/>
    <w:qFormat/>
    <w:uiPriority w:val="0"/>
    <w:pPr>
      <w:spacing w:after="100" w:line="276" w:lineRule="auto"/>
      <w:ind w:left="440"/>
    </w:pPr>
    <w:rPr>
      <w:rFonts w:ascii="Calibri" w:hAnsi="Calibri" w:cs="Times New Roman"/>
      <w:sz w:val="22"/>
      <w:szCs w:val="22"/>
    </w:rPr>
  </w:style>
  <w:style w:type="paragraph" w:customStyle="1" w:styleId="129">
    <w:name w:val="修订 字符"/>
    <w:basedOn w:val="1"/>
    <w:qFormat/>
    <w:uiPriority w:val="0"/>
    <w:pPr>
      <w:widowControl w:val="0"/>
      <w:jc w:val="both"/>
    </w:pPr>
    <w:rPr>
      <w:rFonts w:hAnsi="Courier New" w:cs="Times New Roman"/>
      <w:kern w:val="2"/>
      <w:szCs w:val="20"/>
    </w:rPr>
  </w:style>
  <w:style w:type="paragraph" w:customStyle="1" w:styleId="130">
    <w:name w:val="_Style 128"/>
    <w:basedOn w:val="1"/>
    <w:next w:val="1"/>
    <w:qFormat/>
    <w:uiPriority w:val="0"/>
    <w:pPr>
      <w:widowControl w:val="0"/>
      <w:ind w:left="2940" w:leftChars="1400"/>
      <w:jc w:val="both"/>
    </w:pPr>
    <w:rPr>
      <w:rFonts w:asciiTheme="minorHAnsi" w:hAnsiTheme="minorHAnsi" w:eastAsiaTheme="minorEastAsia" w:cstheme="minorBidi"/>
      <w:kern w:val="2"/>
      <w:szCs w:val="22"/>
    </w:rPr>
  </w:style>
  <w:style w:type="paragraph" w:customStyle="1" w:styleId="131">
    <w:name w:val="_Style 129"/>
    <w:basedOn w:val="1"/>
    <w:next w:val="1"/>
    <w:qFormat/>
    <w:uiPriority w:val="0"/>
    <w:pPr>
      <w:widowControl w:val="0"/>
      <w:ind w:left="100" w:leftChars="2500"/>
      <w:jc w:val="both"/>
    </w:pPr>
    <w:rPr>
      <w:rFonts w:ascii="Times New Roman" w:hAnsi="Times New Roman" w:cs="Times New Roman"/>
      <w:kern w:val="2"/>
      <w:szCs w:val="21"/>
    </w:rPr>
  </w:style>
  <w:style w:type="paragraph" w:customStyle="1" w:styleId="132">
    <w:name w:val="_Style 130"/>
    <w:basedOn w:val="1"/>
    <w:qFormat/>
    <w:uiPriority w:val="0"/>
    <w:pPr>
      <w:snapToGrid w:val="0"/>
    </w:pPr>
  </w:style>
  <w:style w:type="paragraph" w:customStyle="1" w:styleId="133">
    <w:name w:val="普通(网站) 字符"/>
    <w:basedOn w:val="1"/>
    <w:qFormat/>
    <w:uiPriority w:val="0"/>
    <w:pPr>
      <w:widowControl w:val="0"/>
      <w:jc w:val="both"/>
    </w:pPr>
    <w:rPr>
      <w:rFonts w:ascii="Calibri" w:hAnsi="Calibri" w:cs="Times New Roman"/>
      <w:kern w:val="2"/>
      <w:sz w:val="18"/>
      <w:szCs w:val="18"/>
    </w:rPr>
  </w:style>
  <w:style w:type="paragraph" w:customStyle="1" w:styleId="134">
    <w:name w:val="_Style 133"/>
    <w:basedOn w:val="1"/>
    <w:qFormat/>
    <w:uiPriority w:val="0"/>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paragraph" w:customStyle="1" w:styleId="135">
    <w:name w:val="_Style 134"/>
    <w:basedOn w:val="1"/>
    <w:next w:val="1"/>
    <w:qFormat/>
    <w:uiPriority w:val="0"/>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136">
    <w:name w:val="_Style 135"/>
    <w:basedOn w:val="1"/>
    <w:next w:val="1"/>
    <w:qFormat/>
    <w:uiPriority w:val="0"/>
    <w:pPr>
      <w:widowControl w:val="0"/>
      <w:ind w:left="1260" w:leftChars="600"/>
      <w:jc w:val="both"/>
    </w:pPr>
    <w:rPr>
      <w:rFonts w:asciiTheme="minorHAnsi" w:hAnsiTheme="minorHAnsi" w:eastAsiaTheme="minorEastAsia" w:cstheme="minorBidi"/>
      <w:kern w:val="2"/>
      <w:szCs w:val="22"/>
    </w:rPr>
  </w:style>
  <w:style w:type="paragraph" w:customStyle="1" w:styleId="137">
    <w:name w:val="_Style 136"/>
    <w:basedOn w:val="1"/>
    <w:next w:val="1"/>
    <w:qFormat/>
    <w:uiPriority w:val="0"/>
    <w:pPr>
      <w:widowControl w:val="0"/>
      <w:ind w:left="2100" w:leftChars="1000"/>
      <w:jc w:val="both"/>
    </w:pPr>
    <w:rPr>
      <w:rFonts w:asciiTheme="minorHAnsi" w:hAnsiTheme="minorHAnsi" w:eastAsiaTheme="minorEastAsia" w:cstheme="minorBidi"/>
      <w:kern w:val="2"/>
      <w:szCs w:val="22"/>
    </w:rPr>
  </w:style>
  <w:style w:type="paragraph" w:customStyle="1" w:styleId="138">
    <w:name w:val="_Style 137"/>
    <w:basedOn w:val="1"/>
    <w:qFormat/>
    <w:uiPriority w:val="0"/>
    <w:pPr>
      <w:spacing w:after="120"/>
      <w:ind w:left="420" w:leftChars="200"/>
    </w:pPr>
    <w:rPr>
      <w:sz w:val="16"/>
      <w:szCs w:val="16"/>
    </w:rPr>
  </w:style>
  <w:style w:type="paragraph" w:customStyle="1" w:styleId="139">
    <w:name w:val="_Style 138"/>
    <w:basedOn w:val="1"/>
    <w:next w:val="1"/>
    <w:qFormat/>
    <w:uiPriority w:val="0"/>
    <w:pPr>
      <w:widowControl w:val="0"/>
      <w:ind w:left="420" w:leftChars="200"/>
      <w:jc w:val="both"/>
    </w:pPr>
    <w:rPr>
      <w:rFonts w:ascii="Times New Roman" w:hAnsi="Times New Roman" w:cs="Times New Roman"/>
      <w:kern w:val="2"/>
      <w:szCs w:val="21"/>
    </w:rPr>
  </w:style>
  <w:style w:type="paragraph" w:customStyle="1" w:styleId="140">
    <w:name w:val="_Style 139"/>
    <w:basedOn w:val="1"/>
    <w:next w:val="1"/>
    <w:qFormat/>
    <w:uiPriority w:val="0"/>
    <w:pPr>
      <w:widowControl w:val="0"/>
      <w:ind w:left="3360" w:leftChars="1600"/>
      <w:jc w:val="both"/>
    </w:pPr>
    <w:rPr>
      <w:rFonts w:asciiTheme="minorHAnsi" w:hAnsiTheme="minorHAnsi" w:eastAsiaTheme="minorEastAsia" w:cstheme="minorBidi"/>
      <w:kern w:val="2"/>
      <w:szCs w:val="22"/>
    </w:rPr>
  </w:style>
  <w:style w:type="paragraph" w:customStyle="1" w:styleId="141">
    <w:name w:val="_Style 140"/>
    <w:basedOn w:val="1"/>
    <w:qFormat/>
    <w:uiPriority w:val="0"/>
    <w:pPr>
      <w:spacing w:before="100" w:beforeAutospacing="1" w:after="100" w:afterAutospacing="1"/>
    </w:pPr>
    <w:rPr>
      <w:sz w:val="24"/>
    </w:rPr>
  </w:style>
  <w:style w:type="paragraph" w:customStyle="1" w:styleId="142">
    <w:name w:val="_Style 141"/>
    <w:basedOn w:val="1"/>
    <w:next w:val="1"/>
    <w:qFormat/>
    <w:uiPriority w:val="0"/>
    <w:pPr>
      <w:ind w:firstLine="420" w:firstLineChars="200"/>
    </w:pPr>
    <w:rPr>
      <w:rFonts w:cs="Times New Roman"/>
      <w:color w:val="000000"/>
      <w:szCs w:val="21"/>
    </w:rPr>
  </w:style>
  <w:style w:type="paragraph" w:customStyle="1" w:styleId="143">
    <w:name w:val="_Style 142"/>
    <w:basedOn w:val="1"/>
    <w:next w:val="1"/>
    <w:qFormat/>
    <w:uiPriority w:val="0"/>
    <w:pPr>
      <w:widowControl w:val="0"/>
      <w:spacing w:before="240" w:after="60"/>
      <w:jc w:val="center"/>
      <w:outlineLvl w:val="0"/>
    </w:pPr>
    <w:rPr>
      <w:rFonts w:asciiTheme="majorHAnsi" w:hAnsiTheme="majorHAnsi" w:cstheme="majorBidi"/>
      <w:b/>
      <w:bCs/>
      <w:kern w:val="2"/>
      <w:sz w:val="32"/>
      <w:szCs w:val="32"/>
    </w:rPr>
  </w:style>
  <w:style w:type="paragraph" w:customStyle="1" w:styleId="144">
    <w:name w:val="_Style 143"/>
    <w:basedOn w:val="123"/>
    <w:next w:val="55"/>
    <w:qFormat/>
    <w:uiPriority w:val="0"/>
    <w:rPr>
      <w:rFonts w:ascii="Calibri" w:hAnsi="Calibri"/>
      <w:b/>
      <w:bCs/>
      <w:szCs w:val="22"/>
    </w:rPr>
  </w:style>
  <w:style w:type="table" w:customStyle="1" w:styleId="145">
    <w:name w:val="_Style 144"/>
    <w:basedOn w:val="3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46">
    <w:name w:val="_Style 145"/>
    <w:basedOn w:val="38"/>
    <w:qFormat/>
    <w:uiPriority w:val="0"/>
    <w:rPr>
      <w:vertAlign w:val="superscript"/>
    </w:rPr>
  </w:style>
  <w:style w:type="character" w:customStyle="1" w:styleId="147">
    <w:name w:val="_Style 146"/>
    <w:basedOn w:val="38"/>
    <w:qFormat/>
    <w:uiPriority w:val="0"/>
    <w:rPr>
      <w:rFonts w:cs="Times New Roman"/>
      <w:color w:val="0000FF"/>
      <w:u w:val="single"/>
    </w:rPr>
  </w:style>
  <w:style w:type="character" w:customStyle="1" w:styleId="148">
    <w:name w:val="_Style 147"/>
    <w:basedOn w:val="38"/>
    <w:qFormat/>
    <w:uiPriority w:val="0"/>
    <w:rPr>
      <w:rFonts w:eastAsia="宋体" w:cs="Times New Roman"/>
      <w:kern w:val="2"/>
      <w:sz w:val="21"/>
      <w:szCs w:val="21"/>
      <w:lang w:val="en-US" w:eastAsia="zh-CN" w:bidi="ar-SA"/>
    </w:rPr>
  </w:style>
  <w:style w:type="character" w:customStyle="1" w:styleId="149">
    <w:name w:val="_Style 148"/>
    <w:basedOn w:val="38"/>
    <w:qFormat/>
    <w:uiPriority w:val="99"/>
    <w:rPr>
      <w:rFonts w:eastAsia="黑体"/>
      <w:b/>
      <w:bCs/>
      <w:kern w:val="44"/>
      <w:sz w:val="28"/>
      <w:szCs w:val="44"/>
    </w:rPr>
  </w:style>
  <w:style w:type="character" w:customStyle="1" w:styleId="150">
    <w:name w:val="_Style 149"/>
    <w:basedOn w:val="38"/>
    <w:qFormat/>
    <w:uiPriority w:val="0"/>
    <w:rPr>
      <w:rFonts w:ascii="Arial" w:hAnsi="Arial"/>
      <w:b/>
      <w:bCs/>
      <w:kern w:val="2"/>
      <w:sz w:val="21"/>
      <w:szCs w:val="21"/>
    </w:rPr>
  </w:style>
  <w:style w:type="character" w:customStyle="1" w:styleId="151">
    <w:name w:val="_Style 150"/>
    <w:basedOn w:val="38"/>
    <w:qFormat/>
    <w:uiPriority w:val="9"/>
    <w:rPr>
      <w:b/>
      <w:bCs/>
      <w:kern w:val="2"/>
      <w:sz w:val="21"/>
      <w:szCs w:val="32"/>
    </w:rPr>
  </w:style>
  <w:style w:type="character" w:customStyle="1" w:styleId="152">
    <w:name w:val="_Style 151"/>
    <w:basedOn w:val="38"/>
    <w:qFormat/>
    <w:uiPriority w:val="9"/>
    <w:rPr>
      <w:rFonts w:asciiTheme="minorEastAsia" w:hAnsiTheme="minorEastAsia" w:eastAsiaTheme="minorEastAsia"/>
      <w:b/>
      <w:bCs/>
      <w:kern w:val="2"/>
      <w:sz w:val="21"/>
      <w:szCs w:val="28"/>
    </w:rPr>
  </w:style>
  <w:style w:type="character" w:customStyle="1" w:styleId="153">
    <w:name w:val="_Style 152"/>
    <w:basedOn w:val="38"/>
    <w:qFormat/>
    <w:uiPriority w:val="9"/>
    <w:rPr>
      <w:b/>
      <w:bCs/>
      <w:kern w:val="2"/>
      <w:sz w:val="21"/>
      <w:szCs w:val="28"/>
    </w:rPr>
  </w:style>
  <w:style w:type="paragraph" w:customStyle="1" w:styleId="154">
    <w:name w:val="_Style 153"/>
    <w:basedOn w:val="112"/>
    <w:next w:val="1"/>
    <w:qFormat/>
    <w:uiPriority w:val="39"/>
    <w:pPr>
      <w:widowControl/>
      <w:spacing w:before="480" w:after="0" w:line="276" w:lineRule="auto"/>
      <w:outlineLvl w:val="9"/>
    </w:pPr>
    <w:rPr>
      <w:rFonts w:ascii="Cambria" w:hAnsi="Cambria" w:eastAsia="宋体"/>
      <w:color w:val="365F91"/>
      <w:kern w:val="0"/>
      <w:szCs w:val="28"/>
    </w:rPr>
  </w:style>
  <w:style w:type="character" w:customStyle="1" w:styleId="155">
    <w:name w:val="列出段落 Char"/>
    <w:basedOn w:val="38"/>
    <w:link w:val="55"/>
    <w:qFormat/>
    <w:uiPriority w:val="99"/>
    <w:rPr>
      <w:rFonts w:ascii="Times New Roman" w:hAnsi="Times New Roman" w:eastAsia="宋体" w:cs="Times New Roman"/>
      <w:szCs w:val="21"/>
    </w:rPr>
  </w:style>
  <w:style w:type="character" w:customStyle="1" w:styleId="156">
    <w:name w:val="无间隔 Char"/>
    <w:basedOn w:val="38"/>
    <w:link w:val="72"/>
    <w:qFormat/>
    <w:uiPriority w:val="99"/>
    <w:rPr>
      <w:rFonts w:ascii="Calibri" w:hAnsi="Calibri" w:eastAsia="宋体" w:cs="Times New Roman"/>
      <w:sz w:val="18"/>
      <w:szCs w:val="18"/>
    </w:rPr>
  </w:style>
  <w:style w:type="character" w:customStyle="1" w:styleId="157">
    <w:name w:val="_Style 156"/>
    <w:basedOn w:val="38"/>
    <w:qFormat/>
    <w:uiPriority w:val="99"/>
    <w:rPr>
      <w:rFonts w:ascii="Times New Roman" w:hAnsi="Times New Roman" w:eastAsia="宋体" w:cs="Times New Roman"/>
      <w:szCs w:val="21"/>
    </w:rPr>
  </w:style>
  <w:style w:type="paragraph" w:customStyle="1" w:styleId="158">
    <w:name w:val="_Style 157"/>
    <w:basedOn w:val="1"/>
    <w:qFormat/>
    <w:uiPriority w:val="34"/>
    <w:pPr>
      <w:widowControl w:val="0"/>
      <w:ind w:firstLine="420" w:firstLineChars="200"/>
      <w:jc w:val="both"/>
    </w:pPr>
    <w:rPr>
      <w:rFonts w:ascii="Calibri" w:hAnsi="Calibri" w:cs="Times New Roman"/>
      <w:kern w:val="2"/>
      <w:szCs w:val="22"/>
    </w:rPr>
  </w:style>
  <w:style w:type="character" w:customStyle="1" w:styleId="159">
    <w:name w:val="_Style 158"/>
    <w:basedOn w:val="155"/>
    <w:qFormat/>
    <w:uiPriority w:val="99"/>
    <w:rPr>
      <w:rFonts w:ascii="Calibri" w:hAnsi="Calibri" w:eastAsia="宋体" w:cs="Times New Roman"/>
      <w:b/>
      <w:bCs/>
      <w:szCs w:val="21"/>
    </w:rPr>
  </w:style>
  <w:style w:type="character" w:customStyle="1" w:styleId="160">
    <w:name w:val="正文缩进 Char"/>
    <w:basedOn w:val="38"/>
    <w:link w:val="11"/>
    <w:qFormat/>
    <w:uiPriority w:val="99"/>
    <w:rPr>
      <w:rFonts w:ascii="Calibri" w:hAnsi="Calibri" w:eastAsia="宋体" w:cs="Times New Roman"/>
      <w:sz w:val="18"/>
      <w:szCs w:val="18"/>
    </w:rPr>
  </w:style>
  <w:style w:type="character" w:customStyle="1" w:styleId="161">
    <w:name w:val="_Style 160"/>
    <w:basedOn w:val="38"/>
    <w:qFormat/>
    <w:uiPriority w:val="99"/>
    <w:rPr>
      <w:rFonts w:ascii="Calibri" w:hAnsi="Calibri" w:eastAsia="宋体" w:cs="Times New Roman"/>
      <w:sz w:val="18"/>
      <w:szCs w:val="18"/>
    </w:rPr>
  </w:style>
  <w:style w:type="character" w:customStyle="1" w:styleId="162">
    <w:name w:val="引文目录标题 Char"/>
    <w:basedOn w:val="38"/>
    <w:link w:val="13"/>
    <w:qFormat/>
    <w:uiPriority w:val="0"/>
    <w:rPr>
      <w:rFonts w:ascii="宋体" w:hAnsi="Courier New" w:eastAsia="宋体" w:cs="Times New Roman"/>
      <w:szCs w:val="20"/>
    </w:rPr>
  </w:style>
  <w:style w:type="character" w:customStyle="1" w:styleId="163">
    <w:name w:val="_Style 162"/>
    <w:basedOn w:val="38"/>
    <w:qFormat/>
    <w:uiPriority w:val="99"/>
    <w:rPr>
      <w:rFonts w:ascii="Times New Roman" w:hAnsi="Times New Roman" w:eastAsia="宋体" w:cs="Times New Roman"/>
      <w:szCs w:val="21"/>
    </w:rPr>
  </w:style>
  <w:style w:type="character" w:customStyle="1" w:styleId="164">
    <w:name w:val="_Style 163"/>
    <w:basedOn w:val="38"/>
    <w:qFormat/>
    <w:uiPriority w:val="99"/>
    <w:rPr>
      <w:rFonts w:ascii="Times New Roman" w:hAnsi="Times New Roman" w:eastAsia="宋体" w:cs="Times New Roman"/>
      <w:szCs w:val="21"/>
    </w:rPr>
  </w:style>
  <w:style w:type="character" w:customStyle="1" w:styleId="165">
    <w:name w:val="_Style 164"/>
    <w:basedOn w:val="38"/>
    <w:qFormat/>
    <w:uiPriority w:val="99"/>
    <w:rPr>
      <w:rFonts w:ascii="Times New Roman" w:hAnsi="Times New Roman" w:eastAsia="宋体" w:cs="Times New Roman"/>
      <w:szCs w:val="21"/>
    </w:rPr>
  </w:style>
  <w:style w:type="paragraph" w:customStyle="1" w:styleId="166">
    <w:name w:val="_Style 165"/>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167">
    <w:name w:val="_Style 166"/>
    <w:hidden/>
    <w:semiHidden/>
    <w:qFormat/>
    <w:uiPriority w:val="99"/>
    <w:rPr>
      <w:rFonts w:ascii="Calibri" w:hAnsi="Calibri" w:eastAsia="宋体" w:cs="Times New Roman"/>
      <w:kern w:val="2"/>
      <w:sz w:val="21"/>
      <w:szCs w:val="22"/>
      <w:lang w:val="en-US" w:eastAsia="zh-CN" w:bidi="ar-SA"/>
    </w:rPr>
  </w:style>
  <w:style w:type="character" w:customStyle="1" w:styleId="168">
    <w:name w:val="_Style 167"/>
    <w:basedOn w:val="38"/>
    <w:qFormat/>
    <w:uiPriority w:val="0"/>
    <w:rPr>
      <w:kern w:val="2"/>
      <w:sz w:val="21"/>
      <w:szCs w:val="24"/>
    </w:rPr>
  </w:style>
  <w:style w:type="paragraph" w:customStyle="1" w:styleId="169">
    <w:name w:val="_Style 168"/>
    <w:basedOn w:val="1"/>
    <w:qFormat/>
    <w:uiPriority w:val="0"/>
    <w:pPr>
      <w:widowControl w:val="0"/>
      <w:spacing w:before="100" w:after="100"/>
      <w:jc w:val="both"/>
    </w:pPr>
    <w:rPr>
      <w:rFonts w:ascii="Calibri" w:hAnsi="Calibri" w:cs="Times New Roman"/>
      <w:kern w:val="2"/>
    </w:rPr>
  </w:style>
  <w:style w:type="character" w:customStyle="1" w:styleId="170">
    <w:name w:val="_Style 169"/>
    <w:basedOn w:val="38"/>
    <w:semiHidden/>
    <w:qFormat/>
    <w:uiPriority w:val="99"/>
    <w:rPr>
      <w:rFonts w:ascii="宋体"/>
      <w:kern w:val="2"/>
      <w:sz w:val="18"/>
      <w:szCs w:val="18"/>
    </w:rPr>
  </w:style>
  <w:style w:type="character" w:customStyle="1" w:styleId="171">
    <w:name w:val="_Style 170"/>
    <w:basedOn w:val="38"/>
    <w:semiHidden/>
    <w:qFormat/>
    <w:uiPriority w:val="99"/>
    <w:rPr>
      <w:color w:val="auto"/>
    </w:rPr>
  </w:style>
  <w:style w:type="character" w:customStyle="1" w:styleId="172">
    <w:name w:val="_Style 171"/>
    <w:basedOn w:val="38"/>
    <w:qFormat/>
    <w:uiPriority w:val="10"/>
    <w:rPr>
      <w:rFonts w:asciiTheme="majorHAnsi" w:hAnsiTheme="majorHAnsi" w:cstheme="majorBidi"/>
      <w:b/>
      <w:bCs/>
      <w:kern w:val="2"/>
      <w:sz w:val="32"/>
      <w:szCs w:val="32"/>
    </w:rPr>
  </w:style>
  <w:style w:type="paragraph" w:customStyle="1" w:styleId="173">
    <w:name w:val="_Style 172"/>
    <w:qFormat/>
    <w:uiPriority w:val="1"/>
    <w:pPr>
      <w:widowControl w:val="0"/>
      <w:jc w:val="both"/>
    </w:pPr>
    <w:rPr>
      <w:rFonts w:ascii="Calibri" w:hAnsi="Calibri" w:eastAsia="宋体" w:cs="Times New Roman"/>
      <w:kern w:val="2"/>
      <w:sz w:val="21"/>
      <w:szCs w:val="22"/>
      <w:lang w:val="en-US" w:eastAsia="zh-CN" w:bidi="ar-SA"/>
    </w:rPr>
  </w:style>
  <w:style w:type="character" w:customStyle="1" w:styleId="174">
    <w:name w:val="_Style 173"/>
    <w:basedOn w:val="38"/>
    <w:qFormat/>
    <w:uiPriority w:val="9"/>
    <w:rPr>
      <w:rFonts w:asciiTheme="majorHAnsi" w:hAnsiTheme="majorHAnsi" w:cstheme="majorBidi"/>
      <w:b/>
      <w:bCs/>
      <w:sz w:val="21"/>
      <w:szCs w:val="24"/>
    </w:rPr>
  </w:style>
  <w:style w:type="character" w:customStyle="1" w:styleId="175">
    <w:name w:val="_Style 174"/>
    <w:basedOn w:val="38"/>
    <w:semiHidden/>
    <w:qFormat/>
    <w:uiPriority w:val="99"/>
    <w:rPr>
      <w:rFonts w:ascii="宋体" w:hAnsi="宋体" w:cs="宋体"/>
      <w:sz w:val="21"/>
      <w:szCs w:val="24"/>
    </w:rPr>
  </w:style>
  <w:style w:type="character" w:customStyle="1" w:styleId="176">
    <w:name w:val="_Style 175"/>
    <w:basedOn w:val="155"/>
    <w:semiHidden/>
    <w:qFormat/>
    <w:uiPriority w:val="99"/>
    <w:rPr>
      <w:rFonts w:ascii="Times New Roman" w:hAnsi="Times New Roman" w:eastAsia="宋体" w:cs="Times New Roman"/>
      <w:b/>
      <w:bCs/>
      <w:szCs w:val="21"/>
    </w:rPr>
  </w:style>
  <w:style w:type="paragraph" w:customStyle="1" w:styleId="177">
    <w:name w:val="_Style 176"/>
    <w:basedOn w:val="1"/>
    <w:next w:val="1"/>
    <w:qFormat/>
    <w:uiPriority w:val="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178">
    <w:name w:val="_Style 177"/>
    <w:basedOn w:val="38"/>
    <w:qFormat/>
    <w:uiPriority w:val="0"/>
    <w:rPr>
      <w:rFonts w:ascii="Times New Roman" w:hAnsi="Times New Roman"/>
      <w:b/>
      <w:kern w:val="2"/>
      <w:sz w:val="21"/>
      <w:szCs w:val="24"/>
    </w:rPr>
  </w:style>
  <w:style w:type="character" w:customStyle="1" w:styleId="179">
    <w:name w:val="_Style 178"/>
    <w:basedOn w:val="38"/>
    <w:qFormat/>
    <w:uiPriority w:val="9"/>
    <w:rPr>
      <w:rFonts w:ascii="宋体" w:hAnsi="宋体" w:cs="宋体"/>
      <w:b/>
      <w:bCs/>
      <w:sz w:val="24"/>
      <w:szCs w:val="24"/>
    </w:rPr>
  </w:style>
  <w:style w:type="character" w:customStyle="1" w:styleId="180">
    <w:name w:val="_Style 179"/>
    <w:basedOn w:val="155"/>
    <w:semiHidden/>
    <w:qFormat/>
    <w:uiPriority w:val="99"/>
    <w:rPr>
      <w:rFonts w:ascii="Times New Roman" w:hAnsi="Times New Roman" w:eastAsia="宋体" w:cs="Times New Roman"/>
      <w:b/>
      <w:bCs/>
      <w:szCs w:val="21"/>
    </w:rPr>
  </w:style>
  <w:style w:type="paragraph" w:customStyle="1" w:styleId="181">
    <w:name w:val="_Style 180"/>
    <w:basedOn w:val="1"/>
    <w:qFormat/>
    <w:uiPriority w:val="34"/>
    <w:pPr>
      <w:widowControl w:val="0"/>
      <w:ind w:firstLine="420" w:firstLineChars="200"/>
      <w:jc w:val="both"/>
    </w:pPr>
    <w:rPr>
      <w:rFonts w:ascii="Calibri" w:hAnsi="Calibri" w:cs="Times New Roman"/>
      <w:kern w:val="2"/>
      <w:szCs w:val="22"/>
    </w:rPr>
  </w:style>
  <w:style w:type="paragraph" w:customStyle="1" w:styleId="182">
    <w:name w:val="_Style 181"/>
    <w:basedOn w:val="1"/>
    <w:qFormat/>
    <w:uiPriority w:val="34"/>
    <w:pPr>
      <w:widowControl w:val="0"/>
      <w:ind w:firstLine="420" w:firstLineChars="200"/>
      <w:jc w:val="both"/>
    </w:pPr>
    <w:rPr>
      <w:rFonts w:ascii="Calibri" w:hAnsi="Calibri" w:cs="Times New Roman"/>
      <w:kern w:val="2"/>
      <w:szCs w:val="22"/>
    </w:rPr>
  </w:style>
  <w:style w:type="paragraph" w:customStyle="1" w:styleId="183">
    <w:name w:val="_Style 182"/>
    <w:basedOn w:val="1"/>
    <w:qFormat/>
    <w:uiPriority w:val="34"/>
    <w:pPr>
      <w:widowControl w:val="0"/>
      <w:ind w:firstLine="420" w:firstLineChars="200"/>
      <w:jc w:val="both"/>
    </w:pPr>
    <w:rPr>
      <w:rFonts w:ascii="Calibri" w:hAnsi="Calibri" w:cs="Times New Roman"/>
      <w:kern w:val="2"/>
      <w:szCs w:val="22"/>
    </w:rPr>
  </w:style>
  <w:style w:type="paragraph" w:customStyle="1" w:styleId="184">
    <w:name w:val="_Style 183"/>
    <w:basedOn w:val="1"/>
    <w:qFormat/>
    <w:uiPriority w:val="34"/>
    <w:pPr>
      <w:widowControl w:val="0"/>
      <w:ind w:firstLine="420" w:firstLineChars="200"/>
      <w:jc w:val="both"/>
    </w:pPr>
    <w:rPr>
      <w:rFonts w:ascii="Calibri" w:hAnsi="Calibri" w:cs="Times New Roman"/>
      <w:kern w:val="2"/>
      <w:szCs w:val="22"/>
    </w:rPr>
  </w:style>
  <w:style w:type="paragraph" w:customStyle="1" w:styleId="185">
    <w:name w:val="_Style 184"/>
    <w:basedOn w:val="1"/>
    <w:qFormat/>
    <w:uiPriority w:val="1"/>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character" w:customStyle="1" w:styleId="186">
    <w:name w:val="_Style 185"/>
    <w:qFormat/>
    <w:uiPriority w:val="0"/>
    <w:rPr>
      <w:rFonts w:ascii="Times New Roman" w:hAnsi="Times New Roman"/>
      <w:kern w:val="2"/>
      <w:sz w:val="21"/>
      <w:szCs w:val="21"/>
    </w:rPr>
  </w:style>
  <w:style w:type="character" w:customStyle="1" w:styleId="187">
    <w:name w:val="_Style 186"/>
    <w:qFormat/>
    <w:uiPriority w:val="0"/>
    <w:rPr>
      <w:rFonts w:ascii="Arial" w:hAnsi="Arial"/>
      <w:b/>
      <w:bCs/>
      <w:kern w:val="2"/>
      <w:sz w:val="21"/>
      <w:szCs w:val="21"/>
    </w:rPr>
  </w:style>
  <w:style w:type="paragraph" w:customStyle="1" w:styleId="188">
    <w:name w:val="_Style 187"/>
    <w:basedOn w:val="1"/>
    <w:qFormat/>
    <w:uiPriority w:val="34"/>
    <w:pPr>
      <w:widowControl w:val="0"/>
      <w:ind w:firstLine="420" w:firstLineChars="200"/>
      <w:jc w:val="both"/>
    </w:pPr>
    <w:rPr>
      <w:rFonts w:ascii="Calibri" w:hAnsi="Calibri" w:cs="Times New Roman"/>
      <w:kern w:val="2"/>
      <w:szCs w:val="22"/>
    </w:rPr>
  </w:style>
  <w:style w:type="character" w:customStyle="1" w:styleId="189">
    <w:name w:val="_Style 188"/>
    <w:qFormat/>
    <w:uiPriority w:val="99"/>
    <w:rPr>
      <w:rFonts w:ascii="Times New Roman" w:hAnsi="Times New Roman"/>
      <w:kern w:val="2"/>
      <w:sz w:val="21"/>
      <w:szCs w:val="21"/>
    </w:rPr>
  </w:style>
  <w:style w:type="character" w:customStyle="1" w:styleId="190">
    <w:name w:val="_Style 189"/>
    <w:qFormat/>
    <w:uiPriority w:val="0"/>
    <w:rPr>
      <w:rFonts w:hint="default" w:ascii="FZLTSK--GBK1-0" w:hAnsi="FZLTSK--GBK1-0"/>
      <w:color w:val="000000"/>
      <w:sz w:val="20"/>
      <w:szCs w:val="20"/>
    </w:rPr>
  </w:style>
  <w:style w:type="paragraph" w:customStyle="1" w:styleId="191">
    <w:name w:val="_Style 190"/>
    <w:basedOn w:val="1"/>
    <w:qFormat/>
    <w:uiPriority w:val="34"/>
    <w:pPr>
      <w:widowControl w:val="0"/>
      <w:ind w:firstLine="420" w:firstLineChars="200"/>
      <w:jc w:val="both"/>
    </w:pPr>
    <w:rPr>
      <w:rFonts w:ascii="Calibri" w:hAnsi="Calibri" w:cs="Times New Roman"/>
      <w:kern w:val="2"/>
      <w:szCs w:val="22"/>
    </w:rPr>
  </w:style>
  <w:style w:type="character" w:customStyle="1" w:styleId="192">
    <w:name w:val="_Style 191"/>
    <w:qFormat/>
    <w:uiPriority w:val="99"/>
    <w:rPr>
      <w:rFonts w:ascii="Times New Roman" w:hAnsi="Times New Roman"/>
      <w:kern w:val="2"/>
      <w:sz w:val="21"/>
      <w:szCs w:val="21"/>
    </w:rPr>
  </w:style>
  <w:style w:type="character" w:customStyle="1" w:styleId="193">
    <w:name w:val="_Style 192"/>
    <w:semiHidden/>
    <w:qFormat/>
    <w:locked/>
    <w:uiPriority w:val="99"/>
    <w:rPr>
      <w:rFonts w:ascii="Times New Roman" w:hAnsi="Times New Roman"/>
      <w:kern w:val="2"/>
      <w:sz w:val="21"/>
      <w:szCs w:val="21"/>
    </w:rPr>
  </w:style>
  <w:style w:type="character" w:customStyle="1" w:styleId="194">
    <w:name w:val="_Style 193"/>
    <w:qFormat/>
    <w:uiPriority w:val="0"/>
    <w:rPr>
      <w:rFonts w:ascii="Arial" w:hAnsi="Arial"/>
      <w:b/>
      <w:bCs/>
      <w:kern w:val="2"/>
      <w:sz w:val="21"/>
      <w:szCs w:val="21"/>
    </w:rPr>
  </w:style>
  <w:style w:type="paragraph" w:customStyle="1" w:styleId="195">
    <w:name w:val="_Style 194"/>
    <w:basedOn w:val="1"/>
    <w:qFormat/>
    <w:uiPriority w:val="34"/>
    <w:pPr>
      <w:widowControl w:val="0"/>
      <w:ind w:firstLine="420" w:firstLineChars="200"/>
      <w:jc w:val="both"/>
    </w:pPr>
    <w:rPr>
      <w:rFonts w:ascii="Calibri" w:hAnsi="Calibri" w:cs="Times New Roman"/>
      <w:kern w:val="2"/>
      <w:szCs w:val="22"/>
    </w:rPr>
  </w:style>
  <w:style w:type="paragraph" w:customStyle="1" w:styleId="196">
    <w:name w:val="_Style 195"/>
    <w:qFormat/>
    <w:uiPriority w:val="0"/>
    <w:pPr>
      <w:jc w:val="both"/>
    </w:pPr>
    <w:rPr>
      <w:rFonts w:ascii="Calibri" w:hAnsi="Calibri" w:eastAsia="宋体" w:cs="宋体"/>
      <w:kern w:val="2"/>
      <w:sz w:val="21"/>
      <w:szCs w:val="21"/>
      <w:lang w:val="en-US" w:eastAsia="zh-CN" w:bidi="ar-SA"/>
    </w:rPr>
  </w:style>
  <w:style w:type="paragraph" w:customStyle="1" w:styleId="197">
    <w:name w:val="_Style 196"/>
    <w:basedOn w:val="1"/>
    <w:qFormat/>
    <w:uiPriority w:val="0"/>
    <w:pPr>
      <w:adjustRightInd w:val="0"/>
      <w:snapToGrid w:val="0"/>
      <w:spacing w:before="100" w:beforeAutospacing="1" w:after="100" w:afterAutospacing="1" w:line="400" w:lineRule="atLeast"/>
      <w:ind w:left="718" w:leftChars="342"/>
    </w:pPr>
    <w:rPr>
      <w:rFonts w:cs="Times New Roman"/>
      <w:kern w:val="2"/>
      <w:szCs w:val="21"/>
    </w:rPr>
  </w:style>
  <w:style w:type="paragraph" w:customStyle="1" w:styleId="198">
    <w:name w:val="_Style 197"/>
    <w:basedOn w:val="1"/>
    <w:qFormat/>
    <w:uiPriority w:val="0"/>
    <w:pPr>
      <w:spacing w:beforeLines="25" w:afterLines="25" w:line="360" w:lineRule="auto"/>
      <w:ind w:left="1125" w:hanging="720"/>
      <w:outlineLvl w:val="1"/>
    </w:pPr>
    <w:rPr>
      <w:rFonts w:ascii="Arial Narrow" w:hAnsi="Arial Narrow" w:cs="Times New Roman"/>
      <w:b/>
      <w:kern w:val="2"/>
      <w:szCs w:val="21"/>
    </w:rPr>
  </w:style>
  <w:style w:type="paragraph" w:customStyle="1" w:styleId="199">
    <w:name w:val="_Style 198"/>
    <w:basedOn w:val="121"/>
    <w:qFormat/>
    <w:uiPriority w:val="0"/>
    <w:pPr>
      <w:widowControl/>
      <w:adjustRightInd w:val="0"/>
      <w:snapToGrid w:val="0"/>
      <w:spacing w:before="100" w:beforeAutospacing="1" w:afterLines="50" w:line="360" w:lineRule="auto"/>
      <w:ind w:firstLine="200" w:firstLineChars="200"/>
      <w:jc w:val="left"/>
    </w:pPr>
    <w:rPr>
      <w:rFonts w:ascii="Times New Roman" w:hAnsi="Times New Roman"/>
      <w:sz w:val="21"/>
      <w:szCs w:val="21"/>
    </w:rPr>
  </w:style>
  <w:style w:type="character" w:customStyle="1" w:styleId="200">
    <w:name w:val="_Style 199"/>
    <w:basedOn w:val="38"/>
    <w:qFormat/>
    <w:uiPriority w:val="0"/>
    <w:rPr>
      <w:rFonts w:ascii="宋体" w:hAnsi="宋体" w:cs="宋体"/>
      <w:sz w:val="21"/>
      <w:szCs w:val="24"/>
    </w:rPr>
  </w:style>
  <w:style w:type="paragraph" w:customStyle="1" w:styleId="201">
    <w:name w:val="_Style 200"/>
    <w:basedOn w:val="1"/>
    <w:qFormat/>
    <w:uiPriority w:val="0"/>
    <w:pPr>
      <w:adjustRightInd w:val="0"/>
      <w:snapToGrid w:val="0"/>
      <w:spacing w:before="100" w:beforeAutospacing="1" w:after="100" w:afterAutospacing="1" w:line="400" w:lineRule="atLeast"/>
      <w:ind w:left="1256" w:leftChars="342" w:hanging="538" w:hangingChars="255"/>
    </w:pPr>
    <w:rPr>
      <w:rFonts w:cs="Times New Roman"/>
      <w:b/>
      <w:bCs/>
      <w:kern w:val="2"/>
      <w:szCs w:val="21"/>
    </w:rPr>
  </w:style>
  <w:style w:type="paragraph" w:customStyle="1" w:styleId="202">
    <w:name w:val="_Style 201"/>
    <w:basedOn w:val="1"/>
    <w:qFormat/>
    <w:uiPriority w:val="0"/>
    <w:pPr>
      <w:adjustRightInd w:val="0"/>
      <w:snapToGrid w:val="0"/>
      <w:spacing w:before="100" w:beforeAutospacing="1" w:after="100" w:afterAutospacing="1" w:line="400" w:lineRule="atLeast"/>
      <w:ind w:left="1260" w:leftChars="600"/>
    </w:pPr>
    <w:rPr>
      <w:rFonts w:cs="Times New Roman"/>
      <w:kern w:val="2"/>
      <w:szCs w:val="21"/>
    </w:rPr>
  </w:style>
  <w:style w:type="paragraph" w:customStyle="1" w:styleId="203">
    <w:name w:val="_Style 202"/>
    <w:basedOn w:val="1"/>
    <w:semiHidden/>
    <w:qFormat/>
    <w:uiPriority w:val="0"/>
    <w:pPr>
      <w:ind w:firstLine="420" w:firstLineChars="200"/>
    </w:pPr>
    <w:rPr>
      <w:rFonts w:ascii="Times New Roman" w:hAnsi="Times New Roman" w:cs="Times New Roman"/>
      <w:kern w:val="2"/>
      <w:szCs w:val="21"/>
    </w:rPr>
  </w:style>
  <w:style w:type="paragraph" w:customStyle="1" w:styleId="204">
    <w:name w:val="_Style 203"/>
    <w:basedOn w:val="112"/>
    <w:next w:val="1"/>
    <w:qFormat/>
    <w:uiPriority w:val="39"/>
    <w:pPr>
      <w:widowControl/>
      <w:spacing w:before="480" w:after="0" w:line="276" w:lineRule="auto"/>
      <w:outlineLvl w:val="9"/>
    </w:pPr>
    <w:rPr>
      <w:rFonts w:ascii="Cambria" w:hAnsi="Cambria" w:eastAsia="宋体"/>
      <w:color w:val="365F91"/>
      <w:kern w:val="0"/>
      <w:szCs w:val="28"/>
    </w:rPr>
  </w:style>
  <w:style w:type="paragraph" w:customStyle="1" w:styleId="205">
    <w:name w:val="_Style 204"/>
    <w:hidden/>
    <w:semiHidden/>
    <w:qFormat/>
    <w:uiPriority w:val="99"/>
    <w:rPr>
      <w:rFonts w:ascii="Calibri" w:hAnsi="Calibri" w:eastAsia="宋体" w:cs="Times New Roman"/>
      <w:kern w:val="2"/>
      <w:sz w:val="21"/>
      <w:szCs w:val="22"/>
      <w:lang w:val="en-US" w:eastAsia="zh-CN" w:bidi="ar-SA"/>
    </w:rPr>
  </w:style>
  <w:style w:type="paragraph" w:customStyle="1" w:styleId="206">
    <w:name w:val="_Style 205"/>
    <w:basedOn w:val="1"/>
    <w:qFormat/>
    <w:uiPriority w:val="0"/>
    <w:pPr>
      <w:adjustRightInd w:val="0"/>
      <w:snapToGrid w:val="0"/>
      <w:spacing w:before="100" w:beforeAutospacing="1" w:after="100" w:afterAutospacing="1" w:line="400" w:lineRule="atLeast"/>
      <w:ind w:left="756" w:hanging="770"/>
      <w:outlineLvl w:val="0"/>
    </w:pPr>
    <w:rPr>
      <w:rFonts w:cs="Times New Roman"/>
      <w:b/>
      <w:kern w:val="2"/>
      <w:szCs w:val="21"/>
    </w:rPr>
  </w:style>
  <w:style w:type="paragraph" w:customStyle="1" w:styleId="207">
    <w:name w:val="_Style 206"/>
    <w:basedOn w:val="1"/>
    <w:qFormat/>
    <w:uiPriority w:val="0"/>
    <w:pPr>
      <w:adjustRightInd w:val="0"/>
      <w:snapToGrid w:val="0"/>
      <w:spacing w:before="100" w:beforeAutospacing="1" w:after="100" w:afterAutospacing="1" w:line="400" w:lineRule="atLeast"/>
      <w:ind w:left="720" w:hanging="734"/>
      <w:outlineLvl w:val="0"/>
    </w:pPr>
    <w:rPr>
      <w:rFonts w:cs="Times New Roman"/>
      <w:b/>
      <w:kern w:val="2"/>
      <w:szCs w:val="21"/>
    </w:rPr>
  </w:style>
  <w:style w:type="paragraph" w:customStyle="1" w:styleId="208">
    <w:name w:val="_Style 207"/>
    <w:basedOn w:val="1"/>
    <w:semiHidden/>
    <w:qFormat/>
    <w:uiPriority w:val="0"/>
    <w:pPr>
      <w:ind w:firstLine="420" w:firstLineChars="200"/>
    </w:pPr>
    <w:rPr>
      <w:rFonts w:ascii="Times New Roman" w:hAnsi="Times New Roman" w:cs="Times New Roman"/>
      <w:kern w:val="2"/>
      <w:szCs w:val="21"/>
    </w:rPr>
  </w:style>
  <w:style w:type="character" w:customStyle="1" w:styleId="209">
    <w:name w:val="_Style 208"/>
    <w:basedOn w:val="38"/>
    <w:qFormat/>
    <w:uiPriority w:val="0"/>
    <w:rPr>
      <w:rFonts w:hint="eastAsia" w:ascii="宋体" w:hAnsi="宋体" w:eastAsia="宋体"/>
      <w:sz w:val="24"/>
      <w:szCs w:val="24"/>
    </w:rPr>
  </w:style>
  <w:style w:type="character" w:customStyle="1" w:styleId="210">
    <w:name w:val="_Style 209"/>
    <w:basedOn w:val="38"/>
    <w:link w:val="83"/>
    <w:qFormat/>
    <w:uiPriority w:val="0"/>
    <w:rPr>
      <w:rFonts w:ascii="宋体" w:hAnsi="宋体" w:cs="宋体"/>
      <w:sz w:val="16"/>
      <w:szCs w:val="16"/>
    </w:rPr>
  </w:style>
  <w:style w:type="paragraph" w:customStyle="1" w:styleId="211">
    <w:name w:val="_Style 210"/>
    <w:basedOn w:val="1"/>
    <w:qFormat/>
    <w:uiPriority w:val="0"/>
    <w:pPr>
      <w:widowControl w:val="0"/>
      <w:autoSpaceDE w:val="0"/>
      <w:autoSpaceDN w:val="0"/>
      <w:adjustRightInd w:val="0"/>
    </w:pPr>
    <w:rPr>
      <w:rFonts w:ascii="华文中宋" w:hAnsi="Times New Roman" w:eastAsia="华文中宋"/>
      <w:color w:val="000000"/>
      <w:sz w:val="24"/>
    </w:rPr>
  </w:style>
  <w:style w:type="paragraph" w:customStyle="1" w:styleId="212">
    <w:name w:val="_Style 211"/>
    <w:basedOn w:val="1"/>
    <w:next w:val="1"/>
    <w:qFormat/>
    <w:uiPriority w:val="0"/>
    <w:pPr>
      <w:keepNext/>
      <w:keepLines/>
      <w:widowControl w:val="0"/>
      <w:spacing w:before="60" w:after="60"/>
      <w:jc w:val="both"/>
      <w:outlineLvl w:val="1"/>
    </w:pPr>
    <w:rPr>
      <w:rFonts w:ascii="Arial" w:hAnsi="Arial" w:cs="Times New Roman"/>
      <w:b/>
      <w:bCs/>
      <w:kern w:val="2"/>
      <w:szCs w:val="21"/>
    </w:rPr>
  </w:style>
  <w:style w:type="paragraph" w:customStyle="1" w:styleId="213">
    <w:name w:val="_Style 212"/>
    <w:basedOn w:val="1"/>
    <w:next w:val="1"/>
    <w:qFormat/>
    <w:uiPriority w:val="9"/>
    <w:pPr>
      <w:keepNext/>
      <w:keepLines/>
      <w:widowControl w:val="0"/>
      <w:spacing w:before="60" w:after="60"/>
      <w:jc w:val="both"/>
      <w:outlineLvl w:val="2"/>
    </w:pPr>
    <w:rPr>
      <w:rFonts w:ascii="Calibri" w:hAnsi="Calibri" w:cs="Times New Roman"/>
      <w:b/>
      <w:bCs/>
      <w:kern w:val="2"/>
      <w:szCs w:val="32"/>
    </w:rPr>
  </w:style>
  <w:style w:type="paragraph" w:customStyle="1" w:styleId="214">
    <w:name w:val="_Style 213"/>
    <w:basedOn w:val="1"/>
    <w:next w:val="1"/>
    <w:qFormat/>
    <w:uiPriority w:val="9"/>
    <w:pPr>
      <w:keepNext/>
      <w:keepLines/>
      <w:widowControl w:val="0"/>
      <w:spacing w:before="60" w:after="60"/>
      <w:jc w:val="both"/>
      <w:outlineLvl w:val="3"/>
    </w:pPr>
    <w:rPr>
      <w:rFonts w:cs="Times New Roman" w:asciiTheme="minorEastAsia" w:hAnsiTheme="minorEastAsia" w:eastAsiaTheme="minorEastAsia"/>
      <w:b/>
      <w:bCs/>
      <w:kern w:val="2"/>
      <w:szCs w:val="28"/>
    </w:rPr>
  </w:style>
  <w:style w:type="paragraph" w:customStyle="1" w:styleId="215">
    <w:name w:val="_Style 214"/>
    <w:basedOn w:val="1"/>
    <w:next w:val="1"/>
    <w:qFormat/>
    <w:uiPriority w:val="9"/>
    <w:pPr>
      <w:keepNext/>
      <w:keepLines/>
      <w:widowControl w:val="0"/>
      <w:spacing w:before="60" w:after="60"/>
      <w:jc w:val="both"/>
      <w:outlineLvl w:val="4"/>
    </w:pPr>
    <w:rPr>
      <w:rFonts w:ascii="Calibri" w:hAnsi="Calibri" w:cs="Times New Roman"/>
      <w:b/>
      <w:bCs/>
      <w:kern w:val="2"/>
      <w:szCs w:val="28"/>
    </w:rPr>
  </w:style>
  <w:style w:type="paragraph" w:customStyle="1" w:styleId="216">
    <w:name w:val="_Style 215"/>
    <w:basedOn w:val="1"/>
    <w:next w:val="1"/>
    <w:qFormat/>
    <w:uiPriority w:val="39"/>
    <w:pPr>
      <w:widowControl w:val="0"/>
      <w:tabs>
        <w:tab w:val="left" w:pos="1260"/>
        <w:tab w:val="right" w:leader="dot" w:pos="8823"/>
      </w:tabs>
      <w:spacing w:line="360" w:lineRule="auto"/>
      <w:jc w:val="both"/>
    </w:pPr>
    <w:rPr>
      <w:rFonts w:ascii="Times New Roman" w:hAnsi="Times New Roman" w:cs="Times New Roman"/>
      <w:kern w:val="2"/>
      <w:szCs w:val="21"/>
    </w:rPr>
  </w:style>
  <w:style w:type="paragraph" w:customStyle="1" w:styleId="217">
    <w:name w:val="_Style 216"/>
    <w:basedOn w:val="1"/>
    <w:next w:val="1"/>
    <w:qFormat/>
    <w:uiPriority w:val="39"/>
    <w:pPr>
      <w:widowControl w:val="0"/>
      <w:ind w:left="420" w:leftChars="200"/>
      <w:jc w:val="both"/>
    </w:pPr>
    <w:rPr>
      <w:rFonts w:ascii="Times New Roman" w:hAnsi="Times New Roman" w:cs="Times New Roman"/>
      <w:kern w:val="2"/>
      <w:szCs w:val="21"/>
    </w:rPr>
  </w:style>
  <w:style w:type="character" w:customStyle="1" w:styleId="218">
    <w:name w:val="_Style 217"/>
    <w:basedOn w:val="38"/>
    <w:qFormat/>
    <w:uiPriority w:val="99"/>
    <w:rPr>
      <w:rFonts w:cs="Times New Roman"/>
      <w:color w:val="0000FF"/>
      <w:u w:val="single"/>
    </w:rPr>
  </w:style>
  <w:style w:type="character" w:customStyle="1" w:styleId="219">
    <w:name w:val="_Style 218"/>
    <w:basedOn w:val="38"/>
    <w:qFormat/>
    <w:uiPriority w:val="99"/>
    <w:rPr>
      <w:rFonts w:eastAsia="宋体" w:cs="Times New Roman"/>
      <w:kern w:val="2"/>
      <w:sz w:val="21"/>
      <w:szCs w:val="21"/>
      <w:lang w:val="en-US" w:eastAsia="zh-CN" w:bidi="ar-SA"/>
    </w:rPr>
  </w:style>
  <w:style w:type="paragraph" w:customStyle="1" w:styleId="220">
    <w:name w:val="_Style 219"/>
    <w:basedOn w:val="1"/>
    <w:qFormat/>
    <w:uiPriority w:val="99"/>
    <w:pPr>
      <w:widowControl w:val="0"/>
    </w:pPr>
    <w:rPr>
      <w:rFonts w:ascii="Times New Roman" w:hAnsi="Times New Roman" w:cs="Times New Roman"/>
      <w:kern w:val="2"/>
      <w:szCs w:val="21"/>
    </w:rPr>
  </w:style>
  <w:style w:type="character" w:customStyle="1" w:styleId="221">
    <w:name w:val="_Style 220"/>
    <w:basedOn w:val="38"/>
    <w:qFormat/>
    <w:uiPriority w:val="99"/>
    <w:rPr>
      <w:rFonts w:ascii="Times New Roman" w:hAnsi="Times New Roman" w:eastAsia="宋体" w:cs="Times New Roman"/>
      <w:szCs w:val="21"/>
    </w:rPr>
  </w:style>
  <w:style w:type="paragraph" w:customStyle="1" w:styleId="222">
    <w:name w:val="_Style 221"/>
    <w:basedOn w:val="1"/>
    <w:unhideWhenUsed/>
    <w:qFormat/>
    <w:uiPriority w:val="99"/>
    <w:pPr>
      <w:widowControl w:val="0"/>
      <w:jc w:val="both"/>
    </w:pPr>
    <w:rPr>
      <w:rFonts w:ascii="Calibri" w:hAnsi="Calibri" w:cs="Times New Roman"/>
      <w:kern w:val="2"/>
      <w:sz w:val="18"/>
      <w:szCs w:val="18"/>
    </w:rPr>
  </w:style>
  <w:style w:type="character" w:customStyle="1" w:styleId="223">
    <w:name w:val="_Style 222"/>
    <w:basedOn w:val="38"/>
    <w:qFormat/>
    <w:uiPriority w:val="99"/>
    <w:rPr>
      <w:rFonts w:ascii="Calibri" w:hAnsi="Calibri" w:eastAsia="宋体" w:cs="Times New Roman"/>
      <w:sz w:val="18"/>
      <w:szCs w:val="18"/>
    </w:rPr>
  </w:style>
  <w:style w:type="paragraph" w:customStyle="1" w:styleId="224">
    <w:name w:val="_Style 223"/>
    <w:basedOn w:val="1"/>
    <w:qFormat/>
    <w:uiPriority w:val="34"/>
    <w:pPr>
      <w:widowControl w:val="0"/>
      <w:ind w:firstLine="420" w:firstLineChars="200"/>
      <w:jc w:val="both"/>
    </w:pPr>
    <w:rPr>
      <w:rFonts w:ascii="Calibri" w:hAnsi="Calibri" w:cs="Times New Roman"/>
      <w:kern w:val="2"/>
      <w:szCs w:val="22"/>
    </w:rPr>
  </w:style>
  <w:style w:type="character" w:customStyle="1" w:styleId="225">
    <w:name w:val="_Style 224"/>
    <w:basedOn w:val="221"/>
    <w:qFormat/>
    <w:uiPriority w:val="99"/>
    <w:rPr>
      <w:rFonts w:ascii="Calibri" w:hAnsi="Calibri" w:eastAsia="宋体" w:cs="Times New Roman"/>
      <w:b/>
      <w:bCs/>
      <w:szCs w:val="21"/>
    </w:rPr>
  </w:style>
  <w:style w:type="paragraph" w:customStyle="1" w:styleId="226">
    <w:name w:val="_Style 225"/>
    <w:basedOn w:val="220"/>
    <w:unhideWhenUsed/>
    <w:qFormat/>
    <w:uiPriority w:val="99"/>
    <w:rPr>
      <w:rFonts w:ascii="Calibri" w:hAnsi="Calibri"/>
      <w:b/>
      <w:bCs/>
      <w:szCs w:val="22"/>
    </w:rPr>
  </w:style>
  <w:style w:type="paragraph" w:customStyle="1" w:styleId="227">
    <w:name w:val="_Style 226"/>
    <w:basedOn w:val="1"/>
    <w:next w:val="1"/>
    <w:unhideWhenUsed/>
    <w:qFormat/>
    <w:uiPriority w:val="39"/>
    <w:pPr>
      <w:spacing w:after="100" w:line="276" w:lineRule="auto"/>
      <w:ind w:left="440"/>
    </w:pPr>
    <w:rPr>
      <w:rFonts w:ascii="Calibri" w:hAnsi="Calibri" w:cs="Times New Roman"/>
      <w:sz w:val="22"/>
      <w:szCs w:val="22"/>
    </w:rPr>
  </w:style>
  <w:style w:type="paragraph" w:customStyle="1" w:styleId="228">
    <w:name w:val="_Style 227"/>
    <w:basedOn w:val="1"/>
    <w:unhideWhenUsed/>
    <w:qFormat/>
    <w:uiPriority w:val="0"/>
    <w:pPr>
      <w:widowControl w:val="0"/>
      <w:pBdr>
        <w:bottom w:val="single" w:color="auto" w:sz="6" w:space="1"/>
      </w:pBdr>
      <w:tabs>
        <w:tab w:val="center" w:pos="4153"/>
        <w:tab w:val="right" w:pos="8306"/>
      </w:tabs>
      <w:snapToGrid w:val="0"/>
      <w:jc w:val="center"/>
    </w:pPr>
    <w:rPr>
      <w:rFonts w:ascii="Calibri" w:hAnsi="Calibri" w:cs="Times New Roman"/>
      <w:kern w:val="2"/>
      <w:sz w:val="18"/>
      <w:szCs w:val="18"/>
    </w:rPr>
  </w:style>
  <w:style w:type="character" w:customStyle="1" w:styleId="229">
    <w:name w:val="_Style 228"/>
    <w:basedOn w:val="38"/>
    <w:qFormat/>
    <w:uiPriority w:val="0"/>
    <w:rPr>
      <w:rFonts w:ascii="Calibri" w:hAnsi="Calibri" w:eastAsia="宋体" w:cs="Times New Roman"/>
      <w:sz w:val="18"/>
      <w:szCs w:val="18"/>
    </w:rPr>
  </w:style>
  <w:style w:type="paragraph" w:customStyle="1" w:styleId="230">
    <w:name w:val="_Style 229"/>
    <w:basedOn w:val="1"/>
    <w:unhideWhenUsed/>
    <w:qFormat/>
    <w:uiPriority w:val="99"/>
    <w:pPr>
      <w:widowControl w:val="0"/>
      <w:tabs>
        <w:tab w:val="center" w:pos="4153"/>
        <w:tab w:val="right" w:pos="8306"/>
      </w:tabs>
      <w:snapToGrid w:val="0"/>
    </w:pPr>
    <w:rPr>
      <w:rFonts w:ascii="Calibri" w:hAnsi="Calibri" w:cs="Times New Roman"/>
      <w:kern w:val="2"/>
      <w:sz w:val="18"/>
      <w:szCs w:val="18"/>
    </w:rPr>
  </w:style>
  <w:style w:type="character" w:customStyle="1" w:styleId="231">
    <w:name w:val="_Style 230"/>
    <w:basedOn w:val="38"/>
    <w:qFormat/>
    <w:uiPriority w:val="99"/>
    <w:rPr>
      <w:rFonts w:ascii="Calibri" w:hAnsi="Calibri" w:eastAsia="宋体" w:cs="Times New Roman"/>
      <w:sz w:val="18"/>
      <w:szCs w:val="18"/>
    </w:rPr>
  </w:style>
  <w:style w:type="paragraph" w:customStyle="1" w:styleId="232">
    <w:name w:val="_Style 231"/>
    <w:basedOn w:val="1"/>
    <w:qFormat/>
    <w:uiPriority w:val="0"/>
    <w:pPr>
      <w:widowControl w:val="0"/>
      <w:jc w:val="both"/>
    </w:pPr>
    <w:rPr>
      <w:rFonts w:hAnsi="Courier New" w:cs="Times New Roman"/>
      <w:kern w:val="2"/>
      <w:szCs w:val="20"/>
    </w:rPr>
  </w:style>
  <w:style w:type="character" w:customStyle="1" w:styleId="233">
    <w:name w:val="_Style 232"/>
    <w:basedOn w:val="38"/>
    <w:qFormat/>
    <w:uiPriority w:val="0"/>
    <w:rPr>
      <w:rFonts w:ascii="宋体" w:hAnsi="Courier New" w:eastAsia="宋体" w:cs="Times New Roman"/>
      <w:szCs w:val="20"/>
    </w:rPr>
  </w:style>
  <w:style w:type="paragraph" w:customStyle="1" w:styleId="234">
    <w:name w:val="_Style 233"/>
    <w:basedOn w:val="1"/>
    <w:qFormat/>
    <w:uiPriority w:val="99"/>
    <w:pPr>
      <w:widowControl w:val="0"/>
      <w:spacing w:after="120"/>
      <w:jc w:val="both"/>
    </w:pPr>
    <w:rPr>
      <w:rFonts w:ascii="Times New Roman" w:hAnsi="Times New Roman" w:cs="Times New Roman"/>
      <w:kern w:val="2"/>
      <w:szCs w:val="21"/>
    </w:rPr>
  </w:style>
  <w:style w:type="character" w:customStyle="1" w:styleId="235">
    <w:name w:val="_Style 234"/>
    <w:basedOn w:val="38"/>
    <w:qFormat/>
    <w:uiPriority w:val="99"/>
    <w:rPr>
      <w:rFonts w:ascii="Times New Roman" w:hAnsi="Times New Roman" w:eastAsia="宋体" w:cs="Times New Roman"/>
      <w:szCs w:val="21"/>
    </w:rPr>
  </w:style>
  <w:style w:type="paragraph" w:customStyle="1" w:styleId="236">
    <w:name w:val="_Style 235"/>
    <w:basedOn w:val="1"/>
    <w:next w:val="1"/>
    <w:qFormat/>
    <w:uiPriority w:val="99"/>
    <w:pPr>
      <w:widowControl w:val="0"/>
      <w:ind w:left="100" w:leftChars="2500"/>
      <w:jc w:val="both"/>
    </w:pPr>
    <w:rPr>
      <w:rFonts w:ascii="Times New Roman" w:hAnsi="Times New Roman" w:cs="Times New Roman"/>
      <w:kern w:val="2"/>
      <w:szCs w:val="21"/>
    </w:rPr>
  </w:style>
  <w:style w:type="character" w:customStyle="1" w:styleId="237">
    <w:name w:val="_Style 236"/>
    <w:basedOn w:val="38"/>
    <w:qFormat/>
    <w:uiPriority w:val="99"/>
    <w:rPr>
      <w:rFonts w:ascii="Times New Roman" w:hAnsi="Times New Roman" w:eastAsia="宋体" w:cs="Times New Roman"/>
      <w:szCs w:val="21"/>
    </w:rPr>
  </w:style>
  <w:style w:type="paragraph" w:customStyle="1" w:styleId="238">
    <w:name w:val="_Style 237"/>
    <w:basedOn w:val="1"/>
    <w:next w:val="1"/>
    <w:qFormat/>
    <w:uiPriority w:val="99"/>
    <w:pPr>
      <w:widowControl w:val="0"/>
      <w:jc w:val="center"/>
    </w:pPr>
    <w:rPr>
      <w:rFonts w:ascii="Times New Roman" w:hAnsi="Times New Roman" w:cs="Times New Roman"/>
      <w:kern w:val="2"/>
      <w:szCs w:val="21"/>
    </w:rPr>
  </w:style>
  <w:style w:type="character" w:customStyle="1" w:styleId="239">
    <w:name w:val="_Style 238"/>
    <w:basedOn w:val="38"/>
    <w:link w:val="95"/>
    <w:qFormat/>
    <w:uiPriority w:val="99"/>
    <w:rPr>
      <w:rFonts w:ascii="Times New Roman" w:hAnsi="Times New Roman" w:eastAsia="宋体" w:cs="Times New Roman"/>
      <w:szCs w:val="21"/>
    </w:rPr>
  </w:style>
  <w:style w:type="paragraph" w:customStyle="1" w:styleId="240">
    <w:name w:val="_Style 239"/>
    <w:basedOn w:val="1"/>
    <w:next w:val="1"/>
    <w:semiHidden/>
    <w:qFormat/>
    <w:uiPriority w:val="0"/>
    <w:pPr>
      <w:widowControl w:val="0"/>
      <w:spacing w:before="120"/>
      <w:jc w:val="both"/>
    </w:pPr>
    <w:rPr>
      <w:rFonts w:ascii="Arial" w:hAnsi="Arial" w:cs="Times New Roman"/>
      <w:b/>
      <w:bCs/>
      <w:kern w:val="2"/>
      <w:szCs w:val="21"/>
    </w:rPr>
  </w:style>
  <w:style w:type="paragraph" w:customStyle="1" w:styleId="241">
    <w:name w:val="_Style 240"/>
    <w:basedOn w:val="1"/>
    <w:qFormat/>
    <w:uiPriority w:val="0"/>
    <w:pPr>
      <w:keepNext/>
      <w:keepLines/>
      <w:widowControl w:val="0"/>
      <w:spacing w:before="60" w:after="60"/>
      <w:ind w:hanging="420" w:hangingChars="200"/>
      <w:jc w:val="both"/>
      <w:outlineLvl w:val="4"/>
    </w:pPr>
    <w:rPr>
      <w:rFonts w:cs="Times New Roman"/>
      <w:b/>
      <w:bCs/>
      <w:kern w:val="2"/>
      <w:szCs w:val="21"/>
    </w:rPr>
  </w:style>
  <w:style w:type="paragraph" w:customStyle="1" w:styleId="242">
    <w:name w:val="_Style 241"/>
    <w:hidden/>
    <w:semiHidden/>
    <w:qFormat/>
    <w:uiPriority w:val="99"/>
    <w:rPr>
      <w:rFonts w:ascii="Calibri" w:hAnsi="Calibri" w:eastAsia="宋体" w:cs="Times New Roman"/>
      <w:kern w:val="2"/>
      <w:sz w:val="21"/>
      <w:szCs w:val="22"/>
      <w:lang w:val="en-US" w:eastAsia="zh-CN" w:bidi="ar-SA"/>
    </w:rPr>
  </w:style>
  <w:style w:type="character" w:customStyle="1" w:styleId="243">
    <w:name w:val="_Style 242"/>
    <w:basedOn w:val="38"/>
    <w:qFormat/>
    <w:uiPriority w:val="0"/>
    <w:rPr>
      <w:kern w:val="2"/>
      <w:sz w:val="21"/>
      <w:szCs w:val="24"/>
    </w:rPr>
  </w:style>
  <w:style w:type="paragraph" w:customStyle="1" w:styleId="244">
    <w:name w:val="_Style 243"/>
    <w:basedOn w:val="1"/>
    <w:qFormat/>
    <w:uiPriority w:val="0"/>
    <w:pPr>
      <w:widowControl w:val="0"/>
      <w:spacing w:before="100" w:after="100"/>
      <w:jc w:val="both"/>
    </w:pPr>
    <w:rPr>
      <w:rFonts w:ascii="Calibri" w:hAnsi="Calibri" w:cs="Times New Roman"/>
      <w:kern w:val="2"/>
    </w:rPr>
  </w:style>
  <w:style w:type="paragraph" w:customStyle="1" w:styleId="245">
    <w:name w:val="_Style 244"/>
    <w:basedOn w:val="1"/>
    <w:semiHidden/>
    <w:unhideWhenUsed/>
    <w:qFormat/>
    <w:uiPriority w:val="99"/>
    <w:pPr>
      <w:widowControl w:val="0"/>
      <w:jc w:val="both"/>
    </w:pPr>
    <w:rPr>
      <w:rFonts w:hAnsi="Calibri" w:cs="Times New Roman"/>
      <w:kern w:val="2"/>
      <w:sz w:val="18"/>
      <w:szCs w:val="18"/>
    </w:rPr>
  </w:style>
  <w:style w:type="character" w:customStyle="1" w:styleId="246">
    <w:name w:val="_Style 245"/>
    <w:basedOn w:val="38"/>
    <w:semiHidden/>
    <w:qFormat/>
    <w:uiPriority w:val="99"/>
    <w:rPr>
      <w:rFonts w:ascii="宋体"/>
      <w:kern w:val="2"/>
      <w:sz w:val="18"/>
      <w:szCs w:val="18"/>
    </w:rPr>
  </w:style>
  <w:style w:type="character" w:customStyle="1" w:styleId="247">
    <w:name w:val="_Style 246"/>
    <w:basedOn w:val="38"/>
    <w:semiHidden/>
    <w:qFormat/>
    <w:uiPriority w:val="99"/>
    <w:rPr>
      <w:color w:val="auto"/>
    </w:rPr>
  </w:style>
  <w:style w:type="paragraph" w:customStyle="1" w:styleId="248">
    <w:name w:val="_Style 247"/>
    <w:basedOn w:val="1"/>
    <w:next w:val="1"/>
    <w:qFormat/>
    <w:uiPriority w:val="10"/>
    <w:pPr>
      <w:widowControl w:val="0"/>
      <w:spacing w:before="240" w:after="60"/>
      <w:jc w:val="center"/>
      <w:outlineLvl w:val="0"/>
    </w:pPr>
    <w:rPr>
      <w:rFonts w:asciiTheme="majorHAnsi" w:hAnsiTheme="majorHAnsi" w:cstheme="majorBidi"/>
      <w:b/>
      <w:bCs/>
      <w:kern w:val="2"/>
      <w:sz w:val="32"/>
      <w:szCs w:val="32"/>
    </w:rPr>
  </w:style>
  <w:style w:type="character" w:customStyle="1" w:styleId="249">
    <w:name w:val="_Style 248"/>
    <w:basedOn w:val="38"/>
    <w:qFormat/>
    <w:uiPriority w:val="10"/>
    <w:rPr>
      <w:rFonts w:asciiTheme="majorHAnsi" w:hAnsiTheme="majorHAnsi" w:cstheme="majorBidi"/>
      <w:b/>
      <w:bCs/>
      <w:kern w:val="2"/>
      <w:sz w:val="32"/>
      <w:szCs w:val="32"/>
    </w:rPr>
  </w:style>
  <w:style w:type="paragraph" w:customStyle="1" w:styleId="250">
    <w:name w:val="_Style 249"/>
    <w:qFormat/>
    <w:uiPriority w:val="1"/>
    <w:pPr>
      <w:widowControl w:val="0"/>
      <w:jc w:val="both"/>
    </w:pPr>
    <w:rPr>
      <w:rFonts w:ascii="Calibri" w:hAnsi="Calibri" w:eastAsia="宋体" w:cs="Times New Roman"/>
      <w:kern w:val="2"/>
      <w:sz w:val="21"/>
      <w:szCs w:val="22"/>
      <w:lang w:val="en-US" w:eastAsia="zh-CN" w:bidi="ar-SA"/>
    </w:rPr>
  </w:style>
  <w:style w:type="paragraph" w:customStyle="1" w:styleId="251">
    <w:name w:val="_Style 250"/>
    <w:basedOn w:val="1"/>
    <w:next w:val="1"/>
    <w:unhideWhenUsed/>
    <w:qFormat/>
    <w:uiPriority w:val="39"/>
    <w:pPr>
      <w:widowControl w:val="0"/>
      <w:ind w:left="1260" w:leftChars="600"/>
      <w:jc w:val="both"/>
    </w:pPr>
    <w:rPr>
      <w:rFonts w:asciiTheme="minorHAnsi" w:hAnsiTheme="minorHAnsi" w:eastAsiaTheme="minorEastAsia" w:cstheme="minorBidi"/>
      <w:kern w:val="2"/>
      <w:szCs w:val="22"/>
    </w:rPr>
  </w:style>
  <w:style w:type="paragraph" w:customStyle="1" w:styleId="252">
    <w:name w:val="_Style 251"/>
    <w:basedOn w:val="1"/>
    <w:next w:val="1"/>
    <w:unhideWhenUsed/>
    <w:qFormat/>
    <w:uiPriority w:val="39"/>
    <w:pPr>
      <w:widowControl w:val="0"/>
      <w:ind w:left="1680" w:leftChars="800"/>
      <w:jc w:val="both"/>
    </w:pPr>
    <w:rPr>
      <w:rFonts w:asciiTheme="minorHAnsi" w:hAnsiTheme="minorHAnsi" w:eastAsiaTheme="minorEastAsia" w:cstheme="minorBidi"/>
      <w:kern w:val="2"/>
      <w:szCs w:val="22"/>
    </w:rPr>
  </w:style>
  <w:style w:type="paragraph" w:customStyle="1" w:styleId="253">
    <w:name w:val="_Style 252"/>
    <w:basedOn w:val="1"/>
    <w:next w:val="1"/>
    <w:unhideWhenUsed/>
    <w:qFormat/>
    <w:uiPriority w:val="39"/>
    <w:pPr>
      <w:widowControl w:val="0"/>
      <w:ind w:left="2100" w:leftChars="1000"/>
      <w:jc w:val="both"/>
    </w:pPr>
    <w:rPr>
      <w:rFonts w:asciiTheme="minorHAnsi" w:hAnsiTheme="minorHAnsi" w:eastAsiaTheme="minorEastAsia" w:cstheme="minorBidi"/>
      <w:kern w:val="2"/>
      <w:szCs w:val="22"/>
    </w:rPr>
  </w:style>
  <w:style w:type="paragraph" w:customStyle="1" w:styleId="254">
    <w:name w:val="_Style 253"/>
    <w:basedOn w:val="1"/>
    <w:next w:val="1"/>
    <w:unhideWhenUsed/>
    <w:qFormat/>
    <w:uiPriority w:val="39"/>
    <w:pPr>
      <w:widowControl w:val="0"/>
      <w:ind w:left="2520" w:leftChars="1200"/>
      <w:jc w:val="both"/>
    </w:pPr>
    <w:rPr>
      <w:rFonts w:asciiTheme="minorHAnsi" w:hAnsiTheme="minorHAnsi" w:eastAsiaTheme="minorEastAsia" w:cstheme="minorBidi"/>
      <w:kern w:val="2"/>
      <w:szCs w:val="22"/>
    </w:rPr>
  </w:style>
  <w:style w:type="paragraph" w:customStyle="1" w:styleId="255">
    <w:name w:val="_Style 254"/>
    <w:basedOn w:val="1"/>
    <w:next w:val="1"/>
    <w:unhideWhenUsed/>
    <w:qFormat/>
    <w:uiPriority w:val="39"/>
    <w:pPr>
      <w:widowControl w:val="0"/>
      <w:ind w:left="2940" w:leftChars="1400"/>
      <w:jc w:val="both"/>
    </w:pPr>
    <w:rPr>
      <w:rFonts w:asciiTheme="minorHAnsi" w:hAnsiTheme="minorHAnsi" w:eastAsiaTheme="minorEastAsia" w:cstheme="minorBidi"/>
      <w:kern w:val="2"/>
      <w:szCs w:val="22"/>
    </w:rPr>
  </w:style>
  <w:style w:type="paragraph" w:customStyle="1" w:styleId="256">
    <w:name w:val="_Style 255"/>
    <w:basedOn w:val="1"/>
    <w:next w:val="1"/>
    <w:unhideWhenUsed/>
    <w:qFormat/>
    <w:uiPriority w:val="39"/>
    <w:pPr>
      <w:widowControl w:val="0"/>
      <w:ind w:left="3360" w:leftChars="1600"/>
      <w:jc w:val="both"/>
    </w:pPr>
    <w:rPr>
      <w:rFonts w:asciiTheme="minorHAnsi" w:hAnsiTheme="minorHAnsi" w:eastAsiaTheme="minorEastAsia" w:cstheme="minorBidi"/>
      <w:kern w:val="2"/>
      <w:szCs w:val="22"/>
    </w:rPr>
  </w:style>
  <w:style w:type="paragraph" w:customStyle="1" w:styleId="257">
    <w:name w:val="_Style 256"/>
    <w:basedOn w:val="1"/>
    <w:qFormat/>
    <w:uiPriority w:val="99"/>
    <w:pPr>
      <w:spacing w:before="100" w:beforeAutospacing="1" w:after="100" w:afterAutospacing="1"/>
    </w:pPr>
    <w:rPr>
      <w:sz w:val="24"/>
    </w:rPr>
  </w:style>
  <w:style w:type="paragraph" w:customStyle="1" w:styleId="258">
    <w:name w:val="_Style 257"/>
    <w:basedOn w:val="1"/>
    <w:semiHidden/>
    <w:unhideWhenUsed/>
    <w:qFormat/>
    <w:uiPriority w:val="99"/>
    <w:pPr>
      <w:snapToGrid w:val="0"/>
    </w:pPr>
  </w:style>
  <w:style w:type="character" w:customStyle="1" w:styleId="259">
    <w:name w:val="_Style 258"/>
    <w:basedOn w:val="38"/>
    <w:semiHidden/>
    <w:qFormat/>
    <w:uiPriority w:val="99"/>
    <w:rPr>
      <w:rFonts w:ascii="宋体" w:hAnsi="宋体" w:cs="宋体"/>
      <w:sz w:val="21"/>
      <w:szCs w:val="24"/>
    </w:rPr>
  </w:style>
  <w:style w:type="character" w:customStyle="1" w:styleId="260">
    <w:name w:val="_Style 259"/>
    <w:basedOn w:val="38"/>
    <w:semiHidden/>
    <w:unhideWhenUsed/>
    <w:qFormat/>
    <w:uiPriority w:val="99"/>
    <w:rPr>
      <w:vertAlign w:val="superscript"/>
    </w:rPr>
  </w:style>
  <w:style w:type="paragraph" w:customStyle="1" w:styleId="261">
    <w:name w:val="_Style 260"/>
    <w:basedOn w:val="1"/>
    <w:next w:val="1"/>
    <w:semiHidden/>
    <w:qFormat/>
    <w:uiPriority w:val="0"/>
    <w:pPr>
      <w:ind w:firstLine="420" w:firstLineChars="200"/>
    </w:pPr>
    <w:rPr>
      <w:rFonts w:cs="Times New Roman"/>
      <w:color w:val="000000"/>
      <w:szCs w:val="21"/>
    </w:rPr>
  </w:style>
  <w:style w:type="paragraph" w:customStyle="1" w:styleId="262">
    <w:name w:val="_Style 261"/>
    <w:basedOn w:val="1"/>
    <w:qFormat/>
    <w:uiPriority w:val="0"/>
    <w:pPr>
      <w:widowControl w:val="0"/>
      <w:ind w:firstLine="420" w:firstLineChars="200"/>
      <w:jc w:val="both"/>
    </w:pPr>
    <w:rPr>
      <w:rFonts w:ascii="Times New Roman" w:hAnsi="Times New Roman" w:cs="Times New Roman"/>
      <w:kern w:val="2"/>
      <w:szCs w:val="21"/>
    </w:rPr>
  </w:style>
  <w:style w:type="paragraph" w:customStyle="1" w:styleId="263">
    <w:name w:val="_Style 262"/>
    <w:basedOn w:val="1"/>
    <w:qFormat/>
    <w:uiPriority w:val="0"/>
    <w:pPr>
      <w:widowControl w:val="0"/>
      <w:tabs>
        <w:tab w:val="left" w:pos="1200"/>
      </w:tabs>
      <w:jc w:val="both"/>
    </w:pPr>
    <w:rPr>
      <w:rFonts w:ascii="Times New Roman" w:hAnsi="Times New Roman" w:cs="Times New Roman"/>
      <w:kern w:val="2"/>
      <w:szCs w:val="21"/>
    </w:rPr>
  </w:style>
  <w:style w:type="character" w:customStyle="1" w:styleId="264">
    <w:name w:val="_Style 263"/>
    <w:basedOn w:val="221"/>
    <w:semiHidden/>
    <w:qFormat/>
    <w:uiPriority w:val="99"/>
    <w:rPr>
      <w:rFonts w:ascii="Times New Roman" w:hAnsi="Times New Roman" w:eastAsia="宋体" w:cs="Times New Roman"/>
      <w:b/>
      <w:bCs/>
      <w:szCs w:val="21"/>
    </w:rPr>
  </w:style>
  <w:style w:type="paragraph" w:customStyle="1" w:styleId="265">
    <w:name w:val="_Style 264"/>
    <w:basedOn w:val="1"/>
    <w:next w:val="20"/>
    <w:qFormat/>
    <w:uiPriority w:val="34"/>
    <w:pPr>
      <w:widowControl w:val="0"/>
      <w:ind w:firstLine="420" w:firstLineChars="200"/>
      <w:jc w:val="both"/>
    </w:pPr>
    <w:rPr>
      <w:rFonts w:ascii="Calibri" w:hAnsi="Calibri" w:cs="Times New Roman"/>
      <w:kern w:val="2"/>
      <w:szCs w:val="22"/>
    </w:rPr>
  </w:style>
  <w:style w:type="paragraph" w:customStyle="1" w:styleId="266">
    <w:name w:val="_Style 265"/>
    <w:basedOn w:val="1"/>
    <w:next w:val="20"/>
    <w:qFormat/>
    <w:uiPriority w:val="34"/>
    <w:pPr>
      <w:widowControl w:val="0"/>
      <w:ind w:firstLine="420" w:firstLineChars="200"/>
      <w:jc w:val="both"/>
    </w:pPr>
    <w:rPr>
      <w:rFonts w:ascii="Calibri" w:hAnsi="Calibri" w:cs="Times New Roman"/>
      <w:kern w:val="2"/>
      <w:szCs w:val="22"/>
    </w:rPr>
  </w:style>
  <w:style w:type="paragraph" w:customStyle="1" w:styleId="267">
    <w:name w:val="_Style 266"/>
    <w:basedOn w:val="1"/>
    <w:next w:val="20"/>
    <w:qFormat/>
    <w:uiPriority w:val="34"/>
    <w:pPr>
      <w:widowControl w:val="0"/>
      <w:ind w:firstLine="420" w:firstLineChars="200"/>
      <w:jc w:val="both"/>
    </w:pPr>
    <w:rPr>
      <w:rFonts w:ascii="Calibri" w:hAnsi="Calibri" w:cs="Times New Roman"/>
      <w:kern w:val="2"/>
      <w:szCs w:val="22"/>
    </w:rPr>
  </w:style>
  <w:style w:type="paragraph" w:customStyle="1" w:styleId="268">
    <w:name w:val="_Style 267"/>
    <w:basedOn w:val="1"/>
    <w:next w:val="20"/>
    <w:qFormat/>
    <w:uiPriority w:val="34"/>
    <w:pPr>
      <w:widowControl w:val="0"/>
      <w:ind w:firstLine="420" w:firstLineChars="200"/>
      <w:jc w:val="both"/>
    </w:pPr>
    <w:rPr>
      <w:rFonts w:ascii="Calibri" w:hAnsi="Calibri" w:cs="Times New Roman"/>
      <w:kern w:val="2"/>
      <w:szCs w:val="22"/>
    </w:rPr>
  </w:style>
  <w:style w:type="paragraph" w:customStyle="1" w:styleId="269">
    <w:name w:val="_Style 268"/>
    <w:basedOn w:val="1"/>
    <w:qFormat/>
    <w:uiPriority w:val="0"/>
    <w:pPr>
      <w:widowControl w:val="0"/>
      <w:autoSpaceDE w:val="0"/>
      <w:autoSpaceDN w:val="0"/>
      <w:spacing w:after="160" w:line="259" w:lineRule="auto"/>
    </w:pPr>
    <w:rPr>
      <w:rFonts w:ascii="Noto Sans CJK JP Regular" w:hAnsi="Noto Sans CJK JP Regular" w:eastAsia="Noto Sans CJK JP Regular" w:cs="Noto Sans CJK JP Regular"/>
      <w:sz w:val="22"/>
      <w:szCs w:val="22"/>
      <w:lang w:eastAsia="en-US"/>
    </w:rPr>
  </w:style>
  <w:style w:type="paragraph" w:customStyle="1" w:styleId="270">
    <w:name w:val="_Style 269"/>
    <w:basedOn w:val="1"/>
    <w:next w:val="20"/>
    <w:qFormat/>
    <w:uiPriority w:val="34"/>
    <w:pPr>
      <w:widowControl w:val="0"/>
      <w:ind w:firstLine="420" w:firstLineChars="200"/>
      <w:jc w:val="both"/>
    </w:pPr>
    <w:rPr>
      <w:rFonts w:ascii="Calibri" w:hAnsi="Calibri" w:cs="Times New Roman"/>
      <w:kern w:val="2"/>
      <w:szCs w:val="22"/>
    </w:rPr>
  </w:style>
  <w:style w:type="character" w:customStyle="1" w:styleId="271">
    <w:name w:val="_Style 270"/>
    <w:qFormat/>
    <w:uiPriority w:val="0"/>
    <w:rPr>
      <w:rFonts w:hint="default" w:ascii="FZLTSK--GBK1-0" w:hAnsi="FZLTSK--GBK1-0"/>
      <w:color w:val="000000"/>
      <w:sz w:val="20"/>
      <w:szCs w:val="20"/>
    </w:rPr>
  </w:style>
  <w:style w:type="paragraph" w:customStyle="1" w:styleId="272">
    <w:name w:val="_Style 271"/>
    <w:basedOn w:val="1"/>
    <w:next w:val="20"/>
    <w:qFormat/>
    <w:uiPriority w:val="34"/>
    <w:pPr>
      <w:widowControl w:val="0"/>
      <w:ind w:firstLine="420" w:firstLineChars="200"/>
      <w:jc w:val="both"/>
    </w:pPr>
    <w:rPr>
      <w:rFonts w:ascii="Calibri" w:hAnsi="Calibri" w:cs="Times New Roman"/>
      <w:kern w:val="2"/>
      <w:szCs w:val="22"/>
    </w:rPr>
  </w:style>
  <w:style w:type="character" w:customStyle="1" w:styleId="273">
    <w:name w:val="_Style 272"/>
    <w:semiHidden/>
    <w:qFormat/>
    <w:locked/>
    <w:uiPriority w:val="99"/>
    <w:rPr>
      <w:rFonts w:ascii="Times New Roman" w:hAnsi="Times New Roman"/>
      <w:kern w:val="2"/>
      <w:sz w:val="21"/>
      <w:szCs w:val="21"/>
    </w:rPr>
  </w:style>
  <w:style w:type="paragraph" w:customStyle="1" w:styleId="274">
    <w:name w:val="_Style 273"/>
    <w:basedOn w:val="1"/>
    <w:next w:val="20"/>
    <w:qFormat/>
    <w:uiPriority w:val="34"/>
    <w:pPr>
      <w:widowControl w:val="0"/>
      <w:ind w:firstLine="420" w:firstLineChars="200"/>
      <w:jc w:val="both"/>
    </w:pPr>
    <w:rPr>
      <w:rFonts w:ascii="Calibri" w:hAnsi="Calibri" w:cs="Times New Roman"/>
      <w:kern w:val="2"/>
      <w:szCs w:val="22"/>
    </w:rPr>
  </w:style>
  <w:style w:type="paragraph" w:customStyle="1" w:styleId="275">
    <w:name w:val="_Style 274"/>
    <w:qFormat/>
    <w:uiPriority w:val="0"/>
    <w:pPr>
      <w:jc w:val="both"/>
    </w:pPr>
    <w:rPr>
      <w:rFonts w:ascii="Calibri" w:hAnsi="Calibri" w:eastAsia="宋体" w:cs="宋体"/>
      <w:kern w:val="2"/>
      <w:sz w:val="21"/>
      <w:szCs w:val="21"/>
      <w:lang w:val="en-US" w:eastAsia="zh-CN" w:bidi="ar-SA"/>
    </w:rPr>
  </w:style>
  <w:style w:type="paragraph" w:customStyle="1" w:styleId="276">
    <w:name w:val="_Style 275"/>
    <w:basedOn w:val="1"/>
    <w:qFormat/>
    <w:uiPriority w:val="0"/>
    <w:pPr>
      <w:adjustRightInd w:val="0"/>
      <w:snapToGrid w:val="0"/>
      <w:spacing w:line="400" w:lineRule="atLeast"/>
      <w:ind w:left="718" w:leftChars="342"/>
    </w:pPr>
    <w:rPr>
      <w:rFonts w:cs="Times New Roman"/>
      <w:kern w:val="2"/>
      <w:szCs w:val="21"/>
    </w:rPr>
  </w:style>
  <w:style w:type="paragraph" w:customStyle="1" w:styleId="277">
    <w:name w:val="_Style 276"/>
    <w:basedOn w:val="206"/>
    <w:qFormat/>
    <w:uiPriority w:val="0"/>
    <w:pPr>
      <w:spacing w:afterLines="50" w:line="360" w:lineRule="auto"/>
      <w:ind w:left="0" w:firstLine="200" w:firstLineChars="200"/>
    </w:pPr>
    <w:rPr>
      <w:rFonts w:ascii="Times New Roman" w:hAnsi="Times New Roman"/>
      <w:szCs w:val="20"/>
    </w:rPr>
  </w:style>
  <w:style w:type="paragraph" w:customStyle="1" w:styleId="278">
    <w:name w:val="_Style 277"/>
    <w:basedOn w:val="1"/>
    <w:semiHidden/>
    <w:unhideWhenUsed/>
    <w:qFormat/>
    <w:uiPriority w:val="99"/>
    <w:pPr>
      <w:spacing w:after="120"/>
      <w:ind w:left="420" w:leftChars="200"/>
    </w:pPr>
  </w:style>
  <w:style w:type="character" w:customStyle="1" w:styleId="279">
    <w:name w:val="_Style 278"/>
    <w:basedOn w:val="38"/>
    <w:semiHidden/>
    <w:qFormat/>
    <w:uiPriority w:val="99"/>
    <w:rPr>
      <w:rFonts w:ascii="宋体" w:hAnsi="宋体" w:cs="宋体"/>
      <w:sz w:val="21"/>
      <w:szCs w:val="24"/>
    </w:rPr>
  </w:style>
  <w:style w:type="paragraph" w:customStyle="1" w:styleId="280">
    <w:name w:val="_Style 279"/>
    <w:basedOn w:val="1"/>
    <w:qFormat/>
    <w:uiPriority w:val="0"/>
    <w:pPr>
      <w:tabs>
        <w:tab w:val="left" w:pos="1273"/>
      </w:tabs>
      <w:adjustRightInd w:val="0"/>
      <w:snapToGrid w:val="0"/>
      <w:spacing w:line="400" w:lineRule="atLeast"/>
      <w:ind w:left="1256" w:leftChars="342" w:hanging="538" w:hangingChars="255"/>
    </w:pPr>
    <w:rPr>
      <w:rFonts w:cs="Times New Roman"/>
      <w:b/>
      <w:bCs/>
      <w:kern w:val="2"/>
      <w:szCs w:val="21"/>
    </w:rPr>
  </w:style>
  <w:style w:type="paragraph" w:customStyle="1" w:styleId="281">
    <w:name w:val="附注三级"/>
    <w:basedOn w:val="1"/>
    <w:qFormat/>
    <w:uiPriority w:val="0"/>
    <w:pPr>
      <w:tabs>
        <w:tab w:val="left" w:pos="1273"/>
      </w:tabs>
      <w:adjustRightInd w:val="0"/>
      <w:snapToGrid w:val="0"/>
      <w:spacing w:line="400" w:lineRule="atLeast"/>
      <w:ind w:left="1256" w:leftChars="342" w:hanging="538" w:hangingChars="255"/>
    </w:pPr>
    <w:rPr>
      <w:rFonts w:cs="Times New Roman"/>
      <w:b/>
      <w:bCs/>
      <w:kern w:val="2"/>
      <w:szCs w:val="21"/>
    </w:rPr>
  </w:style>
  <w:style w:type="paragraph" w:customStyle="1" w:styleId="282">
    <w:name w:val="附注三级正文"/>
    <w:basedOn w:val="1"/>
    <w:qFormat/>
    <w:uiPriority w:val="0"/>
    <w:pPr>
      <w:tabs>
        <w:tab w:val="left" w:pos="630"/>
      </w:tabs>
      <w:adjustRightInd w:val="0"/>
      <w:snapToGrid w:val="0"/>
      <w:spacing w:line="400" w:lineRule="atLeast"/>
      <w:ind w:left="1260" w:leftChars="600"/>
    </w:pPr>
    <w:rPr>
      <w:rFonts w:cs="Times New Roman"/>
      <w:kern w:val="2"/>
      <w:szCs w:val="21"/>
    </w:rPr>
  </w:style>
  <w:style w:type="paragraph" w:customStyle="1" w:styleId="283">
    <w:name w:val="附注二级"/>
    <w:basedOn w:val="1"/>
    <w:qFormat/>
    <w:uiPriority w:val="0"/>
    <w:pPr>
      <w:tabs>
        <w:tab w:val="left" w:pos="714"/>
      </w:tabs>
      <w:adjustRightInd w:val="0"/>
      <w:snapToGrid w:val="0"/>
      <w:spacing w:line="400" w:lineRule="atLeast"/>
      <w:ind w:left="756" w:hanging="770"/>
      <w:outlineLvl w:val="0"/>
    </w:pPr>
    <w:rPr>
      <w:rFonts w:cs="Times New Roman"/>
      <w:b/>
      <w:kern w:val="2"/>
      <w:szCs w:val="21"/>
    </w:rPr>
  </w:style>
  <w:style w:type="paragraph" w:customStyle="1" w:styleId="284">
    <w:name w:val="附注二级正文"/>
    <w:basedOn w:val="1"/>
    <w:qFormat/>
    <w:uiPriority w:val="0"/>
    <w:pPr>
      <w:adjustRightInd w:val="0"/>
      <w:snapToGrid w:val="0"/>
      <w:spacing w:line="400" w:lineRule="atLeast"/>
      <w:ind w:left="718" w:leftChars="342"/>
    </w:pPr>
    <w:rPr>
      <w:rFonts w:cs="Times New Roman"/>
      <w:kern w:val="2"/>
      <w:szCs w:val="21"/>
    </w:rPr>
  </w:style>
  <w:style w:type="paragraph" w:customStyle="1" w:styleId="285">
    <w:name w:val="附注-标题3"/>
    <w:basedOn w:val="1"/>
    <w:qFormat/>
    <w:uiPriority w:val="0"/>
    <w:pPr>
      <w:spacing w:beforeLines="25" w:afterLines="25" w:line="360" w:lineRule="auto"/>
      <w:ind w:left="1125" w:hanging="720"/>
      <w:outlineLvl w:val="1"/>
    </w:pPr>
    <w:rPr>
      <w:rFonts w:ascii="Arial Narrow" w:hAnsi="Arial Narrow" w:cs="Times New Roman"/>
      <w:b/>
      <w:bCs/>
      <w:kern w:val="2"/>
      <w:szCs w:val="21"/>
    </w:rPr>
  </w:style>
  <w:style w:type="character" w:customStyle="1" w:styleId="286">
    <w:name w:val="15"/>
    <w:basedOn w:val="38"/>
    <w:qFormat/>
    <w:uiPriority w:val="0"/>
    <w:rPr>
      <w:rFonts w:hint="eastAsia" w:ascii="宋体" w:hAnsi="宋体" w:eastAsia="宋体"/>
      <w:sz w:val="24"/>
      <w:szCs w:val="24"/>
    </w:rPr>
  </w:style>
  <w:style w:type="paragraph" w:customStyle="1" w:styleId="287">
    <w:name w:val="列出段落1"/>
    <w:basedOn w:val="1"/>
    <w:qFormat/>
    <w:uiPriority w:val="34"/>
    <w:pPr>
      <w:ind w:firstLine="420" w:firstLineChars="200"/>
    </w:pPr>
    <w:rPr>
      <w:rFonts w:ascii="Times New Roman" w:hAnsi="Times New Roman" w:cs="Times New Roman"/>
      <w:kern w:val="2"/>
    </w:rPr>
  </w:style>
  <w:style w:type="character" w:customStyle="1" w:styleId="288">
    <w:name w:val="纯文本 Char1"/>
    <w:qFormat/>
    <w:uiPriority w:val="0"/>
    <w:rPr>
      <w:rFonts w:ascii="宋体" w:hAnsi="Courier New"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6.xml"/><Relationship Id="rId15" Type="http://schemas.openxmlformats.org/officeDocument/2006/relationships/customXml" Target="../customXml/item5.xml"/><Relationship Id="rId14" Type="http://schemas.openxmlformats.org/officeDocument/2006/relationships/customXml" Target="../customXml/item4.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032130\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GBC22222222222222222222222222222"/>
        <w:style w:val=""/>
        <w:category>
          <w:name w:val="常规"/>
          <w:gallery w:val="placeholder"/>
        </w:category>
        <w:types>
          <w:type w:val="bbPlcHdr"/>
        </w:types>
        <w:behaviors>
          <w:behavior w:val="content"/>
        </w:behaviors>
        <w:description w:val=""/>
        <w:guid w:val="{1AFD19D4-34B8-46E3-93FF-EA31FC2A2A2D}"/>
      </w:docPartPr>
      <w:docPartBody>
        <w:p>
          <w:r>
            <w:rPr>
              <w:rStyle w:val="4"/>
              <w:rFonts w:hint="eastAsia"/>
              <w:color w:val="333399"/>
              <w:u w:val="single"/>
            </w:rPr>
            <w:t>　　　</w:t>
          </w:r>
        </w:p>
      </w:docPartBody>
    </w:docPart>
    <w:docPart>
      <w:docPartPr>
        <w:name w:val="E50B03EB9D74497B844EE4E5C232BF75"/>
        <w:style w:val=""/>
        <w:category>
          <w:name w:val="常规"/>
          <w:gallery w:val="placeholder"/>
        </w:category>
        <w:types>
          <w:type w:val="bbPlcHdr"/>
        </w:types>
        <w:behaviors>
          <w:behavior w:val="content"/>
        </w:behaviors>
        <w:description w:val=""/>
        <w:guid w:val="{0E3F5D3D-DDE4-4C74-AD42-B5C1FA686F89}"/>
      </w:docPartPr>
      <w:docPartBody>
        <w:p>
          <w:pPr>
            <w:pStyle w:val="111"/>
          </w:pPr>
          <w:r>
            <w:rPr>
              <w:rStyle w:val="4"/>
              <w:rFonts w:hint="eastAsia"/>
            </w:rPr>
            <w:t>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06DA"/>
    <w:rsid w:val="0000161E"/>
    <w:rsid w:val="00002689"/>
    <w:rsid w:val="000056ED"/>
    <w:rsid w:val="00007ACF"/>
    <w:rsid w:val="00007CFD"/>
    <w:rsid w:val="00010370"/>
    <w:rsid w:val="00010558"/>
    <w:rsid w:val="00011E75"/>
    <w:rsid w:val="00012653"/>
    <w:rsid w:val="0001297A"/>
    <w:rsid w:val="00012C61"/>
    <w:rsid w:val="00013B71"/>
    <w:rsid w:val="00020357"/>
    <w:rsid w:val="000211F7"/>
    <w:rsid w:val="0002197F"/>
    <w:rsid w:val="00021BC4"/>
    <w:rsid w:val="00021D68"/>
    <w:rsid w:val="000234EA"/>
    <w:rsid w:val="0002361B"/>
    <w:rsid w:val="000236A0"/>
    <w:rsid w:val="0002605F"/>
    <w:rsid w:val="00032504"/>
    <w:rsid w:val="00032ECB"/>
    <w:rsid w:val="0003417E"/>
    <w:rsid w:val="00034C17"/>
    <w:rsid w:val="0003500B"/>
    <w:rsid w:val="000353DC"/>
    <w:rsid w:val="0003608F"/>
    <w:rsid w:val="000403D5"/>
    <w:rsid w:val="00044179"/>
    <w:rsid w:val="00044916"/>
    <w:rsid w:val="00045444"/>
    <w:rsid w:val="00047197"/>
    <w:rsid w:val="000506E0"/>
    <w:rsid w:val="00051FA4"/>
    <w:rsid w:val="00053ABC"/>
    <w:rsid w:val="00055561"/>
    <w:rsid w:val="00055BDC"/>
    <w:rsid w:val="00061F65"/>
    <w:rsid w:val="00062ED3"/>
    <w:rsid w:val="00063874"/>
    <w:rsid w:val="00063CC6"/>
    <w:rsid w:val="00064D04"/>
    <w:rsid w:val="0006532F"/>
    <w:rsid w:val="00065B5A"/>
    <w:rsid w:val="000667C2"/>
    <w:rsid w:val="000674E4"/>
    <w:rsid w:val="00067DCC"/>
    <w:rsid w:val="00070ACB"/>
    <w:rsid w:val="00070D2D"/>
    <w:rsid w:val="00071C74"/>
    <w:rsid w:val="00073371"/>
    <w:rsid w:val="0007487C"/>
    <w:rsid w:val="00076D57"/>
    <w:rsid w:val="0007717F"/>
    <w:rsid w:val="00082580"/>
    <w:rsid w:val="00083B00"/>
    <w:rsid w:val="00083C63"/>
    <w:rsid w:val="00084E8F"/>
    <w:rsid w:val="00087193"/>
    <w:rsid w:val="0009029E"/>
    <w:rsid w:val="00091B0E"/>
    <w:rsid w:val="00092CBB"/>
    <w:rsid w:val="00093BE5"/>
    <w:rsid w:val="00093C40"/>
    <w:rsid w:val="000943EF"/>
    <w:rsid w:val="000958C3"/>
    <w:rsid w:val="000A0F3B"/>
    <w:rsid w:val="000A1ED8"/>
    <w:rsid w:val="000A632D"/>
    <w:rsid w:val="000A6DCF"/>
    <w:rsid w:val="000B1E96"/>
    <w:rsid w:val="000B2987"/>
    <w:rsid w:val="000B3464"/>
    <w:rsid w:val="000B375A"/>
    <w:rsid w:val="000B5C82"/>
    <w:rsid w:val="000B5E0D"/>
    <w:rsid w:val="000B6B1C"/>
    <w:rsid w:val="000B76C0"/>
    <w:rsid w:val="000B7F0A"/>
    <w:rsid w:val="000C11C1"/>
    <w:rsid w:val="000C26DD"/>
    <w:rsid w:val="000C5F2F"/>
    <w:rsid w:val="000C600B"/>
    <w:rsid w:val="000D0276"/>
    <w:rsid w:val="000D1066"/>
    <w:rsid w:val="000D2323"/>
    <w:rsid w:val="000D3D3C"/>
    <w:rsid w:val="000D569E"/>
    <w:rsid w:val="000E37AA"/>
    <w:rsid w:val="000E6959"/>
    <w:rsid w:val="000E7B4D"/>
    <w:rsid w:val="000E7ED4"/>
    <w:rsid w:val="000F147D"/>
    <w:rsid w:val="000F3B57"/>
    <w:rsid w:val="000F41A3"/>
    <w:rsid w:val="000F440D"/>
    <w:rsid w:val="000F4483"/>
    <w:rsid w:val="000F5144"/>
    <w:rsid w:val="000F527F"/>
    <w:rsid w:val="000F70C0"/>
    <w:rsid w:val="000F7B0F"/>
    <w:rsid w:val="001029A8"/>
    <w:rsid w:val="00103415"/>
    <w:rsid w:val="00103D62"/>
    <w:rsid w:val="00103FA8"/>
    <w:rsid w:val="00104879"/>
    <w:rsid w:val="00105328"/>
    <w:rsid w:val="00105693"/>
    <w:rsid w:val="001061D4"/>
    <w:rsid w:val="00107C9E"/>
    <w:rsid w:val="00107EAF"/>
    <w:rsid w:val="00110AE1"/>
    <w:rsid w:val="00111156"/>
    <w:rsid w:val="001121BC"/>
    <w:rsid w:val="001124AB"/>
    <w:rsid w:val="001127EE"/>
    <w:rsid w:val="00114109"/>
    <w:rsid w:val="001160EB"/>
    <w:rsid w:val="00117118"/>
    <w:rsid w:val="00120BE3"/>
    <w:rsid w:val="00122BB8"/>
    <w:rsid w:val="00123C52"/>
    <w:rsid w:val="00126379"/>
    <w:rsid w:val="0012740D"/>
    <w:rsid w:val="001279CA"/>
    <w:rsid w:val="00131D2F"/>
    <w:rsid w:val="00132866"/>
    <w:rsid w:val="00132E0F"/>
    <w:rsid w:val="00133739"/>
    <w:rsid w:val="00140824"/>
    <w:rsid w:val="0014233D"/>
    <w:rsid w:val="00142460"/>
    <w:rsid w:val="00142487"/>
    <w:rsid w:val="00142BBE"/>
    <w:rsid w:val="00142C80"/>
    <w:rsid w:val="0014577A"/>
    <w:rsid w:val="001516EC"/>
    <w:rsid w:val="00151EE9"/>
    <w:rsid w:val="00155B0D"/>
    <w:rsid w:val="00155B88"/>
    <w:rsid w:val="00156761"/>
    <w:rsid w:val="00157128"/>
    <w:rsid w:val="00157EC8"/>
    <w:rsid w:val="00160520"/>
    <w:rsid w:val="00164372"/>
    <w:rsid w:val="00171D01"/>
    <w:rsid w:val="001728A6"/>
    <w:rsid w:val="00172F92"/>
    <w:rsid w:val="00172F9D"/>
    <w:rsid w:val="00173E94"/>
    <w:rsid w:val="0017705F"/>
    <w:rsid w:val="001812E2"/>
    <w:rsid w:val="00181730"/>
    <w:rsid w:val="00183634"/>
    <w:rsid w:val="00184506"/>
    <w:rsid w:val="001850A3"/>
    <w:rsid w:val="0018593C"/>
    <w:rsid w:val="001860B6"/>
    <w:rsid w:val="00186ABA"/>
    <w:rsid w:val="001872D9"/>
    <w:rsid w:val="00190BFB"/>
    <w:rsid w:val="00191ED7"/>
    <w:rsid w:val="00192656"/>
    <w:rsid w:val="001927D9"/>
    <w:rsid w:val="00192AB1"/>
    <w:rsid w:val="00193BB9"/>
    <w:rsid w:val="001940A4"/>
    <w:rsid w:val="00195435"/>
    <w:rsid w:val="001967D6"/>
    <w:rsid w:val="00196E5B"/>
    <w:rsid w:val="001A3135"/>
    <w:rsid w:val="001A3FF1"/>
    <w:rsid w:val="001A4390"/>
    <w:rsid w:val="001A5C0B"/>
    <w:rsid w:val="001A6ECA"/>
    <w:rsid w:val="001A79B6"/>
    <w:rsid w:val="001A7EBE"/>
    <w:rsid w:val="001B0779"/>
    <w:rsid w:val="001B1217"/>
    <w:rsid w:val="001B17E0"/>
    <w:rsid w:val="001B2FBB"/>
    <w:rsid w:val="001B3DB4"/>
    <w:rsid w:val="001B64A1"/>
    <w:rsid w:val="001C0932"/>
    <w:rsid w:val="001C18E2"/>
    <w:rsid w:val="001C2062"/>
    <w:rsid w:val="001C2312"/>
    <w:rsid w:val="001C276A"/>
    <w:rsid w:val="001C319A"/>
    <w:rsid w:val="001C3593"/>
    <w:rsid w:val="001C5881"/>
    <w:rsid w:val="001D3DF5"/>
    <w:rsid w:val="001D554D"/>
    <w:rsid w:val="001E0886"/>
    <w:rsid w:val="001E2A87"/>
    <w:rsid w:val="001E41DB"/>
    <w:rsid w:val="001E4A2E"/>
    <w:rsid w:val="001E659F"/>
    <w:rsid w:val="001E7AC2"/>
    <w:rsid w:val="001F3623"/>
    <w:rsid w:val="001F5095"/>
    <w:rsid w:val="001F5960"/>
    <w:rsid w:val="001F792E"/>
    <w:rsid w:val="001F7AEB"/>
    <w:rsid w:val="00201E15"/>
    <w:rsid w:val="00202BF5"/>
    <w:rsid w:val="00203591"/>
    <w:rsid w:val="002107B2"/>
    <w:rsid w:val="00211EFC"/>
    <w:rsid w:val="0021635E"/>
    <w:rsid w:val="002203AB"/>
    <w:rsid w:val="00221373"/>
    <w:rsid w:val="00221C98"/>
    <w:rsid w:val="0022402B"/>
    <w:rsid w:val="00235779"/>
    <w:rsid w:val="00235A03"/>
    <w:rsid w:val="00236B67"/>
    <w:rsid w:val="00237E37"/>
    <w:rsid w:val="00240BD1"/>
    <w:rsid w:val="00240E59"/>
    <w:rsid w:val="00240E86"/>
    <w:rsid w:val="002424E5"/>
    <w:rsid w:val="00245E71"/>
    <w:rsid w:val="00252183"/>
    <w:rsid w:val="00252D04"/>
    <w:rsid w:val="00255510"/>
    <w:rsid w:val="00256FFA"/>
    <w:rsid w:val="00262DE3"/>
    <w:rsid w:val="00263EBB"/>
    <w:rsid w:val="00267486"/>
    <w:rsid w:val="00267758"/>
    <w:rsid w:val="002743C3"/>
    <w:rsid w:val="002773A4"/>
    <w:rsid w:val="00277FB1"/>
    <w:rsid w:val="002806A5"/>
    <w:rsid w:val="00282709"/>
    <w:rsid w:val="00282807"/>
    <w:rsid w:val="00283C4E"/>
    <w:rsid w:val="0028759F"/>
    <w:rsid w:val="002910AB"/>
    <w:rsid w:val="00291691"/>
    <w:rsid w:val="0029327C"/>
    <w:rsid w:val="002939B4"/>
    <w:rsid w:val="00293FEC"/>
    <w:rsid w:val="00294CBD"/>
    <w:rsid w:val="00295B2D"/>
    <w:rsid w:val="00296AA3"/>
    <w:rsid w:val="002A133C"/>
    <w:rsid w:val="002A1B3D"/>
    <w:rsid w:val="002A3115"/>
    <w:rsid w:val="002A3D43"/>
    <w:rsid w:val="002B0A2C"/>
    <w:rsid w:val="002B4C4B"/>
    <w:rsid w:val="002B6437"/>
    <w:rsid w:val="002C052B"/>
    <w:rsid w:val="002C1384"/>
    <w:rsid w:val="002C1FA8"/>
    <w:rsid w:val="002C4B91"/>
    <w:rsid w:val="002C4EDD"/>
    <w:rsid w:val="002C60AD"/>
    <w:rsid w:val="002C74B0"/>
    <w:rsid w:val="002C7F45"/>
    <w:rsid w:val="002D0B31"/>
    <w:rsid w:val="002D1456"/>
    <w:rsid w:val="002D24AC"/>
    <w:rsid w:val="002D36DA"/>
    <w:rsid w:val="002D3778"/>
    <w:rsid w:val="002D3BBC"/>
    <w:rsid w:val="002D3E7E"/>
    <w:rsid w:val="002D45B4"/>
    <w:rsid w:val="002D4B62"/>
    <w:rsid w:val="002D539C"/>
    <w:rsid w:val="002D5902"/>
    <w:rsid w:val="002D6EFF"/>
    <w:rsid w:val="002D76CF"/>
    <w:rsid w:val="002E5050"/>
    <w:rsid w:val="002E52A1"/>
    <w:rsid w:val="002F0D46"/>
    <w:rsid w:val="002F2CEB"/>
    <w:rsid w:val="002F2CFA"/>
    <w:rsid w:val="002F3891"/>
    <w:rsid w:val="002F3B92"/>
    <w:rsid w:val="002F5423"/>
    <w:rsid w:val="002F77BF"/>
    <w:rsid w:val="00300265"/>
    <w:rsid w:val="0030275E"/>
    <w:rsid w:val="00302990"/>
    <w:rsid w:val="00304B0C"/>
    <w:rsid w:val="003076E0"/>
    <w:rsid w:val="003107C9"/>
    <w:rsid w:val="00311067"/>
    <w:rsid w:val="00312F3E"/>
    <w:rsid w:val="003145A5"/>
    <w:rsid w:val="003161CE"/>
    <w:rsid w:val="0031780B"/>
    <w:rsid w:val="00317AFF"/>
    <w:rsid w:val="00321D6D"/>
    <w:rsid w:val="003262C7"/>
    <w:rsid w:val="00326AAF"/>
    <w:rsid w:val="00326ECB"/>
    <w:rsid w:val="00330444"/>
    <w:rsid w:val="00331404"/>
    <w:rsid w:val="00331507"/>
    <w:rsid w:val="003333AF"/>
    <w:rsid w:val="003348B5"/>
    <w:rsid w:val="00334A8D"/>
    <w:rsid w:val="003352A9"/>
    <w:rsid w:val="00335DE6"/>
    <w:rsid w:val="003411FF"/>
    <w:rsid w:val="00342071"/>
    <w:rsid w:val="00342477"/>
    <w:rsid w:val="003428DF"/>
    <w:rsid w:val="003435A6"/>
    <w:rsid w:val="00343E54"/>
    <w:rsid w:val="00344D91"/>
    <w:rsid w:val="00345D7B"/>
    <w:rsid w:val="0034636A"/>
    <w:rsid w:val="00350C5B"/>
    <w:rsid w:val="00350EFF"/>
    <w:rsid w:val="00353AE0"/>
    <w:rsid w:val="003564AF"/>
    <w:rsid w:val="00356A92"/>
    <w:rsid w:val="00356DEC"/>
    <w:rsid w:val="00357296"/>
    <w:rsid w:val="003630F2"/>
    <w:rsid w:val="003635D3"/>
    <w:rsid w:val="00365D0A"/>
    <w:rsid w:val="00366433"/>
    <w:rsid w:val="0037057F"/>
    <w:rsid w:val="00370BC6"/>
    <w:rsid w:val="00373786"/>
    <w:rsid w:val="00373FCD"/>
    <w:rsid w:val="003758B1"/>
    <w:rsid w:val="00381BC0"/>
    <w:rsid w:val="00382574"/>
    <w:rsid w:val="00382F4F"/>
    <w:rsid w:val="003830AC"/>
    <w:rsid w:val="00384F78"/>
    <w:rsid w:val="0038711A"/>
    <w:rsid w:val="0039064D"/>
    <w:rsid w:val="003908FA"/>
    <w:rsid w:val="00393226"/>
    <w:rsid w:val="0039324D"/>
    <w:rsid w:val="00394C27"/>
    <w:rsid w:val="00395175"/>
    <w:rsid w:val="00395DCF"/>
    <w:rsid w:val="003962B1"/>
    <w:rsid w:val="003A12DC"/>
    <w:rsid w:val="003A1706"/>
    <w:rsid w:val="003A2DE3"/>
    <w:rsid w:val="003A61DE"/>
    <w:rsid w:val="003B2E3D"/>
    <w:rsid w:val="003B4A6B"/>
    <w:rsid w:val="003B602F"/>
    <w:rsid w:val="003C0692"/>
    <w:rsid w:val="003C1982"/>
    <w:rsid w:val="003C19D2"/>
    <w:rsid w:val="003C5EE2"/>
    <w:rsid w:val="003C614B"/>
    <w:rsid w:val="003D0725"/>
    <w:rsid w:val="003D0B78"/>
    <w:rsid w:val="003D1D1A"/>
    <w:rsid w:val="003D2714"/>
    <w:rsid w:val="003D4186"/>
    <w:rsid w:val="003D46E0"/>
    <w:rsid w:val="003D56B8"/>
    <w:rsid w:val="003D6805"/>
    <w:rsid w:val="003D7479"/>
    <w:rsid w:val="003D76B8"/>
    <w:rsid w:val="003D7851"/>
    <w:rsid w:val="003D7CE7"/>
    <w:rsid w:val="003E29F3"/>
    <w:rsid w:val="003E2F24"/>
    <w:rsid w:val="003E33F2"/>
    <w:rsid w:val="003E605F"/>
    <w:rsid w:val="003E6817"/>
    <w:rsid w:val="003E7B3A"/>
    <w:rsid w:val="003F0940"/>
    <w:rsid w:val="003F10C8"/>
    <w:rsid w:val="003F29BD"/>
    <w:rsid w:val="003F2B52"/>
    <w:rsid w:val="003F3961"/>
    <w:rsid w:val="003F3A03"/>
    <w:rsid w:val="003F6026"/>
    <w:rsid w:val="003F788D"/>
    <w:rsid w:val="00401405"/>
    <w:rsid w:val="0040287B"/>
    <w:rsid w:val="0040661C"/>
    <w:rsid w:val="004073B3"/>
    <w:rsid w:val="00410006"/>
    <w:rsid w:val="00412A83"/>
    <w:rsid w:val="004135B4"/>
    <w:rsid w:val="004140D9"/>
    <w:rsid w:val="00414CEC"/>
    <w:rsid w:val="00415A60"/>
    <w:rsid w:val="004211CC"/>
    <w:rsid w:val="004244EF"/>
    <w:rsid w:val="00424809"/>
    <w:rsid w:val="00424A0C"/>
    <w:rsid w:val="0043080F"/>
    <w:rsid w:val="00431BE9"/>
    <w:rsid w:val="00432A1F"/>
    <w:rsid w:val="004336EF"/>
    <w:rsid w:val="00433F6F"/>
    <w:rsid w:val="0043488A"/>
    <w:rsid w:val="00440B78"/>
    <w:rsid w:val="00440C41"/>
    <w:rsid w:val="00440DF2"/>
    <w:rsid w:val="00440F19"/>
    <w:rsid w:val="00442DFF"/>
    <w:rsid w:val="00444133"/>
    <w:rsid w:val="004506BE"/>
    <w:rsid w:val="004506FF"/>
    <w:rsid w:val="0045153E"/>
    <w:rsid w:val="004533D1"/>
    <w:rsid w:val="00455B73"/>
    <w:rsid w:val="0045718F"/>
    <w:rsid w:val="00457596"/>
    <w:rsid w:val="00457C94"/>
    <w:rsid w:val="00462366"/>
    <w:rsid w:val="004629D5"/>
    <w:rsid w:val="00463534"/>
    <w:rsid w:val="00463927"/>
    <w:rsid w:val="00464159"/>
    <w:rsid w:val="00470F61"/>
    <w:rsid w:val="00471691"/>
    <w:rsid w:val="004719CF"/>
    <w:rsid w:val="004724C4"/>
    <w:rsid w:val="0047340A"/>
    <w:rsid w:val="00473804"/>
    <w:rsid w:val="004743EC"/>
    <w:rsid w:val="004748B0"/>
    <w:rsid w:val="004843D0"/>
    <w:rsid w:val="004850C9"/>
    <w:rsid w:val="00485A15"/>
    <w:rsid w:val="00486B60"/>
    <w:rsid w:val="00486D77"/>
    <w:rsid w:val="004902F3"/>
    <w:rsid w:val="00491337"/>
    <w:rsid w:val="0049223A"/>
    <w:rsid w:val="00492496"/>
    <w:rsid w:val="00493BA3"/>
    <w:rsid w:val="00494271"/>
    <w:rsid w:val="004942F5"/>
    <w:rsid w:val="0049505F"/>
    <w:rsid w:val="004960B4"/>
    <w:rsid w:val="0049694C"/>
    <w:rsid w:val="004972B2"/>
    <w:rsid w:val="004A62DF"/>
    <w:rsid w:val="004A75BE"/>
    <w:rsid w:val="004B3120"/>
    <w:rsid w:val="004B3148"/>
    <w:rsid w:val="004B4CFF"/>
    <w:rsid w:val="004B54E9"/>
    <w:rsid w:val="004B565E"/>
    <w:rsid w:val="004B6A92"/>
    <w:rsid w:val="004B6F9C"/>
    <w:rsid w:val="004B7F99"/>
    <w:rsid w:val="004C0280"/>
    <w:rsid w:val="004C13E9"/>
    <w:rsid w:val="004C1A55"/>
    <w:rsid w:val="004C33AE"/>
    <w:rsid w:val="004C3A6B"/>
    <w:rsid w:val="004C42F0"/>
    <w:rsid w:val="004C43A4"/>
    <w:rsid w:val="004C4AF2"/>
    <w:rsid w:val="004C72C4"/>
    <w:rsid w:val="004C76CE"/>
    <w:rsid w:val="004D20EE"/>
    <w:rsid w:val="004D2666"/>
    <w:rsid w:val="004D3594"/>
    <w:rsid w:val="004D5951"/>
    <w:rsid w:val="004D6D25"/>
    <w:rsid w:val="004D7489"/>
    <w:rsid w:val="004D7840"/>
    <w:rsid w:val="004E04F7"/>
    <w:rsid w:val="004E0B84"/>
    <w:rsid w:val="004E10F5"/>
    <w:rsid w:val="004E15D9"/>
    <w:rsid w:val="004E1A44"/>
    <w:rsid w:val="004E1F1C"/>
    <w:rsid w:val="004E3251"/>
    <w:rsid w:val="004E3AF1"/>
    <w:rsid w:val="004E6544"/>
    <w:rsid w:val="004E697C"/>
    <w:rsid w:val="004E7802"/>
    <w:rsid w:val="004F009B"/>
    <w:rsid w:val="004F1B57"/>
    <w:rsid w:val="004F207A"/>
    <w:rsid w:val="004F2401"/>
    <w:rsid w:val="004F3A1D"/>
    <w:rsid w:val="005027B4"/>
    <w:rsid w:val="00504773"/>
    <w:rsid w:val="005068BC"/>
    <w:rsid w:val="00507161"/>
    <w:rsid w:val="00507773"/>
    <w:rsid w:val="00511B5F"/>
    <w:rsid w:val="00513606"/>
    <w:rsid w:val="0051385A"/>
    <w:rsid w:val="00513BDD"/>
    <w:rsid w:val="00516D73"/>
    <w:rsid w:val="0052293F"/>
    <w:rsid w:val="00522F6B"/>
    <w:rsid w:val="00523110"/>
    <w:rsid w:val="0052491C"/>
    <w:rsid w:val="005251C1"/>
    <w:rsid w:val="00526766"/>
    <w:rsid w:val="005268E0"/>
    <w:rsid w:val="00526A34"/>
    <w:rsid w:val="00527744"/>
    <w:rsid w:val="00527DB2"/>
    <w:rsid w:val="005313CD"/>
    <w:rsid w:val="00531980"/>
    <w:rsid w:val="00533531"/>
    <w:rsid w:val="00533650"/>
    <w:rsid w:val="00533F72"/>
    <w:rsid w:val="0053661C"/>
    <w:rsid w:val="00536A57"/>
    <w:rsid w:val="00537979"/>
    <w:rsid w:val="005401FF"/>
    <w:rsid w:val="00540FBE"/>
    <w:rsid w:val="00541033"/>
    <w:rsid w:val="005422E3"/>
    <w:rsid w:val="00542A0E"/>
    <w:rsid w:val="005444C1"/>
    <w:rsid w:val="00545905"/>
    <w:rsid w:val="0054615B"/>
    <w:rsid w:val="005472A5"/>
    <w:rsid w:val="005500FB"/>
    <w:rsid w:val="00550C78"/>
    <w:rsid w:val="00551DFD"/>
    <w:rsid w:val="00552952"/>
    <w:rsid w:val="00552B5F"/>
    <w:rsid w:val="00556A44"/>
    <w:rsid w:val="005574ED"/>
    <w:rsid w:val="00557E06"/>
    <w:rsid w:val="005603CF"/>
    <w:rsid w:val="00560A87"/>
    <w:rsid w:val="00560D94"/>
    <w:rsid w:val="0056541D"/>
    <w:rsid w:val="005654AC"/>
    <w:rsid w:val="00565B49"/>
    <w:rsid w:val="0056627B"/>
    <w:rsid w:val="005670C9"/>
    <w:rsid w:val="00567462"/>
    <w:rsid w:val="00567D9E"/>
    <w:rsid w:val="00570EF9"/>
    <w:rsid w:val="00571364"/>
    <w:rsid w:val="005724D5"/>
    <w:rsid w:val="00573797"/>
    <w:rsid w:val="00575D97"/>
    <w:rsid w:val="005762C3"/>
    <w:rsid w:val="005779AE"/>
    <w:rsid w:val="00580587"/>
    <w:rsid w:val="00581310"/>
    <w:rsid w:val="0058143D"/>
    <w:rsid w:val="005822A8"/>
    <w:rsid w:val="00582E12"/>
    <w:rsid w:val="0058385E"/>
    <w:rsid w:val="00585AC6"/>
    <w:rsid w:val="00586C9A"/>
    <w:rsid w:val="0059503F"/>
    <w:rsid w:val="0059545D"/>
    <w:rsid w:val="005979DC"/>
    <w:rsid w:val="005A202E"/>
    <w:rsid w:val="005A21E3"/>
    <w:rsid w:val="005A2CE2"/>
    <w:rsid w:val="005A2E6F"/>
    <w:rsid w:val="005A37D0"/>
    <w:rsid w:val="005A4D3F"/>
    <w:rsid w:val="005A6D6C"/>
    <w:rsid w:val="005A6DB6"/>
    <w:rsid w:val="005A6ED8"/>
    <w:rsid w:val="005B2A61"/>
    <w:rsid w:val="005B3CB6"/>
    <w:rsid w:val="005B5439"/>
    <w:rsid w:val="005B78D2"/>
    <w:rsid w:val="005C028E"/>
    <w:rsid w:val="005C2D90"/>
    <w:rsid w:val="005C3EB9"/>
    <w:rsid w:val="005C5DA2"/>
    <w:rsid w:val="005C5DC2"/>
    <w:rsid w:val="005D191C"/>
    <w:rsid w:val="005D31CF"/>
    <w:rsid w:val="005D6837"/>
    <w:rsid w:val="005D6C4C"/>
    <w:rsid w:val="005E0D33"/>
    <w:rsid w:val="005E2835"/>
    <w:rsid w:val="005E2D1E"/>
    <w:rsid w:val="005E3B88"/>
    <w:rsid w:val="005E4997"/>
    <w:rsid w:val="005E61F9"/>
    <w:rsid w:val="005E7CE3"/>
    <w:rsid w:val="005F02D7"/>
    <w:rsid w:val="005F0430"/>
    <w:rsid w:val="005F08EC"/>
    <w:rsid w:val="005F1189"/>
    <w:rsid w:val="005F3BA5"/>
    <w:rsid w:val="005F589F"/>
    <w:rsid w:val="005F6B60"/>
    <w:rsid w:val="006007A2"/>
    <w:rsid w:val="0060301F"/>
    <w:rsid w:val="00605435"/>
    <w:rsid w:val="006109C1"/>
    <w:rsid w:val="006116F4"/>
    <w:rsid w:val="006138F4"/>
    <w:rsid w:val="006144EC"/>
    <w:rsid w:val="00614965"/>
    <w:rsid w:val="00614ADC"/>
    <w:rsid w:val="00616877"/>
    <w:rsid w:val="00617EEA"/>
    <w:rsid w:val="006216E7"/>
    <w:rsid w:val="0062250B"/>
    <w:rsid w:val="00622A95"/>
    <w:rsid w:val="00623ABC"/>
    <w:rsid w:val="0062477F"/>
    <w:rsid w:val="00624EE3"/>
    <w:rsid w:val="00625224"/>
    <w:rsid w:val="00626F2D"/>
    <w:rsid w:val="00627316"/>
    <w:rsid w:val="006316CF"/>
    <w:rsid w:val="006359D1"/>
    <w:rsid w:val="00640DE1"/>
    <w:rsid w:val="0064157C"/>
    <w:rsid w:val="00642566"/>
    <w:rsid w:val="006433EC"/>
    <w:rsid w:val="00643D8A"/>
    <w:rsid w:val="0064473F"/>
    <w:rsid w:val="00644D63"/>
    <w:rsid w:val="0064745E"/>
    <w:rsid w:val="00650116"/>
    <w:rsid w:val="00650ADB"/>
    <w:rsid w:val="00651FBE"/>
    <w:rsid w:val="00653904"/>
    <w:rsid w:val="006539B9"/>
    <w:rsid w:val="00655C16"/>
    <w:rsid w:val="00656049"/>
    <w:rsid w:val="0065606C"/>
    <w:rsid w:val="00657714"/>
    <w:rsid w:val="00657EA3"/>
    <w:rsid w:val="00662179"/>
    <w:rsid w:val="00663C13"/>
    <w:rsid w:val="00664E7A"/>
    <w:rsid w:val="00666135"/>
    <w:rsid w:val="0066666C"/>
    <w:rsid w:val="006679B5"/>
    <w:rsid w:val="00667ED8"/>
    <w:rsid w:val="00670193"/>
    <w:rsid w:val="00670A1B"/>
    <w:rsid w:val="006719FE"/>
    <w:rsid w:val="00671DB1"/>
    <w:rsid w:val="00672440"/>
    <w:rsid w:val="006728B5"/>
    <w:rsid w:val="006732BB"/>
    <w:rsid w:val="006740F7"/>
    <w:rsid w:val="00674B33"/>
    <w:rsid w:val="0067564A"/>
    <w:rsid w:val="0068171B"/>
    <w:rsid w:val="006858AF"/>
    <w:rsid w:val="006865EA"/>
    <w:rsid w:val="00686D67"/>
    <w:rsid w:val="0069046D"/>
    <w:rsid w:val="00694205"/>
    <w:rsid w:val="00696D0B"/>
    <w:rsid w:val="006A20D1"/>
    <w:rsid w:val="006A3BBC"/>
    <w:rsid w:val="006A427D"/>
    <w:rsid w:val="006A7E2E"/>
    <w:rsid w:val="006B06A3"/>
    <w:rsid w:val="006B08D7"/>
    <w:rsid w:val="006B1B86"/>
    <w:rsid w:val="006B25FE"/>
    <w:rsid w:val="006B2F1C"/>
    <w:rsid w:val="006B428F"/>
    <w:rsid w:val="006B52B0"/>
    <w:rsid w:val="006B5962"/>
    <w:rsid w:val="006B5B2D"/>
    <w:rsid w:val="006B5E23"/>
    <w:rsid w:val="006B6DE4"/>
    <w:rsid w:val="006C1C90"/>
    <w:rsid w:val="006C425B"/>
    <w:rsid w:val="006C4D85"/>
    <w:rsid w:val="006C4D8A"/>
    <w:rsid w:val="006C5037"/>
    <w:rsid w:val="006C59BD"/>
    <w:rsid w:val="006C6A36"/>
    <w:rsid w:val="006C7EDF"/>
    <w:rsid w:val="006D0081"/>
    <w:rsid w:val="006D0624"/>
    <w:rsid w:val="006D0AF4"/>
    <w:rsid w:val="006D2E8E"/>
    <w:rsid w:val="006D7649"/>
    <w:rsid w:val="006E035E"/>
    <w:rsid w:val="006E0C7D"/>
    <w:rsid w:val="006E3EA5"/>
    <w:rsid w:val="006E603E"/>
    <w:rsid w:val="006E6B2E"/>
    <w:rsid w:val="006E7F9A"/>
    <w:rsid w:val="006F1A0B"/>
    <w:rsid w:val="006F39D6"/>
    <w:rsid w:val="006F4FF6"/>
    <w:rsid w:val="006F546F"/>
    <w:rsid w:val="006F6F4E"/>
    <w:rsid w:val="007007C0"/>
    <w:rsid w:val="00700D5B"/>
    <w:rsid w:val="00701DD2"/>
    <w:rsid w:val="00703C57"/>
    <w:rsid w:val="0070452E"/>
    <w:rsid w:val="00705307"/>
    <w:rsid w:val="00705C49"/>
    <w:rsid w:val="00710304"/>
    <w:rsid w:val="0071097C"/>
    <w:rsid w:val="007109BB"/>
    <w:rsid w:val="00710A14"/>
    <w:rsid w:val="00710DF6"/>
    <w:rsid w:val="00711502"/>
    <w:rsid w:val="0071327A"/>
    <w:rsid w:val="00714F7A"/>
    <w:rsid w:val="007156A6"/>
    <w:rsid w:val="00722B1B"/>
    <w:rsid w:val="0072677B"/>
    <w:rsid w:val="007267EC"/>
    <w:rsid w:val="00731723"/>
    <w:rsid w:val="00732BBD"/>
    <w:rsid w:val="00733BB5"/>
    <w:rsid w:val="00734566"/>
    <w:rsid w:val="007355F3"/>
    <w:rsid w:val="007360D9"/>
    <w:rsid w:val="00740175"/>
    <w:rsid w:val="0074099B"/>
    <w:rsid w:val="00743F53"/>
    <w:rsid w:val="0074600A"/>
    <w:rsid w:val="00752B90"/>
    <w:rsid w:val="00752E78"/>
    <w:rsid w:val="007534BD"/>
    <w:rsid w:val="00756612"/>
    <w:rsid w:val="007571F3"/>
    <w:rsid w:val="00762126"/>
    <w:rsid w:val="00762FF5"/>
    <w:rsid w:val="00763E92"/>
    <w:rsid w:val="007646FE"/>
    <w:rsid w:val="00764A07"/>
    <w:rsid w:val="00765FF6"/>
    <w:rsid w:val="007660C4"/>
    <w:rsid w:val="007737FB"/>
    <w:rsid w:val="00774941"/>
    <w:rsid w:val="00775421"/>
    <w:rsid w:val="00776D56"/>
    <w:rsid w:val="00780475"/>
    <w:rsid w:val="007804E6"/>
    <w:rsid w:val="00780C31"/>
    <w:rsid w:val="0078284E"/>
    <w:rsid w:val="00782C46"/>
    <w:rsid w:val="007833B9"/>
    <w:rsid w:val="00784D7A"/>
    <w:rsid w:val="00785F79"/>
    <w:rsid w:val="00790D3F"/>
    <w:rsid w:val="00792A72"/>
    <w:rsid w:val="00793111"/>
    <w:rsid w:val="00793726"/>
    <w:rsid w:val="007945B6"/>
    <w:rsid w:val="007A2732"/>
    <w:rsid w:val="007A2B2D"/>
    <w:rsid w:val="007A3FBF"/>
    <w:rsid w:val="007A5091"/>
    <w:rsid w:val="007A5D7F"/>
    <w:rsid w:val="007A6A0B"/>
    <w:rsid w:val="007A7984"/>
    <w:rsid w:val="007B135F"/>
    <w:rsid w:val="007B2B55"/>
    <w:rsid w:val="007B3C14"/>
    <w:rsid w:val="007B774E"/>
    <w:rsid w:val="007C0882"/>
    <w:rsid w:val="007C1043"/>
    <w:rsid w:val="007C14DF"/>
    <w:rsid w:val="007C32D4"/>
    <w:rsid w:val="007C4161"/>
    <w:rsid w:val="007C4BE1"/>
    <w:rsid w:val="007C51EF"/>
    <w:rsid w:val="007C6F74"/>
    <w:rsid w:val="007C7751"/>
    <w:rsid w:val="007D20E3"/>
    <w:rsid w:val="007D419F"/>
    <w:rsid w:val="007D4228"/>
    <w:rsid w:val="007D6949"/>
    <w:rsid w:val="007D6D69"/>
    <w:rsid w:val="007D6F29"/>
    <w:rsid w:val="007D735A"/>
    <w:rsid w:val="007D7F61"/>
    <w:rsid w:val="007E0DDC"/>
    <w:rsid w:val="007E2044"/>
    <w:rsid w:val="007E20EC"/>
    <w:rsid w:val="007E4E64"/>
    <w:rsid w:val="007F0584"/>
    <w:rsid w:val="007F093A"/>
    <w:rsid w:val="007F11B8"/>
    <w:rsid w:val="007F3EEA"/>
    <w:rsid w:val="007F5E1E"/>
    <w:rsid w:val="007F65C7"/>
    <w:rsid w:val="008023FD"/>
    <w:rsid w:val="00802845"/>
    <w:rsid w:val="00803299"/>
    <w:rsid w:val="008139F4"/>
    <w:rsid w:val="00816216"/>
    <w:rsid w:val="008165EA"/>
    <w:rsid w:val="00816907"/>
    <w:rsid w:val="00816CF0"/>
    <w:rsid w:val="0081790A"/>
    <w:rsid w:val="00821CF3"/>
    <w:rsid w:val="0082217E"/>
    <w:rsid w:val="00822E49"/>
    <w:rsid w:val="00822E96"/>
    <w:rsid w:val="00824063"/>
    <w:rsid w:val="00825D16"/>
    <w:rsid w:val="008267EE"/>
    <w:rsid w:val="00826BB1"/>
    <w:rsid w:val="00827717"/>
    <w:rsid w:val="00830A74"/>
    <w:rsid w:val="008316EF"/>
    <w:rsid w:val="0083273C"/>
    <w:rsid w:val="008331C1"/>
    <w:rsid w:val="008350C5"/>
    <w:rsid w:val="008379B1"/>
    <w:rsid w:val="008424D3"/>
    <w:rsid w:val="00842FF3"/>
    <w:rsid w:val="00846C3B"/>
    <w:rsid w:val="00850C34"/>
    <w:rsid w:val="00850F04"/>
    <w:rsid w:val="00851B1A"/>
    <w:rsid w:val="00851C29"/>
    <w:rsid w:val="00852756"/>
    <w:rsid w:val="0085309B"/>
    <w:rsid w:val="008543E1"/>
    <w:rsid w:val="008549B6"/>
    <w:rsid w:val="0085725A"/>
    <w:rsid w:val="0086068B"/>
    <w:rsid w:val="008620B4"/>
    <w:rsid w:val="00862B0B"/>
    <w:rsid w:val="00865910"/>
    <w:rsid w:val="00870DBE"/>
    <w:rsid w:val="008723EF"/>
    <w:rsid w:val="0087301D"/>
    <w:rsid w:val="00873818"/>
    <w:rsid w:val="00873F7F"/>
    <w:rsid w:val="00874239"/>
    <w:rsid w:val="00874269"/>
    <w:rsid w:val="008778C0"/>
    <w:rsid w:val="00877A6D"/>
    <w:rsid w:val="00881AFF"/>
    <w:rsid w:val="00882301"/>
    <w:rsid w:val="00886903"/>
    <w:rsid w:val="00890F00"/>
    <w:rsid w:val="0089283A"/>
    <w:rsid w:val="00894204"/>
    <w:rsid w:val="00895A94"/>
    <w:rsid w:val="00895E83"/>
    <w:rsid w:val="00896702"/>
    <w:rsid w:val="0089696C"/>
    <w:rsid w:val="00897A46"/>
    <w:rsid w:val="008A12DA"/>
    <w:rsid w:val="008A4677"/>
    <w:rsid w:val="008A5DB2"/>
    <w:rsid w:val="008B092F"/>
    <w:rsid w:val="008B09EE"/>
    <w:rsid w:val="008B1A1A"/>
    <w:rsid w:val="008B1FF2"/>
    <w:rsid w:val="008B2496"/>
    <w:rsid w:val="008B4BFE"/>
    <w:rsid w:val="008B7A72"/>
    <w:rsid w:val="008B7D97"/>
    <w:rsid w:val="008C10FC"/>
    <w:rsid w:val="008C255E"/>
    <w:rsid w:val="008C48B6"/>
    <w:rsid w:val="008C7062"/>
    <w:rsid w:val="008D1E50"/>
    <w:rsid w:val="008D51B8"/>
    <w:rsid w:val="008E0178"/>
    <w:rsid w:val="008E0B6D"/>
    <w:rsid w:val="008E1F7D"/>
    <w:rsid w:val="008E6C46"/>
    <w:rsid w:val="008E79E3"/>
    <w:rsid w:val="008F30B6"/>
    <w:rsid w:val="008F3574"/>
    <w:rsid w:val="008F4657"/>
    <w:rsid w:val="0090042E"/>
    <w:rsid w:val="00901597"/>
    <w:rsid w:val="00904A3E"/>
    <w:rsid w:val="0090552B"/>
    <w:rsid w:val="0090687A"/>
    <w:rsid w:val="00907144"/>
    <w:rsid w:val="009078EE"/>
    <w:rsid w:val="00907A65"/>
    <w:rsid w:val="00910DEE"/>
    <w:rsid w:val="009126EA"/>
    <w:rsid w:val="00913362"/>
    <w:rsid w:val="009140C4"/>
    <w:rsid w:val="00916593"/>
    <w:rsid w:val="00916B1C"/>
    <w:rsid w:val="00916DBA"/>
    <w:rsid w:val="00917B7E"/>
    <w:rsid w:val="009215B7"/>
    <w:rsid w:val="00922C46"/>
    <w:rsid w:val="00923BDB"/>
    <w:rsid w:val="009242EA"/>
    <w:rsid w:val="00924381"/>
    <w:rsid w:val="00925988"/>
    <w:rsid w:val="00927DD1"/>
    <w:rsid w:val="00931079"/>
    <w:rsid w:val="009314BE"/>
    <w:rsid w:val="00931BAE"/>
    <w:rsid w:val="00931E54"/>
    <w:rsid w:val="00932281"/>
    <w:rsid w:val="00933384"/>
    <w:rsid w:val="00934D2C"/>
    <w:rsid w:val="00934E0C"/>
    <w:rsid w:val="00935407"/>
    <w:rsid w:val="009402A5"/>
    <w:rsid w:val="009411A4"/>
    <w:rsid w:val="009422D4"/>
    <w:rsid w:val="009427B5"/>
    <w:rsid w:val="009457DA"/>
    <w:rsid w:val="00945BA6"/>
    <w:rsid w:val="0095041C"/>
    <w:rsid w:val="00953A46"/>
    <w:rsid w:val="009548A5"/>
    <w:rsid w:val="009550FD"/>
    <w:rsid w:val="00955DFC"/>
    <w:rsid w:val="00956FEF"/>
    <w:rsid w:val="0096111A"/>
    <w:rsid w:val="009611A2"/>
    <w:rsid w:val="009642B6"/>
    <w:rsid w:val="009668CA"/>
    <w:rsid w:val="0097078C"/>
    <w:rsid w:val="00972799"/>
    <w:rsid w:val="00974A56"/>
    <w:rsid w:val="00976D34"/>
    <w:rsid w:val="00977E8D"/>
    <w:rsid w:val="0098078B"/>
    <w:rsid w:val="00986440"/>
    <w:rsid w:val="00986A33"/>
    <w:rsid w:val="00990872"/>
    <w:rsid w:val="00991F79"/>
    <w:rsid w:val="0099624C"/>
    <w:rsid w:val="00996906"/>
    <w:rsid w:val="00997435"/>
    <w:rsid w:val="00997FBF"/>
    <w:rsid w:val="009A0674"/>
    <w:rsid w:val="009A31D3"/>
    <w:rsid w:val="009A550B"/>
    <w:rsid w:val="009A58AB"/>
    <w:rsid w:val="009A5B98"/>
    <w:rsid w:val="009A6558"/>
    <w:rsid w:val="009A67AF"/>
    <w:rsid w:val="009A6C69"/>
    <w:rsid w:val="009A6CCE"/>
    <w:rsid w:val="009A7545"/>
    <w:rsid w:val="009A7798"/>
    <w:rsid w:val="009B2719"/>
    <w:rsid w:val="009B293C"/>
    <w:rsid w:val="009B2DDF"/>
    <w:rsid w:val="009B415A"/>
    <w:rsid w:val="009B472A"/>
    <w:rsid w:val="009B6F4F"/>
    <w:rsid w:val="009B78DB"/>
    <w:rsid w:val="009C0F45"/>
    <w:rsid w:val="009C37F6"/>
    <w:rsid w:val="009C64EC"/>
    <w:rsid w:val="009C7554"/>
    <w:rsid w:val="009D05C1"/>
    <w:rsid w:val="009D0CF4"/>
    <w:rsid w:val="009D15B0"/>
    <w:rsid w:val="009D3471"/>
    <w:rsid w:val="009D69ED"/>
    <w:rsid w:val="009E0E59"/>
    <w:rsid w:val="009E0F04"/>
    <w:rsid w:val="009E2233"/>
    <w:rsid w:val="009E232C"/>
    <w:rsid w:val="009E3402"/>
    <w:rsid w:val="009E3473"/>
    <w:rsid w:val="009E3CCC"/>
    <w:rsid w:val="009E4101"/>
    <w:rsid w:val="009E49FB"/>
    <w:rsid w:val="009E4F91"/>
    <w:rsid w:val="009E5DAB"/>
    <w:rsid w:val="009F0978"/>
    <w:rsid w:val="009F163B"/>
    <w:rsid w:val="009F1D76"/>
    <w:rsid w:val="009F5450"/>
    <w:rsid w:val="009F7580"/>
    <w:rsid w:val="00A00B13"/>
    <w:rsid w:val="00A01D8D"/>
    <w:rsid w:val="00A02ED9"/>
    <w:rsid w:val="00A044B5"/>
    <w:rsid w:val="00A04892"/>
    <w:rsid w:val="00A05E96"/>
    <w:rsid w:val="00A061FC"/>
    <w:rsid w:val="00A0725F"/>
    <w:rsid w:val="00A07390"/>
    <w:rsid w:val="00A0798E"/>
    <w:rsid w:val="00A13335"/>
    <w:rsid w:val="00A15BB3"/>
    <w:rsid w:val="00A16CF2"/>
    <w:rsid w:val="00A24A10"/>
    <w:rsid w:val="00A24FE8"/>
    <w:rsid w:val="00A253B3"/>
    <w:rsid w:val="00A26AB4"/>
    <w:rsid w:val="00A270B9"/>
    <w:rsid w:val="00A30A00"/>
    <w:rsid w:val="00A344EF"/>
    <w:rsid w:val="00A368B5"/>
    <w:rsid w:val="00A40ACE"/>
    <w:rsid w:val="00A41AB8"/>
    <w:rsid w:val="00A423C8"/>
    <w:rsid w:val="00A427FF"/>
    <w:rsid w:val="00A42B52"/>
    <w:rsid w:val="00A452C1"/>
    <w:rsid w:val="00A45DA3"/>
    <w:rsid w:val="00A52B82"/>
    <w:rsid w:val="00A52BC4"/>
    <w:rsid w:val="00A5314E"/>
    <w:rsid w:val="00A57FB9"/>
    <w:rsid w:val="00A653BB"/>
    <w:rsid w:val="00A65574"/>
    <w:rsid w:val="00A67011"/>
    <w:rsid w:val="00A677A4"/>
    <w:rsid w:val="00A71BD5"/>
    <w:rsid w:val="00A7220F"/>
    <w:rsid w:val="00A74CBD"/>
    <w:rsid w:val="00A75E22"/>
    <w:rsid w:val="00A76206"/>
    <w:rsid w:val="00A80344"/>
    <w:rsid w:val="00A80911"/>
    <w:rsid w:val="00A80F35"/>
    <w:rsid w:val="00A811DB"/>
    <w:rsid w:val="00A81C90"/>
    <w:rsid w:val="00A83E9B"/>
    <w:rsid w:val="00A863A7"/>
    <w:rsid w:val="00A87398"/>
    <w:rsid w:val="00A875E0"/>
    <w:rsid w:val="00A90637"/>
    <w:rsid w:val="00A93989"/>
    <w:rsid w:val="00A96545"/>
    <w:rsid w:val="00AA0138"/>
    <w:rsid w:val="00AA06BA"/>
    <w:rsid w:val="00AA181D"/>
    <w:rsid w:val="00AA2955"/>
    <w:rsid w:val="00AA2AD3"/>
    <w:rsid w:val="00AA489D"/>
    <w:rsid w:val="00AA4A92"/>
    <w:rsid w:val="00AA52CC"/>
    <w:rsid w:val="00AB3FDB"/>
    <w:rsid w:val="00AB431D"/>
    <w:rsid w:val="00AB49FC"/>
    <w:rsid w:val="00AB4F81"/>
    <w:rsid w:val="00AB58C7"/>
    <w:rsid w:val="00AB6652"/>
    <w:rsid w:val="00AB78C7"/>
    <w:rsid w:val="00AB7DCC"/>
    <w:rsid w:val="00AC2467"/>
    <w:rsid w:val="00AC2C37"/>
    <w:rsid w:val="00AC3066"/>
    <w:rsid w:val="00AC5F56"/>
    <w:rsid w:val="00AC65C2"/>
    <w:rsid w:val="00AD2E39"/>
    <w:rsid w:val="00AD6C78"/>
    <w:rsid w:val="00AD751F"/>
    <w:rsid w:val="00AD76E8"/>
    <w:rsid w:val="00AE4A24"/>
    <w:rsid w:val="00AF0257"/>
    <w:rsid w:val="00AF0D8C"/>
    <w:rsid w:val="00AF2026"/>
    <w:rsid w:val="00AF2AA7"/>
    <w:rsid w:val="00AF2F09"/>
    <w:rsid w:val="00AF4E8C"/>
    <w:rsid w:val="00B01BE5"/>
    <w:rsid w:val="00B01D33"/>
    <w:rsid w:val="00B02D4F"/>
    <w:rsid w:val="00B037C8"/>
    <w:rsid w:val="00B058BC"/>
    <w:rsid w:val="00B14DDE"/>
    <w:rsid w:val="00B15E75"/>
    <w:rsid w:val="00B16C25"/>
    <w:rsid w:val="00B224F4"/>
    <w:rsid w:val="00B22D2B"/>
    <w:rsid w:val="00B23051"/>
    <w:rsid w:val="00B235ED"/>
    <w:rsid w:val="00B23854"/>
    <w:rsid w:val="00B24F71"/>
    <w:rsid w:val="00B251A2"/>
    <w:rsid w:val="00B25A6D"/>
    <w:rsid w:val="00B2605C"/>
    <w:rsid w:val="00B26064"/>
    <w:rsid w:val="00B269B5"/>
    <w:rsid w:val="00B26E22"/>
    <w:rsid w:val="00B30435"/>
    <w:rsid w:val="00B30453"/>
    <w:rsid w:val="00B314C5"/>
    <w:rsid w:val="00B331CF"/>
    <w:rsid w:val="00B33D84"/>
    <w:rsid w:val="00B355DA"/>
    <w:rsid w:val="00B42CA7"/>
    <w:rsid w:val="00B4425C"/>
    <w:rsid w:val="00B47183"/>
    <w:rsid w:val="00B474C7"/>
    <w:rsid w:val="00B503F9"/>
    <w:rsid w:val="00B51293"/>
    <w:rsid w:val="00B514B8"/>
    <w:rsid w:val="00B525C1"/>
    <w:rsid w:val="00B53292"/>
    <w:rsid w:val="00B53A72"/>
    <w:rsid w:val="00B54516"/>
    <w:rsid w:val="00B553F8"/>
    <w:rsid w:val="00B55B1A"/>
    <w:rsid w:val="00B57015"/>
    <w:rsid w:val="00B5755B"/>
    <w:rsid w:val="00B61D84"/>
    <w:rsid w:val="00B620A5"/>
    <w:rsid w:val="00B627D0"/>
    <w:rsid w:val="00B638BA"/>
    <w:rsid w:val="00B647EA"/>
    <w:rsid w:val="00B64C23"/>
    <w:rsid w:val="00B64E37"/>
    <w:rsid w:val="00B65636"/>
    <w:rsid w:val="00B657AC"/>
    <w:rsid w:val="00B703D9"/>
    <w:rsid w:val="00B70451"/>
    <w:rsid w:val="00B705F1"/>
    <w:rsid w:val="00B719E8"/>
    <w:rsid w:val="00B72BF0"/>
    <w:rsid w:val="00B730A9"/>
    <w:rsid w:val="00B7537C"/>
    <w:rsid w:val="00B75B52"/>
    <w:rsid w:val="00B802D2"/>
    <w:rsid w:val="00B80B2A"/>
    <w:rsid w:val="00B84645"/>
    <w:rsid w:val="00B84970"/>
    <w:rsid w:val="00B861F8"/>
    <w:rsid w:val="00B8792C"/>
    <w:rsid w:val="00B90EF9"/>
    <w:rsid w:val="00B93E0C"/>
    <w:rsid w:val="00B93E93"/>
    <w:rsid w:val="00B940C6"/>
    <w:rsid w:val="00B9536C"/>
    <w:rsid w:val="00B96633"/>
    <w:rsid w:val="00BA79D9"/>
    <w:rsid w:val="00BB0F16"/>
    <w:rsid w:val="00BB13D2"/>
    <w:rsid w:val="00BB2FE6"/>
    <w:rsid w:val="00BB32B9"/>
    <w:rsid w:val="00BB56BD"/>
    <w:rsid w:val="00BC1999"/>
    <w:rsid w:val="00BC285D"/>
    <w:rsid w:val="00BC4296"/>
    <w:rsid w:val="00BC44A2"/>
    <w:rsid w:val="00BC4A75"/>
    <w:rsid w:val="00BC6153"/>
    <w:rsid w:val="00BC61CD"/>
    <w:rsid w:val="00BC6298"/>
    <w:rsid w:val="00BC62C3"/>
    <w:rsid w:val="00BC798A"/>
    <w:rsid w:val="00BD038E"/>
    <w:rsid w:val="00BD2529"/>
    <w:rsid w:val="00BD272F"/>
    <w:rsid w:val="00BD598C"/>
    <w:rsid w:val="00BD7AEB"/>
    <w:rsid w:val="00BE0542"/>
    <w:rsid w:val="00BE1614"/>
    <w:rsid w:val="00BE2FB1"/>
    <w:rsid w:val="00BE5E61"/>
    <w:rsid w:val="00BE64B5"/>
    <w:rsid w:val="00BE6ECE"/>
    <w:rsid w:val="00BF278F"/>
    <w:rsid w:val="00BF4CEF"/>
    <w:rsid w:val="00BF4EE7"/>
    <w:rsid w:val="00BF5D15"/>
    <w:rsid w:val="00BF6B43"/>
    <w:rsid w:val="00BF7208"/>
    <w:rsid w:val="00C03B2D"/>
    <w:rsid w:val="00C03C20"/>
    <w:rsid w:val="00C0413C"/>
    <w:rsid w:val="00C04418"/>
    <w:rsid w:val="00C054C7"/>
    <w:rsid w:val="00C06758"/>
    <w:rsid w:val="00C128C6"/>
    <w:rsid w:val="00C152E8"/>
    <w:rsid w:val="00C16784"/>
    <w:rsid w:val="00C222BF"/>
    <w:rsid w:val="00C23EC6"/>
    <w:rsid w:val="00C25332"/>
    <w:rsid w:val="00C2637F"/>
    <w:rsid w:val="00C307D6"/>
    <w:rsid w:val="00C30B4B"/>
    <w:rsid w:val="00C3290A"/>
    <w:rsid w:val="00C3387C"/>
    <w:rsid w:val="00C34B0A"/>
    <w:rsid w:val="00C357BB"/>
    <w:rsid w:val="00C36EEA"/>
    <w:rsid w:val="00C371D5"/>
    <w:rsid w:val="00C402A6"/>
    <w:rsid w:val="00C40BB5"/>
    <w:rsid w:val="00C43F05"/>
    <w:rsid w:val="00C45C8E"/>
    <w:rsid w:val="00C4655D"/>
    <w:rsid w:val="00C46A44"/>
    <w:rsid w:val="00C46AF8"/>
    <w:rsid w:val="00C47133"/>
    <w:rsid w:val="00C477F3"/>
    <w:rsid w:val="00C47F41"/>
    <w:rsid w:val="00C508E4"/>
    <w:rsid w:val="00C5468E"/>
    <w:rsid w:val="00C54C77"/>
    <w:rsid w:val="00C54E4F"/>
    <w:rsid w:val="00C61BE9"/>
    <w:rsid w:val="00C61C97"/>
    <w:rsid w:val="00C62834"/>
    <w:rsid w:val="00C63576"/>
    <w:rsid w:val="00C63F05"/>
    <w:rsid w:val="00C64B4D"/>
    <w:rsid w:val="00C67B17"/>
    <w:rsid w:val="00C7142A"/>
    <w:rsid w:val="00C72476"/>
    <w:rsid w:val="00C741C7"/>
    <w:rsid w:val="00C74245"/>
    <w:rsid w:val="00C744BB"/>
    <w:rsid w:val="00C746FA"/>
    <w:rsid w:val="00C749FE"/>
    <w:rsid w:val="00C75831"/>
    <w:rsid w:val="00C84339"/>
    <w:rsid w:val="00C846DB"/>
    <w:rsid w:val="00C849EA"/>
    <w:rsid w:val="00C84E85"/>
    <w:rsid w:val="00C85D82"/>
    <w:rsid w:val="00C87130"/>
    <w:rsid w:val="00C919E7"/>
    <w:rsid w:val="00C91E20"/>
    <w:rsid w:val="00C92BD4"/>
    <w:rsid w:val="00C953FB"/>
    <w:rsid w:val="00C9581C"/>
    <w:rsid w:val="00CA08D7"/>
    <w:rsid w:val="00CA0D00"/>
    <w:rsid w:val="00CA0E93"/>
    <w:rsid w:val="00CA2544"/>
    <w:rsid w:val="00CA2B37"/>
    <w:rsid w:val="00CA3008"/>
    <w:rsid w:val="00CA3FF7"/>
    <w:rsid w:val="00CA41B9"/>
    <w:rsid w:val="00CB0F42"/>
    <w:rsid w:val="00CB2CD8"/>
    <w:rsid w:val="00CB2E7E"/>
    <w:rsid w:val="00CB5A04"/>
    <w:rsid w:val="00CB5BBC"/>
    <w:rsid w:val="00CC0761"/>
    <w:rsid w:val="00CC1E17"/>
    <w:rsid w:val="00CC4326"/>
    <w:rsid w:val="00CC4686"/>
    <w:rsid w:val="00CC71B4"/>
    <w:rsid w:val="00CD088E"/>
    <w:rsid w:val="00CD1620"/>
    <w:rsid w:val="00CD23AF"/>
    <w:rsid w:val="00CD4BBA"/>
    <w:rsid w:val="00CD58AA"/>
    <w:rsid w:val="00CD6909"/>
    <w:rsid w:val="00CE06E3"/>
    <w:rsid w:val="00CE0EAA"/>
    <w:rsid w:val="00CE27E1"/>
    <w:rsid w:val="00CE3B71"/>
    <w:rsid w:val="00CE4379"/>
    <w:rsid w:val="00CE457E"/>
    <w:rsid w:val="00CE4FC8"/>
    <w:rsid w:val="00CE5DA3"/>
    <w:rsid w:val="00CE6A40"/>
    <w:rsid w:val="00CE6C5B"/>
    <w:rsid w:val="00CF02B1"/>
    <w:rsid w:val="00CF113C"/>
    <w:rsid w:val="00CF1900"/>
    <w:rsid w:val="00CF1B4D"/>
    <w:rsid w:val="00CF52F4"/>
    <w:rsid w:val="00CF5D04"/>
    <w:rsid w:val="00CF5F3A"/>
    <w:rsid w:val="00CF6024"/>
    <w:rsid w:val="00D00B95"/>
    <w:rsid w:val="00D02B2B"/>
    <w:rsid w:val="00D03E61"/>
    <w:rsid w:val="00D0472A"/>
    <w:rsid w:val="00D05F1A"/>
    <w:rsid w:val="00D068C3"/>
    <w:rsid w:val="00D1249E"/>
    <w:rsid w:val="00D13563"/>
    <w:rsid w:val="00D13A65"/>
    <w:rsid w:val="00D13C3D"/>
    <w:rsid w:val="00D158FE"/>
    <w:rsid w:val="00D162E1"/>
    <w:rsid w:val="00D22C1E"/>
    <w:rsid w:val="00D234CC"/>
    <w:rsid w:val="00D302AC"/>
    <w:rsid w:val="00D312BA"/>
    <w:rsid w:val="00D31746"/>
    <w:rsid w:val="00D3306D"/>
    <w:rsid w:val="00D33E23"/>
    <w:rsid w:val="00D346A9"/>
    <w:rsid w:val="00D3690F"/>
    <w:rsid w:val="00D36B3B"/>
    <w:rsid w:val="00D40381"/>
    <w:rsid w:val="00D411E6"/>
    <w:rsid w:val="00D41F03"/>
    <w:rsid w:val="00D42363"/>
    <w:rsid w:val="00D43E87"/>
    <w:rsid w:val="00D44153"/>
    <w:rsid w:val="00D443FF"/>
    <w:rsid w:val="00D5115D"/>
    <w:rsid w:val="00D514A5"/>
    <w:rsid w:val="00D52BD5"/>
    <w:rsid w:val="00D57C08"/>
    <w:rsid w:val="00D57F45"/>
    <w:rsid w:val="00D6090F"/>
    <w:rsid w:val="00D64C79"/>
    <w:rsid w:val="00D65DDF"/>
    <w:rsid w:val="00D67118"/>
    <w:rsid w:val="00D70462"/>
    <w:rsid w:val="00D727F0"/>
    <w:rsid w:val="00D75C3F"/>
    <w:rsid w:val="00D76320"/>
    <w:rsid w:val="00D766F7"/>
    <w:rsid w:val="00D8157D"/>
    <w:rsid w:val="00D8279D"/>
    <w:rsid w:val="00D82E7A"/>
    <w:rsid w:val="00D866A6"/>
    <w:rsid w:val="00D8741B"/>
    <w:rsid w:val="00D87DB3"/>
    <w:rsid w:val="00D90030"/>
    <w:rsid w:val="00D94305"/>
    <w:rsid w:val="00DA16AE"/>
    <w:rsid w:val="00DA6308"/>
    <w:rsid w:val="00DA6EC7"/>
    <w:rsid w:val="00DB03AF"/>
    <w:rsid w:val="00DB03F4"/>
    <w:rsid w:val="00DB0983"/>
    <w:rsid w:val="00DB3743"/>
    <w:rsid w:val="00DB5E3A"/>
    <w:rsid w:val="00DB6B9A"/>
    <w:rsid w:val="00DC02E5"/>
    <w:rsid w:val="00DC0A9A"/>
    <w:rsid w:val="00DC1EB4"/>
    <w:rsid w:val="00DC1FE5"/>
    <w:rsid w:val="00DC2C9C"/>
    <w:rsid w:val="00DC4405"/>
    <w:rsid w:val="00DC4FAF"/>
    <w:rsid w:val="00DC5A17"/>
    <w:rsid w:val="00DC639E"/>
    <w:rsid w:val="00DC6752"/>
    <w:rsid w:val="00DC6B0F"/>
    <w:rsid w:val="00DC78EC"/>
    <w:rsid w:val="00DC7D1C"/>
    <w:rsid w:val="00DD032D"/>
    <w:rsid w:val="00DD0A6A"/>
    <w:rsid w:val="00DD1C13"/>
    <w:rsid w:val="00DD4CDB"/>
    <w:rsid w:val="00DD6A35"/>
    <w:rsid w:val="00DD7C5E"/>
    <w:rsid w:val="00DD7E1B"/>
    <w:rsid w:val="00DE264A"/>
    <w:rsid w:val="00DE4F38"/>
    <w:rsid w:val="00DE62A6"/>
    <w:rsid w:val="00DE68D4"/>
    <w:rsid w:val="00DF0AA5"/>
    <w:rsid w:val="00DF14F3"/>
    <w:rsid w:val="00DF5D9B"/>
    <w:rsid w:val="00DF64A7"/>
    <w:rsid w:val="00E004E5"/>
    <w:rsid w:val="00E00C93"/>
    <w:rsid w:val="00E02EBD"/>
    <w:rsid w:val="00E0415A"/>
    <w:rsid w:val="00E074DA"/>
    <w:rsid w:val="00E1075D"/>
    <w:rsid w:val="00E139D2"/>
    <w:rsid w:val="00E1571C"/>
    <w:rsid w:val="00E15924"/>
    <w:rsid w:val="00E17B79"/>
    <w:rsid w:val="00E20B5C"/>
    <w:rsid w:val="00E212F8"/>
    <w:rsid w:val="00E22EA6"/>
    <w:rsid w:val="00E23514"/>
    <w:rsid w:val="00E23AB4"/>
    <w:rsid w:val="00E27869"/>
    <w:rsid w:val="00E3194B"/>
    <w:rsid w:val="00E32DC0"/>
    <w:rsid w:val="00E33C52"/>
    <w:rsid w:val="00E33FB8"/>
    <w:rsid w:val="00E341EA"/>
    <w:rsid w:val="00E34401"/>
    <w:rsid w:val="00E35136"/>
    <w:rsid w:val="00E37C9D"/>
    <w:rsid w:val="00E37F3C"/>
    <w:rsid w:val="00E40A31"/>
    <w:rsid w:val="00E46646"/>
    <w:rsid w:val="00E47FCB"/>
    <w:rsid w:val="00E50265"/>
    <w:rsid w:val="00E50E43"/>
    <w:rsid w:val="00E525E5"/>
    <w:rsid w:val="00E55A89"/>
    <w:rsid w:val="00E57AFE"/>
    <w:rsid w:val="00E632A3"/>
    <w:rsid w:val="00E63583"/>
    <w:rsid w:val="00E63753"/>
    <w:rsid w:val="00E64B66"/>
    <w:rsid w:val="00E64ED2"/>
    <w:rsid w:val="00E66266"/>
    <w:rsid w:val="00E66C93"/>
    <w:rsid w:val="00E67EDB"/>
    <w:rsid w:val="00E71083"/>
    <w:rsid w:val="00E71DB2"/>
    <w:rsid w:val="00E750F1"/>
    <w:rsid w:val="00E765E8"/>
    <w:rsid w:val="00E80852"/>
    <w:rsid w:val="00E822A7"/>
    <w:rsid w:val="00E83CCB"/>
    <w:rsid w:val="00E84EBE"/>
    <w:rsid w:val="00E91C21"/>
    <w:rsid w:val="00E91C6E"/>
    <w:rsid w:val="00E928CB"/>
    <w:rsid w:val="00E93248"/>
    <w:rsid w:val="00E93972"/>
    <w:rsid w:val="00E945FE"/>
    <w:rsid w:val="00E97BCF"/>
    <w:rsid w:val="00EA1325"/>
    <w:rsid w:val="00EA1C75"/>
    <w:rsid w:val="00EA35D2"/>
    <w:rsid w:val="00EA37AF"/>
    <w:rsid w:val="00EA3BC2"/>
    <w:rsid w:val="00EA3C19"/>
    <w:rsid w:val="00EA4000"/>
    <w:rsid w:val="00EA4F59"/>
    <w:rsid w:val="00EA5ED9"/>
    <w:rsid w:val="00EA65AC"/>
    <w:rsid w:val="00EB0325"/>
    <w:rsid w:val="00EB03F0"/>
    <w:rsid w:val="00EB1330"/>
    <w:rsid w:val="00EB2097"/>
    <w:rsid w:val="00EB3167"/>
    <w:rsid w:val="00EB58AB"/>
    <w:rsid w:val="00EB6734"/>
    <w:rsid w:val="00EB687E"/>
    <w:rsid w:val="00EC7F75"/>
    <w:rsid w:val="00ED27AA"/>
    <w:rsid w:val="00ED4CA9"/>
    <w:rsid w:val="00EE2D6F"/>
    <w:rsid w:val="00EE425E"/>
    <w:rsid w:val="00EE62C1"/>
    <w:rsid w:val="00EF465C"/>
    <w:rsid w:val="00EF4804"/>
    <w:rsid w:val="00EF5435"/>
    <w:rsid w:val="00F0002B"/>
    <w:rsid w:val="00F002E1"/>
    <w:rsid w:val="00F00723"/>
    <w:rsid w:val="00F00B5C"/>
    <w:rsid w:val="00F01015"/>
    <w:rsid w:val="00F0256E"/>
    <w:rsid w:val="00F028FB"/>
    <w:rsid w:val="00F03828"/>
    <w:rsid w:val="00F040FD"/>
    <w:rsid w:val="00F043E8"/>
    <w:rsid w:val="00F04B76"/>
    <w:rsid w:val="00F06716"/>
    <w:rsid w:val="00F0728E"/>
    <w:rsid w:val="00F100F6"/>
    <w:rsid w:val="00F1025B"/>
    <w:rsid w:val="00F104E1"/>
    <w:rsid w:val="00F11BD4"/>
    <w:rsid w:val="00F12194"/>
    <w:rsid w:val="00F12A14"/>
    <w:rsid w:val="00F135D0"/>
    <w:rsid w:val="00F1542A"/>
    <w:rsid w:val="00F202CE"/>
    <w:rsid w:val="00F23055"/>
    <w:rsid w:val="00F24689"/>
    <w:rsid w:val="00F25976"/>
    <w:rsid w:val="00F26DBC"/>
    <w:rsid w:val="00F303F9"/>
    <w:rsid w:val="00F35C0E"/>
    <w:rsid w:val="00F371A1"/>
    <w:rsid w:val="00F37A07"/>
    <w:rsid w:val="00F4111F"/>
    <w:rsid w:val="00F45171"/>
    <w:rsid w:val="00F456C9"/>
    <w:rsid w:val="00F45FF5"/>
    <w:rsid w:val="00F476B3"/>
    <w:rsid w:val="00F47BE3"/>
    <w:rsid w:val="00F517F2"/>
    <w:rsid w:val="00F51B67"/>
    <w:rsid w:val="00F52DE7"/>
    <w:rsid w:val="00F548A8"/>
    <w:rsid w:val="00F5495E"/>
    <w:rsid w:val="00F55470"/>
    <w:rsid w:val="00F6039B"/>
    <w:rsid w:val="00F62EF9"/>
    <w:rsid w:val="00F6683B"/>
    <w:rsid w:val="00F66AD9"/>
    <w:rsid w:val="00F703C2"/>
    <w:rsid w:val="00F75BB1"/>
    <w:rsid w:val="00F76D5D"/>
    <w:rsid w:val="00F77164"/>
    <w:rsid w:val="00F775FB"/>
    <w:rsid w:val="00F80652"/>
    <w:rsid w:val="00F8334F"/>
    <w:rsid w:val="00F8531C"/>
    <w:rsid w:val="00F86FA0"/>
    <w:rsid w:val="00F90514"/>
    <w:rsid w:val="00F9117D"/>
    <w:rsid w:val="00F96994"/>
    <w:rsid w:val="00F96A08"/>
    <w:rsid w:val="00F9723B"/>
    <w:rsid w:val="00FA289F"/>
    <w:rsid w:val="00FA324A"/>
    <w:rsid w:val="00FA3435"/>
    <w:rsid w:val="00FA3C88"/>
    <w:rsid w:val="00FA3D86"/>
    <w:rsid w:val="00FA410E"/>
    <w:rsid w:val="00FA5149"/>
    <w:rsid w:val="00FA7BBC"/>
    <w:rsid w:val="00FB17A2"/>
    <w:rsid w:val="00FB1807"/>
    <w:rsid w:val="00FB2B02"/>
    <w:rsid w:val="00FB34A1"/>
    <w:rsid w:val="00FB3EF3"/>
    <w:rsid w:val="00FB422B"/>
    <w:rsid w:val="00FB4311"/>
    <w:rsid w:val="00FB43DA"/>
    <w:rsid w:val="00FB5A3B"/>
    <w:rsid w:val="00FB5E4A"/>
    <w:rsid w:val="00FB72AC"/>
    <w:rsid w:val="00FC1107"/>
    <w:rsid w:val="00FC148F"/>
    <w:rsid w:val="00FC19AC"/>
    <w:rsid w:val="00FC30EB"/>
    <w:rsid w:val="00FC3F17"/>
    <w:rsid w:val="00FC5034"/>
    <w:rsid w:val="00FC786E"/>
    <w:rsid w:val="00FC7A92"/>
    <w:rsid w:val="00FD02BE"/>
    <w:rsid w:val="00FD25B1"/>
    <w:rsid w:val="00FD2621"/>
    <w:rsid w:val="00FD347E"/>
    <w:rsid w:val="00FD559E"/>
    <w:rsid w:val="00FD5CCF"/>
    <w:rsid w:val="00FD5F09"/>
    <w:rsid w:val="00FD66BF"/>
    <w:rsid w:val="00FE03EB"/>
    <w:rsid w:val="00FE1DA0"/>
    <w:rsid w:val="00FE4396"/>
    <w:rsid w:val="00FE4BA8"/>
    <w:rsid w:val="00FE5674"/>
    <w:rsid w:val="00FF064B"/>
    <w:rsid w:val="00FF13C9"/>
    <w:rsid w:val="00FF24FC"/>
    <w:rsid w:val="00FF28D2"/>
    <w:rsid w:val="00FF5F1B"/>
    <w:rsid w:val="00FF70D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D79062F4A9BB44A992AC894DDEB27B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33388F7A96DF441D9D2C8E39CB91165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1E6B5BAE853040129D8FAE8011C6BC1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
    <w:name w:val="E98F7920141A4FF0BF0EB8787D80EE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
    <w:name w:val="CCB9BC433D624578AF84C16544A933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
    <w:name w:val="F97F446CF7FA4907B2ED45285990759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
    <w:name w:val="9A222FDCBC214B849C33EC68B19D26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
    <w:name w:val="60D6320353BE44C7B10168347ECCB6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
    <w:name w:val="F0B07B8A1D5E4F7892954D07680DC66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
    <w:name w:val="91106CFF794348ABAA9968960191943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
    <w:name w:val="4A41CD39B6AA46C385309E6D84429A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
    <w:name w:val="AED8BB2FA834488C83BB17594B6528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
    <w:name w:val="2F65407D196A47E5AE521CB5C2B9B8E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
    <w:name w:val="E1DDB2CB012F4740A93E3A0E1ECA5E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
    <w:name w:val="933023D40089408F83CC0E1A73BF471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
    <w:name w:val="BCCDC09D190444EE98445D3F633A0D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1">
    <w:name w:val="35A0095B206D4C0EBF8142074A05207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577EFEEA0A1E4FE7B97D64316FE8302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3">
    <w:name w:val="207C729ACC5246C3B6632AEDF44AF0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4">
    <w:name w:val="8BB841BDC6EF496EA920B0274C1C6C2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5">
    <w:name w:val="D026721C218E4583A8851EC66AD682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6">
    <w:name w:val="1F58255214324F168A2A19098C8E14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7">
    <w:name w:val="C8FCC5D058434A84BFF6D1D40EE8FE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8">
    <w:name w:val="5C222F0A15D2406CB646C2D8F9BF3CC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9">
    <w:name w:val="D97B1D87F9A54FD2A15D1A3C63012B3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0">
    <w:name w:val="6E7D8BD4C3314384B4CDD010BCF9EA1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1">
    <w:name w:val="D2BD8252B9F74A25AB9237943FD5B8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2">
    <w:name w:val="747E0D8873954B14843958BC675A59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3">
    <w:name w:val="6CE65CDB03C042B8BE5B474445ACE77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4">
    <w:name w:val="EB03AF197A0744E1A14A21C62D7F92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5">
    <w:name w:val="7A4C9170E3054517B0919B90D55BED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6">
    <w:name w:val="8777DA1BD24040E6AB2EB520CAEE38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7">
    <w:name w:val="9402F3861F6F42FEA6DE65A3E85EE1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8">
    <w:name w:val="277F933B69B14DABA7E7C3BC354571D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39">
    <w:name w:val="BC539686B92543EC88157A9BFD9662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0">
    <w:name w:val="9933A09E464241A388201F99CE8AAC0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1">
    <w:name w:val="511AC295F38345668D3C0CDA8236CAC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2">
    <w:name w:val="C3A9D618C44F4E19AC45A7A5006B1A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3">
    <w:name w:val="9C93FAA448894473948CB0D956736AD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4">
    <w:name w:val="97F7086BB63C47D9BD24A591548B03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5">
    <w:name w:val="3F83367C444F44CC942FE4622DF575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6">
    <w:name w:val="C133368ED8604DF2923B6AEC7EF7422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7">
    <w:name w:val="F7A9E1C54D87437B91A21D298D813D0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8">
    <w:name w:val="651D6F1D028D46DF90F068E10E927AB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49">
    <w:name w:val="84A5C7FCC6764EA8BF838805ECD2E17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0">
    <w:name w:val="961014CDA49546ECA26192C1577581D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1">
    <w:name w:val="A03C695211964C649BCF9F6C16D0C9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2">
    <w:name w:val="459E09AB03B44561BACA90BB801CA67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3">
    <w:name w:val="C45F02226AF041F6AB79019306DBEAA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4">
    <w:name w:val="47D33B38F7D248BF9DD18F4B69E17BE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5">
    <w:name w:val="22A9A0A5A5964C5AADC0FF4CFB605D0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6">
    <w:name w:val="5FB482F24FE24B1CABE3A26F9BD67E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6B435A5ECA2D40BFBE4B18BA72992C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8">
    <w:name w:val="0C6E3241701040A29A0497A44DE294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59">
    <w:name w:val="5D4F8903E3064F0F849ADE7EAE9C0B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0">
    <w:name w:val="F6102D988DBC4E5F877FC01B8D3D53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1">
    <w:name w:val="4808DE35DC5B46EE90D354A198F1A1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2">
    <w:name w:val="3AEC2641A05245CE9253EDDAD815C2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3">
    <w:name w:val="F69E9E4DB10745B6BC57951D0249896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4">
    <w:name w:val="6BC693BD2AEA4594BA73841E1C98EF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5">
    <w:name w:val="6335FBFE12C84780811231A35F8D45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6">
    <w:name w:val="17D2A18C3A664007987403241BC6F4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7">
    <w:name w:val="09D5CF4BB5F247E0B57946AAEC0122B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8">
    <w:name w:val="880EC39FA33E4255BA3E9ECE1938B48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9">
    <w:name w:val="EAA52796E992438796698C1DC43888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0">
    <w:name w:val="F73EE20DCF124ED59B790779686F34A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1">
    <w:name w:val="6350EA0D193C47C7A11632E00382988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2">
    <w:name w:val="F591923BD1F041C0B63E3DC53B91CF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3">
    <w:name w:val="63EBD65632634BE48E8193F542FC22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4">
    <w:name w:val="D1E42182F6E742309F5CF6494E904A8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5">
    <w:name w:val="7622FD3C7C684A8ABE05BE5072FFC6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6">
    <w:name w:val="C3D3A030475F4B8BB5476881BAA78E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7">
    <w:name w:val="60A151A6AF844037B7AEB36F9EFD9C2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8">
    <w:name w:val="767F6CCF11CA410082A276B2254FAF1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9">
    <w:name w:val="DE67BAA94A7949D585923FA477A0974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0">
    <w:name w:val="452C8EB0A8BC4D42AE086047A0BBC50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1">
    <w:name w:val="684F930F994949789565B8444C4CFC3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2">
    <w:name w:val="E106798129894E6888AB570E704D49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3">
    <w:name w:val="A5A0343C9D2841B8AB2E3C021F023FB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4">
    <w:name w:val="B7E5F8ACBBBE4C6D9AC51276C1BAC2D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5">
    <w:name w:val="A640B208D1E44D0292750D252CD9BC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6">
    <w:name w:val="180A49AFC0544323B8C2A07000D00F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7">
    <w:name w:val="C14E087D8A6A458792EB2BC6F1C5F7A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8">
    <w:name w:val="F2A6DADCD872478F9059FC42F164C8C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89">
    <w:name w:val="06306FBF8726420BA4FC39A6C59E277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0">
    <w:name w:val="48831B38E2D54ABB96F73FC43C3CA7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1">
    <w:name w:val="A776CBCF116145BCAD4310D2F3AADB1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2">
    <w:name w:val="A0E4FE845C19433CA67D434A713BA9C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E16E11400D17477AAB11F0796725B74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4">
    <w:name w:val="119D239CDBE6408DB595CAA1F29EC2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5">
    <w:name w:val="B2DBEEECA3044162B0ED6C31AE3B3F9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6">
    <w:name w:val="CB807FC5ABE54E48941CBAF7D467851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7">
    <w:name w:val="11CDF82A6EDC445D800DFE0DBB5056D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8">
    <w:name w:val="F4F6A20B66A04748AF9763589CD2969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99">
    <w:name w:val="BAED9E4F12FD4146B25279F60357F9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0">
    <w:name w:val="B522AED1B9B14908A47754D36C59E24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1">
    <w:name w:val="7584A984EDEE4C3DBD12E84AA87E31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2">
    <w:name w:val="94938F0AA442493BB5A516EE9C1C262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3">
    <w:name w:val="F4AE200D58994BE0B281711FF25157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4">
    <w:name w:val="7EEE8BDA00C94D868C5CBE771F6077A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5">
    <w:name w:val="6443B478F5F94B8D98DA9364FD45246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6">
    <w:name w:val="72C510CDB240473BB8EFF0D43BA1AD2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7">
    <w:name w:val="F5609551E5DF4279A32AB99A10C7B5C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8">
    <w:name w:val="5B9BCC14388B4B1FAC8B5DCB8060E3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09">
    <w:name w:val="CA0758849F0B43519C11BA36F68A76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0">
    <w:name w:val="6D58396F0296462EB0828039C6D4EAC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1">
    <w:name w:val="E50B03EB9D74497B844EE4E5C232BF7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2">
    <w:name w:val="D1BA7414026043269F822A7C7E5C2B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3">
    <w:name w:val="CBF03AB01BD24679BB2DACB9027F6B4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4">
    <w:name w:val="F24F963D2961497186E9C419A7184B1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5">
    <w:name w:val="8C15038EBCA444EAAF0134D841CE199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6">
    <w:name w:val="B272BF34C6894A95A6030379B097E2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7">
    <w:name w:val="D3F56F2EC553496794C67D45B09360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8">
    <w:name w:val="FD7811DD51784FBA85F938A01C40580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19">
    <w:name w:val="C10A8AB2FC8B4367956F527AA30AF56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0">
    <w:name w:val="6020F04E312842D9BFF00D0EC075E8E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1">
    <w:name w:val="1402BC1091CF43F5A801A0CA35E383C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2">
    <w:name w:val="5C236ADF969841A998C7E80834BF7CB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3">
    <w:name w:val="EC5B86AB6E874329A659E753B04E55E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4">
    <w:name w:val="6F4501BE2A1D4737AB86A2BA537FAE0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5">
    <w:name w:val="2C9FC572558F428AB77A494ECC53537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6">
    <w:name w:val="9FE87AFEAC1345BB82E91B4B7C9CAD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7">
    <w:name w:val="B3D6A3813C8B43EDA5BE44AE4F8078B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8">
    <w:name w:val="D60C21B9F95346F8B2008BBE0CA2FC4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29">
    <w:name w:val="FA76524CCBD740FF98992CD41AF5C8F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0">
    <w:name w:val="DCE0C90312F74EFBAE628A49742F6B3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1">
    <w:name w:val="23E9DB6F90C844FE857ACF3419265C2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2">
    <w:name w:val="8711C83E1E85407B8751AA1C61EF77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3">
    <w:name w:val="D70874247379424D80F89E6CF93222D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4">
    <w:name w:val="F7B040D3D4854A82A28B7F71E39FB56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5">
    <w:name w:val="A766BAFD501E406390728E884D82A30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6">
    <w:name w:val="2AE2358E4C2C4F3BADAAC3492C374E6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7">
    <w:name w:val="45A2A0985C0A4DCE9BC843D35B5CBA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8">
    <w:name w:val="9671C4DBE8A1451FB4C36651436CBF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39">
    <w:name w:val="E283FD49FE3F4CBCB5C6E88FD8011A0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0">
    <w:name w:val="57F7601B341F48B7B915A54645DB07E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1">
    <w:name w:val="81144B27D1D54C5CBB59675984A528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2">
    <w:name w:val="B89EC94B98FF411EB30D32CA51C560F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3">
    <w:name w:val="44B63934553B4917996BDB06195C161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4">
    <w:name w:val="8CDBA662A4A24AE79054F401762209D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5">
    <w:name w:val="9E7557B49F3649E792CA0D3AE87719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6">
    <w:name w:val="57A9D0B5D67343AC997C90474E792E5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7">
    <w:name w:val="8E6A31BD2B394D0EA105D0FE8633E47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8">
    <w:name w:val="1BD5CD98592C4919BBC6D88F6ADA7B6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49">
    <w:name w:val="958A95B9B9FA4694AA996D66330ED7D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0">
    <w:name w:val="83FA0045E0324A76A36D3B6A00083A3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1">
    <w:name w:val="85D19AAC50014D20A7E9374A20724D5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2">
    <w:name w:val="B6BC661F7C7E4B3D9EBF852527145E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3">
    <w:name w:val="9B35406537324751937A5F0405FE36F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4">
    <w:name w:val="EB285223F21C4C6ABA509FC580FCDBE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5">
    <w:name w:val="04CDB9ADB41C49239C304A907150E6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6">
    <w:name w:val="7106129EE08D49FFAADFB82E4872D39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7">
    <w:name w:val="4D864A526CEE4BB29981B6270A0B1C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8">
    <w:name w:val="2ECB1FF656AA479E8CD9EA2687A068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59">
    <w:name w:val="F3F9973CD4CB4F80B6C7A5D107ABFB3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0">
    <w:name w:val="7B9CDF7570AF4DF3983E451405F7BA9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1">
    <w:name w:val="E5BA0DED0ADF48959C5FB7BA99FA63F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2">
    <w:name w:val="CBA32C8BCBD04A16AD0B16CE5A62B53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3">
    <w:name w:val="54AACC7F7314414192F7FA9CBF5A270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4">
    <w:name w:val="B5A678272BB442A98E7A19001856026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5">
    <w:name w:val="036D991174AE45009D8003A28758794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6">
    <w:name w:val="6B7B639DD7DD4808B3944199DAE5057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7">
    <w:name w:val="F25F59084D784C499F1D4036F093BA11"/>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8">
    <w:name w:val="931E8385DAA14A3C87B431C7742C0DA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69">
    <w:name w:val="6F25F7B53E4B4FA3B7AA8D7D62B5F2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0">
    <w:name w:val="A3B254F1568C427BA6E5C61C977AE74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1">
    <w:name w:val="FA6781D6AE764D73BE97192F2BAA70C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2">
    <w:name w:val="3C5C8A8BF40A429A82AA513A8CF93A5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3">
    <w:name w:val="1D159EAAC2A24147B098E9F35966FD6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4">
    <w:name w:val="3CE286B1218B4E5E801550D36C9E7C9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5">
    <w:name w:val="533B47A440964845BDF05AFCA29829F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6">
    <w:name w:val="AD896A8325F34243A49AAE43B8EB738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7">
    <w:name w:val="7A631680F7964F818D51D3B21BB65B2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8">
    <w:name w:val="B67C0768C400471B859B7C23259A2F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79">
    <w:name w:val="8EC413395BCA468180E6FF623FB1BA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0">
    <w:name w:val="2100C4760E294E28B5508740335D46E3"/>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1">
    <w:name w:val="3E30669962DC47DD9409AA10365CA536"/>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2">
    <w:name w:val="54F2EEB24ADF4494A42DDDE6545F593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3">
    <w:name w:val="AB9AAC7AA2624BEF9749E0A2DD5E65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4">
    <w:name w:val="6892926C80D24491A603D7D0C9B0074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5">
    <w:name w:val="100897B4856048F3853617EC82AE2D5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6">
    <w:name w:val="5FBDC3DA063F46EB8711545701B08B8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7">
    <w:name w:val="836A10CD2C7B4560B37FB0CDFFC9B27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8">
    <w:name w:val="580485C1AADC4301B18506493A54538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89">
    <w:name w:val="38140CF3A44C407FA0E51B44B651083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0">
    <w:name w:val="B18DF07804E9476EA86025621F06013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1">
    <w:name w:val="0D46F3311F614E90A081FB1772041D14"/>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2">
    <w:name w:val="DF36875BC8D04858B5A1CF7A4F9E0CB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3">
    <w:name w:val="1F455C6203954580B581444EB37E5E5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4">
    <w:name w:val="EA38BA6537704139B4E589BCF5FEC1D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5">
    <w:name w:val="8D3EDAEE2EE545A991EE604D84B2217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6">
    <w:name w:val="A2BA3463448149408E44752A0E774495"/>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7">
    <w:name w:val="66BAC5132CF34E0AAC8C2896A26CF2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8">
    <w:name w:val="F84F64B1E04D4D109529D5CBA77C359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199">
    <w:name w:val="883544A9ADBE474CB74DB0F0A9386C79"/>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0">
    <w:name w:val="51D0508C9F1048A0ACD7D61519DFAA8F"/>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1">
    <w:name w:val="ACE91CF6900F4AF6BA7EEEBEC1F16C1B"/>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2">
    <w:name w:val="5010A1B1F33E4460B0D3FC14FADF3DF8"/>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3">
    <w:name w:val="1B679A439BCA4182A8563697333784AC"/>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4">
    <w:name w:val="31B4E27390F349A7B32840798CCBBFE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5">
    <w:name w:val="643BA48F92BC4C1994F6B23CA320B02A"/>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6">
    <w:name w:val="1CE3FB6011F045F2883427DB89FB7170"/>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07">
    <w:name w:val="46A54891B88A4A43BF40013093DBABDB"/>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力帆科技（集团）股份有限公司</clcid-cgi:GongSiFaDingZhongWenMingCheng>
  <clcid-mr:GongSiFuZeRenXingMing xmlns:clcid-mr="clcid-mr">徐志豪</clcid-mr:GongSiFuZeRenXingMing>
  <clcid-mr:ZhuGuanKuaiJiGongZuoFuZeRenXingMing xmlns:clcid-mr="clcid-mr">张琳斌</clcid-mr:ZhuGuanKuaiJiGongZuoFuZeRenXingMing>
  <clcid-mr:KuaiJiJiGouFuZeRenXingMing xmlns:clcid-mr="clcid-mr">张琳斌</clcid-mr:KuaiJiJiGouFuZeRenXingMing>
  <clcid-cgi:GongSiFaDingDaiBiaoRen xmlns:clcid-cgi="clcid-cgi">徐志豪</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-13,250,464.11</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8,800,548.36</clcid-pte:FeiJingChangXingSunYiZhongGeZhongXingShiDeZhengFuBuTie>
  <clcid-pte:FeiJingChangXingSunYiZhongGeZhongXingShiDeZhengFuBuTieShuoMing xmlns:clcid-pte="clcid-pte"/>
  <clcid-pte:JiRuDangQiSunYiDeDuiFeiJinRongQiYeShouQuDeZiJinZhanYongFeiFeiJingChangXingSunYiXiangMu xmlns:clcid-pte="clcid-pte">246,763.72</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-274,416.36</clcid-pte:FeiJingChangXingSunYiZhongZhaiWuZhongZuSunYi>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50,677,613.50</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-3,177,440.11</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6,424,508.30</clcid-pte:FeiJingChangXingSunYiXiangMuZhongShaoShuGuDongQuanYiYingXiangE>
  <clcid-pte:FeiJingChangXingSunYiXiangMuZhongShaoShuGuDongQuanYiYingXiangEShuoMing xmlns:clcid-pte="clcid-pte"/>
  <clcid-pte:FeiJingChangXingSunYiDeKouChuXiangMuDuiSuoDeShuiDeYingXiang xmlns:clcid-pte="clcid-pte">3,980,726.87</clcid-pte:FeiJingChangXingSunYiDeKouChuXiangMuDuiSuoDeShuiDeYingXiang>
  <clcid-pte:FeiJingChangXingSunYiDeKouChuXiangMuDuiSuoDeShuiDeYingXiangShuoMing xmlns:clcid-pte="clcid-pte"/>
  <clcid-pte:KouChuDeFeiJingChangXingSunYiHeJi xmlns:clcid-pte="clcid-pte">50,604,888.38</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61,717.10</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10,172,399.97</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m:mapping xmlns:m="http://mapping.word.org/2012/mapping">
  <m:sm4><![CDATA[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]]></m:sm4>
</m:mapping>
</file>

<file path=customXml/item5.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]]></t:sse>
</t:templat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37729E-89F6-4D70-BC0B-8EF77515B409}">
  <ds:schemaRefs/>
</ds:datastoreItem>
</file>

<file path=customXml/itemProps3.xml><?xml version="1.0" encoding="utf-8"?>
<ds:datastoreItem xmlns:ds="http://schemas.openxmlformats.org/officeDocument/2006/customXml" ds:itemID="{89EBAB94-44A0-46A2-B712-30D997D04A6D}">
  <ds:schemaRefs/>
</ds:datastoreItem>
</file>

<file path=customXml/itemProps4.xml><?xml version="1.0" encoding="utf-8"?>
<ds:datastoreItem xmlns:ds="http://schemas.openxmlformats.org/officeDocument/2006/customXml" ds:itemID="{13C93777-A76E-4DCB-88C7-1AA3B66BC9EC}">
  <ds:schemaRefs/>
</ds:datastoreItem>
</file>

<file path=customXml/itemProps5.xml><?xml version="1.0" encoding="utf-8"?>
<ds:datastoreItem xmlns:ds="http://schemas.openxmlformats.org/officeDocument/2006/customXml" ds:itemID="{61911F37-3C1A-494E-9726-E17C19FF114D}">
  <ds:schemaRefs/>
</ds:datastoreItem>
</file>

<file path=customXml/itemProps6.xml><?xml version="1.0" encoding="utf-8"?>
<ds:datastoreItem xmlns:ds="http://schemas.openxmlformats.org/officeDocument/2006/customXml" ds:itemID="{D3A6D6DA-7F13-4A4A-93E7-B7C55695561C}">
  <ds:schemaRefs/>
</ds:datastoreItem>
</file>

<file path=docProps/app.xml><?xml version="1.0" encoding="utf-8"?>
<Properties xmlns="http://schemas.openxmlformats.org/officeDocument/2006/extended-properties" xmlns:vt="http://schemas.openxmlformats.org/officeDocument/2006/docPropsVTypes">
  <Template>SSEReport</Template>
  <Company>Sky123.Org</Company>
  <Pages>238</Pages>
  <Words>116257</Words>
  <Characters>164622</Characters>
  <Lines>1731</Lines>
  <Paragraphs>487</Paragraphs>
  <TotalTime>7</TotalTime>
  <ScaleCrop>false</ScaleCrop>
  <LinksUpToDate>false</LinksUpToDate>
  <CharactersWithSpaces>167012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2022-04-08T14:31:00Z</dcterms:created>
  <dc:creator>czq</dc:creator>
  <cp:lastModifiedBy>我</cp:lastModifiedBy>
  <dcterms:modified xsi:type="dcterms:W3CDTF">2022-04-22T12:23:09Z</dcterms:modified>
  <dc:title>股份有限公司</dc:title>
  <cp:revision>1296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F31B302F507845C8AA5934C5604F5E38</vt:lpwstr>
  </property>
</Properties>
</file>