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 w:val="15"/>
          <w:szCs w:val="15"/>
          <w:u w:val="single"/>
        </w:rPr>
      </w:pPr>
      <w:bookmarkStart w:id="0" w:name="_Toc107986178"/>
      <w:r>
        <w:rPr>
          <w:rFonts w:hint="eastAsia" w:ascii="宋体" w:hAnsi="宋体"/>
          <w:szCs w:val="21"/>
        </w:rPr>
        <w:t>车型：</w:t>
      </w:r>
      <w:r>
        <w:rPr>
          <w:rFonts w:hint="eastAsia" w:ascii="宋体" w:hAnsi="宋体"/>
          <w:szCs w:val="21"/>
          <w:u w:val="single"/>
        </w:rPr>
        <w:t>C</w:t>
      </w:r>
      <w:r>
        <w:rPr>
          <w:rFonts w:ascii="宋体" w:hAnsi="宋体"/>
          <w:szCs w:val="21"/>
          <w:u w:val="single"/>
        </w:rPr>
        <w:t>Y02C</w:t>
      </w:r>
    </w:p>
    <w:p>
      <w:pPr>
        <w:spacing w:line="360" w:lineRule="auto"/>
        <w:rPr>
          <w:rFonts w:ascii="宋体" w:hAnsi="宋体"/>
          <w:szCs w:val="21"/>
          <w:u w:val="single"/>
        </w:rPr>
      </w:pPr>
      <w:r>
        <w:rPr>
          <w:rFonts w:hint="eastAsia" w:ascii="宋体" w:hAnsi="宋体"/>
          <w:szCs w:val="21"/>
        </w:rPr>
        <w:t>外委包：维修及重开</w:t>
      </w:r>
    </w:p>
    <w:p>
      <w:pPr>
        <w:spacing w:line="360" w:lineRule="auto"/>
        <w:jc w:val="center"/>
        <w:rPr>
          <w:b/>
          <w:bCs/>
          <w:sz w:val="44"/>
          <w:szCs w:val="44"/>
        </w:rPr>
      </w:pPr>
    </w:p>
    <w:p>
      <w:pPr>
        <w:spacing w:line="360" w:lineRule="auto"/>
        <w:jc w:val="center"/>
        <w:rPr>
          <w:rFonts w:ascii="楷体_GB2312" w:hAnsi="宋体" w:eastAsia="楷体_GB2312"/>
          <w:b/>
          <w:sz w:val="44"/>
          <w:szCs w:val="44"/>
        </w:rPr>
      </w:pPr>
      <w:r>
        <w:rPr>
          <w:rFonts w:hint="eastAsia"/>
          <w:b/>
          <w:bCs/>
          <w:sz w:val="44"/>
          <w:szCs w:val="44"/>
        </w:rPr>
        <w:t>重庆力帆汽车有限公司</w:t>
      </w:r>
    </w:p>
    <w:p>
      <w:pPr>
        <w:spacing w:line="360" w:lineRule="auto"/>
        <w:jc w:val="center"/>
        <w:rPr>
          <w:rFonts w:ascii="宋体" w:hAnsi="宋体"/>
          <w:sz w:val="24"/>
        </w:rPr>
      </w:pPr>
      <w:r>
        <w:rPr>
          <w:rFonts w:ascii="楷体_GB2312" w:hAnsi="宋体" w:eastAsia="楷体_GB2312"/>
          <w:b/>
          <w:sz w:val="44"/>
          <w:szCs w:val="44"/>
        </w:rPr>
        <w:t>CY02C</w:t>
      </w:r>
      <w:r>
        <w:rPr>
          <w:rFonts w:hint="eastAsia" w:ascii="楷体_GB2312" w:hAnsi="宋体" w:eastAsia="楷体_GB2312"/>
          <w:b/>
          <w:sz w:val="44"/>
          <w:szCs w:val="44"/>
        </w:rPr>
        <w:t>车型老检具维修项目</w:t>
      </w:r>
    </w:p>
    <w:p>
      <w:pPr>
        <w:spacing w:line="360" w:lineRule="auto"/>
        <w:jc w:val="center"/>
        <w:rPr>
          <w:rFonts w:ascii="宋体" w:hAnsi="宋体"/>
          <w:sz w:val="24"/>
        </w:rPr>
      </w:pPr>
      <w:bookmarkStart w:id="48" w:name="_GoBack"/>
      <w:bookmarkEnd w:id="48"/>
    </w:p>
    <w:p>
      <w:pPr>
        <w:spacing w:line="360" w:lineRule="auto"/>
        <w:jc w:val="center"/>
        <w:rPr>
          <w:rFonts w:ascii="宋体" w:hAnsi="宋体"/>
          <w:sz w:val="36"/>
          <w:szCs w:val="36"/>
        </w:rPr>
      </w:pPr>
    </w:p>
    <w:p>
      <w:pPr>
        <w:spacing w:line="360" w:lineRule="auto"/>
        <w:jc w:val="center"/>
        <w:rPr>
          <w:rFonts w:ascii="宋体" w:hAnsi="宋体"/>
          <w:sz w:val="36"/>
          <w:szCs w:val="36"/>
        </w:rPr>
      </w:pPr>
    </w:p>
    <w:p>
      <w:pPr>
        <w:spacing w:line="360" w:lineRule="auto"/>
        <w:jc w:val="center"/>
        <w:rPr>
          <w:rFonts w:ascii="楷体_GB2312" w:hAnsi="宋体" w:eastAsia="楷体_GB2312"/>
          <w:b/>
          <w:sz w:val="44"/>
          <w:szCs w:val="44"/>
        </w:rPr>
      </w:pPr>
      <w:r>
        <w:rPr>
          <w:rFonts w:hint="eastAsia" w:ascii="楷体_GB2312" w:hAnsi="宋体" w:eastAsia="楷体_GB2312"/>
          <w:b/>
          <w:sz w:val="44"/>
          <w:szCs w:val="44"/>
        </w:rPr>
        <w:t>技</w:t>
      </w:r>
    </w:p>
    <w:p>
      <w:pPr>
        <w:spacing w:line="360" w:lineRule="auto"/>
        <w:jc w:val="center"/>
        <w:rPr>
          <w:rFonts w:ascii="楷体_GB2312" w:hAnsi="宋体" w:eastAsia="楷体_GB2312"/>
          <w:b/>
          <w:sz w:val="44"/>
          <w:szCs w:val="44"/>
        </w:rPr>
      </w:pPr>
    </w:p>
    <w:p>
      <w:pPr>
        <w:spacing w:line="360" w:lineRule="auto"/>
        <w:jc w:val="center"/>
        <w:rPr>
          <w:rFonts w:ascii="楷体_GB2312" w:hAnsi="宋体" w:eastAsia="楷体_GB2312"/>
          <w:b/>
          <w:sz w:val="44"/>
          <w:szCs w:val="44"/>
        </w:rPr>
      </w:pPr>
      <w:r>
        <w:rPr>
          <w:rFonts w:hint="eastAsia" w:ascii="楷体_GB2312" w:hAnsi="宋体" w:eastAsia="楷体_GB2312"/>
          <w:b/>
          <w:sz w:val="44"/>
          <w:szCs w:val="44"/>
        </w:rPr>
        <w:t>术</w:t>
      </w:r>
    </w:p>
    <w:p>
      <w:pPr>
        <w:spacing w:line="360" w:lineRule="auto"/>
        <w:jc w:val="center"/>
        <w:rPr>
          <w:rFonts w:ascii="楷体_GB2312" w:hAnsi="宋体" w:eastAsia="楷体_GB2312"/>
          <w:b/>
          <w:sz w:val="44"/>
          <w:szCs w:val="44"/>
        </w:rPr>
      </w:pPr>
    </w:p>
    <w:p>
      <w:pPr>
        <w:spacing w:line="360" w:lineRule="auto"/>
        <w:jc w:val="center"/>
        <w:rPr>
          <w:rFonts w:ascii="楷体_GB2312" w:hAnsi="宋体" w:eastAsia="楷体_GB2312"/>
          <w:b/>
          <w:sz w:val="44"/>
          <w:szCs w:val="44"/>
        </w:rPr>
      </w:pPr>
      <w:r>
        <w:rPr>
          <w:rFonts w:hint="eastAsia" w:ascii="楷体_GB2312" w:hAnsi="宋体" w:eastAsia="楷体_GB2312"/>
          <w:b/>
          <w:sz w:val="44"/>
          <w:szCs w:val="44"/>
        </w:rPr>
        <w:t>要</w:t>
      </w:r>
    </w:p>
    <w:p>
      <w:pPr>
        <w:spacing w:line="360" w:lineRule="auto"/>
        <w:jc w:val="center"/>
        <w:rPr>
          <w:rFonts w:ascii="楷体_GB2312" w:hAnsi="宋体" w:eastAsia="楷体_GB2312"/>
          <w:b/>
          <w:sz w:val="44"/>
          <w:szCs w:val="44"/>
        </w:rPr>
      </w:pPr>
    </w:p>
    <w:p>
      <w:pPr>
        <w:spacing w:line="360" w:lineRule="auto"/>
        <w:jc w:val="center"/>
        <w:rPr>
          <w:rFonts w:ascii="楷体_GB2312" w:hAnsi="宋体" w:eastAsia="楷体_GB2312"/>
          <w:b/>
          <w:sz w:val="44"/>
          <w:szCs w:val="44"/>
        </w:rPr>
      </w:pPr>
      <w:r>
        <w:rPr>
          <w:rFonts w:hint="eastAsia" w:ascii="楷体_GB2312" w:hAnsi="宋体" w:eastAsia="楷体_GB2312"/>
          <w:b/>
          <w:sz w:val="44"/>
          <w:szCs w:val="44"/>
        </w:rPr>
        <w:t>求</w:t>
      </w:r>
    </w:p>
    <w:p>
      <w:pPr>
        <w:spacing w:line="360" w:lineRule="auto"/>
        <w:jc w:val="center"/>
        <w:rPr>
          <w:rFonts w:ascii="楷体_GB2312" w:hAnsi="宋体" w:eastAsia="楷体_GB2312"/>
          <w:b/>
          <w:sz w:val="44"/>
          <w:szCs w:val="44"/>
        </w:rPr>
      </w:pPr>
    </w:p>
    <w:p>
      <w:pPr>
        <w:spacing w:line="360" w:lineRule="auto"/>
        <w:jc w:val="center"/>
        <w:rPr>
          <w:rFonts w:ascii="宋体" w:hAnsi="宋体"/>
          <w:b/>
          <w:sz w:val="36"/>
          <w:szCs w:val="36"/>
        </w:rPr>
      </w:pPr>
      <w:r>
        <w:rPr>
          <w:rFonts w:hint="eastAsia" w:ascii="楷体_GB2312" w:hAnsi="宋体" w:eastAsia="楷体_GB2312"/>
          <w:b/>
          <w:sz w:val="44"/>
          <w:szCs w:val="44"/>
        </w:rPr>
        <w:t>书</w:t>
      </w:r>
    </w:p>
    <w:p>
      <w:pPr>
        <w:spacing w:line="360" w:lineRule="auto"/>
        <w:jc w:val="center"/>
        <w:rPr>
          <w:rFonts w:ascii="宋体" w:hAnsi="宋体"/>
          <w:b/>
          <w:sz w:val="36"/>
          <w:szCs w:val="36"/>
        </w:rPr>
      </w:pPr>
    </w:p>
    <w:p>
      <w:pPr>
        <w:spacing w:line="360" w:lineRule="auto"/>
        <w:rPr>
          <w:rFonts w:ascii="宋体" w:hAnsi="宋体"/>
          <w:sz w:val="24"/>
        </w:rPr>
      </w:pPr>
    </w:p>
    <w:p>
      <w:pPr>
        <w:spacing w:line="360" w:lineRule="auto"/>
        <w:ind w:firstLine="1827" w:firstLineChars="650"/>
        <w:rPr>
          <w:b/>
          <w:sz w:val="28"/>
          <w:szCs w:val="28"/>
          <w:u w:val="thick"/>
        </w:rPr>
      </w:pPr>
      <w:r>
        <w:rPr>
          <w:rFonts w:hint="eastAsia"/>
          <w:b/>
          <w:bCs/>
          <w:sz w:val="28"/>
        </w:rPr>
        <w:t>甲方：</w:t>
      </w:r>
      <w:r>
        <w:rPr>
          <w:rFonts w:hint="eastAsia"/>
          <w:b/>
          <w:sz w:val="28"/>
          <w:szCs w:val="28"/>
          <w:u w:val="thick"/>
        </w:rPr>
        <w:t>重庆力帆汽车有限公司</w:t>
      </w:r>
    </w:p>
    <w:p>
      <w:pPr>
        <w:spacing w:line="360" w:lineRule="auto"/>
        <w:ind w:firstLine="1827" w:firstLineChars="650"/>
        <w:rPr>
          <w:b/>
          <w:sz w:val="28"/>
          <w:szCs w:val="28"/>
          <w:u w:val="thick"/>
        </w:rPr>
      </w:pPr>
      <w:r>
        <w:rPr>
          <w:rFonts w:hint="eastAsia"/>
          <w:b/>
          <w:bCs/>
          <w:sz w:val="28"/>
        </w:rPr>
        <w:t>乙方：</w:t>
      </w:r>
    </w:p>
    <w:p>
      <w:pPr>
        <w:spacing w:line="360" w:lineRule="auto"/>
        <w:ind w:firstLine="2080" w:firstLineChars="740"/>
        <w:rPr>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304" w:bottom="1418" w:left="1418" w:header="851" w:footer="851" w:gutter="0"/>
          <w:pgNumType w:fmt="numberInDash" w:start="1"/>
          <w:cols w:space="425" w:num="1"/>
          <w:titlePg/>
          <w:docGrid w:type="lines" w:linePitch="312" w:charSpace="0"/>
        </w:sectPr>
      </w:pPr>
    </w:p>
    <w:tbl>
      <w:tblPr>
        <w:tblStyle w:val="41"/>
        <w:tblW w:w="9135" w:type="dxa"/>
        <w:tblInd w:w="108" w:type="dxa"/>
        <w:tblLayout w:type="fixed"/>
        <w:tblCellMar>
          <w:top w:w="0" w:type="dxa"/>
          <w:left w:w="108" w:type="dxa"/>
          <w:bottom w:w="0" w:type="dxa"/>
          <w:right w:w="108" w:type="dxa"/>
        </w:tblCellMar>
      </w:tblPr>
      <w:tblGrid>
        <w:gridCol w:w="9135"/>
      </w:tblGrid>
      <w:tr>
        <w:tblPrEx>
          <w:tblLayout w:type="fixed"/>
          <w:tblCellMar>
            <w:top w:w="0" w:type="dxa"/>
            <w:left w:w="108" w:type="dxa"/>
            <w:bottom w:w="0" w:type="dxa"/>
            <w:right w:w="108" w:type="dxa"/>
          </w:tblCellMar>
        </w:tblPrEx>
        <w:trPr>
          <w:trHeight w:val="885" w:hRule="atLeast"/>
        </w:trPr>
        <w:tc>
          <w:tcPr>
            <w:tcW w:w="9135" w:type="dxa"/>
            <w:tcBorders>
              <w:top w:val="nil"/>
              <w:left w:val="nil"/>
              <w:bottom w:val="single" w:color="auto" w:sz="4" w:space="0"/>
              <w:right w:val="nil"/>
            </w:tcBorders>
            <w:shd w:val="clear" w:color="auto" w:fill="auto"/>
            <w:vAlign w:val="center"/>
          </w:tcPr>
          <w:p>
            <w:pPr>
              <w:spacing w:line="360" w:lineRule="auto"/>
              <w:jc w:val="center"/>
              <w:rPr>
                <w:rFonts w:ascii="宋体" w:hAnsi="宋体" w:cs="宋体"/>
                <w:b/>
                <w:sz w:val="48"/>
                <w:szCs w:val="48"/>
              </w:rPr>
            </w:pPr>
            <w:r>
              <w:rPr>
                <w:rFonts w:ascii="宋体" w:hAnsi="宋体"/>
                <w:sz w:val="30"/>
                <w:szCs w:val="30"/>
              </w:rPr>
              <w:br w:type="page"/>
            </w:r>
            <w:r>
              <w:rPr>
                <w:rFonts w:ascii="宋体" w:hAnsi="宋体"/>
                <w:sz w:val="30"/>
                <w:szCs w:val="30"/>
              </w:rPr>
              <w:br w:type="page"/>
            </w:r>
            <w:r>
              <w:rPr>
                <w:rFonts w:ascii="宋体" w:hAnsi="宋体"/>
                <w:b/>
                <w:bCs/>
                <w:sz w:val="24"/>
              </w:rPr>
              <w:br w:type="page"/>
            </w:r>
            <w:r>
              <w:rPr>
                <w:rFonts w:hint="eastAsia" w:ascii="宋体" w:hAnsi="宋体" w:cs="宋体"/>
                <w:b/>
                <w:sz w:val="48"/>
                <w:szCs w:val="48"/>
              </w:rPr>
              <w:t>目     录</w:t>
            </w:r>
          </w:p>
        </w:tc>
      </w:tr>
    </w:tbl>
    <w:p>
      <w:pPr>
        <w:spacing w:line="360" w:lineRule="auto"/>
        <w:rPr>
          <w:rFonts w:ascii="宋体" w:hAnsi="宋体"/>
          <w:b/>
          <w:bCs/>
          <w:sz w:val="24"/>
        </w:rPr>
      </w:pP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一、总体要求--------------------------------------------------------------1</w:t>
      </w: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二、外委单件检具设计要求--------------------------------------------------5</w:t>
      </w: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三、乙方向甲方提供的技术资料----------------------------------------------13</w:t>
      </w: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四、安全------------------------------------------------------------------15</w:t>
      </w: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五、保密要求--------------------------------------------------------------15</w:t>
      </w:r>
    </w:p>
    <w:p>
      <w:pPr>
        <w:spacing w:line="360" w:lineRule="auto"/>
        <w:rPr>
          <w:rFonts w:ascii="宋体" w:hAnsi="宋体"/>
          <w:b/>
          <w:bCs/>
          <w:sz w:val="24"/>
        </w:rPr>
      </w:pPr>
    </w:p>
    <w:p>
      <w:pPr>
        <w:spacing w:line="360" w:lineRule="auto"/>
        <w:rPr>
          <w:rFonts w:ascii="宋体" w:hAnsi="宋体"/>
          <w:b/>
          <w:bCs/>
          <w:sz w:val="24"/>
        </w:rPr>
      </w:pPr>
      <w:r>
        <w:rPr>
          <w:rFonts w:hint="eastAsia" w:ascii="宋体" w:hAnsi="宋体"/>
          <w:b/>
          <w:bCs/>
          <w:sz w:val="24"/>
        </w:rPr>
        <w:t>六、其他------------------------------------------------------------------15</w:t>
      </w:r>
    </w:p>
    <w:p>
      <w:pPr>
        <w:spacing w:line="360" w:lineRule="auto"/>
        <w:rPr>
          <w:rFonts w:ascii="宋体" w:hAnsi="宋体"/>
          <w:b/>
          <w:bCs/>
          <w:sz w:val="24"/>
        </w:rPr>
      </w:pPr>
    </w:p>
    <w:p>
      <w:pPr>
        <w:spacing w:line="380" w:lineRule="exact"/>
        <w:jc w:val="center"/>
        <w:rPr>
          <w:rFonts w:ascii="宋体" w:hAnsi="宋体" w:cs="宋体"/>
          <w:b/>
          <w:bCs/>
          <w:sz w:val="32"/>
          <w:szCs w:val="32"/>
        </w:rPr>
      </w:pPr>
      <w:r>
        <w:rPr>
          <w:rFonts w:ascii="宋体" w:hAnsi="宋体"/>
          <w:b/>
          <w:bCs/>
          <w:sz w:val="24"/>
        </w:rPr>
        <w:br w:type="page"/>
      </w:r>
    </w:p>
    <w:p>
      <w:pPr>
        <w:spacing w:line="360" w:lineRule="auto"/>
        <w:rPr>
          <w:rFonts w:ascii="宋体" w:hAnsi="宋体"/>
          <w:b/>
          <w:bCs/>
          <w:sz w:val="24"/>
        </w:rPr>
      </w:pPr>
      <w:r>
        <w:rPr>
          <w:rFonts w:hint="eastAsia" w:ascii="宋体" w:hAnsi="宋体"/>
          <w:b/>
          <w:bCs/>
          <w:sz w:val="24"/>
        </w:rPr>
        <w:t>一、总体要求</w:t>
      </w:r>
    </w:p>
    <w:p>
      <w:pPr>
        <w:spacing w:line="360" w:lineRule="auto"/>
        <w:rPr>
          <w:rFonts w:ascii="宋体" w:hAnsi="宋体"/>
          <w:b/>
          <w:bCs/>
          <w:sz w:val="24"/>
        </w:rPr>
      </w:pPr>
      <w:r>
        <w:rPr>
          <w:rFonts w:hint="eastAsia" w:ascii="宋体" w:hAnsi="宋体"/>
          <w:b/>
          <w:sz w:val="24"/>
        </w:rPr>
        <w:t xml:space="preserve">1.1 </w:t>
      </w:r>
      <w:r>
        <w:rPr>
          <w:rFonts w:hint="eastAsia" w:ascii="宋体" w:hAnsi="宋体"/>
          <w:b/>
          <w:bCs/>
          <w:sz w:val="24"/>
        </w:rPr>
        <w:t>项目供货内容</w:t>
      </w:r>
    </w:p>
    <w:p>
      <w:pPr>
        <w:spacing w:line="360" w:lineRule="auto"/>
        <w:rPr>
          <w:rFonts w:ascii="宋体" w:hAnsi="宋体"/>
          <w:sz w:val="24"/>
        </w:rPr>
      </w:pPr>
      <w:r>
        <w:rPr>
          <w:rFonts w:hint="eastAsia" w:ascii="宋体" w:hAnsi="宋体"/>
          <w:sz w:val="24"/>
          <w:u w:val="single"/>
        </w:rPr>
        <w:t>重庆力帆乘用车有限公司</w:t>
      </w:r>
      <w:r>
        <w:rPr>
          <w:rFonts w:hint="eastAsia" w:ascii="宋体" w:hAnsi="宋体"/>
          <w:sz w:val="24"/>
        </w:rPr>
        <w:t>（以下简称“甲方”CY02C车型。</w:t>
      </w:r>
      <w:r>
        <w:rPr>
          <w:rFonts w:hint="eastAsia" w:ascii="宋体" w:hAnsi="宋体"/>
          <w:color w:val="000000"/>
          <w:sz w:val="24"/>
          <w:u w:val="single"/>
        </w:rPr>
        <w:t>委托</w:t>
      </w:r>
      <w:r>
        <w:rPr>
          <w:rFonts w:hint="eastAsia" w:ascii="宋体" w:hAnsi="宋体"/>
          <w:color w:val="000000"/>
          <w:sz w:val="24"/>
        </w:rPr>
        <w:t>（以下简称“乙方”）进行维修</w:t>
      </w:r>
      <w:r>
        <w:rPr>
          <w:rFonts w:ascii="宋体" w:hAnsi="宋体"/>
          <w:color w:val="000000"/>
          <w:sz w:val="24"/>
        </w:rPr>
        <w:t>及新开</w:t>
      </w:r>
      <w:r>
        <w:rPr>
          <w:rFonts w:hint="eastAsia" w:ascii="宋体" w:hAnsi="宋体"/>
          <w:color w:val="000000"/>
          <w:sz w:val="24"/>
        </w:rPr>
        <w:t>设计制造</w:t>
      </w:r>
      <w:r>
        <w:rPr>
          <w:rFonts w:hint="eastAsia" w:ascii="宋体" w:hAnsi="宋体"/>
          <w:color w:val="1F497D"/>
          <w:sz w:val="24"/>
        </w:rPr>
        <w:t>.</w:t>
      </w:r>
      <w:r>
        <w:rPr>
          <w:rFonts w:hint="eastAsia" w:ascii="宋体" w:hAnsi="宋体"/>
          <w:sz w:val="24"/>
        </w:rPr>
        <w:t>其内容包括检具设计制造、工具附件提供、运输、调试及项目管理、伴随生产、培训、技术服务等。</w:t>
      </w:r>
    </w:p>
    <w:p>
      <w:pPr>
        <w:spacing w:line="380" w:lineRule="exact"/>
        <w:rPr>
          <w:rFonts w:ascii="宋体" w:hAnsi="宋体"/>
          <w:color w:val="000000"/>
          <w:sz w:val="24"/>
        </w:rPr>
      </w:pPr>
      <w:r>
        <w:rPr>
          <w:rFonts w:hint="eastAsia" w:ascii="宋体" w:hAnsi="宋体"/>
          <w:color w:val="000000"/>
          <w:sz w:val="24"/>
        </w:rPr>
        <w:t>1.1.1供货检具明细如下：</w:t>
      </w:r>
    </w:p>
    <w:p>
      <w:pPr>
        <w:spacing w:line="380" w:lineRule="exact"/>
        <w:rPr>
          <w:rFonts w:ascii="宋体" w:hAnsi="宋体" w:cs="宋体"/>
          <w:b/>
          <w:bCs/>
          <w:sz w:val="32"/>
          <w:szCs w:val="32"/>
        </w:rPr>
      </w:pPr>
      <w:r>
        <w:rPr>
          <w:rFonts w:hint="eastAsia" w:ascii="宋体" w:hAnsi="宋体"/>
          <w:color w:val="000000"/>
          <w:sz w:val="24"/>
        </w:rPr>
        <w:t xml:space="preserve">      详见附件C</w:t>
      </w:r>
      <w:r>
        <w:rPr>
          <w:rFonts w:ascii="宋体" w:hAnsi="宋体"/>
          <w:color w:val="000000"/>
          <w:sz w:val="24"/>
        </w:rPr>
        <w:t>Y02C</w:t>
      </w:r>
      <w:r>
        <w:rPr>
          <w:rFonts w:hint="eastAsia" w:ascii="宋体" w:hAnsi="宋体"/>
          <w:color w:val="000000"/>
          <w:sz w:val="24"/>
        </w:rPr>
        <w:t>项目老检具</w:t>
      </w:r>
      <w:r>
        <w:rPr>
          <w:rFonts w:ascii="宋体" w:hAnsi="宋体"/>
          <w:color w:val="000000"/>
          <w:sz w:val="24"/>
        </w:rPr>
        <w:t>维修</w:t>
      </w:r>
      <w:r>
        <w:rPr>
          <w:rFonts w:hint="eastAsia" w:ascii="宋体" w:hAnsi="宋体"/>
          <w:color w:val="000000"/>
          <w:sz w:val="24"/>
        </w:rPr>
        <w:t>清单（C</w:t>
      </w:r>
      <w:r>
        <w:rPr>
          <w:rFonts w:ascii="宋体" w:hAnsi="宋体"/>
          <w:color w:val="000000"/>
          <w:sz w:val="24"/>
        </w:rPr>
        <w:t>Y02C</w:t>
      </w:r>
      <w:r>
        <w:rPr>
          <w:rFonts w:hint="eastAsia" w:ascii="宋体" w:hAnsi="宋体"/>
          <w:color w:val="000000"/>
          <w:sz w:val="24"/>
        </w:rPr>
        <w:t>项目老检具</w:t>
      </w:r>
      <w:r>
        <w:rPr>
          <w:rFonts w:ascii="宋体" w:hAnsi="宋体"/>
          <w:color w:val="000000"/>
          <w:sz w:val="24"/>
        </w:rPr>
        <w:t>维修</w:t>
      </w:r>
      <w:r>
        <w:rPr>
          <w:rFonts w:hint="eastAsia" w:ascii="宋体" w:hAnsi="宋体"/>
          <w:color w:val="000000"/>
          <w:sz w:val="24"/>
        </w:rPr>
        <w:t>清单）。</w:t>
      </w:r>
    </w:p>
    <w:p>
      <w:pPr>
        <w:spacing w:line="360" w:lineRule="auto"/>
        <w:rPr>
          <w:rFonts w:ascii="宋体" w:hAnsi="宋体"/>
          <w:sz w:val="24"/>
        </w:rPr>
      </w:pPr>
      <w:r>
        <w:rPr>
          <w:rFonts w:hint="eastAsia" w:ascii="宋体" w:hAnsi="宋体"/>
          <w:sz w:val="24"/>
        </w:rPr>
        <w:t>1.1.2供货工具明细如下：</w:t>
      </w:r>
    </w:p>
    <w:tbl>
      <w:tblPr>
        <w:tblStyle w:val="41"/>
        <w:tblW w:w="878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36"/>
        <w:gridCol w:w="3207"/>
        <w:gridCol w:w="3838"/>
        <w:gridCol w:w="11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69" w:hRule="atLeast"/>
          <w:jc w:val="center"/>
        </w:trPr>
        <w:tc>
          <w:tcPr>
            <w:tcW w:w="636" w:type="dxa"/>
            <w:vAlign w:val="center"/>
          </w:tcPr>
          <w:p>
            <w:pPr>
              <w:pStyle w:val="21"/>
              <w:spacing w:line="300" w:lineRule="auto"/>
              <w:jc w:val="center"/>
              <w:rPr>
                <w:rFonts w:hAnsi="宋体"/>
                <w:kern w:val="0"/>
              </w:rPr>
            </w:pPr>
            <w:r>
              <w:rPr>
                <w:rFonts w:hint="eastAsia" w:hAnsi="宋体"/>
                <w:kern w:val="0"/>
              </w:rPr>
              <w:t>序号</w:t>
            </w:r>
          </w:p>
        </w:tc>
        <w:tc>
          <w:tcPr>
            <w:tcW w:w="3207" w:type="dxa"/>
            <w:vAlign w:val="center"/>
          </w:tcPr>
          <w:p>
            <w:pPr>
              <w:pStyle w:val="21"/>
              <w:spacing w:line="300" w:lineRule="auto"/>
              <w:jc w:val="center"/>
              <w:rPr>
                <w:rFonts w:hAnsi="宋体"/>
                <w:kern w:val="0"/>
              </w:rPr>
            </w:pPr>
            <w:r>
              <w:rPr>
                <w:rFonts w:hint="eastAsia" w:hAnsi="宋体"/>
                <w:kern w:val="0"/>
              </w:rPr>
              <w:t>工具名称</w:t>
            </w:r>
          </w:p>
        </w:tc>
        <w:tc>
          <w:tcPr>
            <w:tcW w:w="3838" w:type="dxa"/>
            <w:vAlign w:val="center"/>
          </w:tcPr>
          <w:p>
            <w:pPr>
              <w:pStyle w:val="21"/>
              <w:spacing w:line="300" w:lineRule="auto"/>
              <w:jc w:val="center"/>
              <w:rPr>
                <w:rFonts w:hAnsi="宋体"/>
                <w:kern w:val="0"/>
              </w:rPr>
            </w:pPr>
            <w:r>
              <w:rPr>
                <w:rFonts w:hint="eastAsia" w:hAnsi="宋体"/>
                <w:kern w:val="0"/>
              </w:rPr>
              <w:t>规格说明</w:t>
            </w:r>
          </w:p>
        </w:tc>
        <w:tc>
          <w:tcPr>
            <w:tcW w:w="1105" w:type="dxa"/>
            <w:vAlign w:val="center"/>
          </w:tcPr>
          <w:p>
            <w:pPr>
              <w:spacing w:line="300" w:lineRule="auto"/>
              <w:jc w:val="center"/>
              <w:rPr>
                <w:rFonts w:ascii="宋体" w:hAnsi="宋体"/>
                <w:szCs w:val="21"/>
              </w:rPr>
            </w:pPr>
            <w:r>
              <w:rPr>
                <w:rFonts w:hint="eastAsia" w:ascii="宋体" w:hAnsi="宋体"/>
                <w:szCs w:val="21"/>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36" w:type="dxa"/>
            <w:shd w:val="clear" w:color="auto" w:fill="auto"/>
            <w:vAlign w:val="center"/>
          </w:tcPr>
          <w:p>
            <w:pPr>
              <w:pStyle w:val="21"/>
              <w:spacing w:line="300" w:lineRule="auto"/>
              <w:jc w:val="center"/>
              <w:rPr>
                <w:rFonts w:hAnsi="宋体"/>
                <w:kern w:val="0"/>
              </w:rPr>
            </w:pPr>
            <w:r>
              <w:rPr>
                <w:rFonts w:hint="eastAsia" w:hAnsi="宋体"/>
                <w:kern w:val="0"/>
              </w:rPr>
              <w:t>1</w:t>
            </w:r>
          </w:p>
        </w:tc>
        <w:tc>
          <w:tcPr>
            <w:tcW w:w="3207" w:type="dxa"/>
            <w:vAlign w:val="center"/>
          </w:tcPr>
          <w:p>
            <w:pPr>
              <w:pStyle w:val="21"/>
              <w:spacing w:line="300" w:lineRule="auto"/>
              <w:jc w:val="center"/>
              <w:rPr>
                <w:rFonts w:hAnsi="宋体"/>
                <w:kern w:val="0"/>
              </w:rPr>
            </w:pPr>
            <w:r>
              <w:rPr>
                <w:rFonts w:hint="eastAsia" w:hAnsi="宋体"/>
                <w:kern w:val="0"/>
              </w:rPr>
              <w:t>数显游标卡尺</w:t>
            </w:r>
          </w:p>
        </w:tc>
        <w:tc>
          <w:tcPr>
            <w:tcW w:w="3838" w:type="dxa"/>
            <w:vAlign w:val="center"/>
          </w:tcPr>
          <w:p>
            <w:pPr>
              <w:pStyle w:val="21"/>
              <w:spacing w:line="300" w:lineRule="auto"/>
              <w:jc w:val="center"/>
              <w:rPr>
                <w:rFonts w:hAnsi="宋体"/>
                <w:kern w:val="0"/>
              </w:rPr>
            </w:pPr>
            <w:r>
              <w:rPr>
                <w:rFonts w:hint="eastAsia" w:hAnsi="宋体"/>
              </w:rPr>
              <w:t>精度0.01mm</w:t>
            </w:r>
          </w:p>
        </w:tc>
        <w:tc>
          <w:tcPr>
            <w:tcW w:w="1105" w:type="dxa"/>
            <w:vAlign w:val="center"/>
          </w:tcPr>
          <w:p>
            <w:pPr>
              <w:pStyle w:val="21"/>
              <w:spacing w:line="300" w:lineRule="auto"/>
              <w:jc w:val="center"/>
              <w:rPr>
                <w:rFonts w:hAnsi="宋体"/>
                <w:kern w:val="0"/>
              </w:rPr>
            </w:pPr>
            <w:r>
              <w:rPr>
                <w:rFonts w:hAnsi="宋体"/>
                <w:kern w:val="0"/>
              </w:rPr>
              <w:t>3</w:t>
            </w:r>
            <w:r>
              <w:rPr>
                <w:rFonts w:hint="eastAsia" w:hAnsi="宋体"/>
                <w:kern w:val="0"/>
              </w:rPr>
              <w:t>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36" w:type="dxa"/>
            <w:shd w:val="clear" w:color="auto" w:fill="auto"/>
            <w:vAlign w:val="center"/>
          </w:tcPr>
          <w:p>
            <w:pPr>
              <w:pStyle w:val="21"/>
              <w:spacing w:line="300" w:lineRule="auto"/>
              <w:jc w:val="center"/>
              <w:rPr>
                <w:rFonts w:hAnsi="宋体"/>
                <w:kern w:val="0"/>
              </w:rPr>
            </w:pPr>
            <w:r>
              <w:rPr>
                <w:rFonts w:hint="eastAsia" w:hAnsi="宋体"/>
                <w:kern w:val="0"/>
              </w:rPr>
              <w:t>2</w:t>
            </w:r>
          </w:p>
        </w:tc>
        <w:tc>
          <w:tcPr>
            <w:tcW w:w="3207" w:type="dxa"/>
            <w:vAlign w:val="center"/>
          </w:tcPr>
          <w:p>
            <w:pPr>
              <w:pStyle w:val="21"/>
              <w:spacing w:line="300" w:lineRule="auto"/>
              <w:jc w:val="center"/>
              <w:rPr>
                <w:rFonts w:hAnsi="宋体"/>
                <w:kern w:val="0"/>
              </w:rPr>
            </w:pPr>
            <w:r>
              <w:rPr>
                <w:rFonts w:hint="eastAsia" w:hAnsi="宋体"/>
                <w:kern w:val="0"/>
              </w:rPr>
              <w:t>电子百分表及表座</w:t>
            </w:r>
          </w:p>
        </w:tc>
        <w:tc>
          <w:tcPr>
            <w:tcW w:w="3838" w:type="dxa"/>
            <w:vAlign w:val="center"/>
          </w:tcPr>
          <w:p>
            <w:pPr>
              <w:pStyle w:val="21"/>
              <w:spacing w:line="300" w:lineRule="auto"/>
              <w:jc w:val="center"/>
              <w:rPr>
                <w:rFonts w:hAnsi="宋体"/>
                <w:kern w:val="0"/>
              </w:rPr>
            </w:pPr>
            <w:r>
              <w:rPr>
                <w:rFonts w:hint="eastAsia" w:hAnsi="宋体"/>
              </w:rPr>
              <w:t>精度0.01mm</w:t>
            </w:r>
          </w:p>
        </w:tc>
        <w:tc>
          <w:tcPr>
            <w:tcW w:w="1105" w:type="dxa"/>
            <w:vAlign w:val="center"/>
          </w:tcPr>
          <w:p>
            <w:pPr>
              <w:pStyle w:val="21"/>
              <w:spacing w:line="300" w:lineRule="auto"/>
              <w:jc w:val="center"/>
              <w:rPr>
                <w:rFonts w:hAnsi="宋体"/>
                <w:kern w:val="0"/>
              </w:rPr>
            </w:pPr>
            <w:r>
              <w:rPr>
                <w:rFonts w:hAnsi="宋体"/>
                <w:kern w:val="0"/>
              </w:rPr>
              <w:t>3</w:t>
            </w:r>
            <w:r>
              <w:rPr>
                <w:rFonts w:hint="eastAsia" w:hAnsi="宋体"/>
                <w:kern w:val="0"/>
              </w:rPr>
              <w:t>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36" w:type="dxa"/>
            <w:shd w:val="clear" w:color="auto" w:fill="auto"/>
            <w:vAlign w:val="center"/>
          </w:tcPr>
          <w:p>
            <w:pPr>
              <w:pStyle w:val="21"/>
              <w:spacing w:line="300" w:lineRule="auto"/>
              <w:jc w:val="center"/>
              <w:rPr>
                <w:rFonts w:hAnsi="宋体"/>
                <w:kern w:val="0"/>
              </w:rPr>
            </w:pPr>
            <w:r>
              <w:rPr>
                <w:rFonts w:hint="eastAsia" w:hAnsi="宋体"/>
                <w:kern w:val="0"/>
              </w:rPr>
              <w:t>3</w:t>
            </w:r>
          </w:p>
        </w:tc>
        <w:tc>
          <w:tcPr>
            <w:tcW w:w="3207" w:type="dxa"/>
            <w:vAlign w:val="center"/>
          </w:tcPr>
          <w:p>
            <w:pPr>
              <w:pStyle w:val="21"/>
              <w:spacing w:line="300" w:lineRule="auto"/>
              <w:jc w:val="center"/>
              <w:rPr>
                <w:rFonts w:hAnsi="宋体"/>
                <w:kern w:val="0"/>
              </w:rPr>
            </w:pPr>
            <w:r>
              <w:rPr>
                <w:rFonts w:hint="eastAsia" w:hAnsi="宋体"/>
                <w:kern w:val="0"/>
              </w:rPr>
              <w:t>间隙尺</w:t>
            </w:r>
          </w:p>
        </w:tc>
        <w:tc>
          <w:tcPr>
            <w:tcW w:w="3838" w:type="dxa"/>
            <w:vAlign w:val="center"/>
          </w:tcPr>
          <w:p>
            <w:pPr>
              <w:pStyle w:val="21"/>
              <w:spacing w:line="300" w:lineRule="auto"/>
              <w:jc w:val="center"/>
              <w:rPr>
                <w:rFonts w:hAnsi="宋体"/>
                <w:kern w:val="0"/>
              </w:rPr>
            </w:pPr>
            <w:r>
              <w:rPr>
                <w:rFonts w:hint="eastAsia" w:hAnsi="宋体"/>
              </w:rPr>
              <w:t>精度0.05mm，测量范围至少包含1-15mm,3-15mm两种</w:t>
            </w:r>
          </w:p>
        </w:tc>
        <w:tc>
          <w:tcPr>
            <w:tcW w:w="1105" w:type="dxa"/>
            <w:vAlign w:val="center"/>
          </w:tcPr>
          <w:p>
            <w:pPr>
              <w:pStyle w:val="21"/>
              <w:spacing w:line="300" w:lineRule="auto"/>
              <w:jc w:val="center"/>
              <w:rPr>
                <w:rFonts w:hAnsi="宋体"/>
                <w:kern w:val="0"/>
              </w:rPr>
            </w:pPr>
            <w:r>
              <w:rPr>
                <w:rFonts w:hAnsi="宋体"/>
                <w:kern w:val="0"/>
              </w:rPr>
              <w:t>5</w:t>
            </w:r>
            <w:r>
              <w:rPr>
                <w:rFonts w:hint="eastAsia" w:hAnsi="宋体"/>
                <w:kern w:val="0"/>
              </w:rPr>
              <w:t>套</w:t>
            </w:r>
          </w:p>
        </w:tc>
      </w:tr>
    </w:tbl>
    <w:p>
      <w:pPr>
        <w:spacing w:line="360" w:lineRule="auto"/>
        <w:rPr>
          <w:rFonts w:ascii="宋体" w:hAnsi="宋体"/>
          <w:b/>
          <w:sz w:val="24"/>
        </w:rPr>
      </w:pPr>
    </w:p>
    <w:p>
      <w:pPr>
        <w:spacing w:line="360" w:lineRule="auto"/>
        <w:rPr>
          <w:rFonts w:ascii="宋体" w:hAnsi="宋体"/>
          <w:b/>
          <w:bCs/>
          <w:sz w:val="24"/>
        </w:rPr>
      </w:pPr>
      <w:r>
        <w:rPr>
          <w:rFonts w:hint="eastAsia" w:ascii="宋体" w:hAnsi="宋体"/>
          <w:b/>
          <w:sz w:val="24"/>
        </w:rPr>
        <w:t>1.2</w:t>
      </w:r>
      <w:r>
        <w:rPr>
          <w:rFonts w:hint="eastAsia" w:ascii="宋体" w:hAnsi="宋体"/>
          <w:b/>
          <w:bCs/>
          <w:sz w:val="24"/>
        </w:rPr>
        <w:t>项目进度要求</w:t>
      </w:r>
    </w:p>
    <w:p>
      <w:pPr>
        <w:spacing w:line="360" w:lineRule="auto"/>
        <w:rPr>
          <w:rFonts w:ascii="宋体" w:hAnsi="宋体"/>
          <w:bCs/>
          <w:sz w:val="24"/>
        </w:rPr>
      </w:pPr>
      <w:r>
        <w:rPr>
          <w:rFonts w:hint="eastAsia" w:ascii="宋体" w:hAnsi="宋体"/>
          <w:bCs/>
          <w:sz w:val="24"/>
        </w:rPr>
        <w:t>1.2.1 总体进度计划表</w:t>
      </w:r>
    </w:p>
    <w:p>
      <w:pPr>
        <w:spacing w:line="360" w:lineRule="auto"/>
        <w:ind w:firstLine="240" w:firstLineChars="100"/>
        <w:rPr>
          <w:rFonts w:ascii="宋体" w:hAnsi="宋体"/>
          <w:sz w:val="24"/>
        </w:rPr>
      </w:pPr>
      <w:r>
        <w:rPr>
          <w:rFonts w:hint="eastAsia" w:ascii="宋体" w:hAnsi="宋体"/>
          <w:sz w:val="24"/>
        </w:rPr>
        <w:t>1）图纸会签：2016年11月15日</w:t>
      </w:r>
    </w:p>
    <w:p>
      <w:pPr>
        <w:spacing w:line="360" w:lineRule="auto"/>
        <w:ind w:firstLine="240" w:firstLineChars="100"/>
        <w:rPr>
          <w:rFonts w:ascii="宋体" w:hAnsi="宋体"/>
          <w:sz w:val="24"/>
        </w:rPr>
      </w:pPr>
      <w:r>
        <w:rPr>
          <w:rFonts w:hint="eastAsia" w:ascii="宋体" w:hAnsi="宋体"/>
          <w:sz w:val="24"/>
        </w:rPr>
        <w:t>2）维修检具预验收：2017年2月05日</w:t>
      </w:r>
    </w:p>
    <w:p>
      <w:pPr>
        <w:spacing w:line="360" w:lineRule="auto"/>
        <w:ind w:firstLine="240" w:firstLineChars="100"/>
        <w:rPr>
          <w:rFonts w:ascii="宋体" w:hAnsi="宋体"/>
          <w:sz w:val="24"/>
        </w:rPr>
      </w:pPr>
      <w:r>
        <w:rPr>
          <w:rFonts w:hint="eastAsia" w:ascii="宋体" w:hAnsi="宋体"/>
          <w:sz w:val="24"/>
        </w:rPr>
        <w:t>3）检具回厂：2017年2月12日</w:t>
      </w:r>
    </w:p>
    <w:p>
      <w:pPr>
        <w:spacing w:line="360" w:lineRule="auto"/>
        <w:ind w:firstLine="240" w:firstLineChars="100"/>
        <w:rPr>
          <w:rFonts w:ascii="宋体" w:hAnsi="宋体"/>
          <w:sz w:val="24"/>
        </w:rPr>
      </w:pPr>
      <w:r>
        <w:rPr>
          <w:rFonts w:hint="eastAsia" w:ascii="宋体" w:hAnsi="宋体"/>
          <w:sz w:val="24"/>
        </w:rPr>
        <w:t>注：具体进度以实际项目进度为准。</w:t>
      </w:r>
    </w:p>
    <w:p>
      <w:pPr>
        <w:spacing w:line="360" w:lineRule="auto"/>
        <w:rPr>
          <w:rFonts w:ascii="宋体" w:hAnsi="宋体"/>
          <w:bCs/>
          <w:sz w:val="24"/>
        </w:rPr>
      </w:pPr>
      <w:r>
        <w:rPr>
          <w:rFonts w:hint="eastAsia" w:ascii="宋体" w:hAnsi="宋体"/>
          <w:sz w:val="24"/>
        </w:rPr>
        <w:t>1.2.2  乙方必须严格遵循以上进度计划，同时提出合理的有利于项目改进的意见。</w:t>
      </w:r>
    </w:p>
    <w:p>
      <w:pPr>
        <w:spacing w:line="360" w:lineRule="auto"/>
        <w:rPr>
          <w:rFonts w:ascii="宋体" w:hAnsi="宋体"/>
          <w:sz w:val="24"/>
        </w:rPr>
      </w:pPr>
      <w:r>
        <w:rPr>
          <w:rFonts w:hint="eastAsia" w:ascii="宋体" w:hAnsi="宋体"/>
          <w:sz w:val="24"/>
        </w:rPr>
        <w:t xml:space="preserve">1.2.3  </w:t>
      </w:r>
      <w:r>
        <w:rPr>
          <w:rFonts w:hint="eastAsia" w:ascii="宋体" w:hAnsi="宋体"/>
          <w:color w:val="000000"/>
          <w:sz w:val="24"/>
        </w:rPr>
        <w:t>技术协议签订后一周内乙方向甲方提交详细的分解进度计划，由甲方确认</w:t>
      </w:r>
      <w:r>
        <w:rPr>
          <w:rFonts w:hint="eastAsia" w:ascii="宋体" w:hAnsi="宋体"/>
          <w:sz w:val="24"/>
        </w:rPr>
        <w:t>。</w:t>
      </w:r>
    </w:p>
    <w:p>
      <w:pPr>
        <w:autoSpaceDE w:val="0"/>
        <w:autoSpaceDN w:val="0"/>
        <w:adjustRightInd w:val="0"/>
        <w:spacing w:line="360" w:lineRule="auto"/>
        <w:rPr>
          <w:rFonts w:ascii="宋体" w:cs="宋体"/>
          <w:color w:val="000000"/>
          <w:sz w:val="24"/>
        </w:rPr>
      </w:pPr>
      <w:r>
        <w:rPr>
          <w:rFonts w:hint="eastAsia" w:ascii="宋体" w:hAnsi="宋体"/>
          <w:sz w:val="24"/>
        </w:rPr>
        <w:t>1.2.4</w:t>
      </w:r>
      <w:r>
        <w:rPr>
          <w:rFonts w:hint="eastAsia" w:ascii="宋体" w:cs="宋体"/>
          <w:color w:val="000000"/>
          <w:sz w:val="24"/>
        </w:rPr>
        <w:t>分解进度计划一经签署确定，乙方须严格按照进度计划实施，如果需调整计划，</w:t>
      </w:r>
    </w:p>
    <w:p>
      <w:pPr>
        <w:autoSpaceDE w:val="0"/>
        <w:autoSpaceDN w:val="0"/>
        <w:adjustRightInd w:val="0"/>
        <w:spacing w:line="360" w:lineRule="auto"/>
        <w:rPr>
          <w:rFonts w:ascii="宋体" w:cs="宋体"/>
          <w:color w:val="000000"/>
          <w:sz w:val="24"/>
        </w:rPr>
      </w:pPr>
      <w:r>
        <w:rPr>
          <w:rFonts w:hint="eastAsia" w:ascii="宋体" w:cs="宋体"/>
          <w:color w:val="000000"/>
          <w:sz w:val="24"/>
        </w:rPr>
        <w:t>须得到甲方的书面认可但大计划节点不允许变更。乙方如确实需要拖期，需得到甲方的书面认可外，甲方过程管控单位经理及以上主管领导有权单方面对乙方进行经济处罚。处罚金额为人民币2000-5000元</w:t>
      </w:r>
      <w:r>
        <w:rPr>
          <w:rFonts w:ascii="宋体" w:hAnsi="宋体" w:cs="宋体"/>
          <w:color w:val="000000"/>
          <w:sz w:val="24"/>
        </w:rPr>
        <w:t>/</w:t>
      </w:r>
      <w:r>
        <w:rPr>
          <w:rFonts w:hint="eastAsia" w:ascii="宋体" w:cs="宋体"/>
          <w:color w:val="000000"/>
          <w:sz w:val="24"/>
        </w:rPr>
        <w:t>次，罚金不封顶。</w:t>
      </w:r>
    </w:p>
    <w:p>
      <w:pPr>
        <w:spacing w:line="360" w:lineRule="auto"/>
        <w:rPr>
          <w:rFonts w:ascii="宋体" w:hAnsi="宋体"/>
          <w:sz w:val="24"/>
        </w:rPr>
      </w:pPr>
      <w:r>
        <w:rPr>
          <w:rFonts w:hint="eastAsia" w:ascii="宋体" w:hAnsi="宋体"/>
          <w:sz w:val="24"/>
        </w:rPr>
        <w:t>1.2.5开发关键时间节点延期的违约</w:t>
      </w:r>
      <w:r>
        <w:rPr>
          <w:rFonts w:hint="eastAsia" w:ascii="宋体" w:hAnsi="宋体"/>
          <w:color w:val="000000"/>
          <w:sz w:val="24"/>
        </w:rPr>
        <w:t>责任：</w:t>
      </w:r>
    </w:p>
    <w:p>
      <w:pPr>
        <w:spacing w:line="360" w:lineRule="auto"/>
        <w:rPr>
          <w:rFonts w:ascii="宋体" w:hAnsi="宋体"/>
          <w:sz w:val="24"/>
        </w:rPr>
      </w:pPr>
      <w:r>
        <w:rPr>
          <w:rFonts w:hint="eastAsia" w:ascii="宋体" w:hAnsi="宋体"/>
          <w:sz w:val="24"/>
        </w:rPr>
        <w:t>（1） 检具交付延期：发货及终验收节点，每延期1</w:t>
      </w:r>
      <w:r>
        <w:rPr>
          <w:rFonts w:hint="eastAsia" w:ascii="宋体" w:hAnsi="宋体"/>
          <w:color w:val="000000"/>
          <w:sz w:val="24"/>
        </w:rPr>
        <w:t>天</w:t>
      </w:r>
      <w:r>
        <w:rPr>
          <w:rFonts w:hint="eastAsia" w:ascii="宋体" w:hAnsi="宋体"/>
          <w:sz w:val="24"/>
        </w:rPr>
        <w:t>，乙方按迟交货物总价的</w:t>
      </w:r>
    </w:p>
    <w:p>
      <w:pPr>
        <w:spacing w:line="360" w:lineRule="auto"/>
        <w:rPr>
          <w:rFonts w:ascii="宋体" w:hAnsi="宋体"/>
          <w:sz w:val="24"/>
        </w:rPr>
      </w:pPr>
      <w:r>
        <w:rPr>
          <w:rFonts w:hint="eastAsia" w:ascii="宋体" w:hAnsi="宋体"/>
          <w:sz w:val="24"/>
        </w:rPr>
        <w:t xml:space="preserve"> 1%向甲方支付违约金。</w:t>
      </w:r>
    </w:p>
    <w:p>
      <w:pPr>
        <w:spacing w:line="360" w:lineRule="auto"/>
        <w:rPr>
          <w:rFonts w:ascii="宋体" w:hAnsi="宋体"/>
          <w:sz w:val="24"/>
        </w:rPr>
      </w:pPr>
      <w:r>
        <w:rPr>
          <w:rFonts w:hint="eastAsia" w:ascii="宋体" w:hAnsi="宋体"/>
          <w:sz w:val="24"/>
        </w:rPr>
        <w:t>（2） 检具未达到阶段质量目标要求，同样按延期处理。</w:t>
      </w:r>
    </w:p>
    <w:p>
      <w:pPr>
        <w:spacing w:line="360" w:lineRule="auto"/>
        <w:rPr>
          <w:rFonts w:ascii="宋体" w:hAnsi="宋体"/>
          <w:sz w:val="24"/>
        </w:rPr>
      </w:pPr>
      <w:r>
        <w:rPr>
          <w:rFonts w:hint="eastAsia" w:ascii="宋体" w:hAnsi="宋体"/>
          <w:sz w:val="24"/>
        </w:rPr>
        <w:t>（3） 延期赔偿费的最高限额为合同价格的25％。</w:t>
      </w:r>
    </w:p>
    <w:p>
      <w:pPr>
        <w:spacing w:line="360" w:lineRule="auto"/>
        <w:rPr>
          <w:rFonts w:ascii="宋体" w:hAnsi="宋体"/>
          <w:sz w:val="24"/>
        </w:rPr>
      </w:pPr>
      <w:r>
        <w:rPr>
          <w:rFonts w:hint="eastAsia" w:ascii="宋体" w:hAnsi="宋体"/>
          <w:sz w:val="24"/>
        </w:rPr>
        <w:t>（4） 延期时间达到四周时，甲方有权解除合同。</w:t>
      </w:r>
      <w:bookmarkStart w:id="1" w:name="_Toc91668898"/>
      <w:bookmarkStart w:id="2" w:name="_Toc91667926"/>
      <w:bookmarkStart w:id="3" w:name="_Toc88532213"/>
      <w:bookmarkStart w:id="4" w:name="_Toc91850602"/>
    </w:p>
    <w:p>
      <w:pPr>
        <w:spacing w:line="360" w:lineRule="auto"/>
        <w:rPr>
          <w:rFonts w:ascii="宋体" w:hAnsi="宋体"/>
          <w:sz w:val="24"/>
        </w:rPr>
      </w:pPr>
      <w:r>
        <w:rPr>
          <w:rFonts w:hint="eastAsia" w:ascii="宋体" w:hAnsi="宋体"/>
          <w:b/>
          <w:sz w:val="24"/>
        </w:rPr>
        <w:t>1.3  项目组织与管理</w:t>
      </w:r>
    </w:p>
    <w:p>
      <w:pPr>
        <w:spacing w:line="360" w:lineRule="auto"/>
        <w:rPr>
          <w:rFonts w:ascii="宋体" w:hAnsi="宋体"/>
          <w:sz w:val="24"/>
        </w:rPr>
      </w:pPr>
      <w:r>
        <w:rPr>
          <w:rFonts w:hint="eastAsia" w:ascii="宋体" w:hAnsi="宋体"/>
          <w:sz w:val="24"/>
        </w:rPr>
        <w:t>1.3.1  自签订合同之日起，乙方应组织一批能力、经验符合该项目要求的人员组成项目管理组，在一周内将该组织机构图递交甲方。该项目管理组全权代表乙方负责整个项目的管理，包括与甲方的沟通、编制项目所需的文件、跟踪和协调工程进度计划、落实甲方所提出的各项要求和建议等。未经甲方建议或许可，项目负责人不得变更。如项目管理组相应人员有变动时，乙方需编制最新的组织机构图并交由甲方确认。</w:t>
      </w:r>
    </w:p>
    <w:p>
      <w:pPr>
        <w:spacing w:line="360" w:lineRule="auto"/>
        <w:rPr>
          <w:rFonts w:ascii="宋体" w:hAnsi="宋体"/>
          <w:sz w:val="24"/>
        </w:rPr>
      </w:pPr>
      <w:r>
        <w:rPr>
          <w:rFonts w:hint="eastAsia" w:ascii="宋体" w:hAnsi="宋体"/>
          <w:sz w:val="24"/>
        </w:rPr>
        <w:t>1.3.2 项目负责人为乙方直接的专职代表，负责处理技术、进度以及费用等问题。在整个项目周期内，从项目准备到终验收，如甲方需求时，乙方保证随时可到甲方指定地点处理相关问题。</w:t>
      </w:r>
    </w:p>
    <w:p>
      <w:pPr>
        <w:spacing w:line="360" w:lineRule="auto"/>
        <w:rPr>
          <w:rFonts w:ascii="宋体" w:hAnsi="宋体"/>
          <w:sz w:val="24"/>
        </w:rPr>
      </w:pPr>
      <w:r>
        <w:rPr>
          <w:rFonts w:hint="eastAsia" w:ascii="宋体" w:hAnsi="宋体"/>
          <w:sz w:val="24"/>
        </w:rPr>
        <w:t>1.3.3 乙方必须严格遵照</w:t>
      </w:r>
      <w:r>
        <w:rPr>
          <w:rFonts w:hint="eastAsia" w:ascii="宋体" w:hAnsi="宋体"/>
          <w:color w:val="000000"/>
          <w:sz w:val="24"/>
        </w:rPr>
        <w:t>以下约定</w:t>
      </w:r>
      <w:r>
        <w:rPr>
          <w:rFonts w:hint="eastAsia" w:ascii="宋体" w:hAnsi="宋体"/>
          <w:sz w:val="24"/>
        </w:rPr>
        <w:t>及时、准确地向甲方汇报项目进度，否则甲方有权推迟付款。</w:t>
      </w:r>
    </w:p>
    <w:p>
      <w:pPr>
        <w:autoSpaceDE w:val="0"/>
        <w:autoSpaceDN w:val="0"/>
        <w:adjustRightInd w:val="0"/>
        <w:spacing w:line="360" w:lineRule="auto"/>
        <w:rPr>
          <w:rFonts w:ascii="宋体" w:cs="宋体"/>
          <w:color w:val="00B150"/>
          <w:sz w:val="24"/>
        </w:rPr>
      </w:pPr>
      <w:r>
        <w:rPr>
          <w:rFonts w:hint="eastAsia" w:ascii="宋体" w:hAnsi="宋体"/>
          <w:sz w:val="24"/>
        </w:rPr>
        <w:t>1.3.3.1在预验收前，乙方每周至少一次向甲方提交进度表，进度表需由项目负责人签字盖章，要求具有真实性。</w:t>
      </w:r>
      <w:r>
        <w:rPr>
          <w:rFonts w:hint="eastAsia" w:ascii="宋体" w:cs="宋体"/>
          <w:sz w:val="24"/>
        </w:rPr>
        <w:t>如有必要甲方可要求乙方到甲方指定地点进行汇报项目进展及相关事项。</w:t>
      </w:r>
    </w:p>
    <w:p>
      <w:pPr>
        <w:spacing w:line="360" w:lineRule="auto"/>
        <w:ind w:left="38" w:leftChars="19"/>
        <w:rPr>
          <w:rFonts w:ascii="宋体" w:hAnsi="宋体"/>
          <w:sz w:val="24"/>
        </w:rPr>
      </w:pPr>
      <w:r>
        <w:rPr>
          <w:rFonts w:hint="eastAsia" w:ascii="宋体" w:hAnsi="宋体"/>
          <w:sz w:val="24"/>
        </w:rPr>
        <w:t>1.3.3.2 根据项目的需要，甲方可以随时要求乙方汇报当前实际进度并提供相应的照片，乙方必须无条件配合。</w:t>
      </w:r>
    </w:p>
    <w:p>
      <w:pPr>
        <w:spacing w:line="360" w:lineRule="auto"/>
        <w:ind w:left="38" w:leftChars="19"/>
        <w:rPr>
          <w:rFonts w:ascii="宋体" w:hAnsi="宋体"/>
          <w:sz w:val="24"/>
        </w:rPr>
      </w:pPr>
      <w:r>
        <w:rPr>
          <w:rFonts w:hint="eastAsia" w:ascii="宋体" w:hAnsi="宋体"/>
          <w:sz w:val="24"/>
        </w:rPr>
        <w:t>1.3.4  在检具预验收合格以前，甲方将派工程技术人员不定期对检具制造过程进行监制，乙方应积极配合并满足甲方人员的工作需求。</w:t>
      </w:r>
    </w:p>
    <w:p>
      <w:pPr>
        <w:spacing w:line="360" w:lineRule="auto"/>
        <w:ind w:left="38" w:leftChars="19"/>
        <w:rPr>
          <w:rFonts w:ascii="宋体" w:hAnsi="宋体"/>
          <w:sz w:val="24"/>
        </w:rPr>
      </w:pPr>
      <w:r>
        <w:rPr>
          <w:rFonts w:hint="eastAsia" w:ascii="宋体" w:hAnsi="宋体"/>
          <w:sz w:val="24"/>
        </w:rPr>
        <w:t>1.3.5  如果项目存在过程延误，乙方必须详细说明产生延误的原因，并及时提供延期申请给甲方，同时制定出切实可行的整改计划。</w:t>
      </w:r>
    </w:p>
    <w:p>
      <w:pPr>
        <w:spacing w:line="360" w:lineRule="auto"/>
        <w:ind w:left="38" w:leftChars="19"/>
        <w:rPr>
          <w:rFonts w:ascii="宋体" w:hAnsi="宋体"/>
          <w:sz w:val="24"/>
        </w:rPr>
      </w:pPr>
      <w:r>
        <w:rPr>
          <w:rFonts w:hint="eastAsia" w:ascii="宋体" w:hAnsi="宋体"/>
          <w:sz w:val="24"/>
        </w:rPr>
        <w:t>1.3.6  禁止分包的要求</w:t>
      </w:r>
    </w:p>
    <w:p>
      <w:pPr>
        <w:spacing w:line="360" w:lineRule="auto"/>
        <w:ind w:left="38" w:leftChars="19"/>
        <w:rPr>
          <w:rFonts w:ascii="宋体" w:hAnsi="宋体"/>
          <w:sz w:val="24"/>
        </w:rPr>
      </w:pPr>
      <w:r>
        <w:rPr>
          <w:rFonts w:hint="eastAsia" w:ascii="宋体" w:hAnsi="宋体"/>
          <w:sz w:val="24"/>
        </w:rPr>
        <w:t>1.3.6.1 检具设计制造须由乙方独立承担完成，不允许分包给二级供应商。如经发现甲方有权选择单方面解除合同，要求乙方按合同总金额的30%支付违约金，并在三日内退还甲方已支付的款项或降价让步接收。</w:t>
      </w:r>
    </w:p>
    <w:p>
      <w:pPr>
        <w:spacing w:line="360" w:lineRule="auto"/>
        <w:ind w:left="38" w:leftChars="19"/>
        <w:rPr>
          <w:rFonts w:ascii="宋体" w:hAnsi="宋体"/>
          <w:sz w:val="24"/>
        </w:rPr>
      </w:pPr>
      <w:r>
        <w:rPr>
          <w:rFonts w:hint="eastAsia" w:ascii="宋体" w:hAnsi="宋体"/>
          <w:sz w:val="24"/>
        </w:rPr>
        <w:t>1.3.6.2检具制造如有必要需外协加工时，乙方向甲方提供外协加工厂家资质等文件，甲方确认是否符合项目要求。</w:t>
      </w:r>
    </w:p>
    <w:p>
      <w:pPr>
        <w:autoSpaceDE w:val="0"/>
        <w:autoSpaceDN w:val="0"/>
        <w:adjustRightInd w:val="0"/>
        <w:spacing w:line="360" w:lineRule="auto"/>
        <w:rPr>
          <w:rFonts w:ascii="宋体" w:hAnsi="宋体"/>
          <w:b/>
          <w:sz w:val="24"/>
        </w:rPr>
      </w:pPr>
      <w:r>
        <w:rPr>
          <w:rFonts w:hint="eastAsia" w:ascii="宋体" w:hAnsi="宋体"/>
          <w:b/>
          <w:sz w:val="24"/>
        </w:rPr>
        <w:t xml:space="preserve">1.4  培训任务: </w:t>
      </w:r>
    </w:p>
    <w:p>
      <w:pPr>
        <w:autoSpaceDE w:val="0"/>
        <w:autoSpaceDN w:val="0"/>
        <w:adjustRightInd w:val="0"/>
        <w:spacing w:line="360" w:lineRule="auto"/>
        <w:rPr>
          <w:rFonts w:ascii="宋体" w:cs="宋体"/>
          <w:sz w:val="24"/>
        </w:rPr>
      </w:pPr>
      <w:r>
        <w:rPr>
          <w:rFonts w:hint="eastAsia" w:ascii="宋体" w:cs="宋体"/>
          <w:sz w:val="24"/>
        </w:rPr>
        <w:t>乙方在检具交付之前及检具使用过程中负责对甲方技术、生产等人员进行培训，培训课时不少于</w:t>
      </w:r>
      <w:r>
        <w:rPr>
          <w:rFonts w:ascii="宋体" w:hAnsi="宋体" w:cs="宋体"/>
          <w:sz w:val="24"/>
        </w:rPr>
        <w:t>40</w:t>
      </w:r>
      <w:r>
        <w:rPr>
          <w:rFonts w:hint="eastAsia" w:ascii="宋体" w:cs="宋体"/>
          <w:sz w:val="24"/>
        </w:rPr>
        <w:t>小时。培训内容</w:t>
      </w:r>
      <w:r>
        <w:rPr>
          <w:rFonts w:ascii="宋体" w:hAnsi="宋体" w:cs="宋体"/>
          <w:sz w:val="24"/>
        </w:rPr>
        <w:t>:</w:t>
      </w:r>
      <w:r>
        <w:rPr>
          <w:rFonts w:hint="eastAsia" w:ascii="宋体" w:cs="宋体"/>
          <w:sz w:val="24"/>
        </w:rPr>
        <w:t>各检具技术特征、调整使用注意事项、维修技术和手段等。目的是使甲方相关人员能够正常使用和维护这些检具。</w:t>
      </w:r>
    </w:p>
    <w:p>
      <w:pPr>
        <w:autoSpaceDE w:val="0"/>
        <w:autoSpaceDN w:val="0"/>
        <w:adjustRightInd w:val="0"/>
        <w:spacing w:line="360" w:lineRule="auto"/>
        <w:rPr>
          <w:rFonts w:ascii="宋体" w:hAnsi="宋体"/>
          <w:b/>
          <w:sz w:val="24"/>
        </w:rPr>
      </w:pPr>
      <w:r>
        <w:rPr>
          <w:rFonts w:hint="eastAsia" w:ascii="宋体" w:hAnsi="宋体"/>
          <w:b/>
          <w:sz w:val="24"/>
        </w:rPr>
        <w:t>1.5</w:t>
      </w:r>
      <w:r>
        <w:rPr>
          <w:rFonts w:hint="eastAsia" w:ascii="宋体" w:hAnsi="宋体"/>
          <w:b/>
          <w:bCs/>
          <w:sz w:val="24"/>
        </w:rPr>
        <w:t>包装及运输</w:t>
      </w:r>
      <w:bookmarkEnd w:id="1"/>
      <w:bookmarkEnd w:id="2"/>
      <w:bookmarkEnd w:id="3"/>
      <w:bookmarkEnd w:id="4"/>
    </w:p>
    <w:p>
      <w:pPr>
        <w:autoSpaceDE w:val="0"/>
        <w:autoSpaceDN w:val="0"/>
        <w:adjustRightInd w:val="0"/>
        <w:spacing w:line="360" w:lineRule="auto"/>
        <w:rPr>
          <w:rFonts w:ascii="宋体" w:hAnsi="宋体"/>
          <w:b/>
          <w:sz w:val="24"/>
        </w:rPr>
      </w:pPr>
      <w:r>
        <w:rPr>
          <w:rFonts w:hint="eastAsia" w:ascii="宋体" w:hAnsi="宋体"/>
          <w:sz w:val="24"/>
        </w:rPr>
        <w:t>1.5.1  交货地点：甲方指定地点</w:t>
      </w:r>
    </w:p>
    <w:p>
      <w:pPr>
        <w:autoSpaceDE w:val="0"/>
        <w:autoSpaceDN w:val="0"/>
        <w:adjustRightInd w:val="0"/>
        <w:spacing w:line="360" w:lineRule="auto"/>
        <w:rPr>
          <w:rFonts w:ascii="宋体" w:hAnsi="宋体"/>
          <w:sz w:val="24"/>
        </w:rPr>
      </w:pPr>
      <w:r>
        <w:rPr>
          <w:rFonts w:hint="eastAsia" w:ascii="宋体" w:hAnsi="宋体"/>
          <w:sz w:val="24"/>
        </w:rPr>
        <w:t>1.5.2  以新的坚固木箱或铁箱包装，适合长途运输，要求防湿、防潮、防锈、防震、耐粗暴装卸和搬运。需要海运的货物，须同时适用于海运和陆运，木箱包装须符合中国海关检验、检疫要求。检具在乙方预验收合格后，包装发运前要对检具进行清理、防锈处理等工作。包装箱内附装箱清单一份</w:t>
      </w:r>
      <w:r>
        <w:rPr>
          <w:rFonts w:hint="eastAsia" w:ascii="宋体" w:cs="宋体"/>
          <w:sz w:val="24"/>
        </w:rPr>
        <w:t>和防尘罩</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 xml:space="preserve">1.5.3 </w:t>
      </w:r>
      <w:r>
        <w:rPr>
          <w:rFonts w:hint="eastAsia" w:ascii="宋体" w:hAnsi="宋体"/>
          <w:sz w:val="24"/>
        </w:rPr>
        <w:t xml:space="preserve"> 进度节点中要求的检具到货节点为所有设备及甲方相关财产安全到达至甲方指定地点并具备开箱条件的节点，乙方在编制计划时应考虑到运输、报关及不可预测</w:t>
      </w:r>
    </w:p>
    <w:p>
      <w:pPr>
        <w:autoSpaceDE w:val="0"/>
        <w:autoSpaceDN w:val="0"/>
        <w:adjustRightInd w:val="0"/>
        <w:spacing w:line="360" w:lineRule="auto"/>
        <w:rPr>
          <w:rFonts w:ascii="宋体" w:hAnsi="宋体"/>
          <w:sz w:val="24"/>
        </w:rPr>
      </w:pPr>
      <w:r>
        <w:rPr>
          <w:rFonts w:hint="eastAsia" w:ascii="宋体" w:hAnsi="宋体"/>
          <w:sz w:val="24"/>
        </w:rPr>
        <w:t>等因素影响。对于由乙方原因造成的到货时间延误，甲方有权要求乙方采用空运</w:t>
      </w:r>
    </w:p>
    <w:p>
      <w:pPr>
        <w:autoSpaceDE w:val="0"/>
        <w:autoSpaceDN w:val="0"/>
        <w:adjustRightInd w:val="0"/>
        <w:spacing w:line="360" w:lineRule="auto"/>
        <w:rPr>
          <w:rFonts w:ascii="宋体" w:hAnsi="宋体"/>
          <w:sz w:val="24"/>
        </w:rPr>
      </w:pPr>
      <w:r>
        <w:rPr>
          <w:rFonts w:hint="eastAsia" w:ascii="宋体" w:hAnsi="宋体"/>
          <w:sz w:val="24"/>
        </w:rPr>
        <w:t>的方式降低项目影响，所发生的费用增加由乙方全部承担。</w:t>
      </w:r>
    </w:p>
    <w:p>
      <w:pPr>
        <w:autoSpaceDE w:val="0"/>
        <w:autoSpaceDN w:val="0"/>
        <w:adjustRightInd w:val="0"/>
        <w:spacing w:line="360" w:lineRule="auto"/>
        <w:rPr>
          <w:rFonts w:ascii="宋体" w:hAnsi="宋体"/>
          <w:b/>
          <w:sz w:val="24"/>
        </w:rPr>
      </w:pPr>
      <w:r>
        <w:rPr>
          <w:rFonts w:hint="eastAsia" w:ascii="宋体" w:hAnsi="宋体"/>
          <w:sz w:val="24"/>
        </w:rPr>
        <w:t>1.5.4预验收合格后，乙方在检具发货前三天通知甲方。</w:t>
      </w:r>
      <w:bookmarkStart w:id="5" w:name="_Toc88532216"/>
      <w:bookmarkStart w:id="6" w:name="_Toc91667929"/>
      <w:bookmarkStart w:id="7" w:name="_Toc91850605"/>
      <w:bookmarkStart w:id="8" w:name="_Toc91668901"/>
    </w:p>
    <w:p>
      <w:pPr>
        <w:autoSpaceDE w:val="0"/>
        <w:autoSpaceDN w:val="0"/>
        <w:adjustRightInd w:val="0"/>
        <w:spacing w:line="360" w:lineRule="auto"/>
        <w:rPr>
          <w:rFonts w:ascii="宋体" w:hAnsi="宋体"/>
          <w:b/>
          <w:sz w:val="24"/>
        </w:rPr>
      </w:pPr>
      <w:r>
        <w:rPr>
          <w:rFonts w:hint="eastAsia" w:ascii="宋体" w:hAnsi="宋体"/>
          <w:b/>
          <w:sz w:val="24"/>
        </w:rPr>
        <w:t>1.6</w:t>
      </w:r>
      <w:r>
        <w:rPr>
          <w:rFonts w:hint="eastAsia" w:ascii="宋体" w:hAnsi="宋体"/>
          <w:b/>
          <w:bCs/>
          <w:sz w:val="24"/>
        </w:rPr>
        <w:t>预先申明</w:t>
      </w:r>
      <w:bookmarkEnd w:id="5"/>
      <w:bookmarkEnd w:id="6"/>
      <w:bookmarkEnd w:id="7"/>
      <w:bookmarkEnd w:id="8"/>
    </w:p>
    <w:p>
      <w:pPr>
        <w:spacing w:beforeLines="50" w:line="360" w:lineRule="auto"/>
        <w:rPr>
          <w:rFonts w:ascii="宋体" w:hAnsi="宋体"/>
          <w:sz w:val="24"/>
        </w:rPr>
      </w:pPr>
      <w:r>
        <w:rPr>
          <w:rFonts w:hint="eastAsia" w:ascii="宋体" w:hAnsi="宋体"/>
          <w:sz w:val="24"/>
        </w:rPr>
        <w:t>1.6.1 乙方对检具的设计、制造、调试、交付负全部责任，直至达到本车型批量生产时使用无问题为止，并提供约定的服务和备件。</w:t>
      </w:r>
    </w:p>
    <w:p>
      <w:pPr>
        <w:autoSpaceDE w:val="0"/>
        <w:autoSpaceDN w:val="0"/>
        <w:adjustRightInd w:val="0"/>
        <w:spacing w:line="360" w:lineRule="auto"/>
        <w:rPr>
          <w:rFonts w:ascii="宋体" w:cs="宋体"/>
          <w:sz w:val="24"/>
        </w:rPr>
      </w:pPr>
      <w:r>
        <w:rPr>
          <w:rFonts w:hint="eastAsia" w:ascii="宋体" w:hAnsi="宋体"/>
          <w:sz w:val="24"/>
        </w:rPr>
        <w:t>1.6.2 甲方对乙方所提供的设计方案是否合格或是否需更换成其它的方案拥有决定权。直至乙方与甲方共同得到一致的工艺方案为止，乙方不得向甲方要求增加任何费用。乙方为设计方案负全责。</w:t>
      </w:r>
      <w:r>
        <w:rPr>
          <w:rFonts w:hint="eastAsia" w:ascii="宋体" w:cs="宋体"/>
          <w:sz w:val="24"/>
        </w:rPr>
        <w:t>甲方不对检具设计方案、检具结构、综合制造质量及使用质量等承担任何责任。</w:t>
      </w:r>
    </w:p>
    <w:p>
      <w:pPr>
        <w:spacing w:line="360" w:lineRule="auto"/>
        <w:rPr>
          <w:rFonts w:ascii="宋体" w:hAnsi="宋体"/>
          <w:sz w:val="24"/>
        </w:rPr>
      </w:pPr>
      <w:r>
        <w:rPr>
          <w:rFonts w:hint="eastAsia" w:ascii="宋体" w:hAnsi="宋体"/>
          <w:sz w:val="24"/>
        </w:rPr>
        <w:t>1.6.3甲方在项目运行过程中所进行的审查、会签、验收在任何情况下均不能成为乙方</w:t>
      </w:r>
    </w:p>
    <w:p>
      <w:pPr>
        <w:spacing w:line="360" w:lineRule="auto"/>
        <w:rPr>
          <w:rFonts w:ascii="宋体" w:hAnsi="宋体"/>
          <w:sz w:val="24"/>
        </w:rPr>
      </w:pPr>
      <w:r>
        <w:rPr>
          <w:rFonts w:hint="eastAsia" w:ascii="宋体" w:hAnsi="宋体"/>
          <w:sz w:val="24"/>
        </w:rPr>
        <w:t>推卸本项目全责的理由。</w:t>
      </w:r>
    </w:p>
    <w:p>
      <w:pPr>
        <w:autoSpaceDE w:val="0"/>
        <w:autoSpaceDN w:val="0"/>
        <w:adjustRightInd w:val="0"/>
        <w:rPr>
          <w:rFonts w:ascii="宋体" w:cs="宋体"/>
          <w:sz w:val="24"/>
        </w:rPr>
      </w:pPr>
      <w:r>
        <w:rPr>
          <w:rFonts w:hint="eastAsia" w:ascii="宋体" w:hAnsi="宋体"/>
          <w:sz w:val="24"/>
        </w:rPr>
        <w:t>1.6.4</w:t>
      </w:r>
      <w:r>
        <w:rPr>
          <w:rFonts w:hint="eastAsia" w:ascii="宋体" w:cs="宋体"/>
          <w:sz w:val="24"/>
        </w:rPr>
        <w:t>任何技术偏离，无论任何原因，乙方均需书面及时通知甲方，在得到甲方书面认</w:t>
      </w:r>
    </w:p>
    <w:p>
      <w:pPr>
        <w:spacing w:line="360" w:lineRule="auto"/>
        <w:rPr>
          <w:rFonts w:ascii="宋体" w:hAnsi="宋体"/>
          <w:sz w:val="24"/>
        </w:rPr>
      </w:pPr>
      <w:r>
        <w:rPr>
          <w:rFonts w:hint="eastAsia" w:ascii="宋体" w:cs="宋体"/>
          <w:sz w:val="24"/>
        </w:rPr>
        <w:t>可后才能实施。</w:t>
      </w:r>
    </w:p>
    <w:p>
      <w:pPr>
        <w:spacing w:line="360" w:lineRule="auto"/>
        <w:rPr>
          <w:rFonts w:ascii="宋体" w:hAnsi="宋体"/>
          <w:sz w:val="24"/>
        </w:rPr>
      </w:pPr>
      <w:r>
        <w:rPr>
          <w:rFonts w:hint="eastAsia" w:ascii="宋体" w:hAnsi="宋体"/>
          <w:sz w:val="24"/>
        </w:rPr>
        <w:t>1.6.5乙方一旦签订本协议，即被认为是已知协议范围。在项目执行过程中，如果双方</w:t>
      </w:r>
    </w:p>
    <w:p>
      <w:pPr>
        <w:spacing w:line="360" w:lineRule="auto"/>
        <w:rPr>
          <w:rFonts w:cs="宋体"/>
          <w:sz w:val="24"/>
        </w:rPr>
      </w:pPr>
      <w:r>
        <w:rPr>
          <w:rFonts w:hint="eastAsia" w:ascii="宋体" w:hAnsi="宋体"/>
          <w:sz w:val="24"/>
        </w:rPr>
        <w:t>对协议领会发生分歧时，解释权在甲方。乙方</w:t>
      </w:r>
      <w:r>
        <w:rPr>
          <w:rFonts w:hint="eastAsia" w:cs="宋体"/>
          <w:sz w:val="24"/>
        </w:rPr>
        <w:t>必须按甲方描述的范围工作，不得向</w:t>
      </w:r>
      <w:r>
        <w:rPr>
          <w:rFonts w:hint="eastAsia" w:ascii="宋体" w:hAnsi="宋体"/>
          <w:sz w:val="24"/>
        </w:rPr>
        <w:t>甲方</w:t>
      </w:r>
      <w:r>
        <w:rPr>
          <w:rFonts w:hint="eastAsia" w:cs="宋体"/>
          <w:sz w:val="24"/>
        </w:rPr>
        <w:t>提出增加费用，也不得以此为由推迟交货。</w:t>
      </w:r>
    </w:p>
    <w:p>
      <w:pPr>
        <w:spacing w:line="360" w:lineRule="auto"/>
        <w:rPr>
          <w:rFonts w:ascii="宋体" w:hAnsi="宋体"/>
          <w:sz w:val="24"/>
        </w:rPr>
      </w:pPr>
      <w:r>
        <w:rPr>
          <w:rFonts w:hint="eastAsia" w:ascii="宋体" w:hAnsi="宋体"/>
          <w:sz w:val="24"/>
        </w:rPr>
        <w:t xml:space="preserve">1.6.6 从技术协议生效开始到检具发运结束的整个过程中，甲方工作人员对乙方进行过 </w:t>
      </w:r>
    </w:p>
    <w:p>
      <w:pPr>
        <w:spacing w:line="360" w:lineRule="auto"/>
        <w:rPr>
          <w:rFonts w:ascii="宋体" w:hAnsi="宋体"/>
          <w:sz w:val="24"/>
        </w:rPr>
      </w:pPr>
      <w:r>
        <w:rPr>
          <w:rFonts w:hint="eastAsia" w:ascii="宋体" w:hAnsi="宋体"/>
          <w:sz w:val="24"/>
        </w:rPr>
        <w:t>程跟踪、检验期间，乙方应协助提供网络、文件打印、通讯、交通等工作便利。</w:t>
      </w:r>
    </w:p>
    <w:p>
      <w:pPr>
        <w:spacing w:line="360" w:lineRule="auto"/>
        <w:rPr>
          <w:rFonts w:ascii="宋体" w:hAnsi="宋体"/>
          <w:sz w:val="24"/>
        </w:rPr>
      </w:pPr>
      <w:r>
        <w:rPr>
          <w:rFonts w:hint="eastAsia" w:ascii="宋体" w:hAnsi="宋体"/>
          <w:sz w:val="24"/>
        </w:rPr>
        <w:t>1.6.7乙方在进行调试、培训及质保期内的维修等工作时，其工作人员的所有费用由乙方自行负责。</w:t>
      </w:r>
    </w:p>
    <w:p>
      <w:pPr>
        <w:autoSpaceDE w:val="0"/>
        <w:autoSpaceDN w:val="0"/>
        <w:adjustRightInd w:val="0"/>
        <w:spacing w:line="360" w:lineRule="auto"/>
        <w:rPr>
          <w:rFonts w:ascii="宋体" w:cs="宋体"/>
          <w:sz w:val="24"/>
        </w:rPr>
      </w:pPr>
      <w:r>
        <w:rPr>
          <w:rFonts w:hint="eastAsia" w:ascii="宋体" w:hAnsi="宋体"/>
          <w:sz w:val="24"/>
        </w:rPr>
        <w:t xml:space="preserve">1.6.8 </w:t>
      </w:r>
      <w:r>
        <w:rPr>
          <w:rFonts w:hint="eastAsia" w:ascii="宋体" w:cs="宋体"/>
          <w:sz w:val="24"/>
        </w:rPr>
        <w:t>检具在发运之前，若产品发生设计更改，不产出任何费用。检具在发运之后，若产品发生设计更改，费用在合同总额</w:t>
      </w:r>
      <w:r>
        <w:rPr>
          <w:rFonts w:hint="eastAsia" w:ascii="宋体" w:hAnsi="宋体" w:cs="宋体"/>
          <w:sz w:val="24"/>
        </w:rPr>
        <w:t>5</w:t>
      </w:r>
      <w:r>
        <w:rPr>
          <w:rFonts w:ascii="宋体" w:hAnsi="宋体" w:cs="宋体"/>
          <w:sz w:val="24"/>
        </w:rPr>
        <w:t>%</w:t>
      </w:r>
      <w:r>
        <w:rPr>
          <w:rFonts w:hint="eastAsia" w:ascii="宋体" w:cs="宋体"/>
          <w:sz w:val="24"/>
        </w:rPr>
        <w:t>以内由乙方承担。费用超出合同总额</w:t>
      </w:r>
      <w:r>
        <w:rPr>
          <w:rFonts w:hint="eastAsia" w:ascii="宋体" w:hAnsi="宋体" w:cs="宋体"/>
          <w:sz w:val="24"/>
        </w:rPr>
        <w:t>5</w:t>
      </w:r>
      <w:r>
        <w:rPr>
          <w:rFonts w:ascii="宋体" w:hAnsi="宋体" w:cs="宋体"/>
          <w:sz w:val="24"/>
        </w:rPr>
        <w:t>%</w:t>
      </w:r>
      <w:r>
        <w:rPr>
          <w:rFonts w:hint="eastAsia" w:ascii="宋体" w:cs="宋体"/>
          <w:sz w:val="24"/>
        </w:rPr>
        <w:t>部分，由双方另外协商确定整改费用。</w:t>
      </w:r>
    </w:p>
    <w:p>
      <w:pPr>
        <w:autoSpaceDE w:val="0"/>
        <w:autoSpaceDN w:val="0"/>
        <w:adjustRightInd w:val="0"/>
        <w:spacing w:line="360" w:lineRule="auto"/>
        <w:rPr>
          <w:rFonts w:ascii="宋体" w:cs="宋体"/>
          <w:sz w:val="24"/>
        </w:rPr>
      </w:pPr>
      <w:r>
        <w:rPr>
          <w:rFonts w:hint="eastAsia" w:ascii="宋体" w:hAnsi="宋体"/>
          <w:sz w:val="24"/>
        </w:rPr>
        <w:t xml:space="preserve">1.6.9 </w:t>
      </w:r>
      <w:r>
        <w:rPr>
          <w:rFonts w:hint="eastAsia" w:ascii="宋体" w:cs="宋体"/>
          <w:sz w:val="24"/>
        </w:rPr>
        <w:t>检具发运后，若产品发生设计更改，为保证检具设变整改周期，甲方有权</w:t>
      </w:r>
    </w:p>
    <w:p>
      <w:pPr>
        <w:autoSpaceDE w:val="0"/>
        <w:autoSpaceDN w:val="0"/>
        <w:adjustRightInd w:val="0"/>
        <w:spacing w:line="360" w:lineRule="auto"/>
        <w:rPr>
          <w:rFonts w:ascii="宋体" w:cs="宋体"/>
          <w:sz w:val="24"/>
        </w:rPr>
      </w:pPr>
      <w:r>
        <w:rPr>
          <w:rFonts w:hint="eastAsia" w:ascii="宋体" w:cs="宋体"/>
          <w:sz w:val="24"/>
        </w:rPr>
        <w:t>要求乙方在检具所在地周边协调第三方整改，设变整改费用在合同总额</w:t>
      </w:r>
      <w:r>
        <w:rPr>
          <w:rFonts w:hint="eastAsia" w:ascii="宋体" w:hAnsi="宋体" w:cs="宋体"/>
          <w:sz w:val="24"/>
        </w:rPr>
        <w:t>5</w:t>
      </w:r>
      <w:r>
        <w:rPr>
          <w:rFonts w:ascii="宋体" w:hAnsi="宋体" w:cs="宋体"/>
          <w:sz w:val="24"/>
        </w:rPr>
        <w:t>%</w:t>
      </w:r>
      <w:r>
        <w:rPr>
          <w:rFonts w:hint="eastAsia" w:ascii="宋体" w:cs="宋体"/>
          <w:sz w:val="24"/>
        </w:rPr>
        <w:t>以内由乙方支付。如乙方造成检具设变整改周期延误，乙方负全责。</w:t>
      </w:r>
    </w:p>
    <w:p>
      <w:pPr>
        <w:autoSpaceDE w:val="0"/>
        <w:autoSpaceDN w:val="0"/>
        <w:adjustRightInd w:val="0"/>
        <w:spacing w:line="360" w:lineRule="auto"/>
        <w:rPr>
          <w:rFonts w:ascii="宋体" w:cs="宋体"/>
          <w:sz w:val="24"/>
        </w:rPr>
      </w:pPr>
      <w:r>
        <w:rPr>
          <w:rFonts w:hint="eastAsia" w:ascii="宋体" w:cs="宋体"/>
          <w:sz w:val="24"/>
        </w:rPr>
        <w:t>1.6.10 关于产品设计更改，乙方不得由于设计变更费用确认问题或其他相关问题而以各</w:t>
      </w:r>
    </w:p>
    <w:p>
      <w:pPr>
        <w:autoSpaceDE w:val="0"/>
        <w:autoSpaceDN w:val="0"/>
        <w:adjustRightInd w:val="0"/>
        <w:spacing w:line="360" w:lineRule="auto"/>
        <w:rPr>
          <w:rFonts w:ascii="宋体" w:cs="宋体"/>
          <w:sz w:val="24"/>
        </w:rPr>
      </w:pPr>
      <w:r>
        <w:rPr>
          <w:rFonts w:hint="eastAsia" w:ascii="宋体" w:cs="宋体"/>
          <w:sz w:val="24"/>
        </w:rPr>
        <w:t>种方式直接或间接影响项目的正常进行，如乙方发生此类现象，甲方管控单位经理及以上主管领导有权对乙方进行经济处罚，起罚金额为人民币2000-5000元</w:t>
      </w:r>
      <w:r>
        <w:rPr>
          <w:rFonts w:ascii="宋体" w:hAnsi="宋体" w:cs="宋体"/>
          <w:sz w:val="24"/>
        </w:rPr>
        <w:t>/</w:t>
      </w:r>
      <w:r>
        <w:rPr>
          <w:rFonts w:hint="eastAsia" w:ascii="宋体" w:cs="宋体"/>
          <w:sz w:val="24"/>
        </w:rPr>
        <w:t>次，罚金上不封顶，罚金甲方将从付款阶段直接扣除。</w:t>
      </w:r>
    </w:p>
    <w:p>
      <w:pPr>
        <w:spacing w:line="360" w:lineRule="auto"/>
        <w:rPr>
          <w:rFonts w:ascii="宋体" w:hAnsi="宋体"/>
          <w:sz w:val="24"/>
        </w:rPr>
      </w:pPr>
      <w:r>
        <w:rPr>
          <w:rFonts w:hint="eastAsia" w:ascii="宋体" w:hAnsi="宋体"/>
          <w:sz w:val="24"/>
        </w:rPr>
        <w:t>1.6.11检具套数由乙方根据甲方提供的数据最终报价版本为准，由于乙方技术失误造成的检具数量增加，费用由乙方承担，甲方不增加额外费用。</w:t>
      </w:r>
    </w:p>
    <w:p>
      <w:pPr>
        <w:spacing w:line="360" w:lineRule="auto"/>
        <w:rPr>
          <w:rFonts w:ascii="宋体" w:hAnsi="宋体"/>
          <w:sz w:val="24"/>
        </w:rPr>
      </w:pPr>
      <w:r>
        <w:rPr>
          <w:rFonts w:hint="eastAsia" w:ascii="宋体" w:hAnsi="宋体"/>
          <w:sz w:val="24"/>
        </w:rPr>
        <w:t>1.6.12检具图纸会签通过后，乙方应向甲方提供加工申请，确认加工数据版本号并做好检具加工准备。由甲方确认无误后，乙方才可进行加工工作。如乙方未向甲方确认加工版本号，后期如造成各项损失，由乙方负全责。</w:t>
      </w:r>
    </w:p>
    <w:p>
      <w:pPr>
        <w:spacing w:line="360" w:lineRule="auto"/>
        <w:rPr>
          <w:rFonts w:ascii="宋体" w:hAnsi="宋体" w:cs="宋体"/>
          <w:sz w:val="24"/>
        </w:rPr>
      </w:pPr>
      <w:r>
        <w:rPr>
          <w:rFonts w:hint="eastAsia" w:ascii="宋体" w:hAnsi="宋体"/>
          <w:sz w:val="24"/>
        </w:rPr>
        <w:t>1.6.13</w:t>
      </w:r>
      <w:r>
        <w:rPr>
          <w:rFonts w:hint="eastAsia" w:ascii="宋体" w:hAnsi="宋体" w:cs="宋体"/>
          <w:sz w:val="24"/>
        </w:rPr>
        <w:t>检具型面材料、标准件、外购件、外协加工件等，需提供材料厂家名称、联系方式、性能报告以及材料处理报告、采购合同等资料。</w:t>
      </w:r>
    </w:p>
    <w:p>
      <w:pPr>
        <w:spacing w:line="360" w:lineRule="auto"/>
        <w:rPr>
          <w:rFonts w:ascii="宋体" w:hAnsi="宋体" w:cs="宋体"/>
          <w:sz w:val="24"/>
        </w:rPr>
      </w:pPr>
      <w:r>
        <w:rPr>
          <w:rFonts w:hint="eastAsia" w:ascii="宋体" w:hAnsi="宋体" w:cs="宋体"/>
          <w:sz w:val="24"/>
        </w:rPr>
        <w:t>1.6.14检具功能件建议采用昆山正鸿新或小金检具标准件。外购标准件要保留标准件厂家标识，不允许删除。</w:t>
      </w:r>
    </w:p>
    <w:p>
      <w:pPr>
        <w:adjustRightInd w:val="0"/>
        <w:spacing w:line="360" w:lineRule="auto"/>
        <w:rPr>
          <w:rFonts w:ascii="宋体" w:hAnsi="宋体"/>
          <w:b/>
          <w:sz w:val="24"/>
        </w:rPr>
      </w:pPr>
      <w:r>
        <w:rPr>
          <w:rFonts w:hint="eastAsia" w:ascii="宋体" w:hAnsi="宋体"/>
          <w:b/>
          <w:sz w:val="24"/>
        </w:rPr>
        <w:t>1.7 质量保证</w:t>
      </w:r>
    </w:p>
    <w:p>
      <w:pPr>
        <w:autoSpaceDE w:val="0"/>
        <w:autoSpaceDN w:val="0"/>
        <w:adjustRightInd w:val="0"/>
        <w:spacing w:line="360" w:lineRule="auto"/>
        <w:rPr>
          <w:rFonts w:ascii="宋体" w:cs="宋体"/>
          <w:color w:val="000000"/>
          <w:sz w:val="24"/>
        </w:rPr>
      </w:pPr>
      <w:r>
        <w:rPr>
          <w:rFonts w:hint="eastAsia" w:ascii="宋体" w:cs="宋体"/>
          <w:color w:val="000000"/>
          <w:sz w:val="24"/>
        </w:rPr>
        <w:t>检具质保期为检具终验收合格后开始，质保期为一年，在此期间检具发生质量问题</w:t>
      </w:r>
    </w:p>
    <w:p>
      <w:pPr>
        <w:autoSpaceDE w:val="0"/>
        <w:autoSpaceDN w:val="0"/>
        <w:adjustRightInd w:val="0"/>
        <w:spacing w:line="360" w:lineRule="auto"/>
        <w:rPr>
          <w:rFonts w:ascii="宋体" w:cs="宋体"/>
          <w:color w:val="FF0000"/>
          <w:sz w:val="24"/>
        </w:rPr>
      </w:pPr>
      <w:r>
        <w:rPr>
          <w:rFonts w:hint="eastAsia" w:ascii="宋体" w:cs="宋体"/>
          <w:color w:val="000000"/>
          <w:sz w:val="24"/>
        </w:rPr>
        <w:t>时，甲方发出通知后国内</w:t>
      </w:r>
      <w:r>
        <w:rPr>
          <w:rFonts w:hint="eastAsia" w:ascii="宋体" w:hAnsi="宋体" w:cs="宋体"/>
          <w:color w:val="000000"/>
          <w:sz w:val="24"/>
        </w:rPr>
        <w:t>48</w:t>
      </w:r>
      <w:r>
        <w:rPr>
          <w:rFonts w:ascii="宋体" w:hAnsi="宋体" w:cs="宋体"/>
          <w:color w:val="000000"/>
          <w:sz w:val="24"/>
        </w:rPr>
        <w:t>h</w:t>
      </w:r>
      <w:r>
        <w:rPr>
          <w:rFonts w:hint="eastAsia" w:ascii="宋体" w:hAnsi="宋体" w:cs="宋体"/>
          <w:color w:val="000000"/>
          <w:sz w:val="24"/>
        </w:rPr>
        <w:t>/国际96h</w:t>
      </w:r>
      <w:r>
        <w:rPr>
          <w:rFonts w:hint="eastAsia" w:ascii="宋体" w:cs="宋体"/>
          <w:color w:val="000000"/>
          <w:sz w:val="24"/>
        </w:rPr>
        <w:t>内乙方到达甲方工厂解决问题。当质保期满之后，</w:t>
      </w:r>
      <w:r>
        <w:rPr>
          <w:rFonts w:hint="eastAsia" w:ascii="宋体" w:cs="宋体"/>
          <w:sz w:val="24"/>
        </w:rPr>
        <w:t>乙方仍应</w:t>
      </w:r>
      <w:r>
        <w:rPr>
          <w:rFonts w:hint="eastAsia" w:ascii="宋体" w:cs="宋体"/>
          <w:color w:val="000000"/>
          <w:sz w:val="24"/>
        </w:rPr>
        <w:t>提供广泛而优惠的技术支持及备件的供应。</w:t>
      </w:r>
      <w:bookmarkStart w:id="9" w:name="_Toc121552055"/>
      <w:bookmarkStart w:id="10" w:name="_Toc91668896"/>
      <w:bookmarkStart w:id="11" w:name="_Toc121896717"/>
      <w:bookmarkStart w:id="12" w:name="_Toc88532211"/>
      <w:bookmarkStart w:id="13" w:name="_Toc91667924"/>
    </w:p>
    <w:p>
      <w:pPr>
        <w:spacing w:line="360" w:lineRule="auto"/>
        <w:rPr>
          <w:rFonts w:ascii="宋体" w:hAnsi="宋体"/>
          <w:b/>
          <w:sz w:val="24"/>
        </w:rPr>
      </w:pPr>
      <w:r>
        <w:rPr>
          <w:rFonts w:hint="eastAsia" w:ascii="宋体" w:hAnsi="宋体"/>
          <w:b/>
          <w:sz w:val="24"/>
        </w:rPr>
        <w:t>1.8语言和通讯</w:t>
      </w:r>
      <w:bookmarkEnd w:id="9"/>
      <w:bookmarkEnd w:id="10"/>
      <w:bookmarkEnd w:id="11"/>
      <w:bookmarkEnd w:id="12"/>
      <w:bookmarkEnd w:id="13"/>
    </w:p>
    <w:p>
      <w:pPr>
        <w:spacing w:beforeLines="50" w:line="360" w:lineRule="auto"/>
        <w:rPr>
          <w:sz w:val="24"/>
        </w:rPr>
      </w:pPr>
      <w:r>
        <w:rPr>
          <w:rFonts w:hint="eastAsia" w:ascii="宋体" w:hAnsi="宋体"/>
          <w:sz w:val="24"/>
        </w:rPr>
        <w:t>1.8.1</w:t>
      </w:r>
      <w:r>
        <w:rPr>
          <w:rFonts w:hint="eastAsia"/>
          <w:sz w:val="24"/>
        </w:rPr>
        <w:t>参与投标的乙方所有回标文件一律以中文形式给出。要求乙方的语言交流方式及所递交的文件（正文，图纸等）均使用中文形式；</w:t>
      </w:r>
    </w:p>
    <w:p>
      <w:pPr>
        <w:spacing w:beforeLines="50" w:line="360" w:lineRule="auto"/>
        <w:rPr>
          <w:sz w:val="24"/>
        </w:rPr>
      </w:pPr>
      <w:r>
        <w:rPr>
          <w:rFonts w:hint="eastAsia" w:ascii="宋体" w:hAnsi="宋体"/>
          <w:sz w:val="24"/>
        </w:rPr>
        <w:t>1.8.2</w:t>
      </w:r>
      <w:r>
        <w:rPr>
          <w:rFonts w:hint="eastAsia"/>
          <w:sz w:val="24"/>
        </w:rPr>
        <w:t>乙方中的外方人员参与项目建设时，甲方要求乙方提供翻译人员。同时在培训过程中，乙方也应提供中文口译人员，费用由乙方承担；</w:t>
      </w:r>
    </w:p>
    <w:p>
      <w:pPr>
        <w:spacing w:beforeLines="50" w:line="360" w:lineRule="auto"/>
        <w:rPr>
          <w:sz w:val="24"/>
        </w:rPr>
      </w:pPr>
      <w:r>
        <w:rPr>
          <w:rFonts w:hint="eastAsia" w:ascii="宋体" w:hAnsi="宋体"/>
          <w:sz w:val="24"/>
        </w:rPr>
        <w:t>1.8.3</w:t>
      </w:r>
      <w:r>
        <w:rPr>
          <w:rFonts w:hint="eastAsia"/>
          <w:sz w:val="24"/>
        </w:rPr>
        <w:t>乙方和甲方举行的所有会议，由乙方负责记录整理会议纪要。该会议纪要为简体中文。会议纪要经双方签字后生效；</w:t>
      </w:r>
    </w:p>
    <w:p>
      <w:pPr>
        <w:spacing w:line="360" w:lineRule="auto"/>
        <w:rPr>
          <w:rFonts w:ascii="宋体" w:hAnsi="宋体"/>
          <w:b/>
          <w:bCs/>
          <w:sz w:val="28"/>
          <w:szCs w:val="28"/>
        </w:rPr>
      </w:pPr>
      <w:r>
        <w:rPr>
          <w:rFonts w:hint="eastAsia" w:ascii="宋体" w:hAnsi="宋体"/>
          <w:b/>
          <w:bCs/>
          <w:sz w:val="28"/>
          <w:szCs w:val="28"/>
        </w:rPr>
        <w:t>二、外委单件检具设计要求</w:t>
      </w:r>
      <w:bookmarkStart w:id="14" w:name="_Toc435175864"/>
    </w:p>
    <w:p>
      <w:pPr>
        <w:spacing w:line="360" w:lineRule="auto"/>
        <w:rPr>
          <w:rFonts w:ascii="宋体" w:hAnsi="宋体"/>
          <w:b/>
          <w:bCs/>
          <w:sz w:val="28"/>
          <w:szCs w:val="28"/>
        </w:rPr>
      </w:pPr>
      <w:r>
        <w:rPr>
          <w:rFonts w:hint="eastAsia"/>
          <w:b/>
          <w:sz w:val="28"/>
          <w:szCs w:val="28"/>
        </w:rPr>
        <w:t>2.1</w:t>
      </w:r>
      <w:r>
        <w:rPr>
          <w:rFonts w:hint="eastAsia"/>
          <w:b/>
          <w:sz w:val="24"/>
          <w:szCs w:val="24"/>
        </w:rPr>
        <w:t>维修检具要求</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1.所有检具将丢失的销子及</w:t>
      </w:r>
      <w:r>
        <w:rPr>
          <w:color w:val="FF0000"/>
          <w:sz w:val="24"/>
          <w:szCs w:val="24"/>
        </w:rPr>
        <w:t>销套</w:t>
      </w:r>
      <w:r>
        <w:rPr>
          <w:rFonts w:hint="eastAsia"/>
          <w:color w:val="FF0000"/>
          <w:sz w:val="24"/>
          <w:szCs w:val="24"/>
        </w:rPr>
        <w:t>补齐需</w:t>
      </w:r>
      <w:r>
        <w:rPr>
          <w:color w:val="FF0000"/>
          <w:sz w:val="24"/>
          <w:szCs w:val="24"/>
        </w:rPr>
        <w:t>保持销子</w:t>
      </w:r>
      <w:r>
        <w:rPr>
          <w:rFonts w:hint="eastAsia"/>
          <w:color w:val="FF0000"/>
          <w:sz w:val="24"/>
          <w:szCs w:val="24"/>
        </w:rPr>
        <w:t>原始</w:t>
      </w:r>
      <w:r>
        <w:rPr>
          <w:color w:val="FF0000"/>
          <w:sz w:val="24"/>
          <w:szCs w:val="24"/>
        </w:rPr>
        <w:t>位置。</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2.本体损伤的尽可能全部修缮，需对最新的零件数模及零件设变进行校对，消除本体</w:t>
      </w:r>
      <w:r>
        <w:rPr>
          <w:color w:val="FF0000"/>
          <w:sz w:val="24"/>
          <w:szCs w:val="24"/>
        </w:rPr>
        <w:t>与零件干涉</w:t>
      </w:r>
      <w:r>
        <w:rPr>
          <w:rFonts w:hint="eastAsia"/>
          <w:color w:val="FF0000"/>
          <w:sz w:val="24"/>
          <w:szCs w:val="24"/>
        </w:rPr>
        <w:t>等确保</w:t>
      </w:r>
      <w:r>
        <w:rPr>
          <w:color w:val="FF0000"/>
          <w:sz w:val="24"/>
          <w:szCs w:val="24"/>
        </w:rPr>
        <w:t>检具能够正常</w:t>
      </w:r>
      <w:r>
        <w:rPr>
          <w:rFonts w:hint="eastAsia"/>
          <w:color w:val="FF0000"/>
          <w:sz w:val="24"/>
          <w:szCs w:val="24"/>
        </w:rPr>
        <w:t>使</w:t>
      </w:r>
      <w:r>
        <w:rPr>
          <w:color w:val="FF0000"/>
          <w:sz w:val="24"/>
          <w:szCs w:val="24"/>
        </w:rPr>
        <w:t>用</w:t>
      </w:r>
      <w:r>
        <w:rPr>
          <w:rFonts w:hint="eastAsia"/>
          <w:color w:val="FF0000"/>
          <w:sz w:val="24"/>
          <w:szCs w:val="24"/>
        </w:rPr>
        <w:t>，满足零件的检测需求。</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3.检具生锈部分修缮，重新涂装并保养，重新制定保养手册，</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4.卡板，定位销等附件丢失以及错误的按照最新产品技术要求设计并制作。</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5.维修完成</w:t>
      </w:r>
      <w:r>
        <w:rPr>
          <w:color w:val="FF0000"/>
          <w:sz w:val="24"/>
          <w:szCs w:val="24"/>
        </w:rPr>
        <w:t>后按照最新的检具进行</w:t>
      </w:r>
      <w:r>
        <w:rPr>
          <w:rFonts w:hint="eastAsia"/>
          <w:color w:val="FF0000"/>
          <w:sz w:val="24"/>
          <w:szCs w:val="24"/>
        </w:rPr>
        <w:t>三坐标测量</w:t>
      </w:r>
      <w:r>
        <w:rPr>
          <w:color w:val="FF0000"/>
          <w:sz w:val="24"/>
          <w:szCs w:val="24"/>
        </w:rPr>
        <w:t>，标定检具状态。</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color w:val="FF0000"/>
          <w:sz w:val="24"/>
          <w:szCs w:val="24"/>
        </w:rPr>
        <w:t>6.</w:t>
      </w:r>
      <w:r>
        <w:rPr>
          <w:rFonts w:hint="eastAsia"/>
          <w:color w:val="FF0000"/>
          <w:sz w:val="24"/>
          <w:szCs w:val="24"/>
        </w:rPr>
        <w:t>依据</w:t>
      </w:r>
      <w:r>
        <w:rPr>
          <w:color w:val="FF0000"/>
          <w:sz w:val="24"/>
          <w:szCs w:val="24"/>
        </w:rPr>
        <w:t>维修后的检具编制零件检测成绩表</w:t>
      </w:r>
      <w:r>
        <w:rPr>
          <w:rFonts w:hint="eastAsia"/>
          <w:color w:val="FF0000"/>
          <w:sz w:val="24"/>
          <w:szCs w:val="24"/>
        </w:rPr>
        <w:t>（模板由甲方审核），供甲方审核。</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7.乙方提供的维修零部件需按照甲方新开检具的技术标准执行。</w:t>
      </w:r>
    </w:p>
    <w:p>
      <w:pPr>
        <w:tabs>
          <w:tab w:val="left" w:pos="1260"/>
        </w:tabs>
        <w:spacing w:line="360" w:lineRule="auto"/>
        <w:ind w:left="480" w:hanging="480" w:hangingChars="200"/>
        <w:rPr>
          <w:color w:val="FF0000"/>
          <w:sz w:val="24"/>
          <w:szCs w:val="24"/>
        </w:rPr>
      </w:pPr>
      <w:r>
        <w:rPr>
          <w:rFonts w:hint="eastAsia"/>
          <w:color w:val="FF0000"/>
          <w:sz w:val="24"/>
          <w:szCs w:val="24"/>
          <w:lang w:val="en-US" w:eastAsia="zh-CN"/>
        </w:rPr>
        <w:t>2.1.</w:t>
      </w:r>
      <w:r>
        <w:rPr>
          <w:rFonts w:hint="eastAsia"/>
          <w:color w:val="FF0000"/>
          <w:sz w:val="24"/>
          <w:szCs w:val="24"/>
        </w:rPr>
        <w:t>8.未尽事宜以甲方解释为准。</w:t>
      </w:r>
    </w:p>
    <w:p>
      <w:pPr>
        <w:spacing w:line="360" w:lineRule="auto"/>
        <w:rPr>
          <w:rFonts w:ascii="宋体" w:hAnsi="宋体"/>
          <w:b/>
          <w:bCs/>
          <w:sz w:val="28"/>
          <w:szCs w:val="28"/>
        </w:rPr>
      </w:pPr>
      <w:r>
        <w:rPr>
          <w:rFonts w:hint="eastAsia"/>
          <w:b/>
          <w:sz w:val="28"/>
          <w:szCs w:val="28"/>
        </w:rPr>
        <w:t>2.2</w:t>
      </w:r>
      <w:r>
        <w:rPr>
          <w:rFonts w:hint="eastAsia"/>
          <w:b/>
          <w:sz w:val="24"/>
          <w:szCs w:val="24"/>
        </w:rPr>
        <w:t>检具设计要求</w:t>
      </w:r>
      <w:bookmarkEnd w:id="14"/>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.1 检具设计要求以3D方式进行，存储数据要求用CATIA V5 R17或以下版本，UG4.0或以下版本能打开、读取和修改。</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.2 检具2D图纸要求使用AUTOCAD 2007或以下版本能够读取和编辑。</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.3 2D图中必须对加工基准（如S面、H孔）、零件的检测基准（例：3或0等）和测量点进行明确标注。检具图必须标注车身坐标参考线。检具图纸应包括自制件和外购件，外购件需要提供采购零件清单，内容包括制造厂家及规格型号、零部件明细表。</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.4 标准件的选用：优先采用国家标准规定的标准件（要求方便采购）。乙方企业规定的标准件的品牌、范围、形式需要经过甲方认可。标准件品牌、规格尽可能少。特殊情况在图纸会签时由甲方认定制造商的选用。</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.5 材料选用:检具中材质的成分、性能要符合国家标准或行业标准。选用品种要符合设计规范中的规定以及本文件特别说明的要求。</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.6 检具主体颜色依据项目具体要求，检具各种功能用不同颜色进行标定，标记要求醒目、牢固、不易脱落，结构应具有合理性。</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.7 检具应检测方便、维护方便，正常使用条件下不能产生任何翘曲变形，设计应严格按照产品图纸和GD&amp;T文件要求进行。</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.8 底座及钢材质支架、定位面（非工作表面）及其它一些钢材质部件均需要进行防腐、防锈处理。</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.9 具有定位基准功能的部位，公差精度等级不低于IT7级。</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.10 所有需要拆卸部件紧固螺钉根据负载情况首选蝶形螺栓，其次是内六角螺栓。</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.11 所有可拆部分要有相适应的存放装置，尽量利用检具本体上剩余空间，保证可拆卸附件和样架在工作和搬运中不被损坏。检具活动零部件翻转（滑动）后不能超出基板范围。</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.12检具各组成零部件最小可拆卸单元本体上要刻有编号，且编号图纸编号一致，刻号在非工作面上，刻字清晰。</w:t>
      </w:r>
    </w:p>
    <w:p>
      <w:pPr>
        <w:autoSpaceDE w:val="0"/>
        <w:autoSpaceDN w:val="0"/>
        <w:adjustRightInd w:val="0"/>
        <w:spacing w:line="360" w:lineRule="auto"/>
        <w:rPr>
          <w:rFonts w:ascii="宋体" w:hAnsi="宋体"/>
          <w:sz w:val="24"/>
        </w:rPr>
      </w:pPr>
      <w:r>
        <w:rPr>
          <w:rFonts w:hint="eastAsia" w:ascii="宋体" w:hAnsi="宋体"/>
          <w:sz w:val="24"/>
        </w:rPr>
        <w:t>2.</w:t>
      </w:r>
      <w:r>
        <w:rPr>
          <w:rFonts w:hint="eastAsia" w:ascii="宋体" w:hAnsi="宋体"/>
          <w:sz w:val="24"/>
          <w:lang w:val="en-US" w:eastAsia="zh-CN"/>
        </w:rPr>
        <w:t>2</w:t>
      </w:r>
      <w:r>
        <w:rPr>
          <w:rFonts w:hint="eastAsia" w:ascii="宋体" w:hAnsi="宋体"/>
          <w:sz w:val="24"/>
        </w:rPr>
        <w:t>.13检具必须满足可检测要素：检测零件周边修边、型面及各种功能孔；检测零件特性线及有特殊要求的型面。</w:t>
      </w:r>
      <w:bookmarkStart w:id="15" w:name="_Toc435175866"/>
    </w:p>
    <w:p>
      <w:pPr>
        <w:adjustRightInd w:val="0"/>
        <w:snapToGrid w:val="0"/>
        <w:spacing w:line="300" w:lineRule="auto"/>
        <w:rPr>
          <w:rFonts w:ascii="宋体" w:hAnsi="宋体"/>
          <w:b/>
          <w:sz w:val="24"/>
        </w:rPr>
      </w:pPr>
      <w:r>
        <w:rPr>
          <w:rFonts w:hint="eastAsia"/>
          <w:b/>
          <w:sz w:val="28"/>
          <w:szCs w:val="28"/>
        </w:rPr>
        <w:t>2.3制造要求</w:t>
      </w:r>
      <w:bookmarkEnd w:id="15"/>
    </w:p>
    <w:p>
      <w:pPr>
        <w:pStyle w:val="30"/>
        <w:adjustRightInd w:val="0"/>
        <w:snapToGrid w:val="0"/>
        <w:spacing w:line="300" w:lineRule="auto"/>
        <w:jc w:val="left"/>
        <w:rPr>
          <w:rFonts w:ascii="黑体" w:eastAsia="黑体"/>
          <w:sz w:val="24"/>
          <w:szCs w:val="24"/>
        </w:rPr>
      </w:pPr>
      <w:r>
        <w:rPr>
          <w:rFonts w:hint="eastAsia" w:ascii="黑体" w:eastAsia="黑体"/>
          <w:sz w:val="24"/>
          <w:szCs w:val="24"/>
        </w:rPr>
        <w:t>（1）底座部分：</w:t>
      </w:r>
    </w:p>
    <w:p>
      <w:pPr>
        <w:autoSpaceDE w:val="0"/>
        <w:autoSpaceDN w:val="0"/>
        <w:adjustRightInd w:val="0"/>
        <w:spacing w:line="360" w:lineRule="auto"/>
        <w:rPr>
          <w:rFonts w:ascii="宋体" w:hAnsi="宋体"/>
          <w:sz w:val="24"/>
        </w:rPr>
      </w:pPr>
      <w:r>
        <w:rPr>
          <w:rFonts w:hint="eastAsia" w:ascii="宋体" w:hAnsi="宋体"/>
          <w:sz w:val="24"/>
        </w:rPr>
        <w:t xml:space="preserve"> - 对于大型检具，当零件尺寸长+宽大于 1800mm 时，优先选用槽钢或工字钢，腰高不得低于 250mm，厚度不低于 8mm，底板厚度≥25mm，采用 45#钢以上型材。</w:t>
      </w:r>
    </w:p>
    <w:p>
      <w:pPr>
        <w:autoSpaceDE w:val="0"/>
        <w:autoSpaceDN w:val="0"/>
        <w:adjustRightInd w:val="0"/>
        <w:spacing w:line="360" w:lineRule="auto"/>
        <w:rPr>
          <w:rFonts w:ascii="宋体" w:hAnsi="宋体"/>
          <w:sz w:val="24"/>
        </w:rPr>
      </w:pPr>
      <w:r>
        <w:rPr>
          <w:rFonts w:hint="eastAsia" w:ascii="宋体" w:hAnsi="宋体"/>
          <w:sz w:val="24"/>
        </w:rPr>
        <w:t>- 中型单件检具，当零件尺寸长+宽小于 1800mm 时，可选用双层方钢管焊接结构，规格不低于 40*40*4。检具底板厚度：20~25mm，采用 45#钢以上型材。</w:t>
      </w:r>
    </w:p>
    <w:p>
      <w:pPr>
        <w:autoSpaceDE w:val="0"/>
        <w:autoSpaceDN w:val="0"/>
        <w:adjustRightInd w:val="0"/>
        <w:spacing w:line="360" w:lineRule="auto"/>
        <w:rPr>
          <w:rFonts w:ascii="宋体" w:hAnsi="宋体"/>
          <w:sz w:val="24"/>
        </w:rPr>
      </w:pPr>
      <w:r>
        <w:rPr>
          <w:rFonts w:hint="eastAsia" w:ascii="宋体" w:hAnsi="宋体"/>
          <w:sz w:val="24"/>
        </w:rPr>
        <w:t>- 小型单件检具，当零件尺寸长+宽小于 600mm 时，底座采用铝合金或铸铝，经消除材料内应力处理，底板厚度≥20mm，为方便检测需配置可移动式推车，高度符合人机工程要求。</w:t>
      </w:r>
    </w:p>
    <w:p>
      <w:pPr>
        <w:autoSpaceDE w:val="0"/>
        <w:autoSpaceDN w:val="0"/>
        <w:adjustRightInd w:val="0"/>
        <w:spacing w:line="360" w:lineRule="auto"/>
        <w:rPr>
          <w:rFonts w:ascii="宋体" w:hAnsi="宋体"/>
          <w:sz w:val="24"/>
        </w:rPr>
      </w:pPr>
      <w:r>
        <w:rPr>
          <w:rFonts w:hint="eastAsia" w:ascii="宋体" w:hAnsi="宋体"/>
          <w:sz w:val="24"/>
        </w:rPr>
        <w:t>- 检具基座上表面到地面高度不低于 450mm，应合理优化。 被检测零件放置在检具上的位置原则上必须和其在车身坐标系中的位置一致。如果考虑到便于操作、人机工程和节约费用等因素，特殊情况下允许将零件旋转+/-90 度或+/-180 度，但必须经过甲方同意方可执行。</w:t>
      </w:r>
    </w:p>
    <w:p>
      <w:pPr>
        <w:autoSpaceDE w:val="0"/>
        <w:autoSpaceDN w:val="0"/>
        <w:adjustRightInd w:val="0"/>
        <w:spacing w:line="360" w:lineRule="auto"/>
        <w:rPr>
          <w:rFonts w:ascii="宋体" w:hAnsi="宋体"/>
          <w:sz w:val="24"/>
        </w:rPr>
      </w:pPr>
      <w:r>
        <w:rPr>
          <w:rFonts w:ascii="宋体" w:hAnsi="宋体"/>
          <w:sz w:val="24"/>
        </w:rPr>
        <w:t>①</w:t>
      </w:r>
      <w:r>
        <w:rPr>
          <w:rFonts w:hint="eastAsia" w:ascii="宋体" w:hAnsi="宋体"/>
          <w:sz w:val="24"/>
        </w:rPr>
        <w:t xml:space="preserve"> 骨架及底板焊接完成后应施予热处理以消除内应力，必须保证焊接牢固，不得有虚焊、假焊等缺陷，检具的骨架及底板在正常工作条件下不允许出现开裂、变形、破损现象。检具构造应具有充分强度，在正常使用下不得产生任何翘曲变形。</w:t>
      </w:r>
    </w:p>
    <w:p>
      <w:pPr>
        <w:autoSpaceDE w:val="0"/>
        <w:autoSpaceDN w:val="0"/>
        <w:adjustRightInd w:val="0"/>
        <w:spacing w:line="360" w:lineRule="auto"/>
        <w:rPr>
          <w:rFonts w:ascii="宋体" w:hAnsi="宋体"/>
          <w:sz w:val="24"/>
        </w:rPr>
      </w:pPr>
      <w:r>
        <w:rPr>
          <w:rFonts w:hint="eastAsia" w:ascii="宋体" w:hAnsi="宋体"/>
          <w:sz w:val="24"/>
        </w:rPr>
        <w:t>底板周边尺寸必须大于检具型体周长,型体活动单元打开状态不得超出底板轮廓范围，底板上部平面的多余面积用于合理放置销子,测量器具等；</w:t>
      </w:r>
    </w:p>
    <w:p>
      <w:pPr>
        <w:autoSpaceDE w:val="0"/>
        <w:autoSpaceDN w:val="0"/>
        <w:adjustRightInd w:val="0"/>
        <w:spacing w:line="360" w:lineRule="auto"/>
        <w:rPr>
          <w:rFonts w:ascii="宋体" w:hAnsi="宋体"/>
          <w:sz w:val="24"/>
        </w:rPr>
      </w:pPr>
      <w:r>
        <w:rPr>
          <w:rFonts w:hint="eastAsia" w:ascii="宋体" w:hAnsi="宋体"/>
          <w:sz w:val="24"/>
        </w:rPr>
        <w:t>② 底座放置在地面时应备有高度可调装置，使使用状态保持水平，对于重量小于1.5t的检具可采用M24螺栓调节高度。</w:t>
      </w:r>
      <w:r>
        <w:rPr>
          <w:rFonts w:ascii="宋体" w:hAnsi="宋体"/>
          <w:sz w:val="24"/>
        </w:rPr>
        <w:t>(</w:t>
      </w:r>
      <w:r>
        <w:rPr>
          <w:rFonts w:hint="eastAsia" w:ascii="宋体" w:hAnsi="宋体"/>
          <w:sz w:val="24"/>
        </w:rPr>
        <w:t>或采用甲方认可的乙方方案) ,大于1.5t采用可调式垫铁。</w:t>
      </w:r>
    </w:p>
    <w:p>
      <w:pPr>
        <w:autoSpaceDE w:val="0"/>
        <w:autoSpaceDN w:val="0"/>
        <w:adjustRightInd w:val="0"/>
        <w:spacing w:line="360" w:lineRule="auto"/>
        <w:rPr>
          <w:rFonts w:ascii="宋体" w:hAnsi="宋体"/>
          <w:sz w:val="24"/>
        </w:rPr>
      </w:pPr>
      <w:r>
        <w:rPr>
          <w:rFonts w:hint="eastAsia" w:ascii="宋体" w:hAnsi="宋体"/>
          <w:sz w:val="24"/>
        </w:rPr>
        <w:t>③ 底座平面网格线：网格线的深度、宽度均为0.3</w:t>
      </w:r>
      <w:r>
        <w:rPr>
          <w:rFonts w:ascii="宋体" w:hAnsi="宋体"/>
          <w:sz w:val="24"/>
        </w:rPr>
        <w:t xml:space="preserve"> mm</w:t>
      </w:r>
      <w:r>
        <w:rPr>
          <w:rFonts w:hint="eastAsia" w:ascii="宋体" w:hAnsi="宋体"/>
          <w:sz w:val="24"/>
        </w:rPr>
        <w:t>，网格线与坐标对应，标注坐标值。</w:t>
      </w:r>
      <w:r>
        <w:rPr>
          <w:rFonts w:ascii="宋体" w:hAnsi="宋体"/>
          <w:sz w:val="24"/>
        </w:rPr>
        <w:t>大型零件</w:t>
      </w:r>
      <w:r>
        <w:rPr>
          <w:rFonts w:hint="eastAsia" w:ascii="宋体" w:hAnsi="宋体"/>
          <w:sz w:val="24"/>
        </w:rPr>
        <w:t>的</w:t>
      </w:r>
      <w:r>
        <w:rPr>
          <w:rFonts w:ascii="宋体" w:hAnsi="宋体"/>
          <w:sz w:val="24"/>
        </w:rPr>
        <w:t>底板和检具型面上应刻出</w:t>
      </w:r>
      <w:r>
        <w:rPr>
          <w:rFonts w:hint="eastAsia" w:ascii="宋体" w:hAnsi="宋体"/>
          <w:sz w:val="24"/>
        </w:rPr>
        <w:t>100－20</w:t>
      </w:r>
      <w:r>
        <w:rPr>
          <w:rFonts w:ascii="宋体" w:hAnsi="宋体"/>
          <w:sz w:val="24"/>
        </w:rPr>
        <w:t>0mm的坐标网格线</w:t>
      </w:r>
      <w:r>
        <w:rPr>
          <w:rFonts w:hint="eastAsia" w:ascii="宋体" w:hAnsi="宋体"/>
          <w:sz w:val="24"/>
        </w:rPr>
        <w:t>，中、</w:t>
      </w:r>
      <w:r>
        <w:rPr>
          <w:rFonts w:ascii="宋体" w:hAnsi="宋体"/>
          <w:sz w:val="24"/>
        </w:rPr>
        <w:t>小型零件应</w:t>
      </w:r>
      <w:r>
        <w:rPr>
          <w:rFonts w:hint="eastAsia" w:ascii="宋体" w:hAnsi="宋体"/>
          <w:sz w:val="24"/>
        </w:rPr>
        <w:t>刻</w:t>
      </w:r>
      <w:r>
        <w:rPr>
          <w:rFonts w:ascii="宋体" w:hAnsi="宋体"/>
          <w:sz w:val="24"/>
        </w:rPr>
        <w:t>出</w:t>
      </w:r>
      <w:r>
        <w:rPr>
          <w:rFonts w:hint="eastAsia" w:ascii="宋体" w:hAnsi="宋体"/>
          <w:sz w:val="24"/>
        </w:rPr>
        <w:t>100</w:t>
      </w:r>
      <w:r>
        <w:rPr>
          <w:rFonts w:ascii="宋体" w:hAnsi="宋体"/>
          <w:sz w:val="24"/>
        </w:rPr>
        <w:t>mm的坐标网格线。</w:t>
      </w:r>
    </w:p>
    <w:p>
      <w:pPr>
        <w:autoSpaceDE w:val="0"/>
        <w:autoSpaceDN w:val="0"/>
        <w:adjustRightInd w:val="0"/>
        <w:spacing w:line="360" w:lineRule="auto"/>
        <w:rPr>
          <w:rFonts w:ascii="宋体" w:hAnsi="宋体"/>
          <w:sz w:val="24"/>
        </w:rPr>
      </w:pPr>
      <w:r>
        <w:rPr>
          <w:rFonts w:hint="eastAsia" w:ascii="宋体" w:hAnsi="宋体"/>
          <w:sz w:val="24"/>
        </w:rPr>
        <w:t>④ 检具吊点：要求设计位置合理、方便，起吊时不得损坏检具，结构形式足够承载检具自重和零件自重。</w:t>
      </w:r>
    </w:p>
    <w:p>
      <w:pPr>
        <w:autoSpaceDE w:val="0"/>
        <w:autoSpaceDN w:val="0"/>
        <w:adjustRightInd w:val="0"/>
        <w:spacing w:line="360" w:lineRule="auto"/>
        <w:rPr>
          <w:rFonts w:ascii="宋体" w:hAnsi="宋体"/>
          <w:sz w:val="24"/>
        </w:rPr>
      </w:pPr>
      <w:r>
        <w:rPr>
          <w:rFonts w:hint="eastAsia" w:ascii="宋体" w:hAnsi="宋体"/>
          <w:sz w:val="24"/>
        </w:rPr>
        <w:t>检具基准要求以基准面和基准孔的形式在检具底座上出现。</w:t>
      </w:r>
    </w:p>
    <w:p>
      <w:pPr>
        <w:autoSpaceDE w:val="0"/>
        <w:autoSpaceDN w:val="0"/>
        <w:adjustRightInd w:val="0"/>
        <w:spacing w:line="360" w:lineRule="auto"/>
        <w:rPr>
          <w:rFonts w:ascii="宋体" w:hAnsi="宋体"/>
          <w:sz w:val="24"/>
        </w:rPr>
      </w:pPr>
      <w:r>
        <w:rPr>
          <w:rFonts w:hint="eastAsia" w:ascii="宋体" w:hAnsi="宋体"/>
          <w:sz w:val="24"/>
        </w:rPr>
        <w:t>⑤ 基准面：采用钢制结构，表面进行防腐处理，基准要进行明确标识并增加保护。</w:t>
      </w:r>
    </w:p>
    <w:p>
      <w:pPr>
        <w:autoSpaceDE w:val="0"/>
        <w:autoSpaceDN w:val="0"/>
        <w:adjustRightInd w:val="0"/>
        <w:spacing w:line="360" w:lineRule="auto"/>
        <w:rPr>
          <w:rFonts w:ascii="宋体" w:hAnsi="宋体"/>
          <w:sz w:val="24"/>
        </w:rPr>
      </w:pPr>
      <w:r>
        <w:rPr>
          <w:rFonts w:hint="eastAsia" w:ascii="宋体" w:hAnsi="宋体"/>
          <w:sz w:val="24"/>
        </w:rPr>
        <w:t>选用其它材料作为基准时，必须经甲方确认，要保证材料性能稳定，不变形、不生锈，与底座连接牢固。</w:t>
      </w:r>
    </w:p>
    <w:p>
      <w:pPr>
        <w:autoSpaceDE w:val="0"/>
        <w:autoSpaceDN w:val="0"/>
        <w:adjustRightInd w:val="0"/>
        <w:spacing w:line="360" w:lineRule="auto"/>
        <w:rPr>
          <w:rFonts w:ascii="宋体" w:hAnsi="宋体"/>
          <w:sz w:val="24"/>
        </w:rPr>
      </w:pPr>
      <w:r>
        <w:rPr>
          <w:rFonts w:hint="eastAsia" w:ascii="宋体" w:hAnsi="宋体"/>
          <w:sz w:val="24"/>
        </w:rPr>
        <w:t>⑥ 基准孔：检具基准孔直接在基准面上加工，基准孔直径为∮10或者∮8。</w:t>
      </w:r>
    </w:p>
    <w:p>
      <w:pPr>
        <w:autoSpaceDE w:val="0"/>
        <w:autoSpaceDN w:val="0"/>
        <w:adjustRightInd w:val="0"/>
        <w:spacing w:line="360" w:lineRule="auto"/>
        <w:rPr>
          <w:rFonts w:ascii="宋体" w:hAnsi="宋体"/>
          <w:sz w:val="24"/>
        </w:rPr>
      </w:pPr>
      <w:r>
        <w:rPr>
          <w:rFonts w:hint="eastAsia" w:ascii="宋体" w:hAnsi="宋体"/>
          <w:sz w:val="24"/>
        </w:rPr>
        <w:t>⑦ 基准布置原则：检具基准应最大范围覆盖底座整体。每套检具至少有三个基准面定位检具基准平面；在基准平面上至少有两个基准孔定位一个坐标轴，这个坐标轴应选择基准平面中的长轴；当这个长轴长度大于2000mm时，应在两个基准孔之间增加一个基准孔，使三个基准孔在同一直线上并且距离大致相等。</w:t>
      </w:r>
    </w:p>
    <w:p>
      <w:pPr>
        <w:autoSpaceDE w:val="0"/>
        <w:autoSpaceDN w:val="0"/>
        <w:adjustRightInd w:val="0"/>
        <w:spacing w:line="360" w:lineRule="auto"/>
        <w:rPr>
          <w:rFonts w:ascii="宋体" w:hAnsi="宋体"/>
          <w:sz w:val="24"/>
        </w:rPr>
      </w:pPr>
      <w:r>
        <w:rPr>
          <w:rFonts w:hint="eastAsia" w:ascii="宋体" w:hAnsi="宋体"/>
          <w:sz w:val="24"/>
        </w:rPr>
        <w:t>⑧ 基准精度要求：</w:t>
      </w:r>
    </w:p>
    <w:p>
      <w:pPr>
        <w:autoSpaceDE w:val="0"/>
        <w:autoSpaceDN w:val="0"/>
        <w:adjustRightInd w:val="0"/>
        <w:spacing w:line="360" w:lineRule="auto"/>
        <w:rPr>
          <w:rFonts w:ascii="宋体" w:hAnsi="宋体"/>
          <w:sz w:val="24"/>
        </w:rPr>
      </w:pPr>
      <w:r>
        <w:rPr>
          <w:rFonts w:hint="eastAsia" w:ascii="宋体" w:hAnsi="宋体"/>
          <w:sz w:val="24"/>
        </w:rPr>
        <w:t>基准部位表面粗糙度</w:t>
      </w:r>
      <w:r>
        <w:rPr>
          <w:rFonts w:ascii="宋体" w:hAnsi="宋体"/>
          <w:sz w:val="24"/>
        </w:rPr>
        <w:t>要求Ra≤</w:t>
      </w:r>
      <w:r>
        <w:rPr>
          <w:rFonts w:hint="eastAsia" w:ascii="宋体" w:hAnsi="宋体"/>
          <w:sz w:val="24"/>
        </w:rPr>
        <w:t>0.8</w:t>
      </w:r>
    </w:p>
    <w:p>
      <w:pPr>
        <w:autoSpaceDE w:val="0"/>
        <w:autoSpaceDN w:val="0"/>
        <w:adjustRightInd w:val="0"/>
        <w:spacing w:line="360" w:lineRule="auto"/>
        <w:rPr>
          <w:rFonts w:ascii="宋体" w:hAnsi="宋体"/>
          <w:sz w:val="24"/>
        </w:rPr>
      </w:pPr>
      <w:r>
        <w:rPr>
          <w:rFonts w:hint="eastAsia" w:ascii="宋体" w:hAnsi="宋体"/>
          <w:sz w:val="24"/>
        </w:rPr>
        <w:t>同侧基准面平面度小于0.03mm</w:t>
      </w:r>
    </w:p>
    <w:p>
      <w:pPr>
        <w:autoSpaceDE w:val="0"/>
        <w:autoSpaceDN w:val="0"/>
        <w:adjustRightInd w:val="0"/>
        <w:spacing w:line="360" w:lineRule="auto"/>
        <w:rPr>
          <w:rFonts w:ascii="宋体" w:hAnsi="宋体"/>
          <w:sz w:val="24"/>
        </w:rPr>
      </w:pPr>
      <w:r>
        <w:rPr>
          <w:rFonts w:hint="eastAsia" w:ascii="宋体" w:hAnsi="宋体"/>
          <w:sz w:val="24"/>
        </w:rPr>
        <w:t>不同方向基准之间垂直度小于0.03mm</w:t>
      </w:r>
    </w:p>
    <w:p>
      <w:pPr>
        <w:autoSpaceDE w:val="0"/>
        <w:autoSpaceDN w:val="0"/>
        <w:adjustRightInd w:val="0"/>
        <w:spacing w:line="360" w:lineRule="auto"/>
        <w:rPr>
          <w:rFonts w:ascii="宋体" w:hAnsi="宋体"/>
          <w:sz w:val="24"/>
        </w:rPr>
      </w:pPr>
      <w:r>
        <w:rPr>
          <w:rFonts w:hint="eastAsia" w:ascii="宋体" w:hAnsi="宋体"/>
          <w:sz w:val="24"/>
        </w:rPr>
        <w:t>底座基准孔位置精度在0.05mm以内</w:t>
      </w:r>
    </w:p>
    <w:p>
      <w:pPr>
        <w:autoSpaceDE w:val="0"/>
        <w:autoSpaceDN w:val="0"/>
        <w:adjustRightInd w:val="0"/>
        <w:spacing w:line="360" w:lineRule="auto"/>
        <w:rPr>
          <w:rFonts w:ascii="宋体" w:hAnsi="宋体"/>
          <w:sz w:val="24"/>
        </w:rPr>
      </w:pPr>
      <w:r>
        <w:rPr>
          <w:rFonts w:hint="eastAsia" w:ascii="宋体" w:hAnsi="宋体"/>
          <w:sz w:val="24"/>
        </w:rPr>
        <w:t>⑨ 基准配置：通常检具有加工基准和测量基准，当两套基准不重合并都保留在检具上时，要求两套基准能够互为使用，并在检具图纸中进行明确标注。</w:t>
      </w:r>
    </w:p>
    <w:p>
      <w:pPr>
        <w:autoSpaceDE w:val="0"/>
        <w:autoSpaceDN w:val="0"/>
        <w:adjustRightInd w:val="0"/>
        <w:spacing w:line="360" w:lineRule="auto"/>
        <w:rPr>
          <w:rFonts w:ascii="宋体" w:hAnsi="宋体"/>
          <w:sz w:val="24"/>
        </w:rPr>
      </w:pPr>
      <w:r>
        <w:rPr>
          <w:rFonts w:hint="eastAsia" w:ascii="宋体" w:hAnsi="宋体"/>
          <w:sz w:val="24"/>
        </w:rPr>
        <w:t>⑩ 基准标识：检具底座上的所有基准都要进行明确标识，并加以保护。</w:t>
      </w:r>
      <w:bookmarkStart w:id="16" w:name="_Toc434496665"/>
      <w:bookmarkStart w:id="17" w:name="_Toc427837800"/>
      <w:bookmarkStart w:id="18" w:name="_Toc434483146"/>
      <w:bookmarkStart w:id="19" w:name="_Toc435175867"/>
    </w:p>
    <w:p>
      <w:pPr>
        <w:pStyle w:val="30"/>
        <w:adjustRightInd w:val="0"/>
        <w:snapToGrid w:val="0"/>
        <w:spacing w:line="300" w:lineRule="auto"/>
        <w:jc w:val="left"/>
        <w:rPr>
          <w:rFonts w:ascii="黑体" w:eastAsia="黑体"/>
          <w:sz w:val="24"/>
          <w:szCs w:val="24"/>
        </w:rPr>
      </w:pPr>
      <w:r>
        <w:rPr>
          <w:rFonts w:hint="eastAsia" w:ascii="黑体" w:eastAsia="黑体"/>
          <w:sz w:val="24"/>
          <w:szCs w:val="24"/>
        </w:rPr>
        <w:t>（2）支撑部件</w:t>
      </w:r>
      <w:bookmarkEnd w:id="16"/>
      <w:bookmarkEnd w:id="17"/>
      <w:bookmarkEnd w:id="18"/>
      <w:bookmarkEnd w:id="19"/>
    </w:p>
    <w:p>
      <w:pPr>
        <w:autoSpaceDE w:val="0"/>
        <w:autoSpaceDN w:val="0"/>
        <w:adjustRightInd w:val="0"/>
        <w:spacing w:line="360" w:lineRule="auto"/>
        <w:rPr>
          <w:rFonts w:ascii="宋体" w:hAnsi="宋体"/>
          <w:sz w:val="24"/>
        </w:rPr>
      </w:pPr>
      <w:r>
        <w:rPr>
          <w:rFonts w:hint="eastAsia" w:ascii="宋体" w:hAnsi="宋体"/>
          <w:sz w:val="24"/>
        </w:rPr>
        <w:t>① 支撑座要有足够的刚度和强度，结构形式可以按甲方认可的乙方标准，采用铸件或焊接件，焊接件消除应力。</w:t>
      </w:r>
    </w:p>
    <w:p>
      <w:pPr>
        <w:autoSpaceDE w:val="0"/>
        <w:autoSpaceDN w:val="0"/>
        <w:adjustRightInd w:val="0"/>
        <w:spacing w:line="360" w:lineRule="auto"/>
        <w:rPr>
          <w:rFonts w:ascii="宋体" w:hAnsi="宋体"/>
          <w:sz w:val="24"/>
        </w:rPr>
      </w:pPr>
      <w:r>
        <w:rPr>
          <w:rFonts w:hint="eastAsia" w:ascii="宋体" w:hAnsi="宋体"/>
          <w:sz w:val="24"/>
        </w:rPr>
        <w:t xml:space="preserve"> ② 支撑架材质为不低于20#钢；支撑架配合平面粗糙度为</w:t>
      </w:r>
      <w:r>
        <w:rPr>
          <w:rFonts w:ascii="宋体" w:hAnsi="宋体"/>
          <w:sz w:val="24"/>
        </w:rPr>
        <w:t xml:space="preserve"> Ra≤1.6 (</w:t>
      </w:r>
      <w:r>
        <w:rPr>
          <w:rFonts w:hint="eastAsia" w:ascii="宋体" w:hAnsi="宋体"/>
          <w:sz w:val="24"/>
        </w:rPr>
        <w:t>μ</w:t>
      </w:r>
      <w:r>
        <w:rPr>
          <w:rFonts w:ascii="宋体" w:hAnsi="宋体"/>
          <w:sz w:val="24"/>
        </w:rPr>
        <w:t>m)</w:t>
      </w:r>
      <w:r>
        <w:rPr>
          <w:rFonts w:hint="eastAsia" w:ascii="宋体" w:hAnsi="宋体"/>
          <w:sz w:val="24"/>
        </w:rPr>
        <w:t>.支撑架通过支撑座与底座连接用M10（8.8级）螺栓，附平垫圈及弹簧垫圈；调整件的固定用M8（8.8级）螺栓，附平垫圈，其形式以内六角螺栓优先选用。</w:t>
      </w:r>
    </w:p>
    <w:p>
      <w:pPr>
        <w:autoSpaceDE w:val="0"/>
        <w:autoSpaceDN w:val="0"/>
        <w:adjustRightInd w:val="0"/>
        <w:spacing w:line="360" w:lineRule="auto"/>
        <w:rPr>
          <w:rFonts w:ascii="宋体" w:hAnsi="宋体"/>
          <w:sz w:val="24"/>
        </w:rPr>
      </w:pPr>
      <w:r>
        <w:rPr>
          <w:rFonts w:hint="eastAsia" w:ascii="宋体" w:hAnsi="宋体"/>
          <w:sz w:val="24"/>
        </w:rPr>
        <w:t>③ 底脚 (包含：滚轮或硬橡塑块)：底脚和底座为螺栓连接.通常滚轮为前后4个,后面两个具有自锁功能,用作检具的搬运,同时兼作存储;为便于检具用后安全存储及保护，底板各向基准面 ,必要时考虑设置硬橡塑块或支撑结构；大型检具（如侧围）除设置滚轮装置外，还需设置地脚螺栓，可根据环境情况进行高度调节，以便检具的安全存储及保护，设置个数根据检具大小再确定。每个脚轮承重不小于60KG具体按对应检具的重量选用。</w:t>
      </w:r>
    </w:p>
    <w:p>
      <w:pPr>
        <w:pStyle w:val="30"/>
        <w:adjustRightInd w:val="0"/>
        <w:snapToGrid w:val="0"/>
        <w:spacing w:line="300" w:lineRule="auto"/>
        <w:jc w:val="left"/>
        <w:rPr>
          <w:rFonts w:ascii="宋体" w:hAnsi="宋体"/>
          <w:b w:val="0"/>
        </w:rPr>
      </w:pPr>
      <w:bookmarkStart w:id="20" w:name="_Toc427837801"/>
      <w:bookmarkStart w:id="21" w:name="_Toc434483147"/>
      <w:bookmarkStart w:id="22" w:name="_Toc435175868"/>
      <w:bookmarkStart w:id="23" w:name="_Toc434496666"/>
      <w:r>
        <w:rPr>
          <w:rFonts w:hint="eastAsia" w:ascii="黑体" w:eastAsia="黑体"/>
          <w:sz w:val="24"/>
          <w:szCs w:val="24"/>
        </w:rPr>
        <w:t>（3）零件定位装置</w:t>
      </w:r>
      <w:bookmarkEnd w:id="20"/>
      <w:bookmarkEnd w:id="21"/>
      <w:bookmarkEnd w:id="22"/>
      <w:bookmarkEnd w:id="23"/>
    </w:p>
    <w:p>
      <w:pPr>
        <w:autoSpaceDE w:val="0"/>
        <w:autoSpaceDN w:val="0"/>
        <w:adjustRightInd w:val="0"/>
        <w:spacing w:line="360" w:lineRule="auto"/>
        <w:rPr>
          <w:rFonts w:ascii="宋体" w:hAnsi="宋体"/>
          <w:sz w:val="24"/>
        </w:rPr>
      </w:pPr>
      <w:r>
        <w:rPr>
          <w:rFonts w:hint="eastAsia" w:ascii="宋体" w:hAnsi="宋体"/>
          <w:sz w:val="24"/>
        </w:rPr>
        <w:t>① 零件定位面</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定位面和支撑面在检具上根据</w:t>
      </w:r>
      <w:r>
        <w:rPr>
          <w:rFonts w:ascii="宋体" w:hAnsi="宋体"/>
          <w:sz w:val="24"/>
        </w:rPr>
        <w:t>RPS</w:t>
      </w:r>
      <w:r>
        <w:rPr>
          <w:rFonts w:hint="eastAsia" w:ascii="宋体" w:hAnsi="宋体"/>
          <w:sz w:val="24"/>
        </w:rPr>
        <w:t>点布置，它精确地反映相应的</w:t>
      </w:r>
      <w:r>
        <w:rPr>
          <w:rFonts w:ascii="宋体" w:hAnsi="宋体"/>
          <w:sz w:val="24"/>
        </w:rPr>
        <w:t>RPS</w:t>
      </w:r>
      <w:r>
        <w:rPr>
          <w:rFonts w:hint="eastAsia" w:ascii="宋体" w:hAnsi="宋体"/>
          <w:sz w:val="24"/>
        </w:rPr>
        <w:t>点位置。通常主</w:t>
      </w:r>
      <w:r>
        <w:rPr>
          <w:rFonts w:ascii="宋体" w:hAnsi="宋体"/>
          <w:sz w:val="24"/>
        </w:rPr>
        <w:t>RPS</w:t>
      </w:r>
      <w:r>
        <w:rPr>
          <w:rFonts w:hint="eastAsia" w:ascii="宋体" w:hAnsi="宋体"/>
          <w:sz w:val="24"/>
        </w:rPr>
        <w:t>点的定位我们称之为定位面</w:t>
      </w:r>
      <w:r>
        <w:rPr>
          <w:rFonts w:ascii="宋体" w:hAnsi="宋体"/>
          <w:sz w:val="24"/>
        </w:rPr>
        <w:t xml:space="preserve">, </w:t>
      </w:r>
      <w:r>
        <w:rPr>
          <w:rFonts w:hint="eastAsia" w:ascii="宋体" w:hAnsi="宋体"/>
          <w:sz w:val="24"/>
        </w:rPr>
        <w:t>辅助</w:t>
      </w:r>
      <w:r>
        <w:rPr>
          <w:rFonts w:ascii="宋体" w:hAnsi="宋体"/>
          <w:sz w:val="24"/>
        </w:rPr>
        <w:t>RPS</w:t>
      </w:r>
      <w:r>
        <w:rPr>
          <w:rFonts w:hint="eastAsia" w:ascii="宋体" w:hAnsi="宋体"/>
          <w:sz w:val="24"/>
        </w:rPr>
        <w:t>点的支撑称为支撑面，支撑面数量及位置根据零件的软硬等稳定性状况由甲方酌情决定。必要时有意考虑过定位</w:t>
      </w:r>
      <w:r>
        <w:rPr>
          <w:rFonts w:ascii="宋体" w:hAnsi="宋体"/>
          <w:sz w:val="24"/>
        </w:rPr>
        <w:t>,</w:t>
      </w:r>
      <w:r>
        <w:rPr>
          <w:rFonts w:hint="eastAsia" w:ascii="宋体" w:hAnsi="宋体"/>
          <w:sz w:val="24"/>
        </w:rPr>
        <w:t>以增加零件的稳定性。</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定位面和支撑面，定位块材质规格不低于45钢，定位块须表面淬火，热处理硬度 HRC40~45，与制件接触表面粗糙度为 </w:t>
      </w:r>
      <w:r>
        <w:rPr>
          <w:rFonts w:ascii="宋体" w:hAnsi="宋体"/>
          <w:sz w:val="24"/>
        </w:rPr>
        <w:t xml:space="preserve">Ra= </w:t>
      </w:r>
      <w:r>
        <w:rPr>
          <w:rFonts w:hint="eastAsia" w:ascii="宋体" w:hAnsi="宋体"/>
          <w:sz w:val="24"/>
        </w:rPr>
        <w:t>0.8</w:t>
      </w:r>
      <w:r>
        <w:rPr>
          <w:rFonts w:ascii="宋体" w:hAnsi="宋体"/>
          <w:sz w:val="24"/>
        </w:rPr>
        <w:t xml:space="preserve"> (</w:t>
      </w:r>
      <w:r>
        <w:rPr>
          <w:rFonts w:hint="eastAsia" w:ascii="宋体" w:hAnsi="宋体"/>
          <w:sz w:val="24"/>
        </w:rPr>
        <w:t>μ</w:t>
      </w:r>
      <w:r>
        <w:rPr>
          <w:rFonts w:ascii="宋体" w:hAnsi="宋体"/>
          <w:sz w:val="24"/>
        </w:rPr>
        <w:t>m)</w:t>
      </w:r>
      <w:r>
        <w:rPr>
          <w:rFonts w:hint="eastAsia" w:ascii="宋体" w:hAnsi="宋体"/>
          <w:sz w:val="24"/>
        </w:rPr>
        <w:t xml:space="preserve">，非接触表面粗糙度为 </w:t>
      </w:r>
      <w:r>
        <w:rPr>
          <w:rFonts w:ascii="宋体" w:hAnsi="宋体"/>
          <w:sz w:val="24"/>
        </w:rPr>
        <w:t>Ra=</w:t>
      </w:r>
      <w:r>
        <w:rPr>
          <w:rFonts w:hint="eastAsia" w:ascii="宋体" w:hAnsi="宋体"/>
          <w:sz w:val="24"/>
        </w:rPr>
        <w:t>3.2</w:t>
      </w:r>
      <w:r>
        <w:rPr>
          <w:rFonts w:ascii="宋体" w:hAnsi="宋体"/>
          <w:sz w:val="24"/>
        </w:rPr>
        <w:t>(</w:t>
      </w:r>
      <w:r>
        <w:rPr>
          <w:rFonts w:hint="eastAsia" w:ascii="宋体" w:hAnsi="宋体"/>
          <w:sz w:val="24"/>
        </w:rPr>
        <w:t>μ</w:t>
      </w:r>
      <w:r>
        <w:rPr>
          <w:rFonts w:ascii="宋体" w:hAnsi="宋体"/>
          <w:sz w:val="24"/>
        </w:rPr>
        <w:t>m)</w:t>
      </w:r>
      <w:r>
        <w:rPr>
          <w:rFonts w:hint="eastAsia" w:ascii="宋体" w:hAnsi="宋体"/>
          <w:sz w:val="24"/>
        </w:rPr>
        <w:t>；</w:t>
      </w:r>
    </w:p>
    <w:p>
      <w:pPr>
        <w:autoSpaceDE w:val="0"/>
        <w:autoSpaceDN w:val="0"/>
        <w:adjustRightInd w:val="0"/>
        <w:spacing w:line="360" w:lineRule="auto"/>
        <w:rPr>
          <w:rFonts w:ascii="宋体" w:hAnsi="宋体"/>
          <w:sz w:val="24"/>
        </w:rPr>
      </w:pPr>
      <w:r>
        <w:rPr>
          <w:rFonts w:hint="eastAsia" w:ascii="宋体" w:hAnsi="宋体"/>
          <w:sz w:val="24"/>
        </w:rPr>
        <w:t>② 零件定位销</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定位销采用</w:t>
      </w:r>
      <w:r>
        <w:rPr>
          <w:rFonts w:ascii="宋体" w:hAnsi="宋体"/>
          <w:sz w:val="24"/>
        </w:rPr>
        <w:t>Cr12Mov</w:t>
      </w:r>
      <w:r>
        <w:rPr>
          <w:rFonts w:hint="eastAsia" w:ascii="宋体" w:hAnsi="宋体"/>
          <w:sz w:val="24"/>
        </w:rPr>
        <w:t>或同等材料，并淬火和调质（HRC58-62），表面氧化氮化处理，外径的公称尺寸为部件的孔径公称尺寸，加工公差为0～-0.02mm，定位销加工表面粗糙度为</w:t>
      </w:r>
      <w:r>
        <w:rPr>
          <w:rFonts w:ascii="宋体" w:hAnsi="宋体"/>
          <w:sz w:val="24"/>
        </w:rPr>
        <w:t xml:space="preserve">Ra= </w:t>
      </w:r>
      <w:r>
        <w:rPr>
          <w:rFonts w:hint="eastAsia" w:ascii="宋体" w:hAnsi="宋体"/>
          <w:sz w:val="24"/>
        </w:rPr>
        <w:t>0.8</w:t>
      </w:r>
      <w:r>
        <w:rPr>
          <w:rFonts w:ascii="宋体" w:hAnsi="宋体"/>
          <w:sz w:val="24"/>
        </w:rPr>
        <w:t xml:space="preserve"> (</w:t>
      </w:r>
      <w:r>
        <w:rPr>
          <w:rFonts w:hint="eastAsia" w:ascii="宋体" w:hAnsi="宋体"/>
          <w:sz w:val="24"/>
        </w:rPr>
        <w:t>μ</w:t>
      </w:r>
      <w:r>
        <w:rPr>
          <w:rFonts w:ascii="宋体" w:hAnsi="宋体"/>
          <w:sz w:val="24"/>
        </w:rPr>
        <w:t>m)</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根据定位需要，分为主副定位销，副定位销根据零件副定位孔形状，决定采用圆销或菱形销，且菱形销导向销套必须设置为防转结构。</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当定位孔在定位面上时，优先选用螺母锁紧式定位销。</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定位销包括固定式和插入式，固定式定位销必须能够方便快捷的拆卸更换。</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定位销在10K</w:t>
      </w:r>
      <w:r>
        <w:rPr>
          <w:rFonts w:ascii="宋体" w:hAnsi="宋体"/>
          <w:sz w:val="24"/>
        </w:rPr>
        <w:t>g</w:t>
      </w:r>
      <w:r>
        <w:rPr>
          <w:rFonts w:hint="eastAsia" w:ascii="宋体" w:hAnsi="宋体"/>
          <w:sz w:val="24"/>
        </w:rPr>
        <w:t>推力作用下不能有0.1</w:t>
      </w:r>
      <w:r>
        <w:rPr>
          <w:rFonts w:ascii="宋体" w:hAnsi="宋体"/>
          <w:sz w:val="24"/>
        </w:rPr>
        <w:t xml:space="preserve"> mm</w:t>
      </w:r>
      <w:r>
        <w:rPr>
          <w:rFonts w:hint="eastAsia" w:ascii="宋体" w:hAnsi="宋体"/>
          <w:sz w:val="24"/>
        </w:rPr>
        <w:t>以上的移动。</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定位销与销套的径向配合为H7/g6。</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活动的定位销用环形塑料内嵌钢丝绳连接到支座上，环形塑料内嵌钢丝绳长度保证定位销活动量足够；而且定位销能够方便地固定到其存放座上。</w:t>
      </w:r>
    </w:p>
    <w:p>
      <w:pPr>
        <w:pStyle w:val="30"/>
        <w:adjustRightInd w:val="0"/>
        <w:snapToGrid w:val="0"/>
        <w:spacing w:line="300" w:lineRule="auto"/>
        <w:jc w:val="left"/>
        <w:rPr>
          <w:rFonts w:ascii="黑体" w:eastAsia="黑体"/>
          <w:sz w:val="24"/>
          <w:szCs w:val="24"/>
        </w:rPr>
      </w:pPr>
      <w:bookmarkStart w:id="24" w:name="_Toc434496667"/>
      <w:bookmarkStart w:id="25" w:name="_Toc434483148"/>
      <w:bookmarkStart w:id="26" w:name="_Toc427837802"/>
      <w:bookmarkStart w:id="27" w:name="_Toc435175869"/>
      <w:r>
        <w:rPr>
          <w:rFonts w:hint="eastAsia" w:ascii="黑体" w:eastAsia="黑体"/>
          <w:sz w:val="24"/>
          <w:szCs w:val="24"/>
        </w:rPr>
        <w:t>（4）零件检测装置</w:t>
      </w:r>
      <w:bookmarkEnd w:id="24"/>
      <w:bookmarkEnd w:id="25"/>
      <w:bookmarkEnd w:id="26"/>
      <w:bookmarkEnd w:id="27"/>
    </w:p>
    <w:p>
      <w:pPr>
        <w:autoSpaceDE w:val="0"/>
        <w:autoSpaceDN w:val="0"/>
        <w:adjustRightInd w:val="0"/>
        <w:spacing w:line="360" w:lineRule="auto"/>
        <w:rPr>
          <w:rFonts w:ascii="宋体" w:hAnsi="宋体"/>
          <w:sz w:val="24"/>
        </w:rPr>
      </w:pPr>
      <w:r>
        <w:rPr>
          <w:rFonts w:hint="eastAsia" w:ascii="宋体" w:hAnsi="宋体"/>
          <w:sz w:val="24"/>
        </w:rPr>
        <w:t>① 检测功能面材料要求</w:t>
      </w:r>
    </w:p>
    <w:p>
      <w:pPr>
        <w:autoSpaceDE w:val="0"/>
        <w:autoSpaceDN w:val="0"/>
        <w:adjustRightInd w:val="0"/>
        <w:spacing w:line="360" w:lineRule="auto"/>
        <w:rPr>
          <w:rFonts w:ascii="宋体" w:hAnsi="宋体"/>
          <w:sz w:val="24"/>
        </w:rPr>
      </w:pPr>
      <w:r>
        <w:rPr>
          <w:rFonts w:hint="eastAsia" w:ascii="宋体" w:hAnsi="宋体"/>
          <w:sz w:val="24"/>
        </w:rPr>
        <w:t>检测面材料必须是指定的塑脂材料、45#钢、铝合金镶块；</w:t>
      </w:r>
    </w:p>
    <w:p>
      <w:pPr>
        <w:autoSpaceDE w:val="0"/>
        <w:autoSpaceDN w:val="0"/>
        <w:adjustRightInd w:val="0"/>
        <w:spacing w:line="360" w:lineRule="auto"/>
        <w:rPr>
          <w:rFonts w:ascii="宋体" w:hAnsi="宋体"/>
          <w:sz w:val="24"/>
        </w:rPr>
      </w:pPr>
      <w:r>
        <w:rPr>
          <w:rFonts w:ascii="宋体" w:hAnsi="宋体"/>
          <w:sz w:val="24"/>
        </w:rPr>
        <w:t xml:space="preserve">- </w:t>
      </w:r>
      <w:r>
        <w:rPr>
          <w:rFonts w:hint="eastAsia" w:ascii="宋体" w:hAnsi="宋体"/>
          <w:sz w:val="24"/>
        </w:rPr>
        <w:t>检具材料</w:t>
      </w:r>
      <w:r>
        <w:rPr>
          <w:rFonts w:ascii="宋体" w:hAnsi="宋体"/>
          <w:sz w:val="24"/>
        </w:rPr>
        <w:t>:</w:t>
      </w:r>
      <w:r>
        <w:rPr>
          <w:rFonts w:hint="eastAsia" w:ascii="宋体" w:hAnsi="宋体"/>
          <w:sz w:val="24"/>
        </w:rPr>
        <w:t xml:space="preserve"> 可切削树脂材料选用HUNTSMAN公司的RenShape BM 5166或相当材料（选择相当材料时，材料型号、性能等指标遵照上述条款必须在方案会签前提供甲方进行认可后采用</w:t>
      </w:r>
      <w:r>
        <w:rPr>
          <w:rFonts w:ascii="宋体" w:hAnsi="宋体"/>
          <w:sz w:val="24"/>
        </w:rPr>
        <w:t>）</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 xml:space="preserve">- </w:t>
      </w:r>
      <w:r>
        <w:rPr>
          <w:rFonts w:hint="eastAsia" w:ascii="宋体" w:hAnsi="宋体"/>
          <w:sz w:val="24"/>
        </w:rPr>
        <w:t>伸缩缝：型体部分长度每</w:t>
      </w:r>
      <w:r>
        <w:rPr>
          <w:rFonts w:ascii="宋体" w:hAnsi="宋体"/>
          <w:sz w:val="24"/>
        </w:rPr>
        <w:t>250-300mm</w:t>
      </w:r>
      <w:r>
        <w:rPr>
          <w:rFonts w:hint="eastAsia" w:ascii="宋体" w:hAnsi="宋体"/>
          <w:sz w:val="24"/>
        </w:rPr>
        <w:t>切割伸缩缝，伸缩缝宽度为</w:t>
      </w:r>
      <w:r>
        <w:rPr>
          <w:rFonts w:ascii="宋体" w:hAnsi="宋体"/>
          <w:sz w:val="24"/>
        </w:rPr>
        <w:t>2mm</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 xml:space="preserve">- </w:t>
      </w:r>
      <w:r>
        <w:rPr>
          <w:rFonts w:hint="eastAsia" w:ascii="宋体" w:hAnsi="宋体"/>
          <w:sz w:val="24"/>
        </w:rPr>
        <w:t>各种类型零件的周边，翻边和零件断面的检测可以通过设置检测面来实现，检测面检测内容包括：零件等距离</w:t>
      </w:r>
      <w:r>
        <w:rPr>
          <w:rFonts w:ascii="宋体" w:hAnsi="宋体"/>
          <w:sz w:val="24"/>
        </w:rPr>
        <w:t>3mm</w:t>
      </w:r>
      <w:r>
        <w:rPr>
          <w:rFonts w:hint="eastAsia" w:ascii="宋体" w:hAnsi="宋体"/>
          <w:sz w:val="24"/>
        </w:rPr>
        <w:t>间隙检测周边平整度检测。为此在型体上必须按</w:t>
      </w:r>
      <w:r>
        <w:rPr>
          <w:rFonts w:ascii="宋体" w:hAnsi="宋体"/>
          <w:sz w:val="24"/>
        </w:rPr>
        <w:t xml:space="preserve">CAD </w:t>
      </w:r>
      <w:r>
        <w:rPr>
          <w:rFonts w:hint="eastAsia" w:ascii="宋体" w:hAnsi="宋体"/>
          <w:sz w:val="24"/>
        </w:rPr>
        <w:t>数据加工出</w:t>
      </w:r>
      <w:r>
        <w:rPr>
          <w:rFonts w:ascii="宋体" w:hAnsi="宋体"/>
          <w:sz w:val="24"/>
        </w:rPr>
        <w:t>3mm</w:t>
      </w:r>
      <w:r>
        <w:rPr>
          <w:rFonts w:hint="eastAsia" w:ascii="宋体" w:hAnsi="宋体"/>
          <w:sz w:val="24"/>
        </w:rPr>
        <w:t>的间隙，检测面和周边平整度检测面。同时在相应检测面下部标识。</w:t>
      </w:r>
    </w:p>
    <w:p>
      <w:pPr>
        <w:autoSpaceDE w:val="0"/>
        <w:autoSpaceDN w:val="0"/>
        <w:adjustRightInd w:val="0"/>
        <w:spacing w:line="360" w:lineRule="auto"/>
        <w:rPr>
          <w:rFonts w:ascii="宋体" w:hAnsi="宋体"/>
          <w:sz w:val="24"/>
        </w:rPr>
      </w:pPr>
      <w:r>
        <w:rPr>
          <w:rFonts w:ascii="宋体" w:hAnsi="宋体"/>
          <w:sz w:val="24"/>
        </w:rPr>
        <w:t xml:space="preserve">- </w:t>
      </w:r>
      <w:r>
        <w:rPr>
          <w:rFonts w:hint="eastAsia" w:ascii="宋体" w:hAnsi="宋体"/>
          <w:sz w:val="24"/>
        </w:rPr>
        <w:t>切边或翻边的等距离间隙检测</w:t>
      </w:r>
      <w:r>
        <w:rPr>
          <w:rFonts w:ascii="宋体" w:hAnsi="宋体"/>
          <w:sz w:val="24"/>
        </w:rPr>
        <w:t>3mm</w:t>
      </w:r>
      <w:r>
        <w:rPr>
          <w:rFonts w:hint="eastAsia" w:ascii="宋体" w:hAnsi="宋体"/>
          <w:sz w:val="24"/>
        </w:rPr>
        <w:t>和周边平整度检测可以借助测量工具进行。</w:t>
      </w:r>
    </w:p>
    <w:p>
      <w:pPr>
        <w:autoSpaceDE w:val="0"/>
        <w:autoSpaceDN w:val="0"/>
        <w:adjustRightInd w:val="0"/>
        <w:spacing w:line="360" w:lineRule="auto"/>
        <w:rPr>
          <w:rFonts w:ascii="宋体" w:hAnsi="宋体"/>
          <w:sz w:val="24"/>
        </w:rPr>
      </w:pPr>
      <w:r>
        <w:rPr>
          <w:rFonts w:ascii="宋体" w:hAnsi="宋体"/>
          <w:sz w:val="24"/>
        </w:rPr>
        <w:t xml:space="preserve">- </w:t>
      </w:r>
      <w:r>
        <w:rPr>
          <w:rFonts w:hint="eastAsia" w:ascii="宋体" w:hAnsi="宋体"/>
          <w:sz w:val="24"/>
        </w:rPr>
        <w:t>检具检测面最低点到</w:t>
      </w:r>
      <w:r>
        <w:rPr>
          <w:rFonts w:ascii="宋体" w:hAnsi="宋体"/>
          <w:sz w:val="24"/>
        </w:rPr>
        <w:t>BASE</w:t>
      </w:r>
      <w:r>
        <w:rPr>
          <w:rFonts w:hint="eastAsia" w:ascii="宋体" w:hAnsi="宋体"/>
          <w:sz w:val="24"/>
        </w:rPr>
        <w:t>板的距离保证</w:t>
      </w:r>
      <w:r>
        <w:rPr>
          <w:rFonts w:ascii="宋体" w:hAnsi="宋体"/>
          <w:sz w:val="24"/>
        </w:rPr>
        <w:t>100mm</w:t>
      </w:r>
      <w:r>
        <w:rPr>
          <w:rFonts w:hint="eastAsia" w:ascii="宋体" w:hAnsi="宋体"/>
          <w:sz w:val="24"/>
        </w:rPr>
        <w:t>左右；</w:t>
      </w:r>
    </w:p>
    <w:p>
      <w:pPr>
        <w:autoSpaceDE w:val="0"/>
        <w:autoSpaceDN w:val="0"/>
        <w:adjustRightInd w:val="0"/>
        <w:spacing w:line="360" w:lineRule="auto"/>
        <w:rPr>
          <w:rFonts w:ascii="宋体" w:hAnsi="宋体"/>
          <w:sz w:val="24"/>
        </w:rPr>
      </w:pPr>
      <w:r>
        <w:rPr>
          <w:rFonts w:hint="eastAsia" w:ascii="宋体" w:hAnsi="宋体"/>
          <w:sz w:val="24"/>
        </w:rPr>
        <w:t>乙方所选用的材料（包括钢、铝、树脂等），需要提供材料牌号、性能指标给甲方，并给出优于或不低于该材料的说明类文件证明材料的等级型号与技术要求符合甲方要求，同时举出成功案例，甲方认可后方可采用。</w:t>
      </w:r>
    </w:p>
    <w:p>
      <w:pPr>
        <w:autoSpaceDE w:val="0"/>
        <w:autoSpaceDN w:val="0"/>
        <w:adjustRightInd w:val="0"/>
        <w:spacing w:line="360" w:lineRule="auto"/>
        <w:rPr>
          <w:rFonts w:ascii="宋体" w:hAnsi="宋体"/>
          <w:sz w:val="24"/>
        </w:rPr>
      </w:pPr>
      <w:r>
        <w:rPr>
          <w:rFonts w:hint="eastAsia" w:ascii="宋体" w:hAnsi="宋体"/>
          <w:sz w:val="24"/>
        </w:rPr>
        <w:t>检具型面等工作部位为可切削树脂时，与检具构架连接要牢固。</w:t>
      </w:r>
    </w:p>
    <w:p>
      <w:pPr>
        <w:autoSpaceDE w:val="0"/>
        <w:autoSpaceDN w:val="0"/>
        <w:adjustRightInd w:val="0"/>
        <w:spacing w:line="360" w:lineRule="auto"/>
        <w:rPr>
          <w:rFonts w:ascii="宋体" w:hAnsi="宋体"/>
          <w:sz w:val="24"/>
        </w:rPr>
      </w:pPr>
      <w:r>
        <w:rPr>
          <w:rFonts w:hint="eastAsia" w:ascii="宋体" w:hAnsi="宋体"/>
          <w:sz w:val="24"/>
        </w:rPr>
        <w:t>② 检测功能块的形式原则上按照GD&amp;T文件制定的检测方式进行，如乙方在设计或制造中难以实现，可与甲方沟通，经甲方确认后更改检测方式。</w:t>
      </w:r>
    </w:p>
    <w:p>
      <w:pPr>
        <w:autoSpaceDE w:val="0"/>
        <w:autoSpaceDN w:val="0"/>
        <w:adjustRightInd w:val="0"/>
        <w:spacing w:line="360" w:lineRule="auto"/>
        <w:rPr>
          <w:rFonts w:ascii="宋体" w:hAnsi="宋体"/>
          <w:sz w:val="24"/>
        </w:rPr>
      </w:pPr>
      <w:r>
        <w:rPr>
          <w:rFonts w:hint="eastAsia" w:ascii="宋体" w:hAnsi="宋体"/>
          <w:sz w:val="24"/>
        </w:rPr>
        <w:t>③ 固定式检测型面、检测块</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固定检测型面表面粗糙度为</w:t>
      </w:r>
      <w:r>
        <w:rPr>
          <w:rFonts w:ascii="宋体" w:hAnsi="宋体"/>
          <w:sz w:val="24"/>
        </w:rPr>
        <w:t>Ra≤</w:t>
      </w:r>
      <w:r>
        <w:rPr>
          <w:rFonts w:hint="eastAsia" w:ascii="宋体" w:hAnsi="宋体"/>
          <w:sz w:val="24"/>
        </w:rPr>
        <w:t>1.6</w:t>
      </w:r>
      <w:r>
        <w:rPr>
          <w:rFonts w:ascii="宋体" w:hAnsi="宋体"/>
          <w:sz w:val="24"/>
        </w:rPr>
        <w:t xml:space="preserve"> (</w:t>
      </w:r>
      <w:r>
        <w:rPr>
          <w:rFonts w:hint="eastAsia" w:ascii="宋体" w:hAnsi="宋体"/>
          <w:sz w:val="24"/>
        </w:rPr>
        <w:t>μ</w:t>
      </w:r>
      <w:r>
        <w:rPr>
          <w:rFonts w:ascii="宋体" w:hAnsi="宋体"/>
          <w:sz w:val="24"/>
        </w:rPr>
        <w:t>m)</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检查功能型面长度大于35mm，零件检测面宽度大于35mm。检查功能表面在形状交汇处有测量点时要求棱角分明，不影响测量精度。</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检查功能表面高度设定时应考虑零件的测量条件，用塞尺和楔形尺测量时通常零件的被测量边与检具平台的距离最低在40mm以上。用卡尺测量时检查功能表面垂直方向应有大于220mm的空间。用划线销在零件下部检测时，划线基准面与平台距离应大于120mm。用段差尺、百分表测定时，检查功能表面长度大于40mm以上。</w:t>
      </w:r>
    </w:p>
    <w:p>
      <w:pPr>
        <w:autoSpaceDE w:val="0"/>
        <w:autoSpaceDN w:val="0"/>
        <w:adjustRightInd w:val="0"/>
        <w:spacing w:line="360" w:lineRule="auto"/>
        <w:rPr>
          <w:rFonts w:ascii="宋体" w:hAnsi="宋体"/>
          <w:sz w:val="24"/>
        </w:rPr>
      </w:pPr>
      <w:r>
        <w:rPr>
          <w:rFonts w:hint="eastAsia" w:ascii="宋体" w:hAnsi="宋体"/>
          <w:sz w:val="24"/>
        </w:rPr>
        <w:t>④ 孔位测量</w:t>
      </w:r>
    </w:p>
    <w:p>
      <w:pPr>
        <w:autoSpaceDE w:val="0"/>
        <w:autoSpaceDN w:val="0"/>
        <w:adjustRightInd w:val="0"/>
        <w:spacing w:line="360" w:lineRule="auto"/>
        <w:rPr>
          <w:rFonts w:ascii="宋体" w:hAnsi="宋体"/>
          <w:sz w:val="24"/>
        </w:rPr>
      </w:pPr>
      <w:r>
        <w:rPr>
          <w:rFonts w:hint="eastAsia" w:ascii="宋体" w:hAnsi="宋体"/>
          <w:sz w:val="24"/>
        </w:rPr>
        <w:t>对于孔位检测中多处使用的检测销规定如下：</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圆形孔检查销为双头销：一端为间隙测销另一端为划线销，划线销的公称尺寸按照制件孔径D＋4mm。</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检查销与导向套的径向配合为H7/g6。</w:t>
      </w:r>
    </w:p>
    <w:p>
      <w:pPr>
        <w:autoSpaceDE w:val="0"/>
        <w:autoSpaceDN w:val="0"/>
        <w:adjustRightInd w:val="0"/>
        <w:spacing w:line="360" w:lineRule="auto"/>
        <w:rPr>
          <w:rFonts w:ascii="宋体" w:hAnsi="宋体"/>
          <w:sz w:val="24"/>
        </w:rPr>
      </w:pPr>
      <w:r>
        <w:rPr>
          <w:rFonts w:ascii="宋体" w:hAnsi="宋体"/>
          <w:sz w:val="24"/>
        </w:rPr>
        <w:t>-20mm≥检测销与销套配合长度≥配合直径的</w:t>
      </w:r>
      <w:r>
        <w:rPr>
          <w:rFonts w:hint="eastAsia" w:ascii="宋体" w:hAnsi="宋体"/>
          <w:sz w:val="24"/>
        </w:rPr>
        <w:t>1</w:t>
      </w:r>
      <w:r>
        <w:rPr>
          <w:rFonts w:ascii="宋体" w:hAnsi="宋体"/>
          <w:sz w:val="24"/>
        </w:rPr>
        <w:t>倍。检测销与基体需用</w:t>
      </w:r>
      <w:r>
        <w:rPr>
          <w:rFonts w:hint="eastAsia" w:ascii="宋体" w:hAnsi="宋体"/>
          <w:sz w:val="24"/>
        </w:rPr>
        <w:t>环形塑料内嵌钢丝绳</w:t>
      </w:r>
      <w:r>
        <w:rPr>
          <w:rFonts w:ascii="宋体" w:hAnsi="宋体"/>
          <w:sz w:val="24"/>
        </w:rPr>
        <w:t>连接。</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检查销配合表面粗糙度为</w:t>
      </w:r>
      <w:r>
        <w:rPr>
          <w:rFonts w:ascii="宋体" w:hAnsi="宋体"/>
          <w:sz w:val="24"/>
        </w:rPr>
        <w:t>Ra ≤</w:t>
      </w:r>
      <w:r>
        <w:rPr>
          <w:rFonts w:hint="eastAsia" w:ascii="宋体" w:hAnsi="宋体"/>
          <w:sz w:val="24"/>
        </w:rPr>
        <w:t>0.8</w:t>
      </w:r>
      <w:r>
        <w:rPr>
          <w:rFonts w:ascii="宋体" w:hAnsi="宋体"/>
          <w:sz w:val="24"/>
        </w:rPr>
        <w:t xml:space="preserve"> (</w:t>
      </w:r>
      <w:r>
        <w:rPr>
          <w:rFonts w:hint="eastAsia" w:ascii="宋体" w:hAnsi="宋体"/>
          <w:sz w:val="24"/>
        </w:rPr>
        <w:t>μ</w:t>
      </w:r>
      <w:r>
        <w:rPr>
          <w:rFonts w:ascii="宋体" w:hAnsi="宋体"/>
          <w:sz w:val="24"/>
        </w:rPr>
        <w:t>m)</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划线销划线端部热处理后硬度要求：（HRC57~62）</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划线销的手持部位有防滑措施。（例如：滚花）</w:t>
      </w:r>
    </w:p>
    <w:p>
      <w:pPr>
        <w:autoSpaceDE w:val="0"/>
        <w:autoSpaceDN w:val="0"/>
        <w:adjustRightInd w:val="0"/>
        <w:spacing w:line="360" w:lineRule="auto"/>
        <w:rPr>
          <w:rFonts w:ascii="宋体" w:hAnsi="宋体"/>
          <w:sz w:val="24"/>
        </w:rPr>
      </w:pPr>
      <w:r>
        <w:rPr>
          <w:rFonts w:hint="eastAsia" w:ascii="宋体" w:hAnsi="宋体"/>
          <w:sz w:val="24"/>
        </w:rPr>
        <w:t>⑤ 移动式检测型面、检测块</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具备互换功能的检测部件重量尽可能控制在7.5kg以下 。</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具备互换功能和经常拆卸的检测部件与支持座之间的定位采用锥销和限位销（限位面）双重定位，两种定位结果应重合；且插入式定位销用环形塑料内嵌钢丝绳连接到支撑架上。</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悬臂式结构及拆卸结构基架材质采用铝或碳纤维，以便减轻重量，减少自身变形；但此类材质构件上存在螺孔时，采用在构件上镶钢螺孔套；悬臂前端的检测功能块使用铝。</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断面样板的结构形式分为翻转式和插入式两种，以方便拆卸，避免与零件干涉为原则选用。</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当断面样板长度小于或等于3倍固定端尺寸时，样板可以采用一端固定（插入式或旋转式），当样板长度大于3倍固定端尺寸时，样板采用两端固定（插入式）。</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测量基准端原则上使用样板与支座配合面作为测量基准。或采取甲方认可的乙方方案。</w:t>
      </w:r>
    </w:p>
    <w:p>
      <w:pPr>
        <w:autoSpaceDE w:val="0"/>
        <w:autoSpaceDN w:val="0"/>
        <w:adjustRightInd w:val="0"/>
        <w:spacing w:line="360" w:lineRule="auto"/>
        <w:rPr>
          <w:rFonts w:ascii="宋体" w:hAnsi="宋体"/>
          <w:sz w:val="24"/>
        </w:rPr>
      </w:pPr>
      <w:r>
        <w:rPr>
          <w:rFonts w:ascii="宋体" w:hAnsi="宋体"/>
          <w:sz w:val="24"/>
        </w:rPr>
        <w:t>-断面样板应布置在型面法向垂直方向，不得与定位销、夹紧装置干涉</w:t>
      </w:r>
      <w:r>
        <w:rPr>
          <w:rFonts w:hint="eastAsia" w:ascii="宋体" w:hAnsi="宋体"/>
          <w:sz w:val="24"/>
        </w:rPr>
        <w:t>。</w:t>
      </w:r>
      <w:r>
        <w:rPr>
          <w:rFonts w:ascii="宋体" w:hAnsi="宋体"/>
          <w:sz w:val="24"/>
        </w:rPr>
        <w:t>在检具上要</w:t>
      </w:r>
      <w:r>
        <w:rPr>
          <w:rFonts w:hint="eastAsia" w:ascii="宋体" w:hAnsi="宋体"/>
          <w:sz w:val="24"/>
        </w:rPr>
        <w:t>安装</w:t>
      </w:r>
      <w:r>
        <w:rPr>
          <w:rFonts w:ascii="宋体" w:hAnsi="宋体"/>
          <w:sz w:val="24"/>
        </w:rPr>
        <w:t>稳定、无松动，且有</w:t>
      </w:r>
      <w:r>
        <w:rPr>
          <w:rFonts w:hint="eastAsia" w:ascii="宋体" w:hAnsi="宋体"/>
          <w:sz w:val="24"/>
        </w:rPr>
        <w:t>固定的存放</w:t>
      </w:r>
      <w:r>
        <w:rPr>
          <w:rFonts w:ascii="宋体" w:hAnsi="宋体"/>
          <w:sz w:val="24"/>
        </w:rPr>
        <w:t>位置</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断面</w:t>
      </w:r>
      <w:r>
        <w:rPr>
          <w:rFonts w:ascii="宋体" w:hAnsi="宋体"/>
          <w:sz w:val="24"/>
        </w:rPr>
        <w:t>样板采用厚度为</w:t>
      </w:r>
      <w:r>
        <w:rPr>
          <w:rFonts w:hint="eastAsia" w:ascii="宋体" w:hAnsi="宋体"/>
          <w:sz w:val="24"/>
        </w:rPr>
        <w:t>8～12</w:t>
      </w:r>
      <w:r>
        <w:rPr>
          <w:rFonts w:ascii="宋体" w:hAnsi="宋体"/>
          <w:sz w:val="24"/>
        </w:rPr>
        <w:t>mm左右的铝板</w:t>
      </w:r>
      <w:r>
        <w:rPr>
          <w:rFonts w:hint="eastAsia" w:ascii="宋体" w:hAnsi="宋体"/>
          <w:sz w:val="24"/>
        </w:rPr>
        <w:t>(根据断面样板长度合理选择铝板厚度)。</w:t>
      </w:r>
    </w:p>
    <w:p>
      <w:pPr>
        <w:autoSpaceDE w:val="0"/>
        <w:autoSpaceDN w:val="0"/>
        <w:adjustRightInd w:val="0"/>
        <w:spacing w:line="360" w:lineRule="auto"/>
        <w:rPr>
          <w:rFonts w:ascii="宋体" w:hAnsi="宋体"/>
          <w:sz w:val="24"/>
        </w:rPr>
      </w:pPr>
      <w:r>
        <w:rPr>
          <w:rFonts w:ascii="宋体" w:hAnsi="宋体"/>
          <w:sz w:val="24"/>
        </w:rPr>
        <w:t>-断面样板支座及底板</w:t>
      </w:r>
      <w:r>
        <w:rPr>
          <w:rFonts w:hint="eastAsia" w:ascii="宋体" w:hAnsi="宋体"/>
          <w:sz w:val="24"/>
        </w:rPr>
        <w:t>优先考虑选用标准件，自制时</w:t>
      </w:r>
      <w:r>
        <w:rPr>
          <w:rFonts w:ascii="宋体" w:hAnsi="宋体"/>
          <w:sz w:val="24"/>
        </w:rPr>
        <w:t>断面样板支座及底板厚度应≥</w:t>
      </w:r>
      <w:r>
        <w:rPr>
          <w:rFonts w:hint="eastAsia" w:ascii="宋体" w:hAnsi="宋体"/>
          <w:sz w:val="24"/>
        </w:rPr>
        <w:t>10</w:t>
      </w:r>
      <w:r>
        <w:rPr>
          <w:rFonts w:ascii="宋体" w:hAnsi="宋体"/>
          <w:sz w:val="24"/>
        </w:rPr>
        <w:t>mm，当支座高度≥15</w:t>
      </w:r>
      <w:r>
        <w:rPr>
          <w:rFonts w:hint="eastAsia" w:ascii="宋体" w:hAnsi="宋体"/>
          <w:sz w:val="24"/>
        </w:rPr>
        <w:t>0</w:t>
      </w:r>
      <w:r>
        <w:rPr>
          <w:rFonts w:ascii="宋体" w:hAnsi="宋体"/>
          <w:sz w:val="24"/>
        </w:rPr>
        <w:t>mm时则应增加料厚，高度在150-300mm时可通过增加加强筋增强支座刚性，当≥300mm时，应制作专门的支座以保证刚性</w:t>
      </w:r>
      <w:r>
        <w:rPr>
          <w:rFonts w:hint="eastAsia" w:ascii="宋体" w:hAnsi="宋体"/>
          <w:sz w:val="24"/>
        </w:rPr>
        <w:t>。</w:t>
      </w:r>
    </w:p>
    <w:p>
      <w:pPr>
        <w:autoSpaceDE w:val="0"/>
        <w:autoSpaceDN w:val="0"/>
        <w:adjustRightInd w:val="0"/>
        <w:spacing w:line="360" w:lineRule="auto"/>
        <w:rPr>
          <w:rFonts w:ascii="宋体" w:hAnsi="宋体"/>
          <w:sz w:val="24"/>
        </w:rPr>
      </w:pPr>
      <w:r>
        <w:rPr>
          <w:rFonts w:ascii="宋体" w:hAnsi="宋体"/>
          <w:sz w:val="24"/>
        </w:rPr>
        <w:t>-</w:t>
      </w:r>
      <w:r>
        <w:rPr>
          <w:rFonts w:hint="eastAsia" w:ascii="宋体" w:hAnsi="宋体"/>
          <w:sz w:val="24"/>
        </w:rPr>
        <w:t xml:space="preserve"> 翻转式断面样板和测量块在开启位置必须有固定装置，以防止突然下落造成工件和人员伤害。</w:t>
      </w:r>
    </w:p>
    <w:p>
      <w:pPr>
        <w:pStyle w:val="30"/>
        <w:adjustRightInd w:val="0"/>
        <w:snapToGrid w:val="0"/>
        <w:spacing w:line="300" w:lineRule="auto"/>
        <w:jc w:val="left"/>
        <w:rPr>
          <w:rFonts w:ascii="黑体" w:eastAsia="黑体"/>
          <w:sz w:val="24"/>
          <w:szCs w:val="24"/>
        </w:rPr>
      </w:pPr>
      <w:bookmarkStart w:id="28" w:name="_Toc427837803"/>
      <w:bookmarkStart w:id="29" w:name="_Toc435175870"/>
      <w:bookmarkStart w:id="30" w:name="_Toc434496668"/>
      <w:bookmarkStart w:id="31" w:name="_Toc434483149"/>
      <w:r>
        <w:rPr>
          <w:rFonts w:hint="eastAsia" w:ascii="黑体" w:eastAsia="黑体"/>
          <w:sz w:val="24"/>
          <w:szCs w:val="24"/>
        </w:rPr>
        <w:t>（5）划线基准块</w:t>
      </w:r>
      <w:bookmarkEnd w:id="28"/>
      <w:bookmarkEnd w:id="29"/>
      <w:bookmarkEnd w:id="30"/>
      <w:bookmarkEnd w:id="31"/>
    </w:p>
    <w:p>
      <w:pPr>
        <w:autoSpaceDE w:val="0"/>
        <w:autoSpaceDN w:val="0"/>
        <w:adjustRightInd w:val="0"/>
        <w:spacing w:line="360" w:lineRule="auto"/>
        <w:rPr>
          <w:rFonts w:ascii="宋体" w:hAnsi="宋体"/>
          <w:sz w:val="24"/>
        </w:rPr>
      </w:pPr>
      <w:r>
        <w:rPr>
          <w:rFonts w:hint="eastAsia" w:ascii="宋体" w:hAnsi="宋体"/>
          <w:sz w:val="24"/>
        </w:rPr>
        <w:t>为符合零件匹配要求，根据品标书提供的在零件上需要进行划线的坐标位置，检具上要做出划线基准块和相应的划线工具，这个基准块一般是可拆卸的，要在检具上设置固定的存放位置，以免丢失。</w:t>
      </w:r>
    </w:p>
    <w:p>
      <w:pPr>
        <w:pStyle w:val="30"/>
        <w:adjustRightInd w:val="0"/>
        <w:snapToGrid w:val="0"/>
        <w:spacing w:line="300" w:lineRule="auto"/>
        <w:jc w:val="left"/>
        <w:rPr>
          <w:rFonts w:ascii="黑体" w:eastAsia="黑体"/>
          <w:sz w:val="24"/>
          <w:szCs w:val="24"/>
        </w:rPr>
      </w:pPr>
      <w:bookmarkStart w:id="32" w:name="_Toc435175871"/>
      <w:bookmarkStart w:id="33" w:name="_Toc434496669"/>
      <w:bookmarkStart w:id="34" w:name="_Toc434483150"/>
      <w:bookmarkStart w:id="35" w:name="_Toc427837804"/>
      <w:r>
        <w:rPr>
          <w:rFonts w:hint="eastAsia" w:ascii="黑体" w:eastAsia="黑体"/>
          <w:sz w:val="24"/>
          <w:szCs w:val="24"/>
        </w:rPr>
        <w:t>（6）夹持臂及夹紧装置</w:t>
      </w:r>
      <w:bookmarkEnd w:id="32"/>
      <w:bookmarkEnd w:id="33"/>
      <w:bookmarkEnd w:id="34"/>
      <w:bookmarkEnd w:id="35"/>
    </w:p>
    <w:p>
      <w:pPr>
        <w:autoSpaceDE w:val="0"/>
        <w:autoSpaceDN w:val="0"/>
        <w:adjustRightInd w:val="0"/>
        <w:spacing w:line="360" w:lineRule="auto"/>
        <w:rPr>
          <w:rFonts w:ascii="宋体" w:hAnsi="宋体"/>
          <w:sz w:val="24"/>
        </w:rPr>
      </w:pPr>
      <w:r>
        <w:rPr>
          <w:rFonts w:hint="eastAsia" w:ascii="宋体" w:hAnsi="宋体"/>
          <w:sz w:val="24"/>
        </w:rPr>
        <w:t>① 夹紧方向必须与被夹紧面垂直，夹头必须作用于支持面上，夹紧装置转动轴与夹紧点应在同一平面上。</w:t>
      </w:r>
    </w:p>
    <w:p>
      <w:pPr>
        <w:autoSpaceDE w:val="0"/>
        <w:autoSpaceDN w:val="0"/>
        <w:adjustRightInd w:val="0"/>
        <w:spacing w:line="360" w:lineRule="auto"/>
        <w:rPr>
          <w:rFonts w:ascii="宋体" w:hAnsi="宋体"/>
          <w:sz w:val="24"/>
        </w:rPr>
      </w:pPr>
      <w:r>
        <w:rPr>
          <w:rFonts w:hint="eastAsia" w:ascii="宋体" w:hAnsi="宋体"/>
          <w:sz w:val="24"/>
        </w:rPr>
        <w:t>② 在夹头装置的排列和布置中</w:t>
      </w:r>
      <w:r>
        <w:rPr>
          <w:rFonts w:ascii="宋体" w:hAnsi="宋体"/>
          <w:sz w:val="24"/>
        </w:rPr>
        <w:t xml:space="preserve">, </w:t>
      </w:r>
      <w:r>
        <w:rPr>
          <w:rFonts w:hint="eastAsia" w:ascii="宋体" w:hAnsi="宋体"/>
          <w:sz w:val="24"/>
        </w:rPr>
        <w:t>必须注意：</w:t>
      </w:r>
    </w:p>
    <w:p>
      <w:pPr>
        <w:autoSpaceDE w:val="0"/>
        <w:autoSpaceDN w:val="0"/>
        <w:adjustRightInd w:val="0"/>
        <w:spacing w:line="360" w:lineRule="auto"/>
        <w:rPr>
          <w:rFonts w:ascii="宋体" w:hAnsi="宋体"/>
          <w:sz w:val="24"/>
        </w:rPr>
      </w:pPr>
      <w:r>
        <w:rPr>
          <w:rFonts w:hint="eastAsia" w:ascii="宋体" w:hAnsi="宋体"/>
          <w:sz w:val="24"/>
        </w:rPr>
        <w:t>夹头松开并恢复到起始位置状态下</w:t>
      </w:r>
      <w:r>
        <w:rPr>
          <w:rFonts w:ascii="宋体" w:hAnsi="宋体"/>
          <w:sz w:val="24"/>
        </w:rPr>
        <w:t>,</w:t>
      </w:r>
      <w:r>
        <w:rPr>
          <w:rFonts w:hint="eastAsia" w:ascii="宋体" w:hAnsi="宋体"/>
          <w:sz w:val="24"/>
        </w:rPr>
        <w:t>必须有足够的空间保证零件无干扰地安放和取走。</w:t>
      </w:r>
    </w:p>
    <w:p>
      <w:pPr>
        <w:autoSpaceDE w:val="0"/>
        <w:autoSpaceDN w:val="0"/>
        <w:adjustRightInd w:val="0"/>
        <w:spacing w:line="360" w:lineRule="auto"/>
        <w:rPr>
          <w:rFonts w:ascii="宋体" w:hAnsi="宋体"/>
          <w:sz w:val="24"/>
        </w:rPr>
      </w:pPr>
      <w:r>
        <w:rPr>
          <w:rFonts w:hint="eastAsia" w:ascii="宋体" w:hAnsi="宋体"/>
          <w:sz w:val="24"/>
        </w:rPr>
        <w:t>有足够的空间提供夹头在检具上实现空间无干扰曲线运动。</w:t>
      </w:r>
    </w:p>
    <w:p>
      <w:pPr>
        <w:autoSpaceDE w:val="0"/>
        <w:autoSpaceDN w:val="0"/>
        <w:adjustRightInd w:val="0"/>
        <w:spacing w:line="360" w:lineRule="auto"/>
        <w:rPr>
          <w:rFonts w:ascii="宋体" w:hAnsi="宋体"/>
          <w:sz w:val="24"/>
        </w:rPr>
      </w:pPr>
      <w:r>
        <w:rPr>
          <w:rFonts w:ascii="宋体" w:hAnsi="宋体"/>
          <w:sz w:val="24"/>
        </w:rPr>
        <w:t>③夹紧装置支座及支座底板料厚应≥</w:t>
      </w:r>
      <w:r>
        <w:rPr>
          <w:rFonts w:hint="eastAsia" w:ascii="宋体" w:hAnsi="宋体"/>
          <w:sz w:val="24"/>
        </w:rPr>
        <w:t>10</w:t>
      </w:r>
      <w:r>
        <w:rPr>
          <w:rFonts w:ascii="宋体" w:hAnsi="宋体"/>
          <w:sz w:val="24"/>
        </w:rPr>
        <w:t>mm</w:t>
      </w:r>
      <w:r>
        <w:rPr>
          <w:rFonts w:hint="eastAsia" w:ascii="宋体" w:hAnsi="宋体"/>
          <w:sz w:val="24"/>
        </w:rPr>
        <w:t>；支座应保证刚性，注意美观，建议使用铝型材加铝板结构作为加紧装置支座及支座底板。</w:t>
      </w:r>
    </w:p>
    <w:p>
      <w:pPr>
        <w:autoSpaceDE w:val="0"/>
        <w:autoSpaceDN w:val="0"/>
        <w:adjustRightInd w:val="0"/>
        <w:spacing w:line="360" w:lineRule="auto"/>
        <w:rPr>
          <w:rFonts w:ascii="宋体" w:hAnsi="宋体"/>
          <w:sz w:val="24"/>
        </w:rPr>
      </w:pPr>
      <w:r>
        <w:rPr>
          <w:rFonts w:hint="eastAsia" w:ascii="宋体" w:hAnsi="宋体"/>
          <w:sz w:val="24"/>
        </w:rPr>
        <w:t>正常使用情况下，要保证夹持臂有足够的强度，非工作状态有锁紧机构。下列情况之一时，必须给夹持臂配用导板：</w:t>
      </w:r>
    </w:p>
    <w:p>
      <w:pPr>
        <w:autoSpaceDE w:val="0"/>
        <w:autoSpaceDN w:val="0"/>
        <w:adjustRightInd w:val="0"/>
        <w:spacing w:line="360" w:lineRule="auto"/>
        <w:rPr>
          <w:rFonts w:ascii="宋体" w:hAnsi="宋体"/>
          <w:sz w:val="24"/>
        </w:rPr>
      </w:pPr>
      <w:r>
        <w:rPr>
          <w:rFonts w:hint="eastAsia" w:ascii="宋体" w:hAnsi="宋体"/>
          <w:sz w:val="24"/>
        </w:rPr>
        <w:t>●夹持臂上有定位销或检查销时；</w:t>
      </w:r>
    </w:p>
    <w:p>
      <w:pPr>
        <w:autoSpaceDE w:val="0"/>
        <w:autoSpaceDN w:val="0"/>
        <w:adjustRightInd w:val="0"/>
        <w:spacing w:line="360" w:lineRule="auto"/>
        <w:rPr>
          <w:rFonts w:ascii="宋体" w:hAnsi="宋体"/>
          <w:sz w:val="24"/>
        </w:rPr>
      </w:pPr>
      <w:r>
        <w:rPr>
          <w:rFonts w:hint="eastAsia" w:ascii="宋体" w:hAnsi="宋体"/>
          <w:sz w:val="24"/>
        </w:rPr>
        <w:t>●夹持臂压头作用于斜面上时；</w:t>
      </w:r>
    </w:p>
    <w:p>
      <w:pPr>
        <w:autoSpaceDE w:val="0"/>
        <w:autoSpaceDN w:val="0"/>
        <w:adjustRightInd w:val="0"/>
        <w:spacing w:line="360" w:lineRule="auto"/>
        <w:rPr>
          <w:rFonts w:ascii="宋体" w:hAnsi="宋体"/>
          <w:sz w:val="24"/>
        </w:rPr>
      </w:pPr>
      <w:r>
        <w:rPr>
          <w:rFonts w:hint="eastAsia" w:ascii="宋体" w:hAnsi="宋体"/>
          <w:sz w:val="24"/>
        </w:rPr>
        <w:t>●夹持板太长时；</w:t>
      </w:r>
    </w:p>
    <w:p>
      <w:pPr>
        <w:autoSpaceDE w:val="0"/>
        <w:autoSpaceDN w:val="0"/>
        <w:adjustRightInd w:val="0"/>
        <w:spacing w:line="360" w:lineRule="auto"/>
        <w:rPr>
          <w:rFonts w:ascii="宋体" w:hAnsi="宋体"/>
          <w:sz w:val="24"/>
        </w:rPr>
      </w:pPr>
      <w:r>
        <w:rPr>
          <w:rFonts w:hint="eastAsia" w:ascii="宋体" w:hAnsi="宋体"/>
          <w:sz w:val="24"/>
        </w:rPr>
        <w:t>●有侧向压紧动作时；</w:t>
      </w:r>
    </w:p>
    <w:p>
      <w:pPr>
        <w:autoSpaceDE w:val="0"/>
        <w:autoSpaceDN w:val="0"/>
        <w:adjustRightInd w:val="0"/>
        <w:spacing w:line="360" w:lineRule="auto"/>
        <w:rPr>
          <w:rFonts w:ascii="宋体" w:hAnsi="宋体"/>
          <w:sz w:val="24"/>
        </w:rPr>
      </w:pPr>
      <w:r>
        <w:rPr>
          <w:rFonts w:hint="eastAsia" w:ascii="宋体" w:hAnsi="宋体"/>
          <w:sz w:val="24"/>
        </w:rPr>
        <w:t>●夹持板臂太重时；</w:t>
      </w:r>
    </w:p>
    <w:p>
      <w:pPr>
        <w:autoSpaceDE w:val="0"/>
        <w:autoSpaceDN w:val="0"/>
        <w:adjustRightInd w:val="0"/>
        <w:spacing w:line="360" w:lineRule="auto"/>
        <w:rPr>
          <w:rFonts w:ascii="宋体" w:hAnsi="宋体"/>
          <w:sz w:val="24"/>
        </w:rPr>
      </w:pPr>
      <w:r>
        <w:rPr>
          <w:rFonts w:hint="eastAsia" w:ascii="宋体" w:hAnsi="宋体"/>
          <w:sz w:val="24"/>
        </w:rPr>
        <w:t>●夹持臂有多点夹持面时；</w:t>
      </w:r>
    </w:p>
    <w:p>
      <w:pPr>
        <w:autoSpaceDE w:val="0"/>
        <w:autoSpaceDN w:val="0"/>
        <w:adjustRightInd w:val="0"/>
        <w:spacing w:line="360" w:lineRule="auto"/>
        <w:rPr>
          <w:rFonts w:ascii="宋体" w:hAnsi="宋体"/>
          <w:sz w:val="24"/>
        </w:rPr>
      </w:pPr>
      <w:r>
        <w:rPr>
          <w:rFonts w:hint="eastAsia" w:ascii="宋体" w:hAnsi="宋体"/>
          <w:sz w:val="24"/>
        </w:rPr>
        <w:t>●夹持臂夹持于外板斜面时。</w:t>
      </w:r>
    </w:p>
    <w:p>
      <w:pPr>
        <w:autoSpaceDE w:val="0"/>
        <w:autoSpaceDN w:val="0"/>
        <w:adjustRightInd w:val="0"/>
        <w:spacing w:line="360" w:lineRule="auto"/>
        <w:rPr>
          <w:rFonts w:ascii="宋体" w:hAnsi="宋体"/>
          <w:sz w:val="24"/>
        </w:rPr>
      </w:pPr>
      <w:r>
        <w:rPr>
          <w:rFonts w:hint="eastAsia" w:ascii="宋体" w:hAnsi="宋体"/>
          <w:sz w:val="24"/>
        </w:rPr>
        <w:t>④ 夹头装置优先选用台湾嘉手或嘉钢，涉及零件外表面加紧时选用耐油橡胶块，根据制件情况，如有必要个别位置可选用铝合金夹头。</w:t>
      </w:r>
    </w:p>
    <w:p>
      <w:pPr>
        <w:autoSpaceDE w:val="0"/>
        <w:autoSpaceDN w:val="0"/>
        <w:adjustRightInd w:val="0"/>
        <w:spacing w:line="360" w:lineRule="auto"/>
        <w:rPr>
          <w:rFonts w:ascii="宋体" w:hAnsi="宋体"/>
          <w:sz w:val="24"/>
        </w:rPr>
      </w:pPr>
      <w:r>
        <w:rPr>
          <w:rFonts w:hint="eastAsia" w:ascii="宋体" w:hAnsi="宋体"/>
          <w:sz w:val="24"/>
        </w:rPr>
        <w:t>⑤ 为方便测量，</w:t>
      </w:r>
      <w:r>
        <w:rPr>
          <w:rFonts w:ascii="宋体" w:hAnsi="宋体"/>
          <w:sz w:val="24"/>
        </w:rPr>
        <w:t>夹紧装置支座</w:t>
      </w:r>
      <w:r>
        <w:rPr>
          <w:rFonts w:hint="eastAsia" w:ascii="宋体" w:hAnsi="宋体"/>
          <w:sz w:val="24"/>
        </w:rPr>
        <w:t>离检具本体保证在100MM以上。</w:t>
      </w:r>
    </w:p>
    <w:p>
      <w:pPr>
        <w:pStyle w:val="30"/>
        <w:adjustRightInd w:val="0"/>
        <w:snapToGrid w:val="0"/>
        <w:spacing w:line="300" w:lineRule="auto"/>
        <w:jc w:val="left"/>
        <w:rPr>
          <w:rFonts w:ascii="黑体" w:eastAsia="黑体"/>
          <w:sz w:val="24"/>
          <w:szCs w:val="24"/>
        </w:rPr>
      </w:pPr>
      <w:bookmarkStart w:id="36" w:name="_Toc427837805"/>
      <w:bookmarkStart w:id="37" w:name="_Toc434483151"/>
      <w:bookmarkStart w:id="38" w:name="_Toc434496670"/>
      <w:bookmarkStart w:id="39" w:name="_Toc435175872"/>
      <w:r>
        <w:rPr>
          <w:rFonts w:hint="eastAsia" w:ascii="黑体" w:eastAsia="黑体"/>
          <w:sz w:val="24"/>
          <w:szCs w:val="24"/>
        </w:rPr>
        <w:t>（7）标识要求</w:t>
      </w:r>
      <w:bookmarkEnd w:id="36"/>
      <w:bookmarkEnd w:id="37"/>
      <w:bookmarkEnd w:id="38"/>
      <w:bookmarkEnd w:id="39"/>
    </w:p>
    <w:p>
      <w:pPr>
        <w:autoSpaceDE w:val="0"/>
        <w:autoSpaceDN w:val="0"/>
        <w:adjustRightInd w:val="0"/>
        <w:spacing w:line="360" w:lineRule="auto"/>
        <w:rPr>
          <w:rFonts w:ascii="宋体" w:hAnsi="宋体"/>
          <w:sz w:val="24"/>
        </w:rPr>
      </w:pPr>
      <w:r>
        <w:rPr>
          <w:rFonts w:hint="eastAsia" w:ascii="宋体" w:hAnsi="宋体"/>
          <w:sz w:val="24"/>
        </w:rPr>
        <w:t>① 检具平板以上的检具体标识包括：基准标识、测量点标识（包括指示线和坐标值）、测量面基准值标识、铭牌、检测状态标识等。</w:t>
      </w:r>
    </w:p>
    <w:p>
      <w:pPr>
        <w:autoSpaceDE w:val="0"/>
        <w:autoSpaceDN w:val="0"/>
        <w:adjustRightInd w:val="0"/>
        <w:spacing w:line="360" w:lineRule="auto"/>
        <w:rPr>
          <w:rFonts w:ascii="宋体" w:hAnsi="宋体"/>
          <w:sz w:val="24"/>
        </w:rPr>
      </w:pPr>
      <w:r>
        <w:rPr>
          <w:rFonts w:hint="eastAsia" w:ascii="宋体" w:hAnsi="宋体"/>
          <w:sz w:val="24"/>
        </w:rPr>
        <w:t>② 检测功能块是树脂材料的，标识文字使用油性材料涂写，保证位置正确，字迹清楚。</w:t>
      </w:r>
    </w:p>
    <w:p>
      <w:pPr>
        <w:autoSpaceDE w:val="0"/>
        <w:autoSpaceDN w:val="0"/>
        <w:adjustRightInd w:val="0"/>
        <w:spacing w:line="360" w:lineRule="auto"/>
        <w:rPr>
          <w:rFonts w:ascii="宋体" w:hAnsi="宋体"/>
          <w:sz w:val="24"/>
        </w:rPr>
      </w:pPr>
      <w:r>
        <w:rPr>
          <w:rFonts w:hint="eastAsia" w:ascii="宋体" w:hAnsi="宋体"/>
          <w:sz w:val="24"/>
        </w:rPr>
        <w:t>③ 检测功能块基体材质为钢或铝质的，采取刻度线方式，刻度线规格：深度0.5mm，宽度0.5mm。</w:t>
      </w:r>
    </w:p>
    <w:p>
      <w:pPr>
        <w:autoSpaceDE w:val="0"/>
        <w:autoSpaceDN w:val="0"/>
        <w:adjustRightInd w:val="0"/>
        <w:spacing w:line="360" w:lineRule="auto"/>
        <w:rPr>
          <w:rFonts w:ascii="宋体" w:hAnsi="宋体"/>
          <w:sz w:val="24"/>
        </w:rPr>
      </w:pPr>
      <w:r>
        <w:rPr>
          <w:rFonts w:hint="eastAsia" w:ascii="宋体" w:hAnsi="宋体"/>
          <w:sz w:val="24"/>
        </w:rPr>
        <w:t>④ 检测销标识：每个销手柄和对应的孔及存销座都应有标识，孔共用的检测销还应特别明确标识。销手柄标识要求不易掉落为原则。</w:t>
      </w:r>
    </w:p>
    <w:p>
      <w:pPr>
        <w:autoSpaceDE w:val="0"/>
        <w:autoSpaceDN w:val="0"/>
        <w:adjustRightInd w:val="0"/>
        <w:spacing w:line="360" w:lineRule="auto"/>
        <w:rPr>
          <w:rFonts w:ascii="宋体" w:hAnsi="宋体"/>
          <w:sz w:val="24"/>
        </w:rPr>
      </w:pPr>
      <w:r>
        <w:rPr>
          <w:rFonts w:hint="eastAsia" w:ascii="宋体" w:hAnsi="宋体"/>
          <w:sz w:val="24"/>
        </w:rPr>
        <w:t>⑤ 铭牌格式：</w:t>
      </w:r>
      <w:r>
        <w:rPr>
          <w:rFonts w:hint="eastAsia" w:ascii="微软雅黑" w:eastAsia="微软雅黑" w:cs="微软雅黑"/>
          <w:color w:val="004080"/>
          <w:sz w:val="24"/>
        </w:rPr>
        <w:drawing>
          <wp:inline distT="0" distB="0" distL="0" distR="0">
            <wp:extent cx="5368925" cy="23806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69723" cy="2381171"/>
                    </a:xfrm>
                    <a:prstGeom prst="rect">
                      <a:avLst/>
                    </a:prstGeom>
                    <a:noFill/>
                    <a:ln>
                      <a:noFill/>
                    </a:ln>
                  </pic:spPr>
                </pic:pic>
              </a:graphicData>
            </a:graphic>
          </wp:inline>
        </w:drawing>
      </w:r>
    </w:p>
    <w:p>
      <w:pPr>
        <w:pStyle w:val="30"/>
        <w:adjustRightInd w:val="0"/>
        <w:snapToGrid w:val="0"/>
        <w:spacing w:line="300" w:lineRule="auto"/>
        <w:jc w:val="left"/>
        <w:rPr>
          <w:rFonts w:ascii="黑体" w:eastAsia="黑体"/>
          <w:sz w:val="24"/>
          <w:szCs w:val="24"/>
        </w:rPr>
      </w:pPr>
      <w:bookmarkStart w:id="40" w:name="_Toc427837806"/>
      <w:bookmarkStart w:id="41" w:name="_Toc434483152"/>
      <w:bookmarkStart w:id="42" w:name="_Toc434496671"/>
      <w:bookmarkStart w:id="43" w:name="_Toc435175873"/>
      <w:r>
        <w:rPr>
          <w:rFonts w:hint="eastAsia" w:ascii="黑体" w:eastAsia="黑体"/>
          <w:sz w:val="24"/>
          <w:szCs w:val="24"/>
        </w:rPr>
        <w:t>（8）检具焊接件的技术要求</w:t>
      </w:r>
      <w:bookmarkEnd w:id="40"/>
      <w:bookmarkEnd w:id="41"/>
      <w:bookmarkEnd w:id="42"/>
      <w:bookmarkEnd w:id="43"/>
    </w:p>
    <w:p>
      <w:pPr>
        <w:autoSpaceDE w:val="0"/>
        <w:autoSpaceDN w:val="0"/>
        <w:adjustRightInd w:val="0"/>
        <w:spacing w:line="360" w:lineRule="auto"/>
        <w:rPr>
          <w:rFonts w:ascii="宋体" w:hAnsi="宋体"/>
          <w:sz w:val="24"/>
        </w:rPr>
      </w:pPr>
      <w:r>
        <w:rPr>
          <w:rFonts w:hint="eastAsia" w:ascii="宋体" w:hAnsi="宋体"/>
          <w:sz w:val="24"/>
        </w:rPr>
        <w:t>① 底座基准钢板侧面非基准面粗糙度</w:t>
      </w:r>
      <w:r>
        <w:rPr>
          <w:rFonts w:ascii="宋体" w:hAnsi="宋体"/>
          <w:sz w:val="24"/>
        </w:rPr>
        <w:t>Ra≤</w:t>
      </w:r>
      <w:r>
        <w:rPr>
          <w:rFonts w:hint="eastAsia" w:ascii="宋体" w:hAnsi="宋体"/>
          <w:sz w:val="24"/>
        </w:rPr>
        <w:t>6.3</w:t>
      </w:r>
      <w:r>
        <w:rPr>
          <w:rFonts w:ascii="宋体" w:hAnsi="宋体"/>
          <w:sz w:val="24"/>
        </w:rPr>
        <w:t>(</w:t>
      </w:r>
      <w:r>
        <w:rPr>
          <w:rFonts w:hint="eastAsia" w:ascii="宋体" w:hAnsi="宋体"/>
          <w:sz w:val="24"/>
        </w:rPr>
        <w:t>μ</w:t>
      </w:r>
      <w:r>
        <w:rPr>
          <w:rFonts w:ascii="宋体" w:hAnsi="宋体"/>
          <w:sz w:val="24"/>
        </w:rPr>
        <w:t>m)</w:t>
      </w:r>
      <w:r>
        <w:rPr>
          <w:rFonts w:hint="eastAsia" w:ascii="宋体" w:hAnsi="宋体"/>
          <w:sz w:val="24"/>
        </w:rPr>
        <w:t>， 尖角倒钝。</w:t>
      </w:r>
    </w:p>
    <w:p>
      <w:pPr>
        <w:autoSpaceDE w:val="0"/>
        <w:autoSpaceDN w:val="0"/>
        <w:adjustRightInd w:val="0"/>
        <w:spacing w:line="360" w:lineRule="auto"/>
        <w:rPr>
          <w:rFonts w:ascii="宋体" w:hAnsi="宋体"/>
          <w:sz w:val="24"/>
        </w:rPr>
      </w:pPr>
      <w:r>
        <w:rPr>
          <w:rFonts w:hint="eastAsia" w:ascii="宋体" w:hAnsi="宋体"/>
          <w:sz w:val="24"/>
        </w:rPr>
        <w:t>② 焊角高4~5.5</w:t>
      </w:r>
      <w:r>
        <w:rPr>
          <w:rFonts w:ascii="宋体" w:hAnsi="宋体"/>
          <w:sz w:val="24"/>
        </w:rPr>
        <w:t>mm</w:t>
      </w:r>
      <w:r>
        <w:rPr>
          <w:rFonts w:hint="eastAsia" w:ascii="宋体" w:hAnsi="宋体"/>
          <w:sz w:val="24"/>
        </w:rPr>
        <w:t>，不允许虚焊、脱焊。</w:t>
      </w:r>
    </w:p>
    <w:p>
      <w:pPr>
        <w:autoSpaceDE w:val="0"/>
        <w:autoSpaceDN w:val="0"/>
        <w:adjustRightInd w:val="0"/>
        <w:spacing w:line="360" w:lineRule="auto"/>
        <w:rPr>
          <w:rFonts w:ascii="宋体" w:hAnsi="宋体"/>
          <w:sz w:val="24"/>
        </w:rPr>
      </w:pPr>
      <w:r>
        <w:rPr>
          <w:rFonts w:hint="eastAsia" w:ascii="宋体" w:hAnsi="宋体"/>
          <w:sz w:val="24"/>
        </w:rPr>
        <w:t>③ 焊后清理，焊缝磨平。</w:t>
      </w:r>
    </w:p>
    <w:p>
      <w:pPr>
        <w:autoSpaceDE w:val="0"/>
        <w:autoSpaceDN w:val="0"/>
        <w:adjustRightInd w:val="0"/>
        <w:spacing w:line="360" w:lineRule="auto"/>
        <w:rPr>
          <w:rFonts w:ascii="宋体" w:hAnsi="宋体"/>
          <w:sz w:val="24"/>
        </w:rPr>
      </w:pPr>
      <w:r>
        <w:rPr>
          <w:rFonts w:hint="eastAsia" w:ascii="宋体" w:hAnsi="宋体"/>
          <w:sz w:val="24"/>
        </w:rPr>
        <w:t>④ 焊后退火消除应力，机械加工。</w:t>
      </w:r>
    </w:p>
    <w:p>
      <w:pPr>
        <w:pStyle w:val="30"/>
        <w:adjustRightInd w:val="0"/>
        <w:snapToGrid w:val="0"/>
        <w:spacing w:line="300" w:lineRule="auto"/>
        <w:jc w:val="left"/>
        <w:rPr>
          <w:rFonts w:ascii="黑体" w:hAnsi="宋体" w:eastAsia="黑体"/>
          <w:bCs w:val="0"/>
          <w:kern w:val="2"/>
          <w:sz w:val="24"/>
          <w:szCs w:val="24"/>
        </w:rPr>
      </w:pPr>
      <w:bookmarkStart w:id="44" w:name="_Toc434483153"/>
      <w:bookmarkStart w:id="45" w:name="_Toc434496672"/>
      <w:bookmarkStart w:id="46" w:name="_Toc435175874"/>
      <w:r>
        <w:rPr>
          <w:rFonts w:hint="eastAsia" w:ascii="黑体" w:eastAsia="黑体"/>
          <w:sz w:val="24"/>
          <w:szCs w:val="24"/>
        </w:rPr>
        <w:t>（9）</w:t>
      </w:r>
      <w:r>
        <w:rPr>
          <w:rFonts w:hint="eastAsia" w:ascii="黑体" w:hAnsi="宋体" w:eastAsia="黑体"/>
          <w:bCs w:val="0"/>
          <w:kern w:val="2"/>
          <w:sz w:val="24"/>
          <w:szCs w:val="24"/>
        </w:rPr>
        <w:t>检具铸件的技术要求</w:t>
      </w:r>
      <w:bookmarkEnd w:id="44"/>
      <w:bookmarkEnd w:id="45"/>
      <w:bookmarkEnd w:id="46"/>
    </w:p>
    <w:p>
      <w:pPr>
        <w:autoSpaceDE w:val="0"/>
        <w:autoSpaceDN w:val="0"/>
        <w:adjustRightInd w:val="0"/>
        <w:spacing w:line="360" w:lineRule="auto"/>
        <w:rPr>
          <w:rFonts w:ascii="宋体" w:hAnsi="宋体"/>
          <w:sz w:val="24"/>
        </w:rPr>
      </w:pPr>
      <w:r>
        <w:rPr>
          <w:rFonts w:hint="eastAsia" w:ascii="宋体" w:hAnsi="宋体"/>
          <w:sz w:val="24"/>
        </w:rPr>
        <w:t>① 铸件成分、性能、时效处理、结构及尺寸符合甲方确定的乙方标准。</w:t>
      </w:r>
    </w:p>
    <w:p>
      <w:pPr>
        <w:autoSpaceDE w:val="0"/>
        <w:autoSpaceDN w:val="0"/>
        <w:adjustRightInd w:val="0"/>
        <w:spacing w:line="360" w:lineRule="auto"/>
        <w:rPr>
          <w:rFonts w:ascii="宋体" w:hAnsi="宋体"/>
          <w:sz w:val="24"/>
        </w:rPr>
      </w:pPr>
      <w:r>
        <w:rPr>
          <w:rFonts w:hint="eastAsia" w:ascii="宋体" w:hAnsi="宋体"/>
          <w:sz w:val="24"/>
        </w:rPr>
        <w:t>② 铸件表面平整，不得有飞边、裂纹、及影响使用的砂眼、气孔等缺陷。</w:t>
      </w:r>
    </w:p>
    <w:p>
      <w:pPr>
        <w:adjustRightInd w:val="0"/>
        <w:snapToGrid w:val="0"/>
        <w:spacing w:line="300" w:lineRule="auto"/>
        <w:rPr>
          <w:b/>
          <w:sz w:val="28"/>
          <w:szCs w:val="28"/>
        </w:rPr>
      </w:pPr>
    </w:p>
    <w:p>
      <w:pPr>
        <w:adjustRightInd w:val="0"/>
        <w:snapToGrid w:val="0"/>
        <w:spacing w:line="300" w:lineRule="auto"/>
        <w:rPr>
          <w:b/>
          <w:sz w:val="28"/>
          <w:szCs w:val="28"/>
        </w:rPr>
      </w:pPr>
      <w:r>
        <w:rPr>
          <w:rFonts w:hint="eastAsia"/>
          <w:b/>
          <w:sz w:val="28"/>
          <w:szCs w:val="28"/>
        </w:rPr>
        <w:t>2.4精度要求</w:t>
      </w:r>
    </w:p>
    <w:p>
      <w:pPr>
        <w:pStyle w:val="79"/>
        <w:spacing w:line="460" w:lineRule="exact"/>
        <w:ind w:firstLine="0" w:firstLineChars="0"/>
        <w:rPr>
          <w:rFonts w:ascii="宋体" w:hAnsi="宋体"/>
          <w:sz w:val="24"/>
        </w:rPr>
      </w:pPr>
      <w:r>
        <w:rPr>
          <w:rFonts w:hint="eastAsia" w:ascii="宋体" w:hAnsi="宋体"/>
          <w:sz w:val="24"/>
        </w:rPr>
        <w:t>底板平行度：</w:t>
      </w:r>
      <w:r>
        <w:rPr>
          <w:rFonts w:ascii="宋体" w:hAnsi="宋体"/>
          <w:sz w:val="24"/>
        </w:rPr>
        <w:t>0.1/1000</w:t>
      </w:r>
    </w:p>
    <w:p>
      <w:pPr>
        <w:pStyle w:val="79"/>
        <w:spacing w:line="460" w:lineRule="exact"/>
        <w:ind w:firstLine="0" w:firstLineChars="0"/>
        <w:rPr>
          <w:rFonts w:ascii="宋体" w:hAnsi="宋体"/>
          <w:sz w:val="24"/>
        </w:rPr>
      </w:pPr>
      <w:r>
        <w:rPr>
          <w:rFonts w:hint="eastAsia" w:ascii="宋体" w:hAnsi="宋体"/>
          <w:sz w:val="24"/>
        </w:rPr>
        <w:t>检具加工、测量基准面平行度、垂直度：</w:t>
      </w:r>
      <w:r>
        <w:rPr>
          <w:rFonts w:ascii="宋体" w:hAnsi="宋体"/>
          <w:sz w:val="24"/>
        </w:rPr>
        <w:t>0.05/1000</w:t>
      </w:r>
    </w:p>
    <w:p>
      <w:pPr>
        <w:pStyle w:val="79"/>
        <w:spacing w:line="460" w:lineRule="exact"/>
        <w:ind w:firstLine="0" w:firstLineChars="0"/>
        <w:rPr>
          <w:rFonts w:ascii="宋体" w:hAnsi="宋体"/>
          <w:sz w:val="24"/>
        </w:rPr>
      </w:pPr>
      <w:r>
        <w:rPr>
          <w:rFonts w:hint="eastAsia" w:ascii="宋体" w:hAnsi="宋体"/>
          <w:sz w:val="24"/>
        </w:rPr>
        <w:t>检具测量基准孔位置：±</w:t>
      </w:r>
      <w:r>
        <w:rPr>
          <w:rFonts w:ascii="宋体" w:hAnsi="宋体"/>
          <w:sz w:val="24"/>
        </w:rPr>
        <w:t>0.05</w:t>
      </w:r>
    </w:p>
    <w:p>
      <w:pPr>
        <w:pStyle w:val="79"/>
        <w:spacing w:line="460" w:lineRule="exact"/>
        <w:ind w:firstLine="0" w:firstLineChars="0"/>
        <w:rPr>
          <w:rFonts w:ascii="宋体" w:hAnsi="宋体"/>
          <w:sz w:val="24"/>
        </w:rPr>
      </w:pPr>
      <w:r>
        <w:rPr>
          <w:rFonts w:hint="eastAsia" w:ascii="宋体" w:hAnsi="宋体"/>
          <w:sz w:val="24"/>
        </w:rPr>
        <w:t>零件定位用基准面（</w:t>
      </w:r>
      <w:r>
        <w:rPr>
          <w:rFonts w:ascii="宋体" w:hAnsi="宋体"/>
          <w:sz w:val="24"/>
        </w:rPr>
        <w:t>0mm</w:t>
      </w:r>
      <w:r>
        <w:rPr>
          <w:rFonts w:hint="eastAsia" w:ascii="宋体" w:hAnsi="宋体"/>
          <w:sz w:val="24"/>
        </w:rPr>
        <w:t>面，支撑定位面）：±</w:t>
      </w:r>
      <w:r>
        <w:rPr>
          <w:rFonts w:ascii="宋体" w:hAnsi="宋体"/>
          <w:sz w:val="24"/>
        </w:rPr>
        <w:t>0.</w:t>
      </w:r>
      <w:r>
        <w:rPr>
          <w:rFonts w:hint="eastAsia" w:ascii="宋体" w:hAnsi="宋体"/>
          <w:sz w:val="24"/>
        </w:rPr>
        <w:t>05</w:t>
      </w:r>
      <w:r>
        <w:rPr>
          <w:rFonts w:ascii="宋体" w:hAnsi="宋体"/>
          <w:sz w:val="24"/>
        </w:rPr>
        <w:t>/</w:t>
      </w:r>
      <w:r>
        <w:rPr>
          <w:rFonts w:hint="eastAsia" w:ascii="宋体" w:hAnsi="宋体"/>
          <w:sz w:val="24"/>
        </w:rPr>
        <w:t>平面度</w:t>
      </w:r>
      <w:r>
        <w:rPr>
          <w:rFonts w:ascii="宋体" w:hAnsi="宋体"/>
          <w:sz w:val="24"/>
        </w:rPr>
        <w:t xml:space="preserve">0.05 </w:t>
      </w:r>
    </w:p>
    <w:p>
      <w:pPr>
        <w:pStyle w:val="79"/>
        <w:spacing w:line="460" w:lineRule="exact"/>
        <w:ind w:firstLine="0" w:firstLineChars="0"/>
        <w:rPr>
          <w:rFonts w:ascii="宋体" w:hAnsi="宋体"/>
          <w:sz w:val="24"/>
        </w:rPr>
      </w:pPr>
      <w:r>
        <w:rPr>
          <w:rFonts w:hint="eastAsia" w:ascii="宋体" w:hAnsi="宋体"/>
          <w:sz w:val="24"/>
        </w:rPr>
        <w:t>零件定位用基准孔位置：±</w:t>
      </w:r>
      <w:r>
        <w:rPr>
          <w:rFonts w:ascii="宋体" w:hAnsi="宋体"/>
          <w:sz w:val="24"/>
        </w:rPr>
        <w:t>0.05</w:t>
      </w:r>
      <w:r>
        <w:rPr>
          <w:rFonts w:hint="eastAsia" w:ascii="宋体" w:hAnsi="宋体"/>
          <w:sz w:val="24"/>
        </w:rPr>
        <w:t>，相对位置误差﹤</w:t>
      </w:r>
      <w:r>
        <w:rPr>
          <w:rFonts w:ascii="宋体" w:hAnsi="宋体"/>
          <w:sz w:val="24"/>
        </w:rPr>
        <w:t xml:space="preserve">0.03 </w:t>
      </w:r>
    </w:p>
    <w:p>
      <w:pPr>
        <w:pStyle w:val="79"/>
        <w:spacing w:line="460" w:lineRule="exact"/>
        <w:ind w:firstLine="0" w:firstLineChars="0"/>
        <w:rPr>
          <w:rFonts w:ascii="宋体" w:hAnsi="宋体"/>
          <w:sz w:val="24"/>
        </w:rPr>
      </w:pPr>
      <w:r>
        <w:rPr>
          <w:rFonts w:hint="eastAsia" w:ascii="宋体" w:hAnsi="宋体"/>
          <w:sz w:val="24"/>
        </w:rPr>
        <w:t>零件形状功能测量面（</w:t>
      </w:r>
      <w:r>
        <w:rPr>
          <w:rFonts w:ascii="宋体" w:hAnsi="宋体"/>
          <w:sz w:val="24"/>
        </w:rPr>
        <w:t xml:space="preserve">3mm </w:t>
      </w:r>
      <w:r>
        <w:rPr>
          <w:rFonts w:hint="eastAsia" w:ascii="宋体" w:hAnsi="宋体"/>
          <w:sz w:val="24"/>
        </w:rPr>
        <w:t>间隙面）及零件外轮廓测量面（齐平面）或线：±</w:t>
      </w:r>
      <w:r>
        <w:rPr>
          <w:rFonts w:ascii="宋体" w:hAnsi="宋体"/>
          <w:sz w:val="24"/>
        </w:rPr>
        <w:t xml:space="preserve">0.1 </w:t>
      </w:r>
    </w:p>
    <w:p>
      <w:pPr>
        <w:pStyle w:val="79"/>
        <w:spacing w:line="460" w:lineRule="exact"/>
        <w:ind w:firstLine="0" w:firstLineChars="0"/>
        <w:rPr>
          <w:rFonts w:ascii="宋体" w:hAnsi="宋体"/>
          <w:sz w:val="24"/>
        </w:rPr>
      </w:pPr>
      <w:r>
        <w:rPr>
          <w:rFonts w:hint="eastAsia" w:ascii="宋体" w:hAnsi="宋体"/>
          <w:sz w:val="24"/>
        </w:rPr>
        <w:t>所有的造型面（非测量面）：±</w:t>
      </w:r>
      <w:r>
        <w:rPr>
          <w:rFonts w:ascii="宋体" w:hAnsi="宋体"/>
          <w:sz w:val="24"/>
        </w:rPr>
        <w:t xml:space="preserve">0.2 </w:t>
      </w:r>
    </w:p>
    <w:p>
      <w:pPr>
        <w:pStyle w:val="79"/>
        <w:spacing w:line="460" w:lineRule="exact"/>
        <w:ind w:firstLine="0" w:firstLineChars="0"/>
        <w:rPr>
          <w:rFonts w:ascii="宋体" w:hAnsi="宋体"/>
          <w:sz w:val="24"/>
        </w:rPr>
      </w:pPr>
      <w:r>
        <w:rPr>
          <w:rFonts w:hint="eastAsia" w:ascii="宋体" w:hAnsi="宋体"/>
          <w:sz w:val="24"/>
        </w:rPr>
        <w:t>检验销孔位置：±</w:t>
      </w:r>
      <w:r>
        <w:rPr>
          <w:rFonts w:ascii="宋体" w:hAnsi="宋体"/>
          <w:sz w:val="24"/>
        </w:rPr>
        <w:t>0.</w:t>
      </w:r>
      <w:r>
        <w:rPr>
          <w:rFonts w:hint="eastAsia" w:ascii="宋体" w:hAnsi="宋体"/>
          <w:sz w:val="24"/>
        </w:rPr>
        <w:t>1</w:t>
      </w:r>
    </w:p>
    <w:p>
      <w:pPr>
        <w:pStyle w:val="79"/>
        <w:spacing w:line="460" w:lineRule="exact"/>
        <w:ind w:firstLine="0" w:firstLineChars="0"/>
        <w:rPr>
          <w:rFonts w:ascii="宋体" w:hAnsi="宋体"/>
          <w:sz w:val="24"/>
        </w:rPr>
      </w:pPr>
      <w:r>
        <w:rPr>
          <w:rFonts w:hint="eastAsia" w:ascii="宋体" w:hAnsi="宋体"/>
          <w:sz w:val="24"/>
        </w:rPr>
        <w:t>划线孔位置：±</w:t>
      </w:r>
      <w:r>
        <w:rPr>
          <w:rFonts w:ascii="宋体" w:hAnsi="宋体"/>
          <w:sz w:val="24"/>
        </w:rPr>
        <w:t>0.15</w:t>
      </w:r>
      <w:r>
        <w:rPr>
          <w:rFonts w:hint="eastAsia" w:ascii="宋体" w:hAnsi="宋体"/>
          <w:sz w:val="24"/>
        </w:rPr>
        <w:t>，划线孔直径：±</w:t>
      </w:r>
      <w:r>
        <w:rPr>
          <w:rFonts w:ascii="宋体" w:hAnsi="宋体"/>
          <w:sz w:val="24"/>
        </w:rPr>
        <w:t xml:space="preserve">0.2 </w:t>
      </w:r>
    </w:p>
    <w:p>
      <w:pPr>
        <w:pStyle w:val="79"/>
        <w:spacing w:line="460" w:lineRule="exact"/>
        <w:ind w:firstLine="0" w:firstLineChars="0"/>
        <w:rPr>
          <w:rFonts w:ascii="宋体" w:hAnsi="宋体"/>
          <w:sz w:val="24"/>
        </w:rPr>
      </w:pPr>
      <w:r>
        <w:rPr>
          <w:rFonts w:hint="eastAsia" w:ascii="宋体" w:hAnsi="宋体"/>
          <w:sz w:val="24"/>
        </w:rPr>
        <w:t>检具型面坐标网络线为</w:t>
      </w:r>
      <w:r>
        <w:rPr>
          <w:rFonts w:ascii="宋体" w:hAnsi="宋体"/>
          <w:sz w:val="24"/>
        </w:rPr>
        <w:t>100mm</w:t>
      </w:r>
      <w:r>
        <w:rPr>
          <w:rFonts w:hint="eastAsia" w:ascii="宋体" w:hAnsi="宋体"/>
          <w:sz w:val="24"/>
        </w:rPr>
        <w:t>×</w:t>
      </w:r>
      <w:r>
        <w:rPr>
          <w:rFonts w:ascii="宋体" w:hAnsi="宋体"/>
          <w:sz w:val="24"/>
        </w:rPr>
        <w:t>100mm</w:t>
      </w:r>
      <w:r>
        <w:rPr>
          <w:rFonts w:hint="eastAsia" w:ascii="宋体" w:hAnsi="宋体"/>
          <w:sz w:val="24"/>
        </w:rPr>
        <w:t>，目视检测划线，划线宽度</w:t>
      </w:r>
      <w:r>
        <w:rPr>
          <w:rFonts w:ascii="宋体" w:hAnsi="宋体"/>
          <w:sz w:val="24"/>
        </w:rPr>
        <w:t>0.15</w:t>
      </w:r>
      <w:r>
        <w:rPr>
          <w:rFonts w:hint="eastAsia" w:ascii="宋体" w:hAnsi="宋体"/>
          <w:sz w:val="24"/>
        </w:rPr>
        <w:t>～</w:t>
      </w:r>
      <w:r>
        <w:rPr>
          <w:rFonts w:ascii="宋体" w:hAnsi="宋体"/>
          <w:sz w:val="24"/>
        </w:rPr>
        <w:t>0.20mm</w:t>
      </w:r>
      <w:r>
        <w:rPr>
          <w:rFonts w:hint="eastAsia" w:ascii="宋体" w:hAnsi="宋体"/>
          <w:sz w:val="24"/>
        </w:rPr>
        <w:t>，深度为</w:t>
      </w:r>
      <w:r>
        <w:rPr>
          <w:rFonts w:ascii="宋体" w:hAnsi="宋体"/>
          <w:sz w:val="24"/>
        </w:rPr>
        <w:t>0.25mm</w:t>
      </w:r>
      <w:r>
        <w:rPr>
          <w:rFonts w:hint="eastAsia" w:ascii="宋体" w:hAnsi="宋体"/>
          <w:sz w:val="24"/>
        </w:rPr>
        <w:t>，另应注明相应坐标代号位置相对基准的误差：</w:t>
      </w:r>
      <w:r>
        <w:rPr>
          <w:rFonts w:ascii="宋体" w:hAnsi="宋体"/>
          <w:sz w:val="24"/>
        </w:rPr>
        <w:t xml:space="preserve"> 0.2/1000 </w:t>
      </w:r>
    </w:p>
    <w:p>
      <w:pPr>
        <w:pStyle w:val="79"/>
        <w:spacing w:line="460" w:lineRule="exact"/>
        <w:ind w:firstLine="0" w:firstLineChars="0"/>
        <w:rPr>
          <w:rFonts w:ascii="宋体" w:hAnsi="宋体"/>
          <w:sz w:val="24"/>
        </w:rPr>
      </w:pPr>
      <w:r>
        <w:rPr>
          <w:rFonts w:hint="eastAsia" w:ascii="宋体" w:hAnsi="宋体"/>
          <w:sz w:val="24"/>
        </w:rPr>
        <w:t>检具形状样板规：±</w:t>
      </w:r>
      <w:r>
        <w:rPr>
          <w:rFonts w:ascii="宋体" w:hAnsi="宋体"/>
          <w:sz w:val="24"/>
        </w:rPr>
        <w:t>0.</w:t>
      </w:r>
      <w:r>
        <w:rPr>
          <w:rFonts w:hint="eastAsia" w:ascii="宋体" w:hAnsi="宋体"/>
          <w:sz w:val="24"/>
        </w:rPr>
        <w:t>1</w:t>
      </w:r>
    </w:p>
    <w:p>
      <w:pPr>
        <w:pStyle w:val="79"/>
        <w:spacing w:line="460" w:lineRule="exact"/>
        <w:ind w:firstLine="0" w:firstLineChars="0"/>
        <w:rPr>
          <w:rFonts w:ascii="宋体" w:hAnsi="宋体"/>
          <w:sz w:val="24"/>
        </w:rPr>
      </w:pPr>
      <w:r>
        <w:rPr>
          <w:rFonts w:hint="eastAsia" w:ascii="宋体" w:hAnsi="宋体"/>
          <w:sz w:val="24"/>
        </w:rPr>
        <w:t>检具重复性精度：±</w:t>
      </w:r>
      <w:r>
        <w:rPr>
          <w:rFonts w:ascii="宋体" w:hAnsi="宋体"/>
          <w:sz w:val="24"/>
        </w:rPr>
        <w:t xml:space="preserve">0.1 </w:t>
      </w:r>
    </w:p>
    <w:p>
      <w:pPr>
        <w:pStyle w:val="79"/>
        <w:spacing w:line="460" w:lineRule="exact"/>
        <w:ind w:firstLine="0" w:firstLineChars="0"/>
        <w:rPr>
          <w:rFonts w:ascii="宋体" w:hAnsi="宋体"/>
          <w:sz w:val="24"/>
        </w:rPr>
      </w:pPr>
      <w:r>
        <w:rPr>
          <w:rFonts w:hint="eastAsia" w:ascii="宋体" w:hAnsi="宋体"/>
          <w:sz w:val="24"/>
        </w:rPr>
        <w:t>孔和销（基准、检测）的配合：不低于基孔制</w:t>
      </w:r>
      <w:r>
        <w:rPr>
          <w:rFonts w:ascii="宋体" w:hAnsi="宋体"/>
          <w:sz w:val="24"/>
        </w:rPr>
        <w:t>H7/</w:t>
      </w:r>
      <w:r>
        <w:rPr>
          <w:rFonts w:hint="eastAsia" w:ascii="宋体" w:hAnsi="宋体"/>
          <w:sz w:val="24"/>
        </w:rPr>
        <w:t>h</w:t>
      </w:r>
      <w:r>
        <w:rPr>
          <w:rFonts w:ascii="宋体" w:hAnsi="宋体"/>
          <w:sz w:val="24"/>
        </w:rPr>
        <w:t>6</w:t>
      </w:r>
      <w:r>
        <w:rPr>
          <w:rFonts w:hint="eastAsia" w:ascii="宋体" w:hAnsi="宋体"/>
          <w:sz w:val="24"/>
        </w:rPr>
        <w:t>（间隙配合）</w:t>
      </w:r>
    </w:p>
    <w:p>
      <w:pPr>
        <w:pStyle w:val="79"/>
        <w:spacing w:line="460" w:lineRule="exact"/>
        <w:ind w:firstLine="0" w:firstLineChars="0"/>
        <w:rPr>
          <w:rFonts w:ascii="宋体" w:hAnsi="宋体"/>
          <w:sz w:val="24"/>
        </w:rPr>
      </w:pPr>
    </w:p>
    <w:p>
      <w:pPr>
        <w:adjustRightInd w:val="0"/>
        <w:snapToGrid w:val="0"/>
        <w:spacing w:line="300" w:lineRule="auto"/>
        <w:rPr>
          <w:b/>
          <w:sz w:val="28"/>
          <w:szCs w:val="28"/>
        </w:rPr>
      </w:pPr>
      <w:r>
        <w:rPr>
          <w:rFonts w:hint="eastAsia"/>
          <w:b/>
          <w:sz w:val="28"/>
          <w:szCs w:val="28"/>
        </w:rPr>
        <w:t>2.5检具的验收</w:t>
      </w:r>
    </w:p>
    <w:p>
      <w:pPr>
        <w:pStyle w:val="79"/>
        <w:spacing w:line="460" w:lineRule="exact"/>
        <w:ind w:firstLine="0" w:firstLineChars="0"/>
        <w:rPr>
          <w:rFonts w:ascii="宋体" w:hAnsi="宋体"/>
          <w:sz w:val="24"/>
        </w:rPr>
      </w:pPr>
      <w:r>
        <w:rPr>
          <w:rFonts w:hint="eastAsia" w:ascii="宋体" w:hAnsi="宋体"/>
          <w:sz w:val="24"/>
        </w:rPr>
        <w:t>2.</w:t>
      </w:r>
      <w:r>
        <w:rPr>
          <w:rFonts w:hint="eastAsia" w:ascii="宋体" w:hAnsi="宋体"/>
          <w:sz w:val="24"/>
          <w:lang w:val="en-US" w:eastAsia="zh-CN"/>
        </w:rPr>
        <w:t>5</w:t>
      </w:r>
      <w:r>
        <w:rPr>
          <w:rFonts w:hint="eastAsia" w:ascii="宋体" w:hAnsi="宋体"/>
          <w:sz w:val="24"/>
        </w:rPr>
        <w:t>.1检具预验收</w:t>
      </w:r>
    </w:p>
    <w:p>
      <w:pPr>
        <w:pStyle w:val="79"/>
        <w:spacing w:line="460" w:lineRule="exact"/>
        <w:ind w:firstLine="0" w:firstLineChars="0"/>
        <w:rPr>
          <w:rFonts w:ascii="宋体" w:hAnsi="宋体"/>
          <w:sz w:val="24"/>
        </w:rPr>
      </w:pPr>
      <w:r>
        <w:rPr>
          <w:rFonts w:hint="eastAsia" w:ascii="宋体" w:hAnsi="宋体"/>
          <w:sz w:val="24"/>
        </w:rPr>
        <w:t>检具按甲方的验收标准进行验收，其支持性技术标准按甲方认可的制造商相关标准。</w:t>
      </w:r>
    </w:p>
    <w:p>
      <w:pPr>
        <w:pStyle w:val="79"/>
        <w:spacing w:line="460" w:lineRule="exact"/>
        <w:ind w:firstLine="0" w:firstLineChars="0"/>
        <w:rPr>
          <w:rFonts w:ascii="宋体" w:hAnsi="宋体"/>
          <w:sz w:val="24"/>
        </w:rPr>
      </w:pPr>
      <w:r>
        <w:rPr>
          <w:rFonts w:hint="eastAsia" w:ascii="宋体" w:hAnsi="宋体"/>
          <w:sz w:val="24"/>
        </w:rPr>
        <w:t>（1）依据检具设计图纸和被测零件的数模。在预验收前，甲方有权要求乙方在不改变检具基本结构的前提下，增加或更改检具检测功能，以满足实际检测需要。</w:t>
      </w:r>
    </w:p>
    <w:p>
      <w:pPr>
        <w:pStyle w:val="79"/>
        <w:spacing w:line="460" w:lineRule="exact"/>
        <w:ind w:firstLine="0" w:firstLineChars="0"/>
        <w:rPr>
          <w:rFonts w:ascii="宋体" w:hAnsi="宋体"/>
          <w:sz w:val="24"/>
        </w:rPr>
      </w:pPr>
      <w:r>
        <w:rPr>
          <w:rFonts w:hint="eastAsia" w:ascii="宋体" w:hAnsi="宋体"/>
          <w:sz w:val="24"/>
        </w:rPr>
        <w:t>（2）预验收地点在乙方，乙方根据检具进度计划在检具全部完工前，提前15个工作日将预验收日程通知甲方。并提供1.2.2 乙方方向甲方提供资料所列预验收前提供资料作为具备预验收条件的前提性文件。</w:t>
      </w:r>
    </w:p>
    <w:p>
      <w:pPr>
        <w:pStyle w:val="79"/>
        <w:spacing w:line="460" w:lineRule="exact"/>
        <w:ind w:firstLine="0" w:firstLineChars="0"/>
        <w:rPr>
          <w:rFonts w:ascii="宋体" w:hAnsi="宋体"/>
          <w:sz w:val="24"/>
        </w:rPr>
      </w:pPr>
      <w:r>
        <w:rPr>
          <w:rFonts w:hint="eastAsia" w:ascii="宋体" w:hAnsi="宋体"/>
          <w:sz w:val="24"/>
        </w:rPr>
        <w:t>（3）预验收分为检具精度验收、操作性预验收两部分进行：</w:t>
      </w:r>
    </w:p>
    <w:p>
      <w:pPr>
        <w:pStyle w:val="79"/>
        <w:spacing w:line="460" w:lineRule="exact"/>
        <w:ind w:firstLine="0" w:firstLineChars="0"/>
        <w:rPr>
          <w:rFonts w:ascii="宋体" w:hAnsi="宋体"/>
          <w:sz w:val="24"/>
        </w:rPr>
      </w:pPr>
      <w:r>
        <w:rPr>
          <w:rFonts w:hint="eastAsia" w:ascii="宋体" w:hAnsi="宋体"/>
          <w:sz w:val="24"/>
        </w:rPr>
        <w:t>①精度验收</w:t>
      </w:r>
    </w:p>
    <w:p>
      <w:pPr>
        <w:pStyle w:val="79"/>
        <w:spacing w:line="460" w:lineRule="exact"/>
        <w:ind w:firstLine="0" w:firstLineChars="0"/>
        <w:rPr>
          <w:rFonts w:ascii="宋体" w:hAnsi="宋体"/>
          <w:sz w:val="24"/>
        </w:rPr>
      </w:pPr>
      <w:r>
        <w:rPr>
          <w:rFonts w:ascii="宋体" w:hAnsi="宋体"/>
          <w:sz w:val="24"/>
        </w:rPr>
        <w:t>-</w:t>
      </w:r>
      <w:r>
        <w:rPr>
          <w:rFonts w:hint="eastAsia" w:ascii="宋体" w:hAnsi="宋体"/>
          <w:sz w:val="24"/>
        </w:rPr>
        <w:t xml:space="preserve"> 精度验收必须使用甲方认可精度的三坐标测量机进行精度检测。首先确认检测设备的精度是否满足要求，由乙方提供所使用三坐标测量机精度鉴定及周期标定报告，由甲方确认测量机精度及使用状态良好后，才能认可测量结果。</w:t>
      </w:r>
    </w:p>
    <w:p>
      <w:pPr>
        <w:pStyle w:val="79"/>
        <w:spacing w:line="460" w:lineRule="exact"/>
        <w:ind w:firstLine="0" w:firstLineChars="0"/>
        <w:rPr>
          <w:rFonts w:ascii="宋体" w:hAnsi="宋体"/>
          <w:sz w:val="24"/>
        </w:rPr>
      </w:pPr>
      <w:r>
        <w:rPr>
          <w:rFonts w:ascii="宋体" w:hAnsi="宋体"/>
          <w:sz w:val="24"/>
        </w:rPr>
        <w:t>-</w:t>
      </w:r>
      <w:r>
        <w:rPr>
          <w:rFonts w:hint="eastAsia" w:ascii="宋体" w:hAnsi="宋体"/>
          <w:sz w:val="24"/>
        </w:rPr>
        <w:t xml:space="preserve"> 验收前乙方提供检具精度自检报告，精度验收时甲方对乙方的自检情况进行核查，乙方必须配合甲方对检具进行抽检或全检。验收时, 乙方做验收纪要,记录问题，给出解决措施及完善日期。</w:t>
      </w:r>
    </w:p>
    <w:p>
      <w:pPr>
        <w:pStyle w:val="79"/>
        <w:spacing w:line="460" w:lineRule="exact"/>
        <w:ind w:firstLine="0" w:firstLineChars="0"/>
        <w:rPr>
          <w:rFonts w:ascii="宋体" w:hAnsi="宋体"/>
          <w:sz w:val="24"/>
        </w:rPr>
      </w:pPr>
      <w:r>
        <w:rPr>
          <w:rFonts w:ascii="宋体" w:hAnsi="宋体"/>
          <w:sz w:val="24"/>
        </w:rPr>
        <w:t>-</w:t>
      </w:r>
      <w:r>
        <w:rPr>
          <w:rFonts w:hint="eastAsia" w:ascii="宋体" w:hAnsi="宋体"/>
          <w:sz w:val="24"/>
        </w:rPr>
        <w:t xml:space="preserve"> 为保证检具整体精度的稳定性，乙方须向甲方提供检具制作材料的成分报告、进货单据及定位销/检测销与销套硬度值检测报告；</w:t>
      </w:r>
    </w:p>
    <w:p>
      <w:pPr>
        <w:pStyle w:val="79"/>
        <w:spacing w:line="460" w:lineRule="exact"/>
        <w:ind w:firstLine="0" w:firstLineChars="0"/>
        <w:rPr>
          <w:rFonts w:ascii="宋体" w:hAnsi="宋体"/>
          <w:sz w:val="24"/>
        </w:rPr>
      </w:pPr>
      <w:r>
        <w:rPr>
          <w:rFonts w:hint="eastAsia" w:ascii="宋体" w:hAnsi="宋体"/>
          <w:sz w:val="24"/>
        </w:rPr>
        <w:t>②操作性预验收</w:t>
      </w:r>
    </w:p>
    <w:p>
      <w:pPr>
        <w:pStyle w:val="79"/>
        <w:spacing w:line="460" w:lineRule="exact"/>
        <w:ind w:firstLine="0" w:firstLineChars="0"/>
        <w:rPr>
          <w:rFonts w:ascii="宋体" w:hAnsi="宋体"/>
          <w:sz w:val="24"/>
        </w:rPr>
      </w:pPr>
      <w:r>
        <w:rPr>
          <w:rFonts w:ascii="宋体" w:hAnsi="宋体"/>
          <w:sz w:val="24"/>
        </w:rPr>
        <w:t>-</w:t>
      </w:r>
      <w:r>
        <w:rPr>
          <w:rFonts w:hint="eastAsia" w:ascii="宋体" w:hAnsi="宋体"/>
          <w:sz w:val="24"/>
        </w:rPr>
        <w:t xml:space="preserve"> 首先对检具外观进行验收，确认检具的各种标识是否符合技术要求以及相关规定，检具体颜色是否与车型规定颜色相一致。</w:t>
      </w:r>
    </w:p>
    <w:p>
      <w:pPr>
        <w:pStyle w:val="79"/>
        <w:spacing w:line="460" w:lineRule="exact"/>
        <w:ind w:firstLine="0" w:firstLineChars="0"/>
        <w:rPr>
          <w:rFonts w:ascii="宋体" w:hAnsi="宋体"/>
          <w:sz w:val="24"/>
        </w:rPr>
      </w:pPr>
      <w:r>
        <w:rPr>
          <w:rFonts w:ascii="宋体" w:hAnsi="宋体"/>
          <w:sz w:val="24"/>
        </w:rPr>
        <w:t>-</w:t>
      </w:r>
      <w:r>
        <w:rPr>
          <w:rFonts w:hint="eastAsia" w:ascii="宋体" w:hAnsi="宋体"/>
          <w:sz w:val="24"/>
        </w:rPr>
        <w:t xml:space="preserve"> 甲方将根据提供的样件对检具操作功能进行验收，以使问题充分暴露和解决。验收时, 乙方做验收纪要,记录问题，给出解决措施及完善日期。</w:t>
      </w:r>
    </w:p>
    <w:p>
      <w:pPr>
        <w:pStyle w:val="79"/>
        <w:spacing w:line="460" w:lineRule="exact"/>
        <w:ind w:firstLine="0" w:firstLineChars="0"/>
        <w:rPr>
          <w:rFonts w:ascii="宋体" w:hAnsi="宋体"/>
          <w:sz w:val="24"/>
        </w:rPr>
      </w:pPr>
      <w:r>
        <w:rPr>
          <w:rFonts w:hint="eastAsia" w:ascii="宋体" w:hAnsi="宋体"/>
          <w:sz w:val="24"/>
        </w:rPr>
        <w:t>（4）精度验收和操作性预验收的验收纪要由双方确认签字后并入检具技术资料中，在前双方对问题落实情况进行确认整改完成后，视为预验收合格的必须条件。</w:t>
      </w:r>
    </w:p>
    <w:p>
      <w:pPr>
        <w:pStyle w:val="79"/>
        <w:spacing w:line="460" w:lineRule="exact"/>
        <w:ind w:firstLine="0" w:firstLineChars="0"/>
        <w:rPr>
          <w:rFonts w:ascii="宋体" w:hAnsi="宋体"/>
          <w:sz w:val="24"/>
        </w:rPr>
      </w:pPr>
      <w:r>
        <w:rPr>
          <w:rFonts w:hint="eastAsia" w:ascii="宋体" w:hAnsi="宋体"/>
          <w:sz w:val="24"/>
        </w:rPr>
        <w:t>（5）如果预验收零件不能提供，检具在精度和外观预验收合格后，乙方可将检具包装发运到指定地点进行零件检测，在检测零件过程中甲方对检具操作和功能进行预验收，此时预验收发现的问题一并记入预验收记录，由乙方落实解决。</w:t>
      </w:r>
    </w:p>
    <w:p>
      <w:pPr>
        <w:pStyle w:val="79"/>
        <w:spacing w:line="460" w:lineRule="exact"/>
        <w:ind w:firstLine="0" w:firstLineChars="0"/>
        <w:rPr>
          <w:rFonts w:ascii="宋体" w:hAnsi="宋体"/>
          <w:sz w:val="24"/>
        </w:rPr>
      </w:pPr>
      <w:r>
        <w:rPr>
          <w:rFonts w:hint="eastAsia" w:ascii="宋体" w:hAnsi="宋体"/>
          <w:sz w:val="24"/>
        </w:rPr>
        <w:t>（6）预验收工作期间，乙方应该提供计算机、电话、传真等条件方便工作开展及汇报。</w:t>
      </w:r>
      <w:bookmarkStart w:id="47" w:name="_Toc435175859"/>
    </w:p>
    <w:p>
      <w:pPr>
        <w:pStyle w:val="79"/>
        <w:spacing w:line="460" w:lineRule="exact"/>
        <w:ind w:firstLine="0" w:firstLineChars="0"/>
        <w:rPr>
          <w:rFonts w:ascii="宋体" w:hAnsi="宋体"/>
          <w:sz w:val="24"/>
        </w:rPr>
      </w:pPr>
      <w:r>
        <w:rPr>
          <w:rFonts w:hint="eastAsia" w:ascii="宋体" w:hAnsi="宋体"/>
          <w:sz w:val="24"/>
        </w:rPr>
        <w:t>2.</w:t>
      </w:r>
      <w:r>
        <w:rPr>
          <w:rFonts w:hint="eastAsia" w:ascii="宋体" w:hAnsi="宋体"/>
          <w:sz w:val="24"/>
          <w:lang w:val="en-US" w:eastAsia="zh-CN"/>
        </w:rPr>
        <w:t>5</w:t>
      </w:r>
      <w:r>
        <w:rPr>
          <w:rFonts w:hint="eastAsia" w:ascii="宋体" w:hAnsi="宋体"/>
          <w:sz w:val="24"/>
        </w:rPr>
        <w:t>.2 检具终验收</w:t>
      </w:r>
      <w:bookmarkEnd w:id="47"/>
    </w:p>
    <w:p>
      <w:pPr>
        <w:pStyle w:val="79"/>
        <w:spacing w:line="460" w:lineRule="exact"/>
        <w:ind w:firstLine="0" w:firstLineChars="0"/>
        <w:rPr>
          <w:rFonts w:ascii="宋体" w:hAnsi="宋体"/>
          <w:sz w:val="24"/>
        </w:rPr>
      </w:pPr>
      <w:r>
        <w:rPr>
          <w:rFonts w:hint="eastAsia" w:ascii="宋体" w:hAnsi="宋体"/>
          <w:sz w:val="24"/>
        </w:rPr>
        <w:t>（1）检具终验收在检具最终使用地进行，并提供1.2.2 乙方向甲方提供资料所列终验收前提供资料作为具备终验收条件的前提性文件。</w:t>
      </w:r>
    </w:p>
    <w:p>
      <w:pPr>
        <w:spacing w:line="300" w:lineRule="auto"/>
        <w:ind w:firstLine="360" w:firstLineChars="150"/>
        <w:rPr>
          <w:rFonts w:ascii="宋体" w:hAnsi="宋体"/>
          <w:sz w:val="24"/>
        </w:rPr>
      </w:pPr>
      <w:r>
        <w:rPr>
          <w:rFonts w:hint="eastAsia" w:ascii="宋体" w:hAnsi="宋体"/>
          <w:sz w:val="24"/>
        </w:rPr>
        <w:t>（2） 外观检查：检查外观是否在运输和使用过程中损坏。</w:t>
      </w:r>
    </w:p>
    <w:p>
      <w:pPr>
        <w:spacing w:line="300" w:lineRule="auto"/>
        <w:ind w:firstLine="360" w:firstLineChars="150"/>
        <w:rPr>
          <w:rFonts w:ascii="宋体" w:hAnsi="宋体"/>
          <w:sz w:val="24"/>
        </w:rPr>
      </w:pPr>
      <w:r>
        <w:rPr>
          <w:rFonts w:hint="eastAsia" w:ascii="宋体" w:hAnsi="宋体"/>
          <w:sz w:val="24"/>
        </w:rPr>
        <w:t>（3） 对乙方应交付的技术资料进行确认，确认资料是否齐全，是否符合甲方要求。</w:t>
      </w:r>
    </w:p>
    <w:p>
      <w:pPr>
        <w:spacing w:line="300" w:lineRule="auto"/>
        <w:ind w:firstLine="360" w:firstLineChars="150"/>
        <w:rPr>
          <w:rFonts w:ascii="宋体" w:hAnsi="宋体"/>
          <w:sz w:val="24"/>
        </w:rPr>
      </w:pPr>
      <w:r>
        <w:rPr>
          <w:rFonts w:hint="eastAsia" w:ascii="宋体" w:hAnsi="宋体"/>
          <w:sz w:val="24"/>
        </w:rPr>
        <w:t>（4） 对应检具的备件、工具确认：确认备件、工具是否齐全，并附有备件、工具清单。</w:t>
      </w:r>
    </w:p>
    <w:p>
      <w:pPr>
        <w:spacing w:line="300" w:lineRule="auto"/>
        <w:ind w:firstLine="360" w:firstLineChars="150"/>
        <w:rPr>
          <w:rFonts w:ascii="宋体" w:hAnsi="宋体"/>
          <w:sz w:val="24"/>
        </w:rPr>
      </w:pPr>
      <w:r>
        <w:rPr>
          <w:rFonts w:hint="eastAsia" w:ascii="宋体" w:hAnsi="宋体"/>
          <w:sz w:val="24"/>
        </w:rPr>
        <w:t>（5） 对检具进行精度复测；操作和零件检测无问题后视验收合格。精度复测使用甲方指定的三坐标测量机进行。</w:t>
      </w:r>
    </w:p>
    <w:p>
      <w:pPr>
        <w:spacing w:line="360" w:lineRule="auto"/>
        <w:rPr>
          <w:rFonts w:ascii="宋体" w:hAnsi="宋体"/>
          <w:b/>
          <w:bCs/>
          <w:sz w:val="28"/>
          <w:szCs w:val="28"/>
        </w:rPr>
      </w:pPr>
      <w:r>
        <w:rPr>
          <w:rFonts w:hint="eastAsia" w:ascii="宋体" w:hAnsi="宋体"/>
          <w:b/>
          <w:bCs/>
          <w:sz w:val="28"/>
          <w:szCs w:val="28"/>
        </w:rPr>
        <w:t>三、乙方向甲方提供的技术资料</w:t>
      </w:r>
    </w:p>
    <w:p>
      <w:pPr>
        <w:spacing w:line="360" w:lineRule="auto"/>
        <w:rPr>
          <w:rFonts w:ascii="宋体" w:hAnsi="宋体"/>
          <w:bCs/>
          <w:sz w:val="24"/>
        </w:rPr>
      </w:pPr>
      <w:r>
        <w:rPr>
          <w:rFonts w:hint="eastAsia" w:ascii="宋体" w:hAnsi="宋体"/>
          <w:bCs/>
          <w:sz w:val="24"/>
        </w:rPr>
        <w:t>3.1甲方提供给乙方技术资料</w:t>
      </w:r>
    </w:p>
    <w:tbl>
      <w:tblPr>
        <w:tblStyle w:val="41"/>
        <w:tblW w:w="6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817" w:type="dxa"/>
            <w:vAlign w:val="center"/>
          </w:tcPr>
          <w:p>
            <w:pPr>
              <w:spacing w:line="360" w:lineRule="auto"/>
              <w:rPr>
                <w:rFonts w:ascii="宋体" w:hAnsi="宋体"/>
                <w:bCs/>
                <w:color w:val="FF0000"/>
                <w:sz w:val="24"/>
              </w:rPr>
            </w:pPr>
            <w:r>
              <w:rPr>
                <w:rFonts w:hint="eastAsia" w:ascii="宋体" w:hAnsi="宋体"/>
                <w:bCs/>
                <w:color w:val="FF0000"/>
                <w:sz w:val="24"/>
              </w:rPr>
              <w:t>序号</w:t>
            </w:r>
          </w:p>
        </w:tc>
        <w:tc>
          <w:tcPr>
            <w:tcW w:w="5812" w:type="dxa"/>
            <w:vAlign w:val="center"/>
          </w:tcPr>
          <w:p>
            <w:pPr>
              <w:spacing w:line="360" w:lineRule="auto"/>
              <w:jc w:val="center"/>
              <w:rPr>
                <w:rFonts w:ascii="宋体" w:hAnsi="宋体"/>
                <w:bCs/>
                <w:color w:val="FF0000"/>
                <w:sz w:val="24"/>
              </w:rPr>
            </w:pPr>
            <w:r>
              <w:rPr>
                <w:rFonts w:hint="eastAsia" w:ascii="宋体" w:hAnsi="宋体"/>
                <w:bCs/>
                <w:color w:val="FF0000"/>
                <w:sz w:val="24"/>
              </w:rPr>
              <w:t>技术资料名称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817" w:type="dxa"/>
            <w:vAlign w:val="center"/>
          </w:tcPr>
          <w:p>
            <w:pPr>
              <w:spacing w:line="360" w:lineRule="auto"/>
              <w:jc w:val="center"/>
              <w:rPr>
                <w:rFonts w:ascii="宋体" w:hAnsi="宋体"/>
                <w:bCs/>
                <w:color w:val="FF0000"/>
                <w:sz w:val="24"/>
              </w:rPr>
            </w:pPr>
            <w:r>
              <w:rPr>
                <w:rFonts w:hint="eastAsia" w:ascii="宋体" w:hAnsi="宋体"/>
                <w:bCs/>
                <w:color w:val="FF0000"/>
                <w:sz w:val="24"/>
              </w:rPr>
              <w:t>1</w:t>
            </w:r>
          </w:p>
        </w:tc>
        <w:tc>
          <w:tcPr>
            <w:tcW w:w="5812" w:type="dxa"/>
            <w:vAlign w:val="center"/>
          </w:tcPr>
          <w:p>
            <w:pPr>
              <w:spacing w:line="360" w:lineRule="auto"/>
              <w:rPr>
                <w:rFonts w:ascii="宋体" w:hAnsi="宋体"/>
                <w:bCs/>
                <w:color w:val="FF0000"/>
                <w:sz w:val="24"/>
              </w:rPr>
            </w:pPr>
            <w:r>
              <w:rPr>
                <w:rFonts w:hint="eastAsia" w:ascii="宋体" w:hAnsi="宋体"/>
                <w:bCs/>
                <w:color w:val="FF0000"/>
                <w:sz w:val="24"/>
              </w:rPr>
              <w:t>产品零件数模（CATIA格式）、GD&amp;T图纸及产品明细表、检具实物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817" w:type="dxa"/>
            <w:vAlign w:val="center"/>
          </w:tcPr>
          <w:p>
            <w:pPr>
              <w:spacing w:line="360" w:lineRule="auto"/>
              <w:jc w:val="center"/>
              <w:rPr>
                <w:rFonts w:ascii="宋体" w:hAnsi="宋体"/>
                <w:bCs/>
                <w:color w:val="FF0000"/>
                <w:sz w:val="24"/>
              </w:rPr>
            </w:pPr>
            <w:r>
              <w:rPr>
                <w:rFonts w:hint="eastAsia" w:ascii="宋体" w:hAnsi="宋体"/>
                <w:bCs/>
                <w:color w:val="FF0000"/>
                <w:sz w:val="24"/>
              </w:rPr>
              <w:t>2</w:t>
            </w:r>
          </w:p>
        </w:tc>
        <w:tc>
          <w:tcPr>
            <w:tcW w:w="5812" w:type="dxa"/>
            <w:vAlign w:val="center"/>
          </w:tcPr>
          <w:p>
            <w:pPr>
              <w:spacing w:line="360" w:lineRule="auto"/>
              <w:rPr>
                <w:rFonts w:ascii="宋体" w:hAnsi="宋体"/>
                <w:bCs/>
                <w:color w:val="FF0000"/>
                <w:sz w:val="24"/>
              </w:rPr>
            </w:pPr>
            <w:r>
              <w:rPr>
                <w:rFonts w:hint="eastAsia"/>
                <w:color w:val="FF0000"/>
                <w:sz w:val="24"/>
              </w:rPr>
              <w:t>检具设计方案书的格式（空白表格式）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jc w:val="center"/>
        </w:trPr>
        <w:tc>
          <w:tcPr>
            <w:tcW w:w="817" w:type="dxa"/>
            <w:vAlign w:val="center"/>
          </w:tcPr>
          <w:p>
            <w:pPr>
              <w:spacing w:line="360" w:lineRule="auto"/>
              <w:jc w:val="center"/>
              <w:rPr>
                <w:rFonts w:ascii="宋体" w:hAnsi="宋体"/>
                <w:bCs/>
                <w:color w:val="FF0000"/>
                <w:sz w:val="24"/>
              </w:rPr>
            </w:pPr>
            <w:r>
              <w:rPr>
                <w:rFonts w:hint="eastAsia" w:ascii="宋体" w:hAnsi="宋体"/>
                <w:bCs/>
                <w:color w:val="FF0000"/>
                <w:sz w:val="24"/>
              </w:rPr>
              <w:t>3</w:t>
            </w:r>
          </w:p>
        </w:tc>
        <w:tc>
          <w:tcPr>
            <w:tcW w:w="5812" w:type="dxa"/>
            <w:vAlign w:val="center"/>
          </w:tcPr>
          <w:p>
            <w:pPr>
              <w:spacing w:line="360" w:lineRule="auto"/>
              <w:rPr>
                <w:rFonts w:ascii="宋体" w:hAnsi="宋体"/>
                <w:bCs/>
                <w:color w:val="FF0000"/>
                <w:sz w:val="24"/>
              </w:rPr>
            </w:pPr>
            <w:r>
              <w:rPr>
                <w:rFonts w:hint="eastAsia" w:ascii="宋体" w:cs="宋体"/>
                <w:color w:val="FF0000"/>
                <w:sz w:val="24"/>
              </w:rPr>
              <w:t>检具技术协议</w:t>
            </w:r>
          </w:p>
        </w:tc>
      </w:tr>
    </w:tbl>
    <w:p>
      <w:pPr>
        <w:tabs>
          <w:tab w:val="left" w:pos="0"/>
          <w:tab w:val="left" w:pos="2277"/>
          <w:tab w:val="left" w:pos="2484"/>
        </w:tabs>
        <w:spacing w:line="460" w:lineRule="exact"/>
        <w:ind w:left="780" w:hanging="780" w:hangingChars="325"/>
        <w:rPr>
          <w:rFonts w:ascii="宋体"/>
          <w:color w:val="000000"/>
          <w:sz w:val="24"/>
        </w:rPr>
      </w:pPr>
      <w:r>
        <w:rPr>
          <w:rFonts w:hint="eastAsia"/>
          <w:bCs/>
          <w:sz w:val="24"/>
        </w:rPr>
        <w:t>3.</w:t>
      </w:r>
      <w:r>
        <w:rPr>
          <w:rFonts w:hint="eastAsia"/>
          <w:bCs/>
          <w:sz w:val="24"/>
          <w:lang w:val="en-US" w:eastAsia="zh-CN"/>
        </w:rPr>
        <w:t>2</w:t>
      </w:r>
      <w:r>
        <w:rPr>
          <w:rFonts w:hint="eastAsia" w:ascii="宋体"/>
          <w:color w:val="000000"/>
          <w:sz w:val="24"/>
        </w:rPr>
        <w:t>乙方提交文件原则：</w:t>
      </w:r>
    </w:p>
    <w:p>
      <w:pPr>
        <w:tabs>
          <w:tab w:val="left" w:pos="0"/>
          <w:tab w:val="left" w:pos="2277"/>
          <w:tab w:val="left" w:pos="2484"/>
        </w:tabs>
        <w:spacing w:line="460" w:lineRule="exact"/>
        <w:ind w:left="754" w:leftChars="257" w:hanging="240" w:hangingChars="100"/>
        <w:rPr>
          <w:rFonts w:ascii="宋体"/>
          <w:color w:val="000000"/>
          <w:sz w:val="24"/>
        </w:rPr>
      </w:pPr>
      <w:r>
        <w:rPr>
          <w:rFonts w:hint="eastAsia" w:ascii="宋体"/>
          <w:color w:val="000000"/>
          <w:sz w:val="24"/>
        </w:rPr>
        <w:t>a 乙方保证所提交文件的真实性、即时性，无论何种原因导致更改，必须更新前期所提交的文件，保证所提交文件都满足最新版数模要求，并保留更改记录，供甲方检查。</w:t>
      </w:r>
    </w:p>
    <w:p>
      <w:pPr>
        <w:tabs>
          <w:tab w:val="left" w:pos="0"/>
          <w:tab w:val="left" w:pos="2277"/>
          <w:tab w:val="left" w:pos="2484"/>
        </w:tabs>
        <w:spacing w:line="460" w:lineRule="exact"/>
        <w:ind w:left="754" w:leftChars="257" w:hanging="240" w:hangingChars="100"/>
        <w:rPr>
          <w:rFonts w:ascii="宋体"/>
          <w:color w:val="000000"/>
          <w:sz w:val="24"/>
        </w:rPr>
      </w:pPr>
      <w:r>
        <w:rPr>
          <w:rFonts w:hint="eastAsia" w:ascii="宋体"/>
          <w:color w:val="000000"/>
          <w:sz w:val="24"/>
        </w:rPr>
        <w:t>b 乙方保证提交文件中，三维数模为</w:t>
      </w:r>
      <w:r>
        <w:rPr>
          <w:rFonts w:hint="eastAsia" w:ascii="新宋体" w:hAnsi="新宋体" w:eastAsia="新宋体"/>
          <w:color w:val="000000"/>
          <w:sz w:val="24"/>
        </w:rPr>
        <w:t>CATIA和IGES两种格式</w:t>
      </w:r>
      <w:r>
        <w:rPr>
          <w:rFonts w:hint="eastAsia" w:ascii="宋体"/>
          <w:color w:val="000000"/>
          <w:sz w:val="24"/>
        </w:rPr>
        <w:t>，并以车身坐标系为基准，二维图纸为CAD格式，且都能与甲方系统匹配，能满足甲方的检验、维修、使用要求，并保证文件的便于维护。</w:t>
      </w:r>
    </w:p>
    <w:p>
      <w:pPr>
        <w:tabs>
          <w:tab w:val="left" w:pos="0"/>
          <w:tab w:val="left" w:pos="2277"/>
          <w:tab w:val="left" w:pos="2484"/>
        </w:tabs>
        <w:spacing w:line="460" w:lineRule="exact"/>
        <w:ind w:left="754" w:leftChars="257" w:hanging="240" w:hangingChars="100"/>
        <w:rPr>
          <w:rFonts w:ascii="宋体"/>
          <w:color w:val="000000"/>
          <w:sz w:val="24"/>
        </w:rPr>
      </w:pPr>
      <w:r>
        <w:rPr>
          <w:rFonts w:hint="eastAsia" w:ascii="宋体"/>
          <w:color w:val="000000"/>
          <w:sz w:val="24"/>
        </w:rPr>
        <w:t>c 乙方所提交的任何文件上都须明确显示文件制作人的名字、联系方式，并保证在需要核实情况下，能够联系到文件制作人。</w:t>
      </w:r>
    </w:p>
    <w:p>
      <w:pPr>
        <w:tabs>
          <w:tab w:val="left" w:pos="1050"/>
        </w:tabs>
        <w:spacing w:line="460" w:lineRule="exact"/>
        <w:ind w:left="932" w:leftChars="257" w:hanging="418" w:hangingChars="174"/>
        <w:rPr>
          <w:rFonts w:ascii="宋体"/>
          <w:color w:val="000000"/>
          <w:sz w:val="24"/>
        </w:rPr>
      </w:pPr>
      <w:r>
        <w:rPr>
          <w:rFonts w:ascii="宋体"/>
          <w:color w:val="000000"/>
          <w:sz w:val="24"/>
        </w:rPr>
        <w:t>d</w:t>
      </w:r>
      <w:r>
        <w:rPr>
          <w:rFonts w:hint="eastAsia" w:ascii="宋体"/>
          <w:color w:val="000000"/>
          <w:sz w:val="24"/>
        </w:rPr>
        <w:t xml:space="preserve"> 图纸资料应齐全，并进行包装防护。</w:t>
      </w:r>
    </w:p>
    <w:p>
      <w:pPr>
        <w:spacing w:line="360" w:lineRule="auto"/>
        <w:rPr>
          <w:bCs/>
          <w:sz w:val="24"/>
        </w:rPr>
      </w:pPr>
    </w:p>
    <w:p>
      <w:pPr>
        <w:spacing w:line="360" w:lineRule="auto"/>
        <w:rPr>
          <w:rFonts w:ascii="宋体" w:hAnsi="宋体"/>
          <w:b/>
          <w:sz w:val="24"/>
        </w:rPr>
      </w:pPr>
      <w:r>
        <w:rPr>
          <w:rFonts w:hint="eastAsia" w:ascii="宋体" w:hAnsi="宋体"/>
          <w:b/>
          <w:sz w:val="24"/>
        </w:rPr>
        <w:t>四、安全</w:t>
      </w:r>
    </w:p>
    <w:p>
      <w:pPr>
        <w:spacing w:line="360" w:lineRule="auto"/>
        <w:rPr>
          <w:rFonts w:ascii="宋体" w:hAnsi="宋体"/>
          <w:sz w:val="24"/>
        </w:rPr>
      </w:pPr>
      <w:r>
        <w:rPr>
          <w:rFonts w:hint="eastAsia" w:ascii="宋体" w:hAnsi="宋体"/>
          <w:sz w:val="24"/>
        </w:rPr>
        <w:tab/>
      </w:r>
      <w:r>
        <w:rPr>
          <w:rFonts w:hint="eastAsia" w:ascii="宋体" w:hAnsi="宋体"/>
          <w:sz w:val="24"/>
        </w:rPr>
        <w:t xml:space="preserve"> 乙方完成的所有工作都必须符合中华人民共和国的法律法规、甲方的相关规章制度。</w:t>
      </w:r>
    </w:p>
    <w:p>
      <w:pPr>
        <w:spacing w:line="360" w:lineRule="auto"/>
        <w:rPr>
          <w:rFonts w:ascii="宋体" w:hAnsi="宋体"/>
          <w:b/>
          <w:bCs/>
          <w:sz w:val="24"/>
        </w:rPr>
      </w:pPr>
      <w:r>
        <w:rPr>
          <w:rFonts w:hint="eastAsia" w:ascii="宋体" w:hAnsi="宋体"/>
          <w:b/>
          <w:bCs/>
          <w:sz w:val="24"/>
        </w:rPr>
        <w:t xml:space="preserve">五、保密要求 </w:t>
      </w:r>
    </w:p>
    <w:p>
      <w:pPr>
        <w:spacing w:line="360" w:lineRule="auto"/>
        <w:rPr>
          <w:rFonts w:ascii="宋体" w:hAnsi="宋体"/>
          <w:bCs/>
          <w:sz w:val="24"/>
        </w:rPr>
      </w:pPr>
      <w:r>
        <w:rPr>
          <w:rFonts w:hint="eastAsia" w:ascii="宋体" w:hAnsi="宋体"/>
          <w:bCs/>
          <w:sz w:val="24"/>
        </w:rPr>
        <w:tab/>
      </w:r>
      <w:r>
        <w:rPr>
          <w:rFonts w:hint="eastAsia" w:ascii="宋体" w:hAnsi="宋体"/>
          <w:bCs/>
          <w:sz w:val="24"/>
        </w:rPr>
        <w:t>甲方所提交的文件只能用于本项目。乙方有为甲方提供的一切数据、技术要求及所用技术进行保密的义务。未经甲方许可，乙方不得对甲方提供的任何资料和信息进行拷贝或以其他任何形式传播给第三方。同时，甲方也承诺对乙方提供的一切资料履行保密义务。</w:t>
      </w:r>
    </w:p>
    <w:p>
      <w:pPr>
        <w:spacing w:line="360" w:lineRule="auto"/>
        <w:rPr>
          <w:rFonts w:ascii="宋体" w:hAnsi="宋体"/>
          <w:b/>
          <w:bCs/>
          <w:sz w:val="24"/>
        </w:rPr>
      </w:pPr>
      <w:r>
        <w:rPr>
          <w:rFonts w:hint="eastAsia" w:ascii="宋体" w:hAnsi="宋体"/>
          <w:b/>
          <w:bCs/>
          <w:sz w:val="24"/>
        </w:rPr>
        <w:t>六、其它</w:t>
      </w:r>
    </w:p>
    <w:p>
      <w:pPr>
        <w:spacing w:line="360" w:lineRule="auto"/>
        <w:rPr>
          <w:rFonts w:ascii="宋体" w:hAnsi="宋体"/>
          <w:bCs/>
          <w:sz w:val="24"/>
        </w:rPr>
      </w:pPr>
      <w:r>
        <w:rPr>
          <w:rFonts w:hint="eastAsia" w:ascii="宋体" w:hAnsi="宋体"/>
          <w:bCs/>
          <w:sz w:val="24"/>
        </w:rPr>
        <w:t>6</w:t>
      </w:r>
      <w:r>
        <w:rPr>
          <w:rFonts w:ascii="宋体" w:hAnsi="宋体"/>
          <w:bCs/>
          <w:sz w:val="24"/>
        </w:rPr>
        <w:t>.</w:t>
      </w:r>
      <w:r>
        <w:rPr>
          <w:rFonts w:hint="eastAsia" w:ascii="宋体" w:hAnsi="宋体"/>
          <w:bCs/>
          <w:sz w:val="24"/>
        </w:rPr>
        <w:t>1对于甲方所有的检具在乙方生产期间，甲方将指派人员全程跟踪检具制造并学习检具制造相关流程，乙方必须提供相关人员的交通、生活、学习、资料（设计标准、加工工艺、调试检验相关检具制造的标准等）拷贝的便利。</w:t>
      </w:r>
    </w:p>
    <w:p>
      <w:pPr>
        <w:spacing w:line="360" w:lineRule="auto"/>
        <w:rPr>
          <w:rFonts w:ascii="宋体" w:hAnsi="宋体"/>
          <w:bCs/>
          <w:sz w:val="24"/>
        </w:rPr>
      </w:pPr>
      <w:r>
        <w:rPr>
          <w:rFonts w:hint="eastAsia" w:ascii="宋体" w:hAnsi="宋体"/>
          <w:bCs/>
          <w:sz w:val="24"/>
        </w:rPr>
        <w:t>6.2 上述事项，如有未尽事宜，双方共同协商解决。</w:t>
      </w:r>
    </w:p>
    <w:p>
      <w:pPr>
        <w:spacing w:line="360" w:lineRule="auto"/>
        <w:rPr>
          <w:rFonts w:ascii="宋体" w:hAnsi="宋体"/>
          <w:bCs/>
          <w:sz w:val="24"/>
        </w:rPr>
      </w:pPr>
      <w:r>
        <w:rPr>
          <w:rFonts w:hint="eastAsia" w:ascii="宋体" w:hAnsi="宋体"/>
          <w:bCs/>
          <w:sz w:val="24"/>
        </w:rPr>
        <w:t>6.3项目所产生的一切专利技术归属权属于甲方所有。</w:t>
      </w:r>
    </w:p>
    <w:p>
      <w:pPr>
        <w:spacing w:line="360" w:lineRule="auto"/>
        <w:rPr>
          <w:rFonts w:ascii="宋体" w:hAnsi="宋体"/>
          <w:bCs/>
          <w:sz w:val="24"/>
        </w:rPr>
      </w:pPr>
      <w:r>
        <w:rPr>
          <w:rFonts w:hint="eastAsia" w:ascii="宋体" w:hAnsi="宋体"/>
          <w:bCs/>
          <w:sz w:val="24"/>
        </w:rPr>
        <w:t>6.4本项目技术联系人冉讯(18423651149)。</w:t>
      </w:r>
    </w:p>
    <w:p>
      <w:pPr>
        <w:spacing w:line="360" w:lineRule="auto"/>
        <w:rPr>
          <w:rFonts w:ascii="宋体" w:hAnsi="宋体"/>
          <w:bCs/>
          <w:sz w:val="24"/>
        </w:rPr>
      </w:pPr>
    </w:p>
    <w:p>
      <w:pPr>
        <w:spacing w:line="360" w:lineRule="auto"/>
        <w:rPr>
          <w:rFonts w:ascii="宋体" w:hAnsi="宋体"/>
          <w:bCs/>
          <w:sz w:val="24"/>
        </w:rPr>
      </w:pPr>
    </w:p>
    <w:p>
      <w:pPr>
        <w:spacing w:line="360" w:lineRule="auto"/>
        <w:ind w:firstLine="360" w:firstLineChars="150"/>
        <w:rPr>
          <w:rFonts w:ascii="宋体" w:hAnsi="宋体"/>
          <w:bCs/>
          <w:sz w:val="24"/>
        </w:rPr>
      </w:pPr>
      <w:r>
        <w:rPr>
          <w:rFonts w:hint="eastAsia" w:ascii="宋体" w:hAnsi="宋体"/>
          <w:bCs/>
          <w:sz w:val="24"/>
        </w:rPr>
        <w:t>甲方：重庆力帆乘用车有限公司            乙方：</w:t>
      </w:r>
    </w:p>
    <w:p>
      <w:pPr>
        <w:spacing w:line="360" w:lineRule="auto"/>
        <w:rPr>
          <w:rFonts w:ascii="宋体" w:hAnsi="宋体"/>
          <w:bCs/>
          <w:sz w:val="24"/>
        </w:rPr>
      </w:pPr>
    </w:p>
    <w:p>
      <w:pPr>
        <w:rPr>
          <w:rFonts w:ascii="宋体" w:hAnsi="宋体"/>
          <w:bCs/>
          <w:sz w:val="24"/>
        </w:rPr>
      </w:pPr>
      <w:r>
        <w:rPr>
          <w:rFonts w:hint="eastAsia" w:ascii="宋体" w:hAnsi="宋体"/>
          <w:bCs/>
          <w:sz w:val="24"/>
        </w:rPr>
        <w:t xml:space="preserve">        甲方代表：                               乙方代表：</w:t>
      </w:r>
    </w:p>
    <w:p>
      <w:pPr>
        <w:spacing w:line="360" w:lineRule="auto"/>
        <w:rPr>
          <w:rFonts w:ascii="宋体" w:hAnsi="宋体"/>
          <w:bCs/>
          <w:sz w:val="24"/>
        </w:rPr>
      </w:pPr>
    </w:p>
    <w:bookmarkEnd w:id="0"/>
    <w:p>
      <w:pPr>
        <w:spacing w:line="380" w:lineRule="exact"/>
        <w:rPr>
          <w:rFonts w:ascii="宋体" w:hAnsi="宋体" w:cs="宋体"/>
          <w:b/>
          <w:bCs/>
          <w:sz w:val="32"/>
          <w:szCs w:val="32"/>
        </w:rPr>
      </w:pPr>
    </w:p>
    <w:sectPr>
      <w:headerReference r:id="rId9" w:type="default"/>
      <w:footerReference r:id="rId10" w:type="default"/>
      <w:pgSz w:w="11907" w:h="16840"/>
      <w:pgMar w:top="1440" w:right="1080" w:bottom="1440" w:left="1080" w:header="567" w:footer="567" w:gutter="0"/>
      <w:pgNumType w:start="0" w:chapStyle="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Garamond">
    <w:altName w:val="PMingLiU-ExtB"/>
    <w:panose1 w:val="02020404030301010803"/>
    <w:charset w:val="00"/>
    <w:family w:val="roman"/>
    <w:pitch w:val="default"/>
    <w:sig w:usb0="00000000" w:usb1="00000000" w:usb2="00000000" w:usb3="00000000" w:csb0="000000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37"/>
      </w:rPr>
    </w:pPr>
    <w:r>
      <w:rPr>
        <w:rStyle w:val="37"/>
      </w:rPr>
      <w:fldChar w:fldCharType="begin"/>
    </w:r>
    <w:r>
      <w:rPr>
        <w:rStyle w:val="37"/>
      </w:rPr>
      <w:instrText xml:space="preserve">PAGE  </w:instrText>
    </w:r>
    <w:r>
      <w:rPr>
        <w:rStyle w:val="37"/>
      </w:rPr>
      <w:fldChar w:fldCharType="end"/>
    </w:r>
  </w:p>
  <w:p>
    <w:pPr>
      <w:pStyle w:val="2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left" w:pos="4320"/>
        <w:tab w:val="center" w:pos="4873"/>
      </w:tabs>
    </w:pPr>
    <w:r>
      <w:tab/>
    </w:r>
    <w:r>
      <w:tab/>
    </w:r>
    <w:r>
      <w:tab/>
    </w:r>
    <w:r>
      <w:pict>
        <v:line id="Line 2" o:spid="_x0000_s4097" o:spt="20" style="position:absolute;left:0pt;margin-left:-24.7pt;margin-top:-1pt;height:0pt;width:514.5pt;z-index:251658240;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">
          <v:path arrowok="t"/>
          <v:fill focussize="0,0"/>
          <v:stroke weight="3pt" color="#333333" linestyle="thinThin"/>
          <v:imagedata o:title=""/>
          <o:lock v:ext="edit"/>
        </v:line>
      </w:pict>
    </w:r>
    <w:r>
      <w:fldChar w:fldCharType="begin"/>
    </w:r>
    <w:r>
      <w:instrText xml:space="preserve"> PAGE   \* MERGEFORMAT </w:instrText>
    </w:r>
    <w:r>
      <w:fldChar w:fldCharType="separate"/>
    </w:r>
    <w:r>
      <w:rPr>
        <w:lang w:val="zh-CN"/>
      </w:rPr>
      <w:t>1</w:t>
    </w:r>
    <w:r>
      <w:rPr>
        <w:lang w:val="zh-CN"/>
      </w:rPr>
      <w:fldChar w:fldCharType="end"/>
    </w:r>
  </w:p>
  <w:p>
    <w:pPr>
      <w:jc w:val="right"/>
      <w:rPr>
        <w:rFonts w:ascii="华文楷体" w:hAnsi="华文楷体" w:eastAsia="华文楷体"/>
        <w:b/>
        <w:bCs/>
        <w:i/>
        <w:iCs/>
        <w:color w:val="333333"/>
        <w:sz w:val="24"/>
        <w:szCs w:val="24"/>
      </w:rPr>
    </w:pPr>
    <w:r>
      <w:rPr>
        <w:rFonts w:hint="eastAsia" w:ascii="华文楷体" w:hAnsi="华文楷体" w:eastAsia="华文楷体" w:cs="华文楷体"/>
        <w:b/>
        <w:bCs/>
        <w:i/>
        <w:iCs/>
        <w:sz w:val="24"/>
        <w:szCs w:val="24"/>
      </w:rPr>
      <w:t>为民族挣点品牌，为国家赚点技术</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left"/>
    </w:pPr>
    <w:r>
      <w:rPr>
        <w:rFonts w:hint="eastAsia"/>
        <w:b/>
        <w:sz w:val="20"/>
      </w:rPr>
      <w:drawing>
        <wp:anchor distT="0" distB="0" distL="114300" distR="114300" simplePos="0" relativeHeight="251660288" behindDoc="0" locked="0" layoutInCell="1" allowOverlap="1">
          <wp:simplePos x="0" y="0"/>
          <wp:positionH relativeFrom="page">
            <wp:posOffset>988695</wp:posOffset>
          </wp:positionH>
          <wp:positionV relativeFrom="page">
            <wp:posOffset>183515</wp:posOffset>
          </wp:positionV>
          <wp:extent cx="434975" cy="394970"/>
          <wp:effectExtent l="0" t="0" r="0" b="0"/>
          <wp:wrapNone/>
          <wp:docPr id="2" name="图片 2" descr="corp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orp_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34975" cy="394970"/>
                  </a:xfrm>
                  <a:prstGeom prst="rect">
                    <a:avLst/>
                  </a:prstGeom>
                  <a:noFill/>
                  <a:ln>
                    <a:noFill/>
                  </a:ln>
                </pic:spPr>
              </pic:pic>
            </a:graphicData>
          </a:graphic>
        </wp:anchor>
      </w:drawing>
    </w:r>
    <w:r>
      <w:rPr>
        <w:rFonts w:hint="eastAsia"/>
        <w:b/>
        <w:sz w:val="20"/>
      </w:rPr>
      <w:t>重庆力帆乘用车有限公司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single" w:color="auto" w:sz="6" w:space="0"/>
      </w:pBdr>
      <w:ind w:left="7630" w:hanging="7630" w:hangingChars="3800"/>
      <w:jc w:val="left"/>
      <w:rPr>
        <w:b/>
        <w:sz w:val="20"/>
      </w:rPr>
    </w:pPr>
    <w:r>
      <w:rPr>
        <w:rFonts w:hint="eastAsia"/>
        <w:b/>
        <w:sz w:val="20"/>
      </w:rPr>
      <w:drawing>
        <wp:anchor distT="0" distB="0" distL="114300" distR="114300" simplePos="0" relativeHeight="251661312" behindDoc="0" locked="0" layoutInCell="1" allowOverlap="1">
          <wp:simplePos x="0" y="0"/>
          <wp:positionH relativeFrom="page">
            <wp:posOffset>401320</wp:posOffset>
          </wp:positionH>
          <wp:positionV relativeFrom="page">
            <wp:posOffset>191135</wp:posOffset>
          </wp:positionV>
          <wp:extent cx="459105" cy="414655"/>
          <wp:effectExtent l="19050" t="0" r="0" b="0"/>
          <wp:wrapNone/>
          <wp:docPr id="1" name="图片 1" descr="corp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orp_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9415" cy="414670"/>
                  </a:xfrm>
                  <a:prstGeom prst="rect">
                    <a:avLst/>
                  </a:prstGeom>
                  <a:noFill/>
                  <a:ln>
                    <a:noFill/>
                  </a:ln>
                </pic:spPr>
              </pic:pic>
            </a:graphicData>
          </a:graphic>
        </wp:anchor>
      </w:drawing>
    </w:r>
  </w:p>
  <w:p>
    <w:pPr>
      <w:pStyle w:val="27"/>
      <w:pBdr>
        <w:bottom w:val="single" w:color="auto" w:sz="6" w:space="0"/>
      </w:pBdr>
      <w:ind w:left="7630" w:hanging="7630" w:hangingChars="3800"/>
      <w:jc w:val="left"/>
    </w:pPr>
    <w:r>
      <w:rPr>
        <w:rFonts w:hint="eastAsia"/>
        <w:b/>
        <w:sz w:val="20"/>
      </w:rPr>
      <w:t>重庆力帆汽车有限公司</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2"/>
      </w:pBdr>
      <w:tabs>
        <w:tab w:val="center" w:pos="4153"/>
        <w:tab w:val="right" w:pos="8306"/>
      </w:tabs>
      <w:snapToGrid w:val="0"/>
      <w:rPr>
        <w:i/>
        <w:iCs/>
        <w:kern w:val="2"/>
        <w:sz w:val="24"/>
        <w:szCs w:val="24"/>
      </w:rPr>
    </w:pPr>
    <w:r>
      <w:rPr>
        <w:rFonts w:hint="eastAsia"/>
        <w:b/>
        <w:sz w:val="28"/>
      </w:rPr>
      <w:drawing>
        <wp:inline distT="0" distB="0" distL="0" distR="0">
          <wp:extent cx="1014095" cy="284480"/>
          <wp:effectExtent l="19050" t="0" r="0" b="0"/>
          <wp:docPr id="4" name="图片 1" descr="LOGO.JPG"/>
          <wp:cNvGraphicFramePr/>
          <a:graphic xmlns:a="http://schemas.openxmlformats.org/drawingml/2006/main">
            <a:graphicData uri="http://schemas.openxmlformats.org/drawingml/2006/picture">
              <pic:pic xmlns:pic="http://schemas.openxmlformats.org/drawingml/2006/picture">
                <pic:nvPicPr>
                  <pic:cNvPr id="4" name="图片 1" descr="LOGO.JPG"/>
                  <pic:cNvPicPr/>
                </pic:nvPicPr>
                <pic:blipFill>
                  <a:blip r:embed="rId1"/>
                  <a:stretch>
                    <a:fillRect/>
                  </a:stretch>
                </pic:blipFill>
                <pic:spPr>
                  <a:xfrm>
                    <a:off x="0" y="0"/>
                    <a:ext cx="1018910" cy="285881"/>
                  </a:xfrm>
                  <a:prstGeom prst="rect">
                    <a:avLst/>
                  </a:prstGeom>
                  <a:ln>
                    <a:noFill/>
                  </a:ln>
                </pic:spPr>
              </pic:pic>
            </a:graphicData>
          </a:graphic>
        </wp:inline>
      </w:drawing>
    </w:r>
    <w:r>
      <w:rPr>
        <w:rFonts w:hint="eastAsia"/>
        <w:b/>
        <w:sz w:val="28"/>
      </w:rPr>
      <w:t>重庆力帆乘用车有限公司</w:t>
    </w:r>
    <w:r>
      <w:rPr>
        <w:rFonts w:hint="eastAsia" w:cs="宋体"/>
        <w:i/>
        <w:iCs/>
        <w:kern w:val="2"/>
        <w:sz w:val="24"/>
        <w:szCs w:val="24"/>
      </w:rPr>
      <w:t>技术要求书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720"/>
  <w:doNotHyphenateCaps/>
  <w:drawingGridHorizontalSpacing w:val="100"/>
  <w:drawingGridVerticalSpacing w:val="271"/>
  <w:displayHorizontalDrawingGridEvery w:val="0"/>
  <w:noPunctuationKerning w:val="1"/>
  <w:characterSpacingControl w:val="doNotCompress"/>
  <w:noLineBreaksAfter w:lang="zh-CN" w:val="$([{£¥·‘“〈《「『【〔〖〝﹙﹛﹝＄（．［｛￡￥"/>
  <w:noLineBreaksBefore w:lang="zh-CN" w:val="!%),.:;&gt;?]}¢¨°·ˇˉ―‖’”…‰′″›℃∶、。〃〉》」』】〕〗〞︶︺︾﹀﹄﹚﹜﹞！＂％＇），．：；？］｀｜｝～￠"/>
  <w:doNotValidateAgainstSchema/>
  <w:doNotDemarcateInvalidXml/>
  <w:hdrShapeDefaults>
    <o:shapelayout v:ext="edit">
      <o:idmap v:ext="edit" data="4"/>
    </o:shapelayout>
  </w:hdrShapeDefaults>
  <w:compat>
    <w:useFELayout/>
    <w:compatSetting w:name="compatibilityMode" w:uri="http://schemas.microsoft.com/office/word" w:val="12"/>
  </w:compat>
  <w:rsids>
    <w:rsidRoot w:val="00B53585"/>
    <w:rsid w:val="00000BFC"/>
    <w:rsid w:val="000039B8"/>
    <w:rsid w:val="000044FB"/>
    <w:rsid w:val="0000767E"/>
    <w:rsid w:val="000079FE"/>
    <w:rsid w:val="00007AA4"/>
    <w:rsid w:val="0001214A"/>
    <w:rsid w:val="0001280D"/>
    <w:rsid w:val="00012867"/>
    <w:rsid w:val="000130BF"/>
    <w:rsid w:val="00013A0A"/>
    <w:rsid w:val="00013EE5"/>
    <w:rsid w:val="0001518D"/>
    <w:rsid w:val="00015CA5"/>
    <w:rsid w:val="00016CA1"/>
    <w:rsid w:val="00020E55"/>
    <w:rsid w:val="0002273E"/>
    <w:rsid w:val="00022CD3"/>
    <w:rsid w:val="00022E3A"/>
    <w:rsid w:val="0002545F"/>
    <w:rsid w:val="000262FA"/>
    <w:rsid w:val="0003098F"/>
    <w:rsid w:val="00032D44"/>
    <w:rsid w:val="00034920"/>
    <w:rsid w:val="00040477"/>
    <w:rsid w:val="00044314"/>
    <w:rsid w:val="00044C03"/>
    <w:rsid w:val="00044E0D"/>
    <w:rsid w:val="000461D8"/>
    <w:rsid w:val="00046CD0"/>
    <w:rsid w:val="00047D96"/>
    <w:rsid w:val="00047E58"/>
    <w:rsid w:val="00050079"/>
    <w:rsid w:val="000502FC"/>
    <w:rsid w:val="00050D0A"/>
    <w:rsid w:val="00051CF1"/>
    <w:rsid w:val="00053D90"/>
    <w:rsid w:val="0005415D"/>
    <w:rsid w:val="000553C9"/>
    <w:rsid w:val="00063C7D"/>
    <w:rsid w:val="000640ED"/>
    <w:rsid w:val="00070BA4"/>
    <w:rsid w:val="00070EBD"/>
    <w:rsid w:val="00071277"/>
    <w:rsid w:val="000712DA"/>
    <w:rsid w:val="0007152A"/>
    <w:rsid w:val="00072137"/>
    <w:rsid w:val="00073392"/>
    <w:rsid w:val="000748F2"/>
    <w:rsid w:val="00074E3E"/>
    <w:rsid w:val="00074E72"/>
    <w:rsid w:val="00075913"/>
    <w:rsid w:val="00081604"/>
    <w:rsid w:val="0008274B"/>
    <w:rsid w:val="00083141"/>
    <w:rsid w:val="000849D7"/>
    <w:rsid w:val="00086803"/>
    <w:rsid w:val="000871DC"/>
    <w:rsid w:val="00087DDC"/>
    <w:rsid w:val="00091955"/>
    <w:rsid w:val="00091DED"/>
    <w:rsid w:val="000928B2"/>
    <w:rsid w:val="00095E1F"/>
    <w:rsid w:val="00097978"/>
    <w:rsid w:val="000A1489"/>
    <w:rsid w:val="000A1777"/>
    <w:rsid w:val="000A68D4"/>
    <w:rsid w:val="000B0FB1"/>
    <w:rsid w:val="000B17CE"/>
    <w:rsid w:val="000B187D"/>
    <w:rsid w:val="000B20B6"/>
    <w:rsid w:val="000B283F"/>
    <w:rsid w:val="000B39C1"/>
    <w:rsid w:val="000B518B"/>
    <w:rsid w:val="000B628F"/>
    <w:rsid w:val="000B6B2B"/>
    <w:rsid w:val="000B7048"/>
    <w:rsid w:val="000C1EDA"/>
    <w:rsid w:val="000C2CB8"/>
    <w:rsid w:val="000C4C41"/>
    <w:rsid w:val="000C6471"/>
    <w:rsid w:val="000C7003"/>
    <w:rsid w:val="000D0451"/>
    <w:rsid w:val="000D10B2"/>
    <w:rsid w:val="000D10E4"/>
    <w:rsid w:val="000D178F"/>
    <w:rsid w:val="000D3488"/>
    <w:rsid w:val="000D4EE6"/>
    <w:rsid w:val="000D6AD4"/>
    <w:rsid w:val="000D6BEC"/>
    <w:rsid w:val="000E074E"/>
    <w:rsid w:val="000E0B41"/>
    <w:rsid w:val="000E22EA"/>
    <w:rsid w:val="000E2A8A"/>
    <w:rsid w:val="000E331F"/>
    <w:rsid w:val="000E449A"/>
    <w:rsid w:val="000E5B80"/>
    <w:rsid w:val="000E6839"/>
    <w:rsid w:val="000E794D"/>
    <w:rsid w:val="000E79FA"/>
    <w:rsid w:val="000F08F7"/>
    <w:rsid w:val="000F0BB7"/>
    <w:rsid w:val="000F36DB"/>
    <w:rsid w:val="000F403F"/>
    <w:rsid w:val="000F6586"/>
    <w:rsid w:val="000F65E3"/>
    <w:rsid w:val="000F6DCF"/>
    <w:rsid w:val="001008D1"/>
    <w:rsid w:val="00100ACF"/>
    <w:rsid w:val="00101E8D"/>
    <w:rsid w:val="00101EF3"/>
    <w:rsid w:val="001036E7"/>
    <w:rsid w:val="00104B60"/>
    <w:rsid w:val="00105AA1"/>
    <w:rsid w:val="00105F1B"/>
    <w:rsid w:val="001077F8"/>
    <w:rsid w:val="00107A1F"/>
    <w:rsid w:val="00107AD9"/>
    <w:rsid w:val="00107C4F"/>
    <w:rsid w:val="001101C2"/>
    <w:rsid w:val="0011074E"/>
    <w:rsid w:val="00114792"/>
    <w:rsid w:val="00114B91"/>
    <w:rsid w:val="00114E9A"/>
    <w:rsid w:val="001151FA"/>
    <w:rsid w:val="00115CA2"/>
    <w:rsid w:val="00121A16"/>
    <w:rsid w:val="001226F4"/>
    <w:rsid w:val="001239DC"/>
    <w:rsid w:val="00123EE6"/>
    <w:rsid w:val="00125F3A"/>
    <w:rsid w:val="00126BC6"/>
    <w:rsid w:val="0012735D"/>
    <w:rsid w:val="001274F8"/>
    <w:rsid w:val="00127835"/>
    <w:rsid w:val="001336D1"/>
    <w:rsid w:val="00133A34"/>
    <w:rsid w:val="00133B23"/>
    <w:rsid w:val="001342C1"/>
    <w:rsid w:val="001345CE"/>
    <w:rsid w:val="00135358"/>
    <w:rsid w:val="00135506"/>
    <w:rsid w:val="00135801"/>
    <w:rsid w:val="00135B4F"/>
    <w:rsid w:val="00136284"/>
    <w:rsid w:val="00140D87"/>
    <w:rsid w:val="001410D4"/>
    <w:rsid w:val="00141724"/>
    <w:rsid w:val="001426E7"/>
    <w:rsid w:val="00142FC1"/>
    <w:rsid w:val="00147058"/>
    <w:rsid w:val="00147413"/>
    <w:rsid w:val="001477DA"/>
    <w:rsid w:val="00151737"/>
    <w:rsid w:val="001523A7"/>
    <w:rsid w:val="001565B5"/>
    <w:rsid w:val="00157369"/>
    <w:rsid w:val="001614F8"/>
    <w:rsid w:val="00161B96"/>
    <w:rsid w:val="00163E48"/>
    <w:rsid w:val="00164777"/>
    <w:rsid w:val="0016593F"/>
    <w:rsid w:val="0016598F"/>
    <w:rsid w:val="00165B45"/>
    <w:rsid w:val="001671E4"/>
    <w:rsid w:val="00167F53"/>
    <w:rsid w:val="001711CD"/>
    <w:rsid w:val="001714F8"/>
    <w:rsid w:val="0017181C"/>
    <w:rsid w:val="00172912"/>
    <w:rsid w:val="001757B2"/>
    <w:rsid w:val="00176F41"/>
    <w:rsid w:val="00177838"/>
    <w:rsid w:val="00180170"/>
    <w:rsid w:val="00180907"/>
    <w:rsid w:val="00183B92"/>
    <w:rsid w:val="00191A9A"/>
    <w:rsid w:val="0019274C"/>
    <w:rsid w:val="00192C61"/>
    <w:rsid w:val="00195029"/>
    <w:rsid w:val="00195C85"/>
    <w:rsid w:val="00196896"/>
    <w:rsid w:val="00196CE0"/>
    <w:rsid w:val="001A002B"/>
    <w:rsid w:val="001A0663"/>
    <w:rsid w:val="001A0F59"/>
    <w:rsid w:val="001A2D21"/>
    <w:rsid w:val="001A6457"/>
    <w:rsid w:val="001A70B0"/>
    <w:rsid w:val="001A768C"/>
    <w:rsid w:val="001A77FA"/>
    <w:rsid w:val="001A7CE3"/>
    <w:rsid w:val="001B271B"/>
    <w:rsid w:val="001B3084"/>
    <w:rsid w:val="001B373B"/>
    <w:rsid w:val="001B4042"/>
    <w:rsid w:val="001B4BFF"/>
    <w:rsid w:val="001B5EC5"/>
    <w:rsid w:val="001B7148"/>
    <w:rsid w:val="001B7AEE"/>
    <w:rsid w:val="001C14F8"/>
    <w:rsid w:val="001C2430"/>
    <w:rsid w:val="001C2F70"/>
    <w:rsid w:val="001C3212"/>
    <w:rsid w:val="001C35FE"/>
    <w:rsid w:val="001C601D"/>
    <w:rsid w:val="001D1282"/>
    <w:rsid w:val="001D1734"/>
    <w:rsid w:val="001D197A"/>
    <w:rsid w:val="001D3EAA"/>
    <w:rsid w:val="001D3EAF"/>
    <w:rsid w:val="001D3F57"/>
    <w:rsid w:val="001D440D"/>
    <w:rsid w:val="001D5B01"/>
    <w:rsid w:val="001D67E6"/>
    <w:rsid w:val="001D766E"/>
    <w:rsid w:val="001D77D6"/>
    <w:rsid w:val="001D7D67"/>
    <w:rsid w:val="001E00EA"/>
    <w:rsid w:val="001E0275"/>
    <w:rsid w:val="001E06EC"/>
    <w:rsid w:val="001E1238"/>
    <w:rsid w:val="001E2881"/>
    <w:rsid w:val="001E4571"/>
    <w:rsid w:val="001E4702"/>
    <w:rsid w:val="001E4AAC"/>
    <w:rsid w:val="001F2620"/>
    <w:rsid w:val="001F26DB"/>
    <w:rsid w:val="001F3161"/>
    <w:rsid w:val="001F5720"/>
    <w:rsid w:val="001F5E4B"/>
    <w:rsid w:val="001F666E"/>
    <w:rsid w:val="002009BA"/>
    <w:rsid w:val="002014C6"/>
    <w:rsid w:val="002019BD"/>
    <w:rsid w:val="00201BC2"/>
    <w:rsid w:val="00202988"/>
    <w:rsid w:val="00202C0B"/>
    <w:rsid w:val="00203A07"/>
    <w:rsid w:val="00204685"/>
    <w:rsid w:val="00204D1D"/>
    <w:rsid w:val="0020537F"/>
    <w:rsid w:val="00205D0F"/>
    <w:rsid w:val="002068A2"/>
    <w:rsid w:val="002100FF"/>
    <w:rsid w:val="002105F4"/>
    <w:rsid w:val="002107EF"/>
    <w:rsid w:val="002117BE"/>
    <w:rsid w:val="00214690"/>
    <w:rsid w:val="00220F3A"/>
    <w:rsid w:val="00222554"/>
    <w:rsid w:val="00222B8B"/>
    <w:rsid w:val="00222E84"/>
    <w:rsid w:val="002235E9"/>
    <w:rsid w:val="0022383B"/>
    <w:rsid w:val="0022397A"/>
    <w:rsid w:val="00224C30"/>
    <w:rsid w:val="002260D4"/>
    <w:rsid w:val="002266A3"/>
    <w:rsid w:val="00230B4A"/>
    <w:rsid w:val="0023164F"/>
    <w:rsid w:val="00231865"/>
    <w:rsid w:val="00231D84"/>
    <w:rsid w:val="00234C62"/>
    <w:rsid w:val="0023793F"/>
    <w:rsid w:val="002404A6"/>
    <w:rsid w:val="002428D1"/>
    <w:rsid w:val="00243102"/>
    <w:rsid w:val="00243161"/>
    <w:rsid w:val="00243C45"/>
    <w:rsid w:val="00244633"/>
    <w:rsid w:val="0024568A"/>
    <w:rsid w:val="002459A7"/>
    <w:rsid w:val="0024603D"/>
    <w:rsid w:val="00246655"/>
    <w:rsid w:val="0024665D"/>
    <w:rsid w:val="00247F8E"/>
    <w:rsid w:val="002500B7"/>
    <w:rsid w:val="00251FFE"/>
    <w:rsid w:val="002522A8"/>
    <w:rsid w:val="00252ADC"/>
    <w:rsid w:val="00252BB6"/>
    <w:rsid w:val="0025445B"/>
    <w:rsid w:val="0025583C"/>
    <w:rsid w:val="00261446"/>
    <w:rsid w:val="002616DD"/>
    <w:rsid w:val="00262776"/>
    <w:rsid w:val="00263C6B"/>
    <w:rsid w:val="00263EB5"/>
    <w:rsid w:val="0027013A"/>
    <w:rsid w:val="00270D7E"/>
    <w:rsid w:val="0027650E"/>
    <w:rsid w:val="0027687B"/>
    <w:rsid w:val="00280D35"/>
    <w:rsid w:val="00281F23"/>
    <w:rsid w:val="002843B5"/>
    <w:rsid w:val="0028448A"/>
    <w:rsid w:val="00285F30"/>
    <w:rsid w:val="00287BCB"/>
    <w:rsid w:val="00290277"/>
    <w:rsid w:val="00291003"/>
    <w:rsid w:val="00291066"/>
    <w:rsid w:val="00294015"/>
    <w:rsid w:val="00296649"/>
    <w:rsid w:val="002979AD"/>
    <w:rsid w:val="002A00D7"/>
    <w:rsid w:val="002A00FF"/>
    <w:rsid w:val="002A075B"/>
    <w:rsid w:val="002A0C49"/>
    <w:rsid w:val="002A1A13"/>
    <w:rsid w:val="002A1F25"/>
    <w:rsid w:val="002A2D98"/>
    <w:rsid w:val="002A3168"/>
    <w:rsid w:val="002A33FB"/>
    <w:rsid w:val="002A3BBA"/>
    <w:rsid w:val="002A415F"/>
    <w:rsid w:val="002A4F9D"/>
    <w:rsid w:val="002A7011"/>
    <w:rsid w:val="002A7604"/>
    <w:rsid w:val="002A7A1F"/>
    <w:rsid w:val="002B0B34"/>
    <w:rsid w:val="002B0D4F"/>
    <w:rsid w:val="002B3A3E"/>
    <w:rsid w:val="002B3BE5"/>
    <w:rsid w:val="002B45D0"/>
    <w:rsid w:val="002B4CF7"/>
    <w:rsid w:val="002B666F"/>
    <w:rsid w:val="002B66F1"/>
    <w:rsid w:val="002B74C4"/>
    <w:rsid w:val="002C0718"/>
    <w:rsid w:val="002C0CAD"/>
    <w:rsid w:val="002C14C3"/>
    <w:rsid w:val="002C4567"/>
    <w:rsid w:val="002C598B"/>
    <w:rsid w:val="002C6212"/>
    <w:rsid w:val="002C6434"/>
    <w:rsid w:val="002C7F53"/>
    <w:rsid w:val="002D026F"/>
    <w:rsid w:val="002D0869"/>
    <w:rsid w:val="002D1BB4"/>
    <w:rsid w:val="002D29F6"/>
    <w:rsid w:val="002D2E53"/>
    <w:rsid w:val="002D52E0"/>
    <w:rsid w:val="002D72FC"/>
    <w:rsid w:val="002D79BB"/>
    <w:rsid w:val="002D7F6C"/>
    <w:rsid w:val="002E07A9"/>
    <w:rsid w:val="002E20A4"/>
    <w:rsid w:val="002E2AB0"/>
    <w:rsid w:val="002E2BDD"/>
    <w:rsid w:val="002E382D"/>
    <w:rsid w:val="002E3C5F"/>
    <w:rsid w:val="002E3CB0"/>
    <w:rsid w:val="002E3D32"/>
    <w:rsid w:val="002E4C00"/>
    <w:rsid w:val="002E5231"/>
    <w:rsid w:val="002E729C"/>
    <w:rsid w:val="002F0098"/>
    <w:rsid w:val="002F0DBF"/>
    <w:rsid w:val="002F1120"/>
    <w:rsid w:val="002F25A9"/>
    <w:rsid w:val="002F2D80"/>
    <w:rsid w:val="002F370E"/>
    <w:rsid w:val="002F3EBF"/>
    <w:rsid w:val="002F63A8"/>
    <w:rsid w:val="002F640A"/>
    <w:rsid w:val="002F70F8"/>
    <w:rsid w:val="003003DD"/>
    <w:rsid w:val="00300C3B"/>
    <w:rsid w:val="00301190"/>
    <w:rsid w:val="0030124C"/>
    <w:rsid w:val="003036EC"/>
    <w:rsid w:val="0030503C"/>
    <w:rsid w:val="0030663A"/>
    <w:rsid w:val="00306FD0"/>
    <w:rsid w:val="003105F5"/>
    <w:rsid w:val="003109A8"/>
    <w:rsid w:val="00312B4D"/>
    <w:rsid w:val="00312B55"/>
    <w:rsid w:val="003141F0"/>
    <w:rsid w:val="00314C66"/>
    <w:rsid w:val="00315BB0"/>
    <w:rsid w:val="00315CB0"/>
    <w:rsid w:val="00317DDD"/>
    <w:rsid w:val="00320034"/>
    <w:rsid w:val="00320CBB"/>
    <w:rsid w:val="00320F48"/>
    <w:rsid w:val="00323035"/>
    <w:rsid w:val="003236F0"/>
    <w:rsid w:val="003244EC"/>
    <w:rsid w:val="00325D2E"/>
    <w:rsid w:val="00327855"/>
    <w:rsid w:val="003302C6"/>
    <w:rsid w:val="003308BC"/>
    <w:rsid w:val="0033098A"/>
    <w:rsid w:val="0033319D"/>
    <w:rsid w:val="00333964"/>
    <w:rsid w:val="00333C66"/>
    <w:rsid w:val="00335067"/>
    <w:rsid w:val="003355D1"/>
    <w:rsid w:val="00335A1C"/>
    <w:rsid w:val="00335B10"/>
    <w:rsid w:val="00337BEF"/>
    <w:rsid w:val="00341252"/>
    <w:rsid w:val="003417BE"/>
    <w:rsid w:val="00341DAC"/>
    <w:rsid w:val="00341F4D"/>
    <w:rsid w:val="00342209"/>
    <w:rsid w:val="003427B7"/>
    <w:rsid w:val="00342CEA"/>
    <w:rsid w:val="00342FD0"/>
    <w:rsid w:val="003439CB"/>
    <w:rsid w:val="00343B65"/>
    <w:rsid w:val="0034402E"/>
    <w:rsid w:val="00344EF8"/>
    <w:rsid w:val="00345033"/>
    <w:rsid w:val="00346CAA"/>
    <w:rsid w:val="003472E0"/>
    <w:rsid w:val="0035051D"/>
    <w:rsid w:val="00351666"/>
    <w:rsid w:val="003520E4"/>
    <w:rsid w:val="00352BBA"/>
    <w:rsid w:val="0035312E"/>
    <w:rsid w:val="003534A7"/>
    <w:rsid w:val="0035444D"/>
    <w:rsid w:val="00356C37"/>
    <w:rsid w:val="00357A32"/>
    <w:rsid w:val="0036079D"/>
    <w:rsid w:val="00360EE3"/>
    <w:rsid w:val="00361188"/>
    <w:rsid w:val="00361836"/>
    <w:rsid w:val="00361AE2"/>
    <w:rsid w:val="00361BD3"/>
    <w:rsid w:val="00362341"/>
    <w:rsid w:val="00363808"/>
    <w:rsid w:val="00363AB4"/>
    <w:rsid w:val="00363DA7"/>
    <w:rsid w:val="00364D27"/>
    <w:rsid w:val="00366309"/>
    <w:rsid w:val="0036638C"/>
    <w:rsid w:val="003677FF"/>
    <w:rsid w:val="003704D9"/>
    <w:rsid w:val="003739D3"/>
    <w:rsid w:val="0037535B"/>
    <w:rsid w:val="003756F0"/>
    <w:rsid w:val="003769B6"/>
    <w:rsid w:val="003821DC"/>
    <w:rsid w:val="00382CDB"/>
    <w:rsid w:val="00382E01"/>
    <w:rsid w:val="00383455"/>
    <w:rsid w:val="0038492A"/>
    <w:rsid w:val="0038590D"/>
    <w:rsid w:val="00387759"/>
    <w:rsid w:val="003923CD"/>
    <w:rsid w:val="00393BF3"/>
    <w:rsid w:val="00393D7F"/>
    <w:rsid w:val="00394923"/>
    <w:rsid w:val="00395BC4"/>
    <w:rsid w:val="003A2DB9"/>
    <w:rsid w:val="003A3E16"/>
    <w:rsid w:val="003A4315"/>
    <w:rsid w:val="003A4902"/>
    <w:rsid w:val="003A4C0A"/>
    <w:rsid w:val="003A51B7"/>
    <w:rsid w:val="003A563F"/>
    <w:rsid w:val="003A75DC"/>
    <w:rsid w:val="003B3283"/>
    <w:rsid w:val="003B3468"/>
    <w:rsid w:val="003B3F7D"/>
    <w:rsid w:val="003B5E44"/>
    <w:rsid w:val="003B61C0"/>
    <w:rsid w:val="003C0585"/>
    <w:rsid w:val="003C0728"/>
    <w:rsid w:val="003C5DA6"/>
    <w:rsid w:val="003C625F"/>
    <w:rsid w:val="003C7839"/>
    <w:rsid w:val="003D00C5"/>
    <w:rsid w:val="003D05FD"/>
    <w:rsid w:val="003D20CA"/>
    <w:rsid w:val="003D35AE"/>
    <w:rsid w:val="003D557E"/>
    <w:rsid w:val="003D78F6"/>
    <w:rsid w:val="003D7D1C"/>
    <w:rsid w:val="003E0931"/>
    <w:rsid w:val="003E0B25"/>
    <w:rsid w:val="003E0E13"/>
    <w:rsid w:val="003E2FA5"/>
    <w:rsid w:val="003E3E00"/>
    <w:rsid w:val="003E6635"/>
    <w:rsid w:val="003E70FD"/>
    <w:rsid w:val="003F0C8E"/>
    <w:rsid w:val="003F2820"/>
    <w:rsid w:val="003F30FE"/>
    <w:rsid w:val="003F4DF5"/>
    <w:rsid w:val="003F5C3B"/>
    <w:rsid w:val="003F6A37"/>
    <w:rsid w:val="003F6E60"/>
    <w:rsid w:val="003F6E6B"/>
    <w:rsid w:val="003F74A4"/>
    <w:rsid w:val="00400D29"/>
    <w:rsid w:val="00401D2A"/>
    <w:rsid w:val="00403946"/>
    <w:rsid w:val="0040461D"/>
    <w:rsid w:val="00406906"/>
    <w:rsid w:val="004079FF"/>
    <w:rsid w:val="00410175"/>
    <w:rsid w:val="004101B1"/>
    <w:rsid w:val="00410D31"/>
    <w:rsid w:val="00411E38"/>
    <w:rsid w:val="004125D8"/>
    <w:rsid w:val="00412EC2"/>
    <w:rsid w:val="00413B9F"/>
    <w:rsid w:val="00414CB6"/>
    <w:rsid w:val="004163AD"/>
    <w:rsid w:val="00417027"/>
    <w:rsid w:val="004216C1"/>
    <w:rsid w:val="004217F0"/>
    <w:rsid w:val="00424169"/>
    <w:rsid w:val="0042571E"/>
    <w:rsid w:val="00426192"/>
    <w:rsid w:val="00426726"/>
    <w:rsid w:val="00426A49"/>
    <w:rsid w:val="0043348D"/>
    <w:rsid w:val="00433A83"/>
    <w:rsid w:val="00434D26"/>
    <w:rsid w:val="004350AD"/>
    <w:rsid w:val="00436848"/>
    <w:rsid w:val="00436AAB"/>
    <w:rsid w:val="0044000E"/>
    <w:rsid w:val="00440867"/>
    <w:rsid w:val="00440987"/>
    <w:rsid w:val="00442D42"/>
    <w:rsid w:val="00443F7E"/>
    <w:rsid w:val="0044518F"/>
    <w:rsid w:val="00445B7A"/>
    <w:rsid w:val="00445C80"/>
    <w:rsid w:val="00447B75"/>
    <w:rsid w:val="00450D40"/>
    <w:rsid w:val="00450EFB"/>
    <w:rsid w:val="00451816"/>
    <w:rsid w:val="004537B3"/>
    <w:rsid w:val="00456713"/>
    <w:rsid w:val="004617BD"/>
    <w:rsid w:val="0046329D"/>
    <w:rsid w:val="0046374E"/>
    <w:rsid w:val="00465168"/>
    <w:rsid w:val="00466966"/>
    <w:rsid w:val="00467C35"/>
    <w:rsid w:val="00471306"/>
    <w:rsid w:val="004715CA"/>
    <w:rsid w:val="00471EB1"/>
    <w:rsid w:val="00472CF9"/>
    <w:rsid w:val="00474136"/>
    <w:rsid w:val="00475AF2"/>
    <w:rsid w:val="00475E33"/>
    <w:rsid w:val="00477FEC"/>
    <w:rsid w:val="00480126"/>
    <w:rsid w:val="00480371"/>
    <w:rsid w:val="004831D9"/>
    <w:rsid w:val="004842B0"/>
    <w:rsid w:val="00484319"/>
    <w:rsid w:val="0048496D"/>
    <w:rsid w:val="00484DBB"/>
    <w:rsid w:val="00487CF7"/>
    <w:rsid w:val="00491601"/>
    <w:rsid w:val="00491718"/>
    <w:rsid w:val="00494FCA"/>
    <w:rsid w:val="0049709D"/>
    <w:rsid w:val="00497755"/>
    <w:rsid w:val="004978CA"/>
    <w:rsid w:val="004A35D1"/>
    <w:rsid w:val="004A597E"/>
    <w:rsid w:val="004B0D8F"/>
    <w:rsid w:val="004B1A11"/>
    <w:rsid w:val="004B2CEB"/>
    <w:rsid w:val="004B39A4"/>
    <w:rsid w:val="004B3C5E"/>
    <w:rsid w:val="004B54A3"/>
    <w:rsid w:val="004B6214"/>
    <w:rsid w:val="004B6842"/>
    <w:rsid w:val="004B6AE1"/>
    <w:rsid w:val="004B726F"/>
    <w:rsid w:val="004C0DD4"/>
    <w:rsid w:val="004C1A76"/>
    <w:rsid w:val="004C2AC0"/>
    <w:rsid w:val="004C6253"/>
    <w:rsid w:val="004D012C"/>
    <w:rsid w:val="004D1003"/>
    <w:rsid w:val="004D1A55"/>
    <w:rsid w:val="004D319D"/>
    <w:rsid w:val="004D3EB3"/>
    <w:rsid w:val="004D45EC"/>
    <w:rsid w:val="004D5AB8"/>
    <w:rsid w:val="004D5AF6"/>
    <w:rsid w:val="004D63DA"/>
    <w:rsid w:val="004D65CC"/>
    <w:rsid w:val="004D747F"/>
    <w:rsid w:val="004E0217"/>
    <w:rsid w:val="004E0221"/>
    <w:rsid w:val="004E06DF"/>
    <w:rsid w:val="004E0B45"/>
    <w:rsid w:val="004E2A2D"/>
    <w:rsid w:val="004E4538"/>
    <w:rsid w:val="004E4613"/>
    <w:rsid w:val="004E5F58"/>
    <w:rsid w:val="004E6026"/>
    <w:rsid w:val="004E7048"/>
    <w:rsid w:val="004F1158"/>
    <w:rsid w:val="004F116D"/>
    <w:rsid w:val="004F36AC"/>
    <w:rsid w:val="00500966"/>
    <w:rsid w:val="00501B06"/>
    <w:rsid w:val="00502DBD"/>
    <w:rsid w:val="00503876"/>
    <w:rsid w:val="00503BBF"/>
    <w:rsid w:val="00506680"/>
    <w:rsid w:val="005078BB"/>
    <w:rsid w:val="005078EC"/>
    <w:rsid w:val="00511F22"/>
    <w:rsid w:val="00513D65"/>
    <w:rsid w:val="00515700"/>
    <w:rsid w:val="0051646D"/>
    <w:rsid w:val="00517E6D"/>
    <w:rsid w:val="00520093"/>
    <w:rsid w:val="0052182C"/>
    <w:rsid w:val="00521DB0"/>
    <w:rsid w:val="00521E68"/>
    <w:rsid w:val="00525C47"/>
    <w:rsid w:val="00530211"/>
    <w:rsid w:val="00531A51"/>
    <w:rsid w:val="00537029"/>
    <w:rsid w:val="005400DA"/>
    <w:rsid w:val="00540A34"/>
    <w:rsid w:val="00541B95"/>
    <w:rsid w:val="00542850"/>
    <w:rsid w:val="0054387B"/>
    <w:rsid w:val="00545E95"/>
    <w:rsid w:val="005461D5"/>
    <w:rsid w:val="005505F9"/>
    <w:rsid w:val="00550789"/>
    <w:rsid w:val="005510BE"/>
    <w:rsid w:val="00552392"/>
    <w:rsid w:val="00554F01"/>
    <w:rsid w:val="005552F8"/>
    <w:rsid w:val="0055625D"/>
    <w:rsid w:val="0056047A"/>
    <w:rsid w:val="00560843"/>
    <w:rsid w:val="00561154"/>
    <w:rsid w:val="00561C3F"/>
    <w:rsid w:val="00562BF1"/>
    <w:rsid w:val="00563D1D"/>
    <w:rsid w:val="00564AC4"/>
    <w:rsid w:val="005675CA"/>
    <w:rsid w:val="0057038E"/>
    <w:rsid w:val="00570A42"/>
    <w:rsid w:val="0057131C"/>
    <w:rsid w:val="005713FF"/>
    <w:rsid w:val="005717CB"/>
    <w:rsid w:val="005728DF"/>
    <w:rsid w:val="00572A3D"/>
    <w:rsid w:val="00573ED1"/>
    <w:rsid w:val="00574966"/>
    <w:rsid w:val="005827B8"/>
    <w:rsid w:val="0058415A"/>
    <w:rsid w:val="00584B8A"/>
    <w:rsid w:val="005874B8"/>
    <w:rsid w:val="005877BB"/>
    <w:rsid w:val="0058784C"/>
    <w:rsid w:val="0059029E"/>
    <w:rsid w:val="00590609"/>
    <w:rsid w:val="00590BEF"/>
    <w:rsid w:val="00593039"/>
    <w:rsid w:val="005946AB"/>
    <w:rsid w:val="00594885"/>
    <w:rsid w:val="00596410"/>
    <w:rsid w:val="00596DCC"/>
    <w:rsid w:val="00597381"/>
    <w:rsid w:val="00597F52"/>
    <w:rsid w:val="005A11BC"/>
    <w:rsid w:val="005A2157"/>
    <w:rsid w:val="005A2CC2"/>
    <w:rsid w:val="005A324D"/>
    <w:rsid w:val="005A42CC"/>
    <w:rsid w:val="005A5487"/>
    <w:rsid w:val="005A73C3"/>
    <w:rsid w:val="005B001E"/>
    <w:rsid w:val="005B0DB9"/>
    <w:rsid w:val="005B47CF"/>
    <w:rsid w:val="005B4E83"/>
    <w:rsid w:val="005B52C0"/>
    <w:rsid w:val="005B5672"/>
    <w:rsid w:val="005C5051"/>
    <w:rsid w:val="005C516D"/>
    <w:rsid w:val="005C53ED"/>
    <w:rsid w:val="005C728B"/>
    <w:rsid w:val="005D09AD"/>
    <w:rsid w:val="005D3540"/>
    <w:rsid w:val="005D3F4A"/>
    <w:rsid w:val="005D4756"/>
    <w:rsid w:val="005D4A2D"/>
    <w:rsid w:val="005E03F9"/>
    <w:rsid w:val="005E0A87"/>
    <w:rsid w:val="005E0D07"/>
    <w:rsid w:val="005E2DE9"/>
    <w:rsid w:val="005E2FAB"/>
    <w:rsid w:val="005E366E"/>
    <w:rsid w:val="005E4453"/>
    <w:rsid w:val="005E50ED"/>
    <w:rsid w:val="005E6E13"/>
    <w:rsid w:val="005E78DD"/>
    <w:rsid w:val="005F1649"/>
    <w:rsid w:val="005F1E13"/>
    <w:rsid w:val="005F1E60"/>
    <w:rsid w:val="005F24C4"/>
    <w:rsid w:val="005F3453"/>
    <w:rsid w:val="005F52DA"/>
    <w:rsid w:val="005F5DEE"/>
    <w:rsid w:val="005F6763"/>
    <w:rsid w:val="00600536"/>
    <w:rsid w:val="00600BF9"/>
    <w:rsid w:val="006014E6"/>
    <w:rsid w:val="006023DE"/>
    <w:rsid w:val="00603415"/>
    <w:rsid w:val="00603C01"/>
    <w:rsid w:val="00604065"/>
    <w:rsid w:val="0060411D"/>
    <w:rsid w:val="00606A7D"/>
    <w:rsid w:val="00607574"/>
    <w:rsid w:val="00610BB9"/>
    <w:rsid w:val="00610F14"/>
    <w:rsid w:val="006114A2"/>
    <w:rsid w:val="006127E5"/>
    <w:rsid w:val="00613424"/>
    <w:rsid w:val="00613474"/>
    <w:rsid w:val="006146AC"/>
    <w:rsid w:val="00614727"/>
    <w:rsid w:val="006172E1"/>
    <w:rsid w:val="00617A65"/>
    <w:rsid w:val="00620864"/>
    <w:rsid w:val="00623850"/>
    <w:rsid w:val="00623C9C"/>
    <w:rsid w:val="00624FDF"/>
    <w:rsid w:val="006250CE"/>
    <w:rsid w:val="0062566D"/>
    <w:rsid w:val="00625B57"/>
    <w:rsid w:val="00626292"/>
    <w:rsid w:val="006279D2"/>
    <w:rsid w:val="0063096D"/>
    <w:rsid w:val="00631CC4"/>
    <w:rsid w:val="006321F9"/>
    <w:rsid w:val="00634A36"/>
    <w:rsid w:val="00635C08"/>
    <w:rsid w:val="00640159"/>
    <w:rsid w:val="00640C99"/>
    <w:rsid w:val="00640E30"/>
    <w:rsid w:val="006439C8"/>
    <w:rsid w:val="00643A02"/>
    <w:rsid w:val="006443D2"/>
    <w:rsid w:val="006444F8"/>
    <w:rsid w:val="00644E03"/>
    <w:rsid w:val="0064524F"/>
    <w:rsid w:val="0064525B"/>
    <w:rsid w:val="0064569B"/>
    <w:rsid w:val="006457E6"/>
    <w:rsid w:val="006464F9"/>
    <w:rsid w:val="00646CF0"/>
    <w:rsid w:val="00650104"/>
    <w:rsid w:val="00651F49"/>
    <w:rsid w:val="006544A3"/>
    <w:rsid w:val="006550EF"/>
    <w:rsid w:val="00656F71"/>
    <w:rsid w:val="00656FEE"/>
    <w:rsid w:val="00660217"/>
    <w:rsid w:val="0066094C"/>
    <w:rsid w:val="00663D41"/>
    <w:rsid w:val="00663F04"/>
    <w:rsid w:val="006645D1"/>
    <w:rsid w:val="006649DC"/>
    <w:rsid w:val="0066592F"/>
    <w:rsid w:val="006668A1"/>
    <w:rsid w:val="006712A0"/>
    <w:rsid w:val="00673D5C"/>
    <w:rsid w:val="00674490"/>
    <w:rsid w:val="0067553E"/>
    <w:rsid w:val="006763AA"/>
    <w:rsid w:val="00677497"/>
    <w:rsid w:val="006777BA"/>
    <w:rsid w:val="0067786F"/>
    <w:rsid w:val="00681485"/>
    <w:rsid w:val="006817AC"/>
    <w:rsid w:val="0068326C"/>
    <w:rsid w:val="00683618"/>
    <w:rsid w:val="00687B5B"/>
    <w:rsid w:val="00690FE7"/>
    <w:rsid w:val="0069314E"/>
    <w:rsid w:val="00694D36"/>
    <w:rsid w:val="006A1BB9"/>
    <w:rsid w:val="006A1C39"/>
    <w:rsid w:val="006A2978"/>
    <w:rsid w:val="006A2C8D"/>
    <w:rsid w:val="006A2FE1"/>
    <w:rsid w:val="006A3339"/>
    <w:rsid w:val="006A53AC"/>
    <w:rsid w:val="006A5688"/>
    <w:rsid w:val="006A57FE"/>
    <w:rsid w:val="006A5F08"/>
    <w:rsid w:val="006A69E1"/>
    <w:rsid w:val="006A7914"/>
    <w:rsid w:val="006B09D5"/>
    <w:rsid w:val="006B0C79"/>
    <w:rsid w:val="006B16C8"/>
    <w:rsid w:val="006B1DFA"/>
    <w:rsid w:val="006B229F"/>
    <w:rsid w:val="006B2616"/>
    <w:rsid w:val="006B284C"/>
    <w:rsid w:val="006B2DC3"/>
    <w:rsid w:val="006B77BE"/>
    <w:rsid w:val="006C2443"/>
    <w:rsid w:val="006C306F"/>
    <w:rsid w:val="006C41B3"/>
    <w:rsid w:val="006C5553"/>
    <w:rsid w:val="006C5942"/>
    <w:rsid w:val="006C6FE8"/>
    <w:rsid w:val="006C7974"/>
    <w:rsid w:val="006C79CA"/>
    <w:rsid w:val="006D0398"/>
    <w:rsid w:val="006D141A"/>
    <w:rsid w:val="006D34B1"/>
    <w:rsid w:val="006D4222"/>
    <w:rsid w:val="006D4AE1"/>
    <w:rsid w:val="006D55A1"/>
    <w:rsid w:val="006E044C"/>
    <w:rsid w:val="006E26AF"/>
    <w:rsid w:val="006E748D"/>
    <w:rsid w:val="006F108D"/>
    <w:rsid w:val="006F4D75"/>
    <w:rsid w:val="006F4D78"/>
    <w:rsid w:val="006F4FF6"/>
    <w:rsid w:val="006F5776"/>
    <w:rsid w:val="006F6226"/>
    <w:rsid w:val="006F63CA"/>
    <w:rsid w:val="006F7821"/>
    <w:rsid w:val="006F7F6B"/>
    <w:rsid w:val="007018F7"/>
    <w:rsid w:val="00701FF5"/>
    <w:rsid w:val="007039A7"/>
    <w:rsid w:val="00703B4B"/>
    <w:rsid w:val="007040AA"/>
    <w:rsid w:val="00704940"/>
    <w:rsid w:val="00705778"/>
    <w:rsid w:val="0070584C"/>
    <w:rsid w:val="0071048C"/>
    <w:rsid w:val="0071096D"/>
    <w:rsid w:val="007112E2"/>
    <w:rsid w:val="00711A1F"/>
    <w:rsid w:val="00711F54"/>
    <w:rsid w:val="00712201"/>
    <w:rsid w:val="00714C78"/>
    <w:rsid w:val="00714D04"/>
    <w:rsid w:val="00717B82"/>
    <w:rsid w:val="00717F3A"/>
    <w:rsid w:val="007201FC"/>
    <w:rsid w:val="007209F5"/>
    <w:rsid w:val="00720F9C"/>
    <w:rsid w:val="00721258"/>
    <w:rsid w:val="00721BB2"/>
    <w:rsid w:val="007236AB"/>
    <w:rsid w:val="007242C8"/>
    <w:rsid w:val="00724E85"/>
    <w:rsid w:val="00726A26"/>
    <w:rsid w:val="0072784B"/>
    <w:rsid w:val="00732D3F"/>
    <w:rsid w:val="0073345E"/>
    <w:rsid w:val="00733704"/>
    <w:rsid w:val="00734223"/>
    <w:rsid w:val="0073426E"/>
    <w:rsid w:val="00734BDD"/>
    <w:rsid w:val="00734E39"/>
    <w:rsid w:val="00737B8D"/>
    <w:rsid w:val="0074231A"/>
    <w:rsid w:val="00742A32"/>
    <w:rsid w:val="00744427"/>
    <w:rsid w:val="00745FAB"/>
    <w:rsid w:val="007462A8"/>
    <w:rsid w:val="0074659C"/>
    <w:rsid w:val="007465B0"/>
    <w:rsid w:val="007465CA"/>
    <w:rsid w:val="00751C5D"/>
    <w:rsid w:val="00751E92"/>
    <w:rsid w:val="007530A1"/>
    <w:rsid w:val="007532C1"/>
    <w:rsid w:val="00755C60"/>
    <w:rsid w:val="00756654"/>
    <w:rsid w:val="00756CF2"/>
    <w:rsid w:val="00757465"/>
    <w:rsid w:val="007622F6"/>
    <w:rsid w:val="00762F5B"/>
    <w:rsid w:val="00767466"/>
    <w:rsid w:val="00770DBE"/>
    <w:rsid w:val="00775070"/>
    <w:rsid w:val="007750F7"/>
    <w:rsid w:val="0077512F"/>
    <w:rsid w:val="007755F5"/>
    <w:rsid w:val="007763AB"/>
    <w:rsid w:val="00776E0B"/>
    <w:rsid w:val="00780741"/>
    <w:rsid w:val="007808B2"/>
    <w:rsid w:val="00782B9F"/>
    <w:rsid w:val="00784433"/>
    <w:rsid w:val="007846BA"/>
    <w:rsid w:val="0078596B"/>
    <w:rsid w:val="00786B35"/>
    <w:rsid w:val="007876D2"/>
    <w:rsid w:val="00790782"/>
    <w:rsid w:val="00791A52"/>
    <w:rsid w:val="00791CAA"/>
    <w:rsid w:val="00791EFE"/>
    <w:rsid w:val="00792D88"/>
    <w:rsid w:val="0079321F"/>
    <w:rsid w:val="00793961"/>
    <w:rsid w:val="0079650B"/>
    <w:rsid w:val="00796B51"/>
    <w:rsid w:val="007A0F7E"/>
    <w:rsid w:val="007A254E"/>
    <w:rsid w:val="007A36D7"/>
    <w:rsid w:val="007A4C71"/>
    <w:rsid w:val="007A5768"/>
    <w:rsid w:val="007A6179"/>
    <w:rsid w:val="007A6A2E"/>
    <w:rsid w:val="007A7C37"/>
    <w:rsid w:val="007B0D72"/>
    <w:rsid w:val="007B32B9"/>
    <w:rsid w:val="007B3EC9"/>
    <w:rsid w:val="007B6E4D"/>
    <w:rsid w:val="007C0FE6"/>
    <w:rsid w:val="007C1557"/>
    <w:rsid w:val="007C21E1"/>
    <w:rsid w:val="007C2D0C"/>
    <w:rsid w:val="007C3048"/>
    <w:rsid w:val="007C32D3"/>
    <w:rsid w:val="007C34A8"/>
    <w:rsid w:val="007C376A"/>
    <w:rsid w:val="007C4252"/>
    <w:rsid w:val="007C6D5E"/>
    <w:rsid w:val="007C6E7A"/>
    <w:rsid w:val="007C7703"/>
    <w:rsid w:val="007D126E"/>
    <w:rsid w:val="007D1A48"/>
    <w:rsid w:val="007D2823"/>
    <w:rsid w:val="007D42E4"/>
    <w:rsid w:val="007D45F2"/>
    <w:rsid w:val="007D5E88"/>
    <w:rsid w:val="007D65B1"/>
    <w:rsid w:val="007D6DBD"/>
    <w:rsid w:val="007E0B7A"/>
    <w:rsid w:val="007E201C"/>
    <w:rsid w:val="007E3F03"/>
    <w:rsid w:val="007E3F30"/>
    <w:rsid w:val="007E43FF"/>
    <w:rsid w:val="007E4B3A"/>
    <w:rsid w:val="007E6EC7"/>
    <w:rsid w:val="007F1760"/>
    <w:rsid w:val="007F215A"/>
    <w:rsid w:val="007F3685"/>
    <w:rsid w:val="007F4EF5"/>
    <w:rsid w:val="007F618C"/>
    <w:rsid w:val="007F7A6B"/>
    <w:rsid w:val="007F7D58"/>
    <w:rsid w:val="0080075F"/>
    <w:rsid w:val="00801C2B"/>
    <w:rsid w:val="00802C81"/>
    <w:rsid w:val="008036A7"/>
    <w:rsid w:val="008038C1"/>
    <w:rsid w:val="00803DB8"/>
    <w:rsid w:val="00806A3C"/>
    <w:rsid w:val="00806FCF"/>
    <w:rsid w:val="00807C99"/>
    <w:rsid w:val="008101DA"/>
    <w:rsid w:val="008105CC"/>
    <w:rsid w:val="00812DC5"/>
    <w:rsid w:val="00813709"/>
    <w:rsid w:val="00813BA9"/>
    <w:rsid w:val="00813DF5"/>
    <w:rsid w:val="008146D1"/>
    <w:rsid w:val="008150F2"/>
    <w:rsid w:val="00815301"/>
    <w:rsid w:val="008162DB"/>
    <w:rsid w:val="008164CC"/>
    <w:rsid w:val="00820ECB"/>
    <w:rsid w:val="00821603"/>
    <w:rsid w:val="00821652"/>
    <w:rsid w:val="00821726"/>
    <w:rsid w:val="00822720"/>
    <w:rsid w:val="00824717"/>
    <w:rsid w:val="00824789"/>
    <w:rsid w:val="008255E0"/>
    <w:rsid w:val="008267F6"/>
    <w:rsid w:val="00826AE1"/>
    <w:rsid w:val="00826DD3"/>
    <w:rsid w:val="00827104"/>
    <w:rsid w:val="00827D15"/>
    <w:rsid w:val="00830C6D"/>
    <w:rsid w:val="0083138A"/>
    <w:rsid w:val="00832A5B"/>
    <w:rsid w:val="008335CD"/>
    <w:rsid w:val="00834140"/>
    <w:rsid w:val="0083425D"/>
    <w:rsid w:val="00834B23"/>
    <w:rsid w:val="00836140"/>
    <w:rsid w:val="00836F99"/>
    <w:rsid w:val="00837179"/>
    <w:rsid w:val="00841AA5"/>
    <w:rsid w:val="0084405C"/>
    <w:rsid w:val="008441D2"/>
    <w:rsid w:val="00844C00"/>
    <w:rsid w:val="00845776"/>
    <w:rsid w:val="00846007"/>
    <w:rsid w:val="0084651D"/>
    <w:rsid w:val="00846859"/>
    <w:rsid w:val="00846B22"/>
    <w:rsid w:val="00846BE8"/>
    <w:rsid w:val="00847A34"/>
    <w:rsid w:val="00850490"/>
    <w:rsid w:val="00853710"/>
    <w:rsid w:val="008538BC"/>
    <w:rsid w:val="00855D52"/>
    <w:rsid w:val="008616E3"/>
    <w:rsid w:val="00862F9D"/>
    <w:rsid w:val="00864C12"/>
    <w:rsid w:val="008668AD"/>
    <w:rsid w:val="0086701E"/>
    <w:rsid w:val="008677CD"/>
    <w:rsid w:val="00870265"/>
    <w:rsid w:val="008704FC"/>
    <w:rsid w:val="00872E91"/>
    <w:rsid w:val="0087430B"/>
    <w:rsid w:val="00875440"/>
    <w:rsid w:val="00876B26"/>
    <w:rsid w:val="00880825"/>
    <w:rsid w:val="008835F3"/>
    <w:rsid w:val="00893CA4"/>
    <w:rsid w:val="00895EA5"/>
    <w:rsid w:val="008A25AC"/>
    <w:rsid w:val="008A350D"/>
    <w:rsid w:val="008A35EE"/>
    <w:rsid w:val="008A3B83"/>
    <w:rsid w:val="008A66EE"/>
    <w:rsid w:val="008A6E02"/>
    <w:rsid w:val="008B1BCD"/>
    <w:rsid w:val="008B1C06"/>
    <w:rsid w:val="008B2324"/>
    <w:rsid w:val="008B25A6"/>
    <w:rsid w:val="008B281B"/>
    <w:rsid w:val="008B38CF"/>
    <w:rsid w:val="008B57E7"/>
    <w:rsid w:val="008B7B89"/>
    <w:rsid w:val="008C20E4"/>
    <w:rsid w:val="008C3BBD"/>
    <w:rsid w:val="008C489A"/>
    <w:rsid w:val="008C545D"/>
    <w:rsid w:val="008C5AA4"/>
    <w:rsid w:val="008C6AAD"/>
    <w:rsid w:val="008D0DAC"/>
    <w:rsid w:val="008D13B8"/>
    <w:rsid w:val="008D234D"/>
    <w:rsid w:val="008D2B38"/>
    <w:rsid w:val="008D31F5"/>
    <w:rsid w:val="008D443C"/>
    <w:rsid w:val="008D5487"/>
    <w:rsid w:val="008D6D32"/>
    <w:rsid w:val="008D6E68"/>
    <w:rsid w:val="008D772B"/>
    <w:rsid w:val="008D7B3F"/>
    <w:rsid w:val="008E1AD8"/>
    <w:rsid w:val="008E3118"/>
    <w:rsid w:val="008E516B"/>
    <w:rsid w:val="008E54AE"/>
    <w:rsid w:val="008E6BDD"/>
    <w:rsid w:val="008E6BFD"/>
    <w:rsid w:val="008E6CDD"/>
    <w:rsid w:val="008F151B"/>
    <w:rsid w:val="008F19B4"/>
    <w:rsid w:val="008F44A6"/>
    <w:rsid w:val="008F4585"/>
    <w:rsid w:val="008F5571"/>
    <w:rsid w:val="008F676C"/>
    <w:rsid w:val="00900050"/>
    <w:rsid w:val="0090068A"/>
    <w:rsid w:val="00901679"/>
    <w:rsid w:val="00903E99"/>
    <w:rsid w:val="00904978"/>
    <w:rsid w:val="00904C18"/>
    <w:rsid w:val="00911BD5"/>
    <w:rsid w:val="00911D0C"/>
    <w:rsid w:val="009137DE"/>
    <w:rsid w:val="009137FF"/>
    <w:rsid w:val="0091389C"/>
    <w:rsid w:val="00914F0C"/>
    <w:rsid w:val="00916C46"/>
    <w:rsid w:val="009178E2"/>
    <w:rsid w:val="0092013F"/>
    <w:rsid w:val="00920AC6"/>
    <w:rsid w:val="0092147B"/>
    <w:rsid w:val="00921DB8"/>
    <w:rsid w:val="00922091"/>
    <w:rsid w:val="00924E44"/>
    <w:rsid w:val="009263E1"/>
    <w:rsid w:val="00926BCC"/>
    <w:rsid w:val="00926F98"/>
    <w:rsid w:val="00927CBF"/>
    <w:rsid w:val="00930D6D"/>
    <w:rsid w:val="009312F6"/>
    <w:rsid w:val="00932226"/>
    <w:rsid w:val="00932631"/>
    <w:rsid w:val="00932AE0"/>
    <w:rsid w:val="00934D69"/>
    <w:rsid w:val="00935EAB"/>
    <w:rsid w:val="00936EDB"/>
    <w:rsid w:val="0093782C"/>
    <w:rsid w:val="0093789B"/>
    <w:rsid w:val="00940FCB"/>
    <w:rsid w:val="00942B5A"/>
    <w:rsid w:val="00942E1E"/>
    <w:rsid w:val="00943F3B"/>
    <w:rsid w:val="00945F4C"/>
    <w:rsid w:val="00946102"/>
    <w:rsid w:val="009467BC"/>
    <w:rsid w:val="00947936"/>
    <w:rsid w:val="00947D6B"/>
    <w:rsid w:val="00953695"/>
    <w:rsid w:val="00953CE6"/>
    <w:rsid w:val="00957421"/>
    <w:rsid w:val="00963F17"/>
    <w:rsid w:val="00964C4A"/>
    <w:rsid w:val="0096513A"/>
    <w:rsid w:val="00965B88"/>
    <w:rsid w:val="00972077"/>
    <w:rsid w:val="0097277C"/>
    <w:rsid w:val="00972B40"/>
    <w:rsid w:val="00974361"/>
    <w:rsid w:val="00974D32"/>
    <w:rsid w:val="009757FA"/>
    <w:rsid w:val="00976717"/>
    <w:rsid w:val="00982A82"/>
    <w:rsid w:val="0098307C"/>
    <w:rsid w:val="0098354B"/>
    <w:rsid w:val="00983AF1"/>
    <w:rsid w:val="00983E4A"/>
    <w:rsid w:val="009842B3"/>
    <w:rsid w:val="009843B8"/>
    <w:rsid w:val="0098469B"/>
    <w:rsid w:val="00986A74"/>
    <w:rsid w:val="0099037F"/>
    <w:rsid w:val="00990B60"/>
    <w:rsid w:val="00991815"/>
    <w:rsid w:val="00991898"/>
    <w:rsid w:val="009945FD"/>
    <w:rsid w:val="00995808"/>
    <w:rsid w:val="0099685D"/>
    <w:rsid w:val="009A0974"/>
    <w:rsid w:val="009A1CB4"/>
    <w:rsid w:val="009A30E9"/>
    <w:rsid w:val="009A37B8"/>
    <w:rsid w:val="009A5A88"/>
    <w:rsid w:val="009A639C"/>
    <w:rsid w:val="009A7905"/>
    <w:rsid w:val="009B0E21"/>
    <w:rsid w:val="009B195C"/>
    <w:rsid w:val="009B1CF4"/>
    <w:rsid w:val="009B53C1"/>
    <w:rsid w:val="009B7AF0"/>
    <w:rsid w:val="009B7CE4"/>
    <w:rsid w:val="009C199B"/>
    <w:rsid w:val="009C27FB"/>
    <w:rsid w:val="009C3344"/>
    <w:rsid w:val="009C5BB5"/>
    <w:rsid w:val="009C6F0E"/>
    <w:rsid w:val="009C7974"/>
    <w:rsid w:val="009C7E16"/>
    <w:rsid w:val="009D3038"/>
    <w:rsid w:val="009D333D"/>
    <w:rsid w:val="009D4778"/>
    <w:rsid w:val="009D4FF4"/>
    <w:rsid w:val="009D75EF"/>
    <w:rsid w:val="009E0247"/>
    <w:rsid w:val="009E0FEE"/>
    <w:rsid w:val="009E141E"/>
    <w:rsid w:val="009E19B2"/>
    <w:rsid w:val="009E1A1E"/>
    <w:rsid w:val="009E5214"/>
    <w:rsid w:val="009E656B"/>
    <w:rsid w:val="009E6828"/>
    <w:rsid w:val="009E710A"/>
    <w:rsid w:val="009E74D2"/>
    <w:rsid w:val="009F1C8D"/>
    <w:rsid w:val="009F27E2"/>
    <w:rsid w:val="009F29F2"/>
    <w:rsid w:val="009F33AD"/>
    <w:rsid w:val="009F423E"/>
    <w:rsid w:val="009F4443"/>
    <w:rsid w:val="009F5642"/>
    <w:rsid w:val="00A02384"/>
    <w:rsid w:val="00A027A3"/>
    <w:rsid w:val="00A03370"/>
    <w:rsid w:val="00A03382"/>
    <w:rsid w:val="00A03441"/>
    <w:rsid w:val="00A050E0"/>
    <w:rsid w:val="00A05DB6"/>
    <w:rsid w:val="00A06A60"/>
    <w:rsid w:val="00A0780F"/>
    <w:rsid w:val="00A10A22"/>
    <w:rsid w:val="00A10C96"/>
    <w:rsid w:val="00A11827"/>
    <w:rsid w:val="00A11EAD"/>
    <w:rsid w:val="00A12653"/>
    <w:rsid w:val="00A13B95"/>
    <w:rsid w:val="00A1526F"/>
    <w:rsid w:val="00A165D2"/>
    <w:rsid w:val="00A20D5F"/>
    <w:rsid w:val="00A22493"/>
    <w:rsid w:val="00A2401A"/>
    <w:rsid w:val="00A25A2E"/>
    <w:rsid w:val="00A268EF"/>
    <w:rsid w:val="00A27777"/>
    <w:rsid w:val="00A328FD"/>
    <w:rsid w:val="00A331A8"/>
    <w:rsid w:val="00A33311"/>
    <w:rsid w:val="00A340CD"/>
    <w:rsid w:val="00A35144"/>
    <w:rsid w:val="00A3700B"/>
    <w:rsid w:val="00A40AB4"/>
    <w:rsid w:val="00A40F87"/>
    <w:rsid w:val="00A41CFD"/>
    <w:rsid w:val="00A44D0E"/>
    <w:rsid w:val="00A4513D"/>
    <w:rsid w:val="00A4582E"/>
    <w:rsid w:val="00A47F00"/>
    <w:rsid w:val="00A509A0"/>
    <w:rsid w:val="00A50FF9"/>
    <w:rsid w:val="00A51099"/>
    <w:rsid w:val="00A51C9A"/>
    <w:rsid w:val="00A520F8"/>
    <w:rsid w:val="00A522C9"/>
    <w:rsid w:val="00A52583"/>
    <w:rsid w:val="00A52731"/>
    <w:rsid w:val="00A5317D"/>
    <w:rsid w:val="00A5338B"/>
    <w:rsid w:val="00A55652"/>
    <w:rsid w:val="00A55F34"/>
    <w:rsid w:val="00A56991"/>
    <w:rsid w:val="00A56C0A"/>
    <w:rsid w:val="00A578D1"/>
    <w:rsid w:val="00A62C1B"/>
    <w:rsid w:val="00A62E2B"/>
    <w:rsid w:val="00A66E72"/>
    <w:rsid w:val="00A73628"/>
    <w:rsid w:val="00A75F24"/>
    <w:rsid w:val="00A80053"/>
    <w:rsid w:val="00A80FA7"/>
    <w:rsid w:val="00A8103C"/>
    <w:rsid w:val="00A83C78"/>
    <w:rsid w:val="00A84755"/>
    <w:rsid w:val="00A85E1F"/>
    <w:rsid w:val="00A8704E"/>
    <w:rsid w:val="00A87423"/>
    <w:rsid w:val="00A90F28"/>
    <w:rsid w:val="00A94DCA"/>
    <w:rsid w:val="00A94E5A"/>
    <w:rsid w:val="00A97E6A"/>
    <w:rsid w:val="00AA1021"/>
    <w:rsid w:val="00AA1507"/>
    <w:rsid w:val="00AA3712"/>
    <w:rsid w:val="00AA3DBA"/>
    <w:rsid w:val="00AA3FB9"/>
    <w:rsid w:val="00AA55C4"/>
    <w:rsid w:val="00AA6189"/>
    <w:rsid w:val="00AA726D"/>
    <w:rsid w:val="00AA75C3"/>
    <w:rsid w:val="00AA7A06"/>
    <w:rsid w:val="00AB2021"/>
    <w:rsid w:val="00AB247E"/>
    <w:rsid w:val="00AB2ED4"/>
    <w:rsid w:val="00AB302F"/>
    <w:rsid w:val="00AB3351"/>
    <w:rsid w:val="00AB48AD"/>
    <w:rsid w:val="00AB4BE0"/>
    <w:rsid w:val="00AB5421"/>
    <w:rsid w:val="00AB5F4A"/>
    <w:rsid w:val="00AB6AA5"/>
    <w:rsid w:val="00AB6E00"/>
    <w:rsid w:val="00AB7E9B"/>
    <w:rsid w:val="00AC035B"/>
    <w:rsid w:val="00AC1E7E"/>
    <w:rsid w:val="00AC1E8E"/>
    <w:rsid w:val="00AC33D7"/>
    <w:rsid w:val="00AC3F85"/>
    <w:rsid w:val="00AC418A"/>
    <w:rsid w:val="00AC5DB5"/>
    <w:rsid w:val="00AC74D1"/>
    <w:rsid w:val="00AC76B2"/>
    <w:rsid w:val="00AD136D"/>
    <w:rsid w:val="00AD23C6"/>
    <w:rsid w:val="00AD2746"/>
    <w:rsid w:val="00AD2F70"/>
    <w:rsid w:val="00AD31AE"/>
    <w:rsid w:val="00AD38AD"/>
    <w:rsid w:val="00AD38D0"/>
    <w:rsid w:val="00AD47FA"/>
    <w:rsid w:val="00AD4CB1"/>
    <w:rsid w:val="00AD6782"/>
    <w:rsid w:val="00AD6DBB"/>
    <w:rsid w:val="00AD6F1A"/>
    <w:rsid w:val="00AE023A"/>
    <w:rsid w:val="00AE05D0"/>
    <w:rsid w:val="00AE0D24"/>
    <w:rsid w:val="00AE0D49"/>
    <w:rsid w:val="00AE1F26"/>
    <w:rsid w:val="00AE2671"/>
    <w:rsid w:val="00AE2E11"/>
    <w:rsid w:val="00AE47C6"/>
    <w:rsid w:val="00AE4826"/>
    <w:rsid w:val="00AE5169"/>
    <w:rsid w:val="00AE6B06"/>
    <w:rsid w:val="00AF36E3"/>
    <w:rsid w:val="00AF6F20"/>
    <w:rsid w:val="00AF6F40"/>
    <w:rsid w:val="00AF776D"/>
    <w:rsid w:val="00AF79A2"/>
    <w:rsid w:val="00B001D2"/>
    <w:rsid w:val="00B006E9"/>
    <w:rsid w:val="00B01B14"/>
    <w:rsid w:val="00B02308"/>
    <w:rsid w:val="00B033A8"/>
    <w:rsid w:val="00B040CE"/>
    <w:rsid w:val="00B043E3"/>
    <w:rsid w:val="00B047AE"/>
    <w:rsid w:val="00B04940"/>
    <w:rsid w:val="00B05F96"/>
    <w:rsid w:val="00B06D3E"/>
    <w:rsid w:val="00B07A88"/>
    <w:rsid w:val="00B10F59"/>
    <w:rsid w:val="00B110B4"/>
    <w:rsid w:val="00B130CD"/>
    <w:rsid w:val="00B16AE1"/>
    <w:rsid w:val="00B16DC3"/>
    <w:rsid w:val="00B17D1F"/>
    <w:rsid w:val="00B22A03"/>
    <w:rsid w:val="00B245C8"/>
    <w:rsid w:val="00B259D0"/>
    <w:rsid w:val="00B26471"/>
    <w:rsid w:val="00B26DE6"/>
    <w:rsid w:val="00B27635"/>
    <w:rsid w:val="00B27DBC"/>
    <w:rsid w:val="00B27FB6"/>
    <w:rsid w:val="00B3036F"/>
    <w:rsid w:val="00B31498"/>
    <w:rsid w:val="00B345B3"/>
    <w:rsid w:val="00B35FE7"/>
    <w:rsid w:val="00B362C5"/>
    <w:rsid w:val="00B36406"/>
    <w:rsid w:val="00B36496"/>
    <w:rsid w:val="00B36498"/>
    <w:rsid w:val="00B36BFD"/>
    <w:rsid w:val="00B37057"/>
    <w:rsid w:val="00B41724"/>
    <w:rsid w:val="00B4355E"/>
    <w:rsid w:val="00B4357E"/>
    <w:rsid w:val="00B438F1"/>
    <w:rsid w:val="00B4570C"/>
    <w:rsid w:val="00B46AD7"/>
    <w:rsid w:val="00B4756D"/>
    <w:rsid w:val="00B47BA9"/>
    <w:rsid w:val="00B506F7"/>
    <w:rsid w:val="00B513D0"/>
    <w:rsid w:val="00B52699"/>
    <w:rsid w:val="00B53539"/>
    <w:rsid w:val="00B53585"/>
    <w:rsid w:val="00B5359E"/>
    <w:rsid w:val="00B5759D"/>
    <w:rsid w:val="00B60A73"/>
    <w:rsid w:val="00B61B53"/>
    <w:rsid w:val="00B61D94"/>
    <w:rsid w:val="00B62B05"/>
    <w:rsid w:val="00B637E8"/>
    <w:rsid w:val="00B63FB5"/>
    <w:rsid w:val="00B640BA"/>
    <w:rsid w:val="00B64196"/>
    <w:rsid w:val="00B64F88"/>
    <w:rsid w:val="00B6508C"/>
    <w:rsid w:val="00B652F0"/>
    <w:rsid w:val="00B6663E"/>
    <w:rsid w:val="00B70F72"/>
    <w:rsid w:val="00B731D2"/>
    <w:rsid w:val="00B735E7"/>
    <w:rsid w:val="00B74D44"/>
    <w:rsid w:val="00B74ECB"/>
    <w:rsid w:val="00B819E0"/>
    <w:rsid w:val="00B82C82"/>
    <w:rsid w:val="00B8378B"/>
    <w:rsid w:val="00B83A99"/>
    <w:rsid w:val="00B83EAD"/>
    <w:rsid w:val="00B842C9"/>
    <w:rsid w:val="00B84B78"/>
    <w:rsid w:val="00B85380"/>
    <w:rsid w:val="00B87EAB"/>
    <w:rsid w:val="00B92BBD"/>
    <w:rsid w:val="00B94A93"/>
    <w:rsid w:val="00BA31D7"/>
    <w:rsid w:val="00BA41B8"/>
    <w:rsid w:val="00BA430A"/>
    <w:rsid w:val="00BA4EBD"/>
    <w:rsid w:val="00BA62E3"/>
    <w:rsid w:val="00BA63B4"/>
    <w:rsid w:val="00BA6BDC"/>
    <w:rsid w:val="00BA71C1"/>
    <w:rsid w:val="00BB15DD"/>
    <w:rsid w:val="00BB341F"/>
    <w:rsid w:val="00BB413C"/>
    <w:rsid w:val="00BB443F"/>
    <w:rsid w:val="00BB4D4F"/>
    <w:rsid w:val="00BB7754"/>
    <w:rsid w:val="00BC1072"/>
    <w:rsid w:val="00BC2B39"/>
    <w:rsid w:val="00BC32AC"/>
    <w:rsid w:val="00BC38BF"/>
    <w:rsid w:val="00BC5BC6"/>
    <w:rsid w:val="00BC6B5A"/>
    <w:rsid w:val="00BC720E"/>
    <w:rsid w:val="00BD016B"/>
    <w:rsid w:val="00BD1430"/>
    <w:rsid w:val="00BD170E"/>
    <w:rsid w:val="00BD1CAE"/>
    <w:rsid w:val="00BD27E2"/>
    <w:rsid w:val="00BD5A10"/>
    <w:rsid w:val="00BD7C8A"/>
    <w:rsid w:val="00BE0535"/>
    <w:rsid w:val="00BE1153"/>
    <w:rsid w:val="00BE17F6"/>
    <w:rsid w:val="00BE26C7"/>
    <w:rsid w:val="00BE2856"/>
    <w:rsid w:val="00BE3E46"/>
    <w:rsid w:val="00BE50ED"/>
    <w:rsid w:val="00BF174C"/>
    <w:rsid w:val="00BF1F6F"/>
    <w:rsid w:val="00BF215A"/>
    <w:rsid w:val="00BF666D"/>
    <w:rsid w:val="00BF6CE5"/>
    <w:rsid w:val="00C00FE5"/>
    <w:rsid w:val="00C0509A"/>
    <w:rsid w:val="00C05576"/>
    <w:rsid w:val="00C05A69"/>
    <w:rsid w:val="00C06255"/>
    <w:rsid w:val="00C0663E"/>
    <w:rsid w:val="00C066DF"/>
    <w:rsid w:val="00C12A60"/>
    <w:rsid w:val="00C13569"/>
    <w:rsid w:val="00C2107B"/>
    <w:rsid w:val="00C23A0A"/>
    <w:rsid w:val="00C25742"/>
    <w:rsid w:val="00C26791"/>
    <w:rsid w:val="00C27CD8"/>
    <w:rsid w:val="00C30093"/>
    <w:rsid w:val="00C30648"/>
    <w:rsid w:val="00C306FB"/>
    <w:rsid w:val="00C319C4"/>
    <w:rsid w:val="00C31A7D"/>
    <w:rsid w:val="00C32F5F"/>
    <w:rsid w:val="00C33B76"/>
    <w:rsid w:val="00C35B1E"/>
    <w:rsid w:val="00C35C6A"/>
    <w:rsid w:val="00C37239"/>
    <w:rsid w:val="00C40D55"/>
    <w:rsid w:val="00C412E9"/>
    <w:rsid w:val="00C4399C"/>
    <w:rsid w:val="00C45E50"/>
    <w:rsid w:val="00C467C3"/>
    <w:rsid w:val="00C46BE0"/>
    <w:rsid w:val="00C4738A"/>
    <w:rsid w:val="00C47BD0"/>
    <w:rsid w:val="00C5597B"/>
    <w:rsid w:val="00C56926"/>
    <w:rsid w:val="00C56B2B"/>
    <w:rsid w:val="00C606F8"/>
    <w:rsid w:val="00C62E08"/>
    <w:rsid w:val="00C64311"/>
    <w:rsid w:val="00C670CD"/>
    <w:rsid w:val="00C67705"/>
    <w:rsid w:val="00C747B5"/>
    <w:rsid w:val="00C74B1D"/>
    <w:rsid w:val="00C7585C"/>
    <w:rsid w:val="00C769BD"/>
    <w:rsid w:val="00C80ACC"/>
    <w:rsid w:val="00C80B69"/>
    <w:rsid w:val="00C8183B"/>
    <w:rsid w:val="00C81E5C"/>
    <w:rsid w:val="00C826DE"/>
    <w:rsid w:val="00C847DA"/>
    <w:rsid w:val="00C849C9"/>
    <w:rsid w:val="00C84E86"/>
    <w:rsid w:val="00C870FC"/>
    <w:rsid w:val="00C8733B"/>
    <w:rsid w:val="00C87739"/>
    <w:rsid w:val="00C914EB"/>
    <w:rsid w:val="00C91D05"/>
    <w:rsid w:val="00C92E95"/>
    <w:rsid w:val="00C93E10"/>
    <w:rsid w:val="00C970D7"/>
    <w:rsid w:val="00C970F1"/>
    <w:rsid w:val="00CA0010"/>
    <w:rsid w:val="00CA0649"/>
    <w:rsid w:val="00CA06D6"/>
    <w:rsid w:val="00CA0E52"/>
    <w:rsid w:val="00CA1033"/>
    <w:rsid w:val="00CA117D"/>
    <w:rsid w:val="00CA1363"/>
    <w:rsid w:val="00CA180D"/>
    <w:rsid w:val="00CA6628"/>
    <w:rsid w:val="00CA66C9"/>
    <w:rsid w:val="00CB01E1"/>
    <w:rsid w:val="00CB0B95"/>
    <w:rsid w:val="00CB16E0"/>
    <w:rsid w:val="00CB32B0"/>
    <w:rsid w:val="00CB42B0"/>
    <w:rsid w:val="00CB6C22"/>
    <w:rsid w:val="00CB70C2"/>
    <w:rsid w:val="00CB775C"/>
    <w:rsid w:val="00CC0330"/>
    <w:rsid w:val="00CC0E23"/>
    <w:rsid w:val="00CC1690"/>
    <w:rsid w:val="00CC23CF"/>
    <w:rsid w:val="00CC4AFA"/>
    <w:rsid w:val="00CC4F72"/>
    <w:rsid w:val="00CC5774"/>
    <w:rsid w:val="00CC6FCC"/>
    <w:rsid w:val="00CC7137"/>
    <w:rsid w:val="00CC7BA8"/>
    <w:rsid w:val="00CC7D63"/>
    <w:rsid w:val="00CC7FCA"/>
    <w:rsid w:val="00CD1F31"/>
    <w:rsid w:val="00CD3209"/>
    <w:rsid w:val="00CD3DE6"/>
    <w:rsid w:val="00CD433D"/>
    <w:rsid w:val="00CD5B20"/>
    <w:rsid w:val="00CD5B29"/>
    <w:rsid w:val="00CD5C00"/>
    <w:rsid w:val="00CD5E8C"/>
    <w:rsid w:val="00CD671B"/>
    <w:rsid w:val="00CD692E"/>
    <w:rsid w:val="00CD71A8"/>
    <w:rsid w:val="00CD7F54"/>
    <w:rsid w:val="00CE2233"/>
    <w:rsid w:val="00CE3366"/>
    <w:rsid w:val="00CE3449"/>
    <w:rsid w:val="00CE5066"/>
    <w:rsid w:val="00CE6D8D"/>
    <w:rsid w:val="00CE7439"/>
    <w:rsid w:val="00CF079F"/>
    <w:rsid w:val="00CF0DA2"/>
    <w:rsid w:val="00CF5001"/>
    <w:rsid w:val="00CF6365"/>
    <w:rsid w:val="00CF720B"/>
    <w:rsid w:val="00D0030F"/>
    <w:rsid w:val="00D04001"/>
    <w:rsid w:val="00D072D0"/>
    <w:rsid w:val="00D0798C"/>
    <w:rsid w:val="00D07F50"/>
    <w:rsid w:val="00D12BEF"/>
    <w:rsid w:val="00D134A9"/>
    <w:rsid w:val="00D15048"/>
    <w:rsid w:val="00D16AE0"/>
    <w:rsid w:val="00D16E2B"/>
    <w:rsid w:val="00D171F0"/>
    <w:rsid w:val="00D1767A"/>
    <w:rsid w:val="00D203A7"/>
    <w:rsid w:val="00D208B5"/>
    <w:rsid w:val="00D21290"/>
    <w:rsid w:val="00D21D55"/>
    <w:rsid w:val="00D22416"/>
    <w:rsid w:val="00D2254F"/>
    <w:rsid w:val="00D2267F"/>
    <w:rsid w:val="00D22827"/>
    <w:rsid w:val="00D228AA"/>
    <w:rsid w:val="00D22D3E"/>
    <w:rsid w:val="00D2374B"/>
    <w:rsid w:val="00D24D4C"/>
    <w:rsid w:val="00D26E33"/>
    <w:rsid w:val="00D3039D"/>
    <w:rsid w:val="00D310BD"/>
    <w:rsid w:val="00D31470"/>
    <w:rsid w:val="00D33EEF"/>
    <w:rsid w:val="00D3653D"/>
    <w:rsid w:val="00D36707"/>
    <w:rsid w:val="00D37667"/>
    <w:rsid w:val="00D378B4"/>
    <w:rsid w:val="00D379E9"/>
    <w:rsid w:val="00D41086"/>
    <w:rsid w:val="00D41748"/>
    <w:rsid w:val="00D418FD"/>
    <w:rsid w:val="00D41985"/>
    <w:rsid w:val="00D4448F"/>
    <w:rsid w:val="00D4456A"/>
    <w:rsid w:val="00D45D5D"/>
    <w:rsid w:val="00D45D70"/>
    <w:rsid w:val="00D46EB3"/>
    <w:rsid w:val="00D51D30"/>
    <w:rsid w:val="00D5223A"/>
    <w:rsid w:val="00D541AF"/>
    <w:rsid w:val="00D5485D"/>
    <w:rsid w:val="00D56561"/>
    <w:rsid w:val="00D6086B"/>
    <w:rsid w:val="00D63745"/>
    <w:rsid w:val="00D67883"/>
    <w:rsid w:val="00D67F2A"/>
    <w:rsid w:val="00D701B0"/>
    <w:rsid w:val="00D709DB"/>
    <w:rsid w:val="00D73969"/>
    <w:rsid w:val="00D741D7"/>
    <w:rsid w:val="00D7575A"/>
    <w:rsid w:val="00D75D30"/>
    <w:rsid w:val="00D75E78"/>
    <w:rsid w:val="00D77223"/>
    <w:rsid w:val="00D777EC"/>
    <w:rsid w:val="00D80048"/>
    <w:rsid w:val="00D81037"/>
    <w:rsid w:val="00D826BF"/>
    <w:rsid w:val="00D82FC1"/>
    <w:rsid w:val="00D8327A"/>
    <w:rsid w:val="00D8338E"/>
    <w:rsid w:val="00D844D0"/>
    <w:rsid w:val="00D846FE"/>
    <w:rsid w:val="00D84879"/>
    <w:rsid w:val="00D85214"/>
    <w:rsid w:val="00D852A6"/>
    <w:rsid w:val="00D85D82"/>
    <w:rsid w:val="00D87D97"/>
    <w:rsid w:val="00D92F2E"/>
    <w:rsid w:val="00D93A40"/>
    <w:rsid w:val="00D93E56"/>
    <w:rsid w:val="00D9447A"/>
    <w:rsid w:val="00DA06C5"/>
    <w:rsid w:val="00DA224D"/>
    <w:rsid w:val="00DA3719"/>
    <w:rsid w:val="00DA3DF4"/>
    <w:rsid w:val="00DA673F"/>
    <w:rsid w:val="00DA6789"/>
    <w:rsid w:val="00DA6FBC"/>
    <w:rsid w:val="00DA75BF"/>
    <w:rsid w:val="00DA768E"/>
    <w:rsid w:val="00DB11E7"/>
    <w:rsid w:val="00DB15BE"/>
    <w:rsid w:val="00DB281F"/>
    <w:rsid w:val="00DB2984"/>
    <w:rsid w:val="00DB4A8F"/>
    <w:rsid w:val="00DB5CE8"/>
    <w:rsid w:val="00DB69F4"/>
    <w:rsid w:val="00DB6C6F"/>
    <w:rsid w:val="00DB76B5"/>
    <w:rsid w:val="00DB7C30"/>
    <w:rsid w:val="00DC087E"/>
    <w:rsid w:val="00DC129D"/>
    <w:rsid w:val="00DC224B"/>
    <w:rsid w:val="00DC4656"/>
    <w:rsid w:val="00DC5E2E"/>
    <w:rsid w:val="00DC6FB1"/>
    <w:rsid w:val="00DD2CFF"/>
    <w:rsid w:val="00DD2E9F"/>
    <w:rsid w:val="00DD428F"/>
    <w:rsid w:val="00DD45E6"/>
    <w:rsid w:val="00DD5AC8"/>
    <w:rsid w:val="00DD5D72"/>
    <w:rsid w:val="00DD6F67"/>
    <w:rsid w:val="00DE1729"/>
    <w:rsid w:val="00DE4E15"/>
    <w:rsid w:val="00DE7F6F"/>
    <w:rsid w:val="00DF08DB"/>
    <w:rsid w:val="00DF2A38"/>
    <w:rsid w:val="00DF32EB"/>
    <w:rsid w:val="00DF3B94"/>
    <w:rsid w:val="00DF51F2"/>
    <w:rsid w:val="00DF55FD"/>
    <w:rsid w:val="00DF56DE"/>
    <w:rsid w:val="00DF5DCE"/>
    <w:rsid w:val="00DF67B4"/>
    <w:rsid w:val="00DF7934"/>
    <w:rsid w:val="00E0346E"/>
    <w:rsid w:val="00E0492C"/>
    <w:rsid w:val="00E05531"/>
    <w:rsid w:val="00E05684"/>
    <w:rsid w:val="00E05D2F"/>
    <w:rsid w:val="00E071BD"/>
    <w:rsid w:val="00E07F80"/>
    <w:rsid w:val="00E10487"/>
    <w:rsid w:val="00E111D0"/>
    <w:rsid w:val="00E12CB4"/>
    <w:rsid w:val="00E12D66"/>
    <w:rsid w:val="00E13142"/>
    <w:rsid w:val="00E13FD0"/>
    <w:rsid w:val="00E14B02"/>
    <w:rsid w:val="00E158B7"/>
    <w:rsid w:val="00E15B67"/>
    <w:rsid w:val="00E15CEC"/>
    <w:rsid w:val="00E17B3B"/>
    <w:rsid w:val="00E2016C"/>
    <w:rsid w:val="00E20738"/>
    <w:rsid w:val="00E20815"/>
    <w:rsid w:val="00E2145E"/>
    <w:rsid w:val="00E23D15"/>
    <w:rsid w:val="00E23EBF"/>
    <w:rsid w:val="00E2557D"/>
    <w:rsid w:val="00E30385"/>
    <w:rsid w:val="00E30C6E"/>
    <w:rsid w:val="00E31E94"/>
    <w:rsid w:val="00E325A4"/>
    <w:rsid w:val="00E32A24"/>
    <w:rsid w:val="00E34A25"/>
    <w:rsid w:val="00E36E92"/>
    <w:rsid w:val="00E42971"/>
    <w:rsid w:val="00E4433D"/>
    <w:rsid w:val="00E4502E"/>
    <w:rsid w:val="00E45DCE"/>
    <w:rsid w:val="00E47D6A"/>
    <w:rsid w:val="00E507EB"/>
    <w:rsid w:val="00E5095D"/>
    <w:rsid w:val="00E50CDE"/>
    <w:rsid w:val="00E5225D"/>
    <w:rsid w:val="00E52561"/>
    <w:rsid w:val="00E526D6"/>
    <w:rsid w:val="00E5292F"/>
    <w:rsid w:val="00E54A95"/>
    <w:rsid w:val="00E56541"/>
    <w:rsid w:val="00E5719D"/>
    <w:rsid w:val="00E62507"/>
    <w:rsid w:val="00E65190"/>
    <w:rsid w:val="00E6762F"/>
    <w:rsid w:val="00E7353F"/>
    <w:rsid w:val="00E7504C"/>
    <w:rsid w:val="00E75578"/>
    <w:rsid w:val="00E75FA2"/>
    <w:rsid w:val="00E76023"/>
    <w:rsid w:val="00E7678D"/>
    <w:rsid w:val="00E809A8"/>
    <w:rsid w:val="00E81011"/>
    <w:rsid w:val="00E8125C"/>
    <w:rsid w:val="00E821CF"/>
    <w:rsid w:val="00E822D2"/>
    <w:rsid w:val="00E8280D"/>
    <w:rsid w:val="00E84D3F"/>
    <w:rsid w:val="00E85EAD"/>
    <w:rsid w:val="00E91AA5"/>
    <w:rsid w:val="00E91B28"/>
    <w:rsid w:val="00E92283"/>
    <w:rsid w:val="00E937D6"/>
    <w:rsid w:val="00E93967"/>
    <w:rsid w:val="00E95331"/>
    <w:rsid w:val="00E96855"/>
    <w:rsid w:val="00E96917"/>
    <w:rsid w:val="00E96F78"/>
    <w:rsid w:val="00E97521"/>
    <w:rsid w:val="00EA0850"/>
    <w:rsid w:val="00EA100A"/>
    <w:rsid w:val="00EA2A6B"/>
    <w:rsid w:val="00EA3519"/>
    <w:rsid w:val="00EB0FEC"/>
    <w:rsid w:val="00EB1585"/>
    <w:rsid w:val="00EB369B"/>
    <w:rsid w:val="00EB75DE"/>
    <w:rsid w:val="00EB7833"/>
    <w:rsid w:val="00EC00AD"/>
    <w:rsid w:val="00EC26AC"/>
    <w:rsid w:val="00EC332F"/>
    <w:rsid w:val="00EC52A4"/>
    <w:rsid w:val="00EC5E1C"/>
    <w:rsid w:val="00EC6F0A"/>
    <w:rsid w:val="00EC75AD"/>
    <w:rsid w:val="00ED21F3"/>
    <w:rsid w:val="00ED241A"/>
    <w:rsid w:val="00ED2589"/>
    <w:rsid w:val="00ED49A7"/>
    <w:rsid w:val="00ED68DC"/>
    <w:rsid w:val="00EE0375"/>
    <w:rsid w:val="00EE29B8"/>
    <w:rsid w:val="00EE2B30"/>
    <w:rsid w:val="00EE2F6F"/>
    <w:rsid w:val="00EE37FC"/>
    <w:rsid w:val="00EE4552"/>
    <w:rsid w:val="00EF181A"/>
    <w:rsid w:val="00EF35CF"/>
    <w:rsid w:val="00EF5547"/>
    <w:rsid w:val="00EF6904"/>
    <w:rsid w:val="00EF6EA4"/>
    <w:rsid w:val="00EF72F9"/>
    <w:rsid w:val="00F025BB"/>
    <w:rsid w:val="00F04733"/>
    <w:rsid w:val="00F05B6F"/>
    <w:rsid w:val="00F060ED"/>
    <w:rsid w:val="00F130CB"/>
    <w:rsid w:val="00F14241"/>
    <w:rsid w:val="00F1526C"/>
    <w:rsid w:val="00F16225"/>
    <w:rsid w:val="00F16377"/>
    <w:rsid w:val="00F16B44"/>
    <w:rsid w:val="00F16DB5"/>
    <w:rsid w:val="00F17307"/>
    <w:rsid w:val="00F2100B"/>
    <w:rsid w:val="00F22117"/>
    <w:rsid w:val="00F22560"/>
    <w:rsid w:val="00F23C20"/>
    <w:rsid w:val="00F257BF"/>
    <w:rsid w:val="00F2706A"/>
    <w:rsid w:val="00F27A93"/>
    <w:rsid w:val="00F3031D"/>
    <w:rsid w:val="00F304FB"/>
    <w:rsid w:val="00F315CA"/>
    <w:rsid w:val="00F32294"/>
    <w:rsid w:val="00F328E1"/>
    <w:rsid w:val="00F3294B"/>
    <w:rsid w:val="00F33520"/>
    <w:rsid w:val="00F3395F"/>
    <w:rsid w:val="00F36ED2"/>
    <w:rsid w:val="00F36EFE"/>
    <w:rsid w:val="00F404D8"/>
    <w:rsid w:val="00F4057B"/>
    <w:rsid w:val="00F406DF"/>
    <w:rsid w:val="00F40DAD"/>
    <w:rsid w:val="00F42F70"/>
    <w:rsid w:val="00F4519B"/>
    <w:rsid w:val="00F4522E"/>
    <w:rsid w:val="00F46670"/>
    <w:rsid w:val="00F466BB"/>
    <w:rsid w:val="00F5035C"/>
    <w:rsid w:val="00F51FAE"/>
    <w:rsid w:val="00F5346B"/>
    <w:rsid w:val="00F53639"/>
    <w:rsid w:val="00F544D2"/>
    <w:rsid w:val="00F547A9"/>
    <w:rsid w:val="00F563CA"/>
    <w:rsid w:val="00F56B15"/>
    <w:rsid w:val="00F60DBD"/>
    <w:rsid w:val="00F61495"/>
    <w:rsid w:val="00F61786"/>
    <w:rsid w:val="00F62E75"/>
    <w:rsid w:val="00F64DDE"/>
    <w:rsid w:val="00F6548C"/>
    <w:rsid w:val="00F656A6"/>
    <w:rsid w:val="00F65E0C"/>
    <w:rsid w:val="00F67C5B"/>
    <w:rsid w:val="00F67F35"/>
    <w:rsid w:val="00F707AA"/>
    <w:rsid w:val="00F71566"/>
    <w:rsid w:val="00F72DF2"/>
    <w:rsid w:val="00F7408F"/>
    <w:rsid w:val="00F7507D"/>
    <w:rsid w:val="00F766F8"/>
    <w:rsid w:val="00F76B52"/>
    <w:rsid w:val="00F77E04"/>
    <w:rsid w:val="00F8053C"/>
    <w:rsid w:val="00F81772"/>
    <w:rsid w:val="00F81CBB"/>
    <w:rsid w:val="00F8311A"/>
    <w:rsid w:val="00F85DE9"/>
    <w:rsid w:val="00F90312"/>
    <w:rsid w:val="00F905D3"/>
    <w:rsid w:val="00F90995"/>
    <w:rsid w:val="00F91839"/>
    <w:rsid w:val="00F921E7"/>
    <w:rsid w:val="00F93F4A"/>
    <w:rsid w:val="00F9406F"/>
    <w:rsid w:val="00F94CC1"/>
    <w:rsid w:val="00F95668"/>
    <w:rsid w:val="00F95938"/>
    <w:rsid w:val="00F97216"/>
    <w:rsid w:val="00F9757A"/>
    <w:rsid w:val="00FA0863"/>
    <w:rsid w:val="00FA1056"/>
    <w:rsid w:val="00FA2585"/>
    <w:rsid w:val="00FA3557"/>
    <w:rsid w:val="00FA3706"/>
    <w:rsid w:val="00FA40A9"/>
    <w:rsid w:val="00FA4CAF"/>
    <w:rsid w:val="00FA5290"/>
    <w:rsid w:val="00FA6870"/>
    <w:rsid w:val="00FB056B"/>
    <w:rsid w:val="00FB1444"/>
    <w:rsid w:val="00FB2063"/>
    <w:rsid w:val="00FB432E"/>
    <w:rsid w:val="00FB4407"/>
    <w:rsid w:val="00FB4E02"/>
    <w:rsid w:val="00FB58F2"/>
    <w:rsid w:val="00FB7665"/>
    <w:rsid w:val="00FC0DB8"/>
    <w:rsid w:val="00FC4157"/>
    <w:rsid w:val="00FC4B0B"/>
    <w:rsid w:val="00FC5A4C"/>
    <w:rsid w:val="00FD03A9"/>
    <w:rsid w:val="00FD1048"/>
    <w:rsid w:val="00FD1CEE"/>
    <w:rsid w:val="00FD2816"/>
    <w:rsid w:val="00FD2B5C"/>
    <w:rsid w:val="00FD5906"/>
    <w:rsid w:val="00FD7883"/>
    <w:rsid w:val="00FE0200"/>
    <w:rsid w:val="00FE0F68"/>
    <w:rsid w:val="00FE29A4"/>
    <w:rsid w:val="00FE33B3"/>
    <w:rsid w:val="00FE4C29"/>
    <w:rsid w:val="00FE7030"/>
    <w:rsid w:val="00FF00EA"/>
    <w:rsid w:val="00FF389B"/>
    <w:rsid w:val="00FF4B3D"/>
    <w:rsid w:val="00FF4C15"/>
    <w:rsid w:val="3C10207F"/>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unhideWhenUsed="0" w:uiPriority="99" w:name="toc 7"/>
    <w:lsdException w:unhideWhenUsed="0" w:uiPriority="99" w:name="toc 8"/>
    <w:lsdException w:qFormat="1" w:unhideWhenUsed="0" w:uiPriority="9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uiPriority="99" w:name="Block Text"/>
    <w:lsdException w:qFormat="1" w:unhideWhenUsed="0" w:uiPriority="0" w:semiHidden="0" w:name="Hyperlink"/>
    <w:lsdException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link w:val="43"/>
    <w:qFormat/>
    <w:uiPriority w:val="0"/>
    <w:pPr>
      <w:keepNext/>
      <w:overflowPunct w:val="0"/>
      <w:autoSpaceDE w:val="0"/>
      <w:autoSpaceDN w:val="0"/>
      <w:adjustRightInd w:val="0"/>
      <w:spacing w:before="240" w:after="160"/>
      <w:textAlignment w:val="baseline"/>
      <w:outlineLvl w:val="0"/>
    </w:pPr>
    <w:rPr>
      <w:rFonts w:ascii="Arial" w:hAnsi="Arial" w:cs="Arial"/>
      <w:b/>
      <w:bCs/>
      <w:kern w:val="28"/>
      <w:sz w:val="28"/>
      <w:szCs w:val="28"/>
      <w:lang w:val="en-GB" w:eastAsia="en-US"/>
    </w:rPr>
  </w:style>
  <w:style w:type="paragraph" w:styleId="3">
    <w:name w:val="heading 2"/>
    <w:basedOn w:val="1"/>
    <w:next w:val="1"/>
    <w:link w:val="44"/>
    <w:qFormat/>
    <w:uiPriority w:val="0"/>
    <w:pPr>
      <w:keepNext/>
      <w:tabs>
        <w:tab w:val="left" w:pos="851"/>
        <w:tab w:val="left" w:pos="10207"/>
      </w:tabs>
      <w:overflowPunct w:val="0"/>
      <w:autoSpaceDE w:val="0"/>
      <w:autoSpaceDN w:val="0"/>
      <w:adjustRightInd w:val="0"/>
      <w:spacing w:before="240" w:after="120"/>
      <w:textAlignment w:val="baseline"/>
      <w:outlineLvl w:val="1"/>
    </w:pPr>
    <w:rPr>
      <w:rFonts w:ascii="Arial" w:hAnsi="Arial" w:cs="Arial"/>
      <w:b/>
      <w:bCs/>
      <w:sz w:val="24"/>
      <w:szCs w:val="24"/>
      <w:lang w:val="en-GB" w:eastAsia="en-US"/>
    </w:rPr>
  </w:style>
  <w:style w:type="paragraph" w:styleId="4">
    <w:name w:val="heading 3"/>
    <w:basedOn w:val="1"/>
    <w:next w:val="1"/>
    <w:link w:val="45"/>
    <w:qFormat/>
    <w:uiPriority w:val="99"/>
    <w:pPr>
      <w:keepNext/>
      <w:keepLines/>
      <w:spacing w:before="260" w:after="260" w:line="416" w:lineRule="auto"/>
      <w:outlineLvl w:val="2"/>
    </w:pPr>
    <w:rPr>
      <w:b/>
      <w:bCs/>
      <w:sz w:val="32"/>
      <w:szCs w:val="32"/>
    </w:rPr>
  </w:style>
  <w:style w:type="paragraph" w:styleId="5">
    <w:name w:val="heading 4"/>
    <w:basedOn w:val="1"/>
    <w:next w:val="1"/>
    <w:link w:val="46"/>
    <w:qFormat/>
    <w:uiPriority w:val="99"/>
    <w:pPr>
      <w:keepNext/>
      <w:keepLines/>
      <w:spacing w:before="280" w:after="290" w:line="376" w:lineRule="auto"/>
      <w:outlineLvl w:val="3"/>
    </w:pPr>
    <w:rPr>
      <w:rFonts w:ascii="Arial" w:hAnsi="Arial" w:eastAsia="黑体" w:cs="Arial"/>
      <w:b/>
      <w:bCs/>
      <w:sz w:val="28"/>
      <w:szCs w:val="28"/>
    </w:rPr>
  </w:style>
  <w:style w:type="paragraph" w:styleId="6">
    <w:name w:val="heading 5"/>
    <w:basedOn w:val="1"/>
    <w:next w:val="1"/>
    <w:link w:val="47"/>
    <w:qFormat/>
    <w:uiPriority w:val="99"/>
    <w:pPr>
      <w:keepNext/>
      <w:keepLines/>
      <w:spacing w:before="280" w:after="290" w:line="376" w:lineRule="auto"/>
      <w:outlineLvl w:val="4"/>
    </w:pPr>
    <w:rPr>
      <w:b/>
      <w:bCs/>
      <w:sz w:val="28"/>
      <w:szCs w:val="28"/>
    </w:rPr>
  </w:style>
  <w:style w:type="paragraph" w:styleId="7">
    <w:name w:val="heading 6"/>
    <w:basedOn w:val="1"/>
    <w:next w:val="1"/>
    <w:link w:val="48"/>
    <w:qFormat/>
    <w:uiPriority w:val="99"/>
    <w:pPr>
      <w:tabs>
        <w:tab w:val="left" w:pos="1152"/>
      </w:tabs>
      <w:spacing w:before="240" w:after="60"/>
      <w:ind w:left="1152" w:hanging="1152"/>
      <w:outlineLvl w:val="5"/>
    </w:pPr>
    <w:rPr>
      <w:rFonts w:ascii="Arial" w:hAnsi="Arial" w:cs="Arial"/>
      <w:i/>
      <w:iCs/>
      <w:sz w:val="22"/>
      <w:szCs w:val="22"/>
      <w:lang w:val="sv-SE" w:eastAsia="en-US"/>
    </w:rPr>
  </w:style>
  <w:style w:type="paragraph" w:styleId="8">
    <w:name w:val="heading 7"/>
    <w:basedOn w:val="1"/>
    <w:next w:val="1"/>
    <w:link w:val="49"/>
    <w:qFormat/>
    <w:uiPriority w:val="99"/>
    <w:pPr>
      <w:keepNext/>
      <w:tabs>
        <w:tab w:val="left" w:pos="1296"/>
      </w:tabs>
      <w:ind w:left="1296" w:hanging="1296"/>
      <w:outlineLvl w:val="6"/>
    </w:pPr>
    <w:rPr>
      <w:b/>
      <w:bCs/>
      <w:color w:val="0000FF"/>
      <w:sz w:val="28"/>
      <w:szCs w:val="28"/>
      <w:lang w:val="en-GB" w:eastAsia="en-US"/>
    </w:rPr>
  </w:style>
  <w:style w:type="paragraph" w:styleId="9">
    <w:name w:val="heading 8"/>
    <w:basedOn w:val="1"/>
    <w:next w:val="1"/>
    <w:link w:val="50"/>
    <w:qFormat/>
    <w:uiPriority w:val="99"/>
    <w:pPr>
      <w:keepNext/>
      <w:tabs>
        <w:tab w:val="left" w:pos="1440"/>
      </w:tabs>
      <w:ind w:left="1440" w:hanging="1440"/>
      <w:outlineLvl w:val="7"/>
    </w:pPr>
    <w:rPr>
      <w:b/>
      <w:bCs/>
      <w:color w:val="FF0000"/>
      <w:sz w:val="28"/>
      <w:szCs w:val="28"/>
      <w:lang w:val="en-GB" w:eastAsia="en-US"/>
    </w:rPr>
  </w:style>
  <w:style w:type="paragraph" w:styleId="10">
    <w:name w:val="heading 9"/>
    <w:basedOn w:val="1"/>
    <w:next w:val="1"/>
    <w:link w:val="51"/>
    <w:qFormat/>
    <w:uiPriority w:val="99"/>
    <w:pPr>
      <w:keepNext/>
      <w:tabs>
        <w:tab w:val="left" w:pos="1584"/>
        <w:tab w:val="left" w:pos="2070"/>
      </w:tabs>
      <w:ind w:left="1584" w:hanging="1584"/>
      <w:outlineLvl w:val="8"/>
    </w:pPr>
    <w:rPr>
      <w:b/>
      <w:bCs/>
      <w:color w:val="FF0000"/>
      <w:sz w:val="28"/>
      <w:szCs w:val="28"/>
      <w:lang w:val="en-GB" w:eastAsia="en-US"/>
    </w:rPr>
  </w:style>
  <w:style w:type="character" w:default="1" w:styleId="36">
    <w:name w:val="Default Paragraph Font"/>
    <w:unhideWhenUsed/>
    <w:qFormat/>
    <w:uiPriority w:val="1"/>
  </w:style>
  <w:style w:type="table" w:default="1" w:styleId="41">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88"/>
    <w:semiHidden/>
    <w:qFormat/>
    <w:uiPriority w:val="0"/>
    <w:pPr>
      <w:widowControl w:val="0"/>
    </w:pPr>
    <w:rPr>
      <w:b/>
      <w:bCs/>
      <w:kern w:val="2"/>
      <w:sz w:val="21"/>
      <w:szCs w:val="24"/>
    </w:rPr>
  </w:style>
  <w:style w:type="paragraph" w:styleId="12">
    <w:name w:val="annotation text"/>
    <w:basedOn w:val="1"/>
    <w:link w:val="62"/>
    <w:semiHidden/>
    <w:qFormat/>
    <w:uiPriority w:val="0"/>
  </w:style>
  <w:style w:type="paragraph" w:styleId="13">
    <w:name w:val="toc 7"/>
    <w:basedOn w:val="1"/>
    <w:next w:val="1"/>
    <w:semiHidden/>
    <w:uiPriority w:val="99"/>
    <w:pPr>
      <w:ind w:left="1440"/>
    </w:pPr>
    <w:rPr>
      <w:sz w:val="18"/>
      <w:szCs w:val="18"/>
    </w:rPr>
  </w:style>
  <w:style w:type="paragraph" w:styleId="14">
    <w:name w:val="Normal Indent"/>
    <w:basedOn w:val="1"/>
    <w:qFormat/>
    <w:uiPriority w:val="0"/>
    <w:pPr>
      <w:widowControl w:val="0"/>
      <w:ind w:firstLine="420"/>
      <w:jc w:val="both"/>
    </w:pPr>
    <w:rPr>
      <w:kern w:val="2"/>
      <w:sz w:val="21"/>
      <w:szCs w:val="24"/>
    </w:rPr>
  </w:style>
  <w:style w:type="paragraph" w:styleId="15">
    <w:name w:val="Document Map"/>
    <w:basedOn w:val="1"/>
    <w:link w:val="65"/>
    <w:semiHidden/>
    <w:qFormat/>
    <w:uiPriority w:val="0"/>
    <w:pPr>
      <w:shd w:val="clear" w:color="auto" w:fill="000080"/>
    </w:pPr>
    <w:rPr>
      <w:rFonts w:ascii="Tahoma" w:hAnsi="Tahoma" w:cs="Tahoma"/>
      <w:sz w:val="24"/>
      <w:szCs w:val="24"/>
    </w:rPr>
  </w:style>
  <w:style w:type="paragraph" w:styleId="16">
    <w:name w:val="Body Text 3"/>
    <w:basedOn w:val="1"/>
    <w:link w:val="80"/>
    <w:uiPriority w:val="0"/>
    <w:pPr>
      <w:widowControl w:val="0"/>
      <w:tabs>
        <w:tab w:val="left" w:pos="900"/>
        <w:tab w:val="left" w:pos="1440"/>
        <w:tab w:val="left" w:pos="5475"/>
      </w:tabs>
      <w:spacing w:line="360" w:lineRule="auto"/>
      <w:ind w:hanging="28"/>
    </w:pPr>
    <w:rPr>
      <w:rFonts w:ascii="宋体" w:hAnsi="宋体"/>
      <w:kern w:val="2"/>
      <w:sz w:val="24"/>
      <w:szCs w:val="24"/>
    </w:rPr>
  </w:style>
  <w:style w:type="paragraph" w:styleId="17">
    <w:name w:val="Body Text"/>
    <w:basedOn w:val="1"/>
    <w:link w:val="73"/>
    <w:uiPriority w:val="0"/>
    <w:pPr>
      <w:snapToGrid w:val="0"/>
    </w:pPr>
    <w:rPr>
      <w:rFonts w:ascii="Arial" w:hAnsi="Arial" w:cs="Arial"/>
      <w:sz w:val="24"/>
      <w:szCs w:val="24"/>
    </w:rPr>
  </w:style>
  <w:style w:type="paragraph" w:styleId="18">
    <w:name w:val="Body Text Indent"/>
    <w:basedOn w:val="1"/>
    <w:link w:val="57"/>
    <w:qFormat/>
    <w:uiPriority w:val="0"/>
    <w:pPr>
      <w:spacing w:line="360" w:lineRule="auto"/>
      <w:ind w:firstLine="420"/>
      <w:jc w:val="both"/>
    </w:pPr>
    <w:rPr>
      <w:sz w:val="28"/>
      <w:szCs w:val="28"/>
    </w:rPr>
  </w:style>
  <w:style w:type="paragraph" w:styleId="19">
    <w:name w:val="toc 5"/>
    <w:basedOn w:val="1"/>
    <w:next w:val="1"/>
    <w:semiHidden/>
    <w:qFormat/>
    <w:uiPriority w:val="99"/>
    <w:pPr>
      <w:ind w:left="960"/>
    </w:pPr>
    <w:rPr>
      <w:sz w:val="18"/>
      <w:szCs w:val="18"/>
    </w:rPr>
  </w:style>
  <w:style w:type="paragraph" w:styleId="20">
    <w:name w:val="toc 3"/>
    <w:basedOn w:val="1"/>
    <w:next w:val="1"/>
    <w:semiHidden/>
    <w:qFormat/>
    <w:uiPriority w:val="99"/>
    <w:pPr>
      <w:ind w:left="480"/>
    </w:pPr>
    <w:rPr>
      <w:i/>
      <w:iCs/>
    </w:rPr>
  </w:style>
  <w:style w:type="paragraph" w:styleId="21">
    <w:name w:val="Plain Text"/>
    <w:basedOn w:val="1"/>
    <w:link w:val="69"/>
    <w:qFormat/>
    <w:uiPriority w:val="0"/>
    <w:pPr>
      <w:widowControl w:val="0"/>
      <w:jc w:val="both"/>
    </w:pPr>
    <w:rPr>
      <w:rFonts w:ascii="宋体" w:hAnsi="Courier New" w:cs="宋体"/>
      <w:kern w:val="2"/>
      <w:sz w:val="21"/>
      <w:szCs w:val="21"/>
    </w:rPr>
  </w:style>
  <w:style w:type="paragraph" w:styleId="22">
    <w:name w:val="toc 8"/>
    <w:basedOn w:val="1"/>
    <w:next w:val="1"/>
    <w:semiHidden/>
    <w:uiPriority w:val="99"/>
    <w:pPr>
      <w:ind w:left="1680"/>
    </w:pPr>
    <w:rPr>
      <w:sz w:val="18"/>
      <w:szCs w:val="18"/>
    </w:rPr>
  </w:style>
  <w:style w:type="paragraph" w:styleId="23">
    <w:name w:val="Date"/>
    <w:basedOn w:val="1"/>
    <w:next w:val="1"/>
    <w:link w:val="56"/>
    <w:qFormat/>
    <w:uiPriority w:val="0"/>
    <w:pPr>
      <w:jc w:val="both"/>
    </w:pPr>
    <w:rPr>
      <w:sz w:val="28"/>
      <w:szCs w:val="28"/>
    </w:rPr>
  </w:style>
  <w:style w:type="paragraph" w:styleId="24">
    <w:name w:val="Body Text Indent 2"/>
    <w:basedOn w:val="1"/>
    <w:link w:val="60"/>
    <w:qFormat/>
    <w:uiPriority w:val="0"/>
    <w:pPr>
      <w:widowControl w:val="0"/>
      <w:spacing w:line="360" w:lineRule="auto"/>
      <w:ind w:left="1260" w:leftChars="600"/>
      <w:jc w:val="both"/>
    </w:pPr>
    <w:rPr>
      <w:rFonts w:ascii="宋体" w:cs="宋体"/>
      <w:kern w:val="2"/>
      <w:sz w:val="28"/>
      <w:szCs w:val="28"/>
    </w:rPr>
  </w:style>
  <w:style w:type="paragraph" w:styleId="25">
    <w:name w:val="Balloon Text"/>
    <w:basedOn w:val="1"/>
    <w:link w:val="71"/>
    <w:semiHidden/>
    <w:qFormat/>
    <w:uiPriority w:val="0"/>
    <w:rPr>
      <w:sz w:val="18"/>
      <w:szCs w:val="18"/>
    </w:rPr>
  </w:style>
  <w:style w:type="paragraph" w:styleId="26">
    <w:name w:val="footer"/>
    <w:basedOn w:val="1"/>
    <w:link w:val="58"/>
    <w:qFormat/>
    <w:uiPriority w:val="0"/>
    <w:pPr>
      <w:tabs>
        <w:tab w:val="center" w:pos="4153"/>
        <w:tab w:val="right" w:pos="8306"/>
      </w:tabs>
      <w:snapToGrid w:val="0"/>
    </w:pPr>
    <w:rPr>
      <w:sz w:val="18"/>
      <w:szCs w:val="18"/>
    </w:rPr>
  </w:style>
  <w:style w:type="paragraph" w:styleId="27">
    <w:name w:val="header"/>
    <w:basedOn w:val="1"/>
    <w:link w:val="59"/>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semiHidden/>
    <w:qFormat/>
    <w:uiPriority w:val="99"/>
    <w:pPr>
      <w:spacing w:before="120" w:after="120"/>
    </w:pPr>
    <w:rPr>
      <w:b/>
      <w:bCs/>
      <w:caps/>
    </w:rPr>
  </w:style>
  <w:style w:type="paragraph" w:styleId="29">
    <w:name w:val="toc 4"/>
    <w:basedOn w:val="1"/>
    <w:next w:val="1"/>
    <w:semiHidden/>
    <w:qFormat/>
    <w:uiPriority w:val="99"/>
    <w:pPr>
      <w:ind w:left="720"/>
    </w:pPr>
    <w:rPr>
      <w:sz w:val="18"/>
      <w:szCs w:val="18"/>
    </w:rPr>
  </w:style>
  <w:style w:type="paragraph" w:styleId="30">
    <w:name w:val="Subtitle"/>
    <w:basedOn w:val="1"/>
    <w:next w:val="1"/>
    <w:link w:val="90"/>
    <w:qFormat/>
    <w:locked/>
    <w:uiPriority w:val="0"/>
    <w:pPr>
      <w:widowControl w:val="0"/>
      <w:spacing w:before="240" w:after="60" w:line="312" w:lineRule="auto"/>
      <w:jc w:val="center"/>
      <w:outlineLvl w:val="1"/>
    </w:pPr>
    <w:rPr>
      <w:rFonts w:ascii="Cambria" w:hAnsi="Cambria"/>
      <w:b/>
      <w:bCs/>
      <w:kern w:val="28"/>
      <w:sz w:val="32"/>
      <w:szCs w:val="32"/>
    </w:rPr>
  </w:style>
  <w:style w:type="paragraph" w:styleId="31">
    <w:name w:val="toc 6"/>
    <w:basedOn w:val="1"/>
    <w:next w:val="1"/>
    <w:semiHidden/>
    <w:qFormat/>
    <w:uiPriority w:val="99"/>
    <w:pPr>
      <w:ind w:left="1200"/>
    </w:pPr>
    <w:rPr>
      <w:sz w:val="18"/>
      <w:szCs w:val="18"/>
    </w:rPr>
  </w:style>
  <w:style w:type="paragraph" w:styleId="32">
    <w:name w:val="Body Text Indent 3"/>
    <w:basedOn w:val="1"/>
    <w:link w:val="61"/>
    <w:qFormat/>
    <w:uiPriority w:val="99"/>
    <w:pPr>
      <w:spacing w:line="360" w:lineRule="auto"/>
      <w:ind w:left="600"/>
    </w:pPr>
    <w:rPr>
      <w:rFonts w:ascii="宋体" w:cs="宋体"/>
      <w:sz w:val="24"/>
      <w:szCs w:val="24"/>
    </w:rPr>
  </w:style>
  <w:style w:type="paragraph" w:styleId="33">
    <w:name w:val="toc 2"/>
    <w:basedOn w:val="1"/>
    <w:next w:val="1"/>
    <w:semiHidden/>
    <w:qFormat/>
    <w:uiPriority w:val="99"/>
    <w:pPr>
      <w:ind w:left="240"/>
    </w:pPr>
    <w:rPr>
      <w:smallCaps/>
    </w:rPr>
  </w:style>
  <w:style w:type="paragraph" w:styleId="34">
    <w:name w:val="toc 9"/>
    <w:basedOn w:val="1"/>
    <w:next w:val="1"/>
    <w:semiHidden/>
    <w:qFormat/>
    <w:uiPriority w:val="99"/>
    <w:pPr>
      <w:ind w:left="1920"/>
    </w:pPr>
    <w:rPr>
      <w:sz w:val="18"/>
      <w:szCs w:val="18"/>
    </w:rPr>
  </w:style>
  <w:style w:type="paragraph" w:styleId="35">
    <w:name w:val="Body Text 2"/>
    <w:basedOn w:val="1"/>
    <w:link w:val="67"/>
    <w:uiPriority w:val="0"/>
    <w:pPr>
      <w:widowControl w:val="0"/>
      <w:spacing w:line="480" w:lineRule="exact"/>
      <w:jc w:val="both"/>
    </w:pPr>
    <w:rPr>
      <w:rFonts w:ascii="宋体" w:cs="宋体"/>
      <w:kern w:val="2"/>
      <w:sz w:val="24"/>
      <w:szCs w:val="24"/>
    </w:rPr>
  </w:style>
  <w:style w:type="character" w:styleId="37">
    <w:name w:val="page number"/>
    <w:basedOn w:val="36"/>
    <w:qFormat/>
    <w:uiPriority w:val="0"/>
  </w:style>
  <w:style w:type="character" w:styleId="38">
    <w:name w:val="FollowedHyperlink"/>
    <w:basedOn w:val="36"/>
    <w:uiPriority w:val="99"/>
    <w:rPr>
      <w:color w:val="800080"/>
      <w:u w:val="single"/>
    </w:rPr>
  </w:style>
  <w:style w:type="character" w:styleId="39">
    <w:name w:val="Hyperlink"/>
    <w:basedOn w:val="36"/>
    <w:qFormat/>
    <w:uiPriority w:val="0"/>
    <w:rPr>
      <w:color w:val="0000FF"/>
      <w:u w:val="single"/>
    </w:rPr>
  </w:style>
  <w:style w:type="character" w:styleId="40">
    <w:name w:val="annotation reference"/>
    <w:basedOn w:val="36"/>
    <w:semiHidden/>
    <w:qFormat/>
    <w:uiPriority w:val="0"/>
    <w:rPr>
      <w:sz w:val="21"/>
      <w:szCs w:val="21"/>
    </w:rPr>
  </w:style>
  <w:style w:type="table" w:styleId="42">
    <w:name w:val="Table Grid"/>
    <w:basedOn w:val="4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3">
    <w:name w:val="标题 1 Char"/>
    <w:basedOn w:val="36"/>
    <w:link w:val="2"/>
    <w:qFormat/>
    <w:uiPriority w:val="9"/>
    <w:rPr>
      <w:b/>
      <w:bCs/>
      <w:kern w:val="44"/>
      <w:sz w:val="44"/>
      <w:szCs w:val="44"/>
    </w:rPr>
  </w:style>
  <w:style w:type="character" w:customStyle="1" w:styleId="44">
    <w:name w:val="标题 2 Char"/>
    <w:basedOn w:val="36"/>
    <w:link w:val="3"/>
    <w:semiHidden/>
    <w:qFormat/>
    <w:uiPriority w:val="9"/>
    <w:rPr>
      <w:rFonts w:ascii="Cambria" w:hAnsi="Cambria" w:eastAsia="宋体" w:cs="Times New Roman"/>
      <w:b/>
      <w:bCs/>
      <w:kern w:val="0"/>
      <w:sz w:val="32"/>
      <w:szCs w:val="32"/>
    </w:rPr>
  </w:style>
  <w:style w:type="character" w:customStyle="1" w:styleId="45">
    <w:name w:val="标题 3 Char"/>
    <w:basedOn w:val="36"/>
    <w:link w:val="4"/>
    <w:semiHidden/>
    <w:qFormat/>
    <w:uiPriority w:val="9"/>
    <w:rPr>
      <w:b/>
      <w:bCs/>
      <w:kern w:val="0"/>
      <w:sz w:val="32"/>
      <w:szCs w:val="32"/>
    </w:rPr>
  </w:style>
  <w:style w:type="character" w:customStyle="1" w:styleId="46">
    <w:name w:val="标题 4 Char"/>
    <w:basedOn w:val="36"/>
    <w:link w:val="5"/>
    <w:semiHidden/>
    <w:qFormat/>
    <w:uiPriority w:val="9"/>
    <w:rPr>
      <w:rFonts w:ascii="Cambria" w:hAnsi="Cambria" w:eastAsia="宋体" w:cs="Times New Roman"/>
      <w:b/>
      <w:bCs/>
      <w:kern w:val="0"/>
      <w:sz w:val="28"/>
      <w:szCs w:val="28"/>
    </w:rPr>
  </w:style>
  <w:style w:type="character" w:customStyle="1" w:styleId="47">
    <w:name w:val="标题 5 Char"/>
    <w:basedOn w:val="36"/>
    <w:link w:val="6"/>
    <w:semiHidden/>
    <w:qFormat/>
    <w:uiPriority w:val="9"/>
    <w:rPr>
      <w:b/>
      <w:bCs/>
      <w:kern w:val="0"/>
      <w:sz w:val="28"/>
      <w:szCs w:val="28"/>
    </w:rPr>
  </w:style>
  <w:style w:type="character" w:customStyle="1" w:styleId="48">
    <w:name w:val="标题 6 Char"/>
    <w:basedOn w:val="36"/>
    <w:link w:val="7"/>
    <w:semiHidden/>
    <w:qFormat/>
    <w:uiPriority w:val="9"/>
    <w:rPr>
      <w:rFonts w:ascii="Cambria" w:hAnsi="Cambria" w:eastAsia="宋体" w:cs="Times New Roman"/>
      <w:b/>
      <w:bCs/>
      <w:kern w:val="0"/>
      <w:sz w:val="24"/>
      <w:szCs w:val="24"/>
    </w:rPr>
  </w:style>
  <w:style w:type="character" w:customStyle="1" w:styleId="49">
    <w:name w:val="标题 7 Char"/>
    <w:basedOn w:val="36"/>
    <w:link w:val="8"/>
    <w:semiHidden/>
    <w:qFormat/>
    <w:uiPriority w:val="9"/>
    <w:rPr>
      <w:b/>
      <w:bCs/>
      <w:kern w:val="0"/>
      <w:sz w:val="24"/>
      <w:szCs w:val="24"/>
    </w:rPr>
  </w:style>
  <w:style w:type="character" w:customStyle="1" w:styleId="50">
    <w:name w:val="标题 8 Char"/>
    <w:basedOn w:val="36"/>
    <w:link w:val="9"/>
    <w:semiHidden/>
    <w:qFormat/>
    <w:uiPriority w:val="9"/>
    <w:rPr>
      <w:rFonts w:ascii="Cambria" w:hAnsi="Cambria" w:eastAsia="宋体" w:cs="Times New Roman"/>
      <w:kern w:val="0"/>
      <w:sz w:val="24"/>
      <w:szCs w:val="24"/>
    </w:rPr>
  </w:style>
  <w:style w:type="character" w:customStyle="1" w:styleId="51">
    <w:name w:val="标题 9 Char"/>
    <w:basedOn w:val="36"/>
    <w:link w:val="10"/>
    <w:semiHidden/>
    <w:qFormat/>
    <w:uiPriority w:val="9"/>
    <w:rPr>
      <w:rFonts w:ascii="Cambria" w:hAnsi="Cambria" w:eastAsia="宋体" w:cs="Times New Roman"/>
      <w:kern w:val="0"/>
      <w:szCs w:val="21"/>
    </w:rPr>
  </w:style>
  <w:style w:type="character" w:customStyle="1" w:styleId="52">
    <w:name w:val="Char Char3"/>
    <w:basedOn w:val="36"/>
    <w:qFormat/>
    <w:uiPriority w:val="99"/>
    <w:rPr>
      <w:rFonts w:ascii="Arial" w:hAnsi="Arial" w:eastAsia="宋体" w:cs="Arial"/>
      <w:b/>
      <w:bCs/>
      <w:sz w:val="24"/>
      <w:szCs w:val="24"/>
      <w:lang w:val="en-GB" w:eastAsia="en-US"/>
    </w:rPr>
  </w:style>
  <w:style w:type="character" w:customStyle="1" w:styleId="53">
    <w:name w:val="Char Char2"/>
    <w:basedOn w:val="52"/>
    <w:qFormat/>
    <w:uiPriority w:val="99"/>
    <w:rPr>
      <w:rFonts w:ascii="Arial" w:hAnsi="Arial" w:eastAsia="宋体" w:cs="Arial"/>
      <w:sz w:val="32"/>
      <w:szCs w:val="32"/>
      <w:lang w:val="en-US" w:eastAsia="zh-CN"/>
    </w:rPr>
  </w:style>
  <w:style w:type="character" w:customStyle="1" w:styleId="54">
    <w:name w:val="Char Char1"/>
    <w:basedOn w:val="53"/>
    <w:qFormat/>
    <w:uiPriority w:val="99"/>
    <w:rPr>
      <w:rFonts w:ascii="Arial" w:hAnsi="Arial" w:eastAsia="黑体" w:cs="Arial"/>
      <w:sz w:val="28"/>
      <w:szCs w:val="28"/>
      <w:lang w:val="en-US" w:eastAsia="zh-CN"/>
    </w:rPr>
  </w:style>
  <w:style w:type="character" w:customStyle="1" w:styleId="55">
    <w:name w:val="Char Char"/>
    <w:basedOn w:val="54"/>
    <w:qFormat/>
    <w:uiPriority w:val="99"/>
    <w:rPr>
      <w:rFonts w:ascii="Arial" w:hAnsi="Arial" w:eastAsia="宋体" w:cs="Arial"/>
      <w:sz w:val="28"/>
      <w:szCs w:val="28"/>
      <w:lang w:val="en-US" w:eastAsia="zh-CN"/>
    </w:rPr>
  </w:style>
  <w:style w:type="character" w:customStyle="1" w:styleId="56">
    <w:name w:val="日期 Char"/>
    <w:basedOn w:val="36"/>
    <w:link w:val="23"/>
    <w:semiHidden/>
    <w:qFormat/>
    <w:uiPriority w:val="99"/>
    <w:rPr>
      <w:kern w:val="0"/>
      <w:sz w:val="20"/>
      <w:szCs w:val="20"/>
    </w:rPr>
  </w:style>
  <w:style w:type="character" w:customStyle="1" w:styleId="57">
    <w:name w:val="正文文本缩进 Char"/>
    <w:basedOn w:val="36"/>
    <w:link w:val="18"/>
    <w:qFormat/>
    <w:locked/>
    <w:uiPriority w:val="99"/>
    <w:rPr>
      <w:sz w:val="28"/>
      <w:szCs w:val="28"/>
    </w:rPr>
  </w:style>
  <w:style w:type="character" w:customStyle="1" w:styleId="58">
    <w:name w:val="页脚 Char"/>
    <w:basedOn w:val="36"/>
    <w:link w:val="26"/>
    <w:qFormat/>
    <w:locked/>
    <w:uiPriority w:val="99"/>
    <w:rPr>
      <w:sz w:val="18"/>
      <w:szCs w:val="18"/>
    </w:rPr>
  </w:style>
  <w:style w:type="character" w:customStyle="1" w:styleId="59">
    <w:name w:val="页眉 Char"/>
    <w:basedOn w:val="36"/>
    <w:link w:val="27"/>
    <w:qFormat/>
    <w:locked/>
    <w:uiPriority w:val="0"/>
    <w:rPr>
      <w:sz w:val="18"/>
      <w:szCs w:val="18"/>
    </w:rPr>
  </w:style>
  <w:style w:type="character" w:customStyle="1" w:styleId="60">
    <w:name w:val="正文文本缩进 2 Char"/>
    <w:basedOn w:val="36"/>
    <w:link w:val="24"/>
    <w:semiHidden/>
    <w:qFormat/>
    <w:uiPriority w:val="99"/>
    <w:rPr>
      <w:kern w:val="0"/>
      <w:sz w:val="20"/>
      <w:szCs w:val="20"/>
    </w:rPr>
  </w:style>
  <w:style w:type="character" w:customStyle="1" w:styleId="61">
    <w:name w:val="正文文本缩进 3 Char"/>
    <w:basedOn w:val="36"/>
    <w:link w:val="32"/>
    <w:semiHidden/>
    <w:qFormat/>
    <w:uiPriority w:val="99"/>
    <w:rPr>
      <w:kern w:val="0"/>
      <w:sz w:val="16"/>
      <w:szCs w:val="16"/>
    </w:rPr>
  </w:style>
  <w:style w:type="character" w:customStyle="1" w:styleId="62">
    <w:name w:val="批注文字 Char"/>
    <w:basedOn w:val="36"/>
    <w:link w:val="12"/>
    <w:qFormat/>
    <w:uiPriority w:val="0"/>
    <w:rPr>
      <w:kern w:val="0"/>
      <w:sz w:val="20"/>
      <w:szCs w:val="20"/>
    </w:rPr>
  </w:style>
  <w:style w:type="paragraph" w:customStyle="1" w:styleId="63">
    <w:name w:val="正文文本 21"/>
    <w:basedOn w:val="1"/>
    <w:qFormat/>
    <w:uiPriority w:val="99"/>
    <w:pPr>
      <w:adjustRightInd w:val="0"/>
      <w:spacing w:line="360" w:lineRule="auto"/>
      <w:textAlignment w:val="baseline"/>
    </w:pPr>
    <w:rPr>
      <w:sz w:val="30"/>
      <w:szCs w:val="30"/>
    </w:rPr>
  </w:style>
  <w:style w:type="paragraph" w:customStyle="1" w:styleId="64">
    <w:name w:val="xl48"/>
    <w:basedOn w:val="1"/>
    <w:qFormat/>
    <w:uiPriority w:val="99"/>
    <w:pPr>
      <w:pBdr>
        <w:left w:val="single" w:color="auto" w:sz="4" w:space="0"/>
        <w:bottom w:val="single" w:color="auto" w:sz="4" w:space="0"/>
      </w:pBdr>
      <w:spacing w:before="100" w:beforeAutospacing="1" w:after="100" w:afterAutospacing="1"/>
      <w:textAlignment w:val="center"/>
    </w:pPr>
    <w:rPr>
      <w:rFonts w:ascii="Arial Unicode MS" w:hAnsi="Arial Unicode MS" w:eastAsia="Arial Unicode MS" w:cs="Arial Unicode MS"/>
      <w:b/>
      <w:bCs/>
      <w:sz w:val="24"/>
      <w:szCs w:val="24"/>
      <w:lang w:eastAsia="en-US"/>
    </w:rPr>
  </w:style>
  <w:style w:type="character" w:customStyle="1" w:styleId="65">
    <w:name w:val="文档结构图 Char"/>
    <w:basedOn w:val="36"/>
    <w:link w:val="15"/>
    <w:semiHidden/>
    <w:qFormat/>
    <w:uiPriority w:val="99"/>
    <w:rPr>
      <w:kern w:val="0"/>
      <w:sz w:val="0"/>
      <w:szCs w:val="0"/>
    </w:rPr>
  </w:style>
  <w:style w:type="paragraph" w:customStyle="1" w:styleId="66">
    <w:name w:val="Textkörper zusammenhalten"/>
    <w:basedOn w:val="1"/>
    <w:qFormat/>
    <w:uiPriority w:val="99"/>
    <w:pPr>
      <w:keepNext/>
      <w:spacing w:after="240"/>
      <w:jc w:val="both"/>
    </w:pPr>
    <w:rPr>
      <w:rFonts w:ascii="Garamond" w:hAnsi="Garamond" w:cs="Garamond"/>
      <w:spacing w:val="-5"/>
      <w:sz w:val="24"/>
      <w:szCs w:val="24"/>
      <w:lang w:val="de-DE" w:eastAsia="en-US"/>
    </w:rPr>
  </w:style>
  <w:style w:type="character" w:customStyle="1" w:styleId="67">
    <w:name w:val="正文文本 2 Char"/>
    <w:basedOn w:val="36"/>
    <w:link w:val="35"/>
    <w:semiHidden/>
    <w:qFormat/>
    <w:uiPriority w:val="99"/>
    <w:rPr>
      <w:kern w:val="0"/>
      <w:sz w:val="20"/>
      <w:szCs w:val="20"/>
    </w:rPr>
  </w:style>
  <w:style w:type="paragraph" w:customStyle="1" w:styleId="68">
    <w:name w:val="Heading Base"/>
    <w:basedOn w:val="1"/>
    <w:next w:val="1"/>
    <w:qFormat/>
    <w:uiPriority w:val="99"/>
    <w:pPr>
      <w:keepNext/>
      <w:keepLines/>
      <w:spacing w:before="140" w:line="220" w:lineRule="atLeast"/>
      <w:ind w:left="1080"/>
    </w:pPr>
    <w:rPr>
      <w:rFonts w:ascii="Arial" w:hAnsi="Arial" w:cs="Arial"/>
      <w:spacing w:val="-4"/>
      <w:kern w:val="28"/>
      <w:sz w:val="22"/>
      <w:szCs w:val="22"/>
      <w:lang w:eastAsia="en-US"/>
    </w:rPr>
  </w:style>
  <w:style w:type="character" w:customStyle="1" w:styleId="69">
    <w:name w:val="纯文本 Char"/>
    <w:basedOn w:val="36"/>
    <w:link w:val="21"/>
    <w:uiPriority w:val="0"/>
    <w:rPr>
      <w:rFonts w:ascii="宋体" w:hAnsi="Courier New" w:cs="Courier New"/>
      <w:kern w:val="0"/>
      <w:szCs w:val="21"/>
    </w:rPr>
  </w:style>
  <w:style w:type="paragraph" w:customStyle="1" w:styleId="70">
    <w:name w:val="Body Text 21"/>
    <w:basedOn w:val="1"/>
    <w:uiPriority w:val="99"/>
    <w:pPr>
      <w:adjustRightInd w:val="0"/>
      <w:spacing w:line="360" w:lineRule="auto"/>
      <w:textAlignment w:val="baseline"/>
    </w:pPr>
    <w:rPr>
      <w:sz w:val="30"/>
      <w:szCs w:val="30"/>
    </w:rPr>
  </w:style>
  <w:style w:type="character" w:customStyle="1" w:styleId="71">
    <w:name w:val="批注框文本 Char"/>
    <w:basedOn w:val="36"/>
    <w:link w:val="25"/>
    <w:semiHidden/>
    <w:qFormat/>
    <w:uiPriority w:val="99"/>
    <w:rPr>
      <w:kern w:val="0"/>
      <w:sz w:val="0"/>
      <w:szCs w:val="0"/>
    </w:rPr>
  </w:style>
  <w:style w:type="paragraph" w:customStyle="1" w:styleId="72">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73">
    <w:name w:val="正文文本 Char"/>
    <w:basedOn w:val="36"/>
    <w:link w:val="17"/>
    <w:semiHidden/>
    <w:uiPriority w:val="99"/>
    <w:rPr>
      <w:kern w:val="0"/>
      <w:sz w:val="20"/>
      <w:szCs w:val="20"/>
    </w:rPr>
  </w:style>
  <w:style w:type="paragraph" w:customStyle="1" w:styleId="74">
    <w:name w:val="Char Char Char"/>
    <w:basedOn w:val="1"/>
    <w:uiPriority w:val="99"/>
    <w:pPr>
      <w:widowControl w:val="0"/>
      <w:jc w:val="both"/>
    </w:pPr>
    <w:rPr>
      <w:rFonts w:ascii="Tahoma" w:hAnsi="Tahoma" w:cs="Tahoma"/>
      <w:kern w:val="2"/>
      <w:sz w:val="24"/>
      <w:szCs w:val="24"/>
    </w:rPr>
  </w:style>
  <w:style w:type="paragraph" w:customStyle="1" w:styleId="75">
    <w:name w:val="font10"/>
    <w:basedOn w:val="1"/>
    <w:uiPriority w:val="99"/>
    <w:pPr>
      <w:spacing w:before="100" w:beforeAutospacing="1" w:after="100" w:afterAutospacing="1"/>
    </w:pPr>
    <w:rPr>
      <w:rFonts w:eastAsia="Arial Unicode MS"/>
      <w:color w:val="FF0000"/>
    </w:rPr>
  </w:style>
  <w:style w:type="paragraph" w:customStyle="1" w:styleId="76">
    <w:name w:val="xl51"/>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77">
    <w:name w:val="No Spacing"/>
    <w:link w:val="78"/>
    <w:qFormat/>
    <w:uiPriority w:val="99"/>
    <w:rPr>
      <w:rFonts w:ascii="Calibri" w:hAnsi="Calibri" w:eastAsia="宋体" w:cs="Calibri"/>
      <w:sz w:val="22"/>
      <w:szCs w:val="22"/>
      <w:lang w:val="en-US" w:eastAsia="zh-CN" w:bidi="ar-SA"/>
    </w:rPr>
  </w:style>
  <w:style w:type="character" w:customStyle="1" w:styleId="78">
    <w:name w:val="无间隔 Char"/>
    <w:basedOn w:val="36"/>
    <w:link w:val="77"/>
    <w:qFormat/>
    <w:locked/>
    <w:uiPriority w:val="99"/>
    <w:rPr>
      <w:rFonts w:ascii="Calibri" w:hAnsi="Calibri" w:cs="Calibri"/>
      <w:sz w:val="22"/>
      <w:szCs w:val="22"/>
      <w:lang w:val="en-US" w:eastAsia="zh-CN" w:bidi="ar-SA"/>
    </w:rPr>
  </w:style>
  <w:style w:type="paragraph" w:customStyle="1" w:styleId="79">
    <w:name w:val="List Paragraph"/>
    <w:basedOn w:val="1"/>
    <w:qFormat/>
    <w:uiPriority w:val="34"/>
    <w:pPr>
      <w:ind w:firstLine="420" w:firstLineChars="200"/>
    </w:pPr>
  </w:style>
  <w:style w:type="character" w:customStyle="1" w:styleId="80">
    <w:name w:val="正文文本 3 Char"/>
    <w:basedOn w:val="36"/>
    <w:link w:val="16"/>
    <w:qFormat/>
    <w:uiPriority w:val="0"/>
    <w:rPr>
      <w:rFonts w:ascii="宋体" w:hAnsi="宋体"/>
      <w:kern w:val="2"/>
      <w:sz w:val="24"/>
      <w:szCs w:val="24"/>
    </w:rPr>
  </w:style>
  <w:style w:type="paragraph" w:customStyle="1" w:styleId="81">
    <w:name w:val="正文文本4"/>
    <w:basedOn w:val="1"/>
    <w:qFormat/>
    <w:uiPriority w:val="0"/>
    <w:pPr>
      <w:widowControl w:val="0"/>
      <w:tabs>
        <w:tab w:val="left" w:pos="3141"/>
      </w:tabs>
      <w:spacing w:line="360" w:lineRule="auto"/>
      <w:ind w:left="2551" w:hanging="850"/>
      <w:jc w:val="both"/>
    </w:pPr>
    <w:rPr>
      <w:rFonts w:ascii="宋体" w:hAnsi="宋体" w:cs="宋体"/>
      <w:kern w:val="2"/>
      <w:sz w:val="24"/>
    </w:rPr>
  </w:style>
  <w:style w:type="paragraph" w:customStyle="1" w:styleId="82">
    <w:name w:val="样式 正文文本 + 段前: 0.5 行 段后: 0.5 行3"/>
    <w:basedOn w:val="17"/>
    <w:link w:val="83"/>
    <w:qFormat/>
    <w:uiPriority w:val="0"/>
    <w:pPr>
      <w:widowControl w:val="0"/>
      <w:tabs>
        <w:tab w:val="left" w:pos="567"/>
      </w:tabs>
      <w:snapToGrid/>
      <w:spacing w:line="360" w:lineRule="auto"/>
      <w:ind w:left="567" w:hanging="567"/>
      <w:jc w:val="both"/>
    </w:pPr>
    <w:rPr>
      <w:rFonts w:ascii="Times New Roman" w:hAnsi="Times New Roman" w:cs="宋体"/>
      <w:kern w:val="2"/>
      <w:szCs w:val="20"/>
    </w:rPr>
  </w:style>
  <w:style w:type="character" w:customStyle="1" w:styleId="83">
    <w:name w:val="样式 正文文本 + 段前: 0.5 行 段后: 0.5 行3 Char"/>
    <w:basedOn w:val="73"/>
    <w:link w:val="82"/>
    <w:qFormat/>
    <w:uiPriority w:val="0"/>
    <w:rPr>
      <w:rFonts w:cs="宋体"/>
      <w:kern w:val="2"/>
      <w:sz w:val="24"/>
      <w:szCs w:val="20"/>
    </w:rPr>
  </w:style>
  <w:style w:type="paragraph" w:customStyle="1" w:styleId="84">
    <w:name w:val="样式 段前: 0.5 行 段后: 0.5 行"/>
    <w:basedOn w:val="1"/>
    <w:qFormat/>
    <w:uiPriority w:val="0"/>
    <w:pPr>
      <w:widowControl w:val="0"/>
      <w:spacing w:line="360" w:lineRule="auto"/>
      <w:ind w:left="480" w:leftChars="200" w:firstLine="240" w:firstLineChars="100"/>
      <w:jc w:val="both"/>
    </w:pPr>
    <w:rPr>
      <w:rFonts w:ascii="宋体" w:hAnsi="宋体" w:cs="宋体"/>
      <w:kern w:val="2"/>
      <w:sz w:val="24"/>
    </w:rPr>
  </w:style>
  <w:style w:type="paragraph" w:customStyle="1" w:styleId="85">
    <w:name w:val="正文1"/>
    <w:basedOn w:val="1"/>
    <w:qFormat/>
    <w:uiPriority w:val="0"/>
    <w:pPr>
      <w:widowControl w:val="0"/>
      <w:adjustRightInd w:val="0"/>
      <w:spacing w:before="60" w:after="60" w:line="360" w:lineRule="auto"/>
      <w:jc w:val="both"/>
      <w:textAlignment w:val="baseline"/>
    </w:pPr>
    <w:rPr>
      <w:rFonts w:ascii="Arial" w:hAnsi="Arial"/>
      <w:kern w:val="2"/>
      <w:sz w:val="21"/>
    </w:rPr>
  </w:style>
  <w:style w:type="character" w:customStyle="1" w:styleId="86">
    <w:name w:val="영어만"/>
    <w:basedOn w:val="36"/>
    <w:qFormat/>
    <w:uiPriority w:val="0"/>
    <w:rPr>
      <w:rFonts w:ascii="Times New Roman" w:hAnsi="Times New Roman"/>
      <w:sz w:val="24"/>
    </w:rPr>
  </w:style>
  <w:style w:type="paragraph" w:customStyle="1" w:styleId="87">
    <w:name w:val="Char Char Char Char Char Char Char Char Char Char"/>
    <w:basedOn w:val="1"/>
    <w:qFormat/>
    <w:uiPriority w:val="0"/>
    <w:pPr>
      <w:widowControl w:val="0"/>
      <w:jc w:val="both"/>
    </w:pPr>
    <w:rPr>
      <w:rFonts w:ascii="Tahoma" w:hAnsi="Tahoma"/>
      <w:kern w:val="2"/>
      <w:sz w:val="24"/>
    </w:rPr>
  </w:style>
  <w:style w:type="character" w:customStyle="1" w:styleId="88">
    <w:name w:val="批注主题 Char"/>
    <w:basedOn w:val="62"/>
    <w:link w:val="11"/>
    <w:semiHidden/>
    <w:qFormat/>
    <w:uiPriority w:val="0"/>
    <w:rPr>
      <w:b/>
      <w:bCs/>
      <w:kern w:val="2"/>
      <w:sz w:val="21"/>
      <w:szCs w:val="24"/>
    </w:rPr>
  </w:style>
  <w:style w:type="character" w:customStyle="1" w:styleId="89">
    <w:name w:val="22"/>
    <w:basedOn w:val="36"/>
    <w:qFormat/>
    <w:uiPriority w:val="0"/>
    <w:rPr>
      <w:rFonts w:hint="default" w:ascii="Times New Roman" w:hAnsi="Times New Roman" w:cs="Times New Roman"/>
      <w:sz w:val="24"/>
    </w:rPr>
  </w:style>
  <w:style w:type="character" w:customStyle="1" w:styleId="90">
    <w:name w:val="副标题 Char"/>
    <w:basedOn w:val="36"/>
    <w:link w:val="30"/>
    <w:qFormat/>
    <w:uiPriority w:val="0"/>
    <w:rPr>
      <w:rFonts w:ascii="Cambria" w:hAnsi="Cambria"/>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7544A7-C7F6-4864-A4F2-9064F96C91F0}">
  <ds:schemaRefs/>
</ds:datastoreItem>
</file>

<file path=docProps/app.xml><?xml version="1.0" encoding="utf-8"?>
<Properties xmlns="http://schemas.openxmlformats.org/officeDocument/2006/extended-properties" xmlns:vt="http://schemas.openxmlformats.org/officeDocument/2006/docPropsVTypes">
  <Template>Normal</Template>
  <Company>微软（中国）有限公司</Company>
  <Pages>17</Pages>
  <Words>1826</Words>
  <Characters>10412</Characters>
  <Lines>86</Lines>
  <Paragraphs>24</Paragraphs>
  <TotalTime>0</TotalTime>
  <ScaleCrop>false</ScaleCrop>
  <LinksUpToDate>false</LinksUpToDate>
  <CharactersWithSpaces>12214</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2016-12-22T02:59:00Z</dcterms:created>
  <dc:creator>微软（中国）有限公司</dc:creator>
  <cp:lastModifiedBy>yyp</cp:lastModifiedBy>
  <cp:lastPrinted>2011-09-09T01:10:00Z</cp:lastPrinted>
  <dcterms:modified xsi:type="dcterms:W3CDTF">2016-12-29T03:03:33Z</dcterms:modified>
  <dc:title>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