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079" w:leftChars="-171" w:right="-535" w:rightChars="-255" w:hanging="1438" w:hangingChars="398"/>
        <w:jc w:val="center"/>
        <w:rPr>
          <w:rFonts w:ascii="楷体_GB2312" w:eastAsia="楷体_GB2312"/>
          <w:b/>
          <w:sz w:val="36"/>
          <w:szCs w:val="36"/>
        </w:rPr>
      </w:pPr>
    </w:p>
    <w:p>
      <w:pPr>
        <w:pStyle w:val="11"/>
        <w:shd w:val="clear" w:color="auto" w:fill="FFFFFF"/>
        <w:spacing w:before="0" w:beforeAutospacing="0" w:after="0" w:afterAutospacing="0" w:line="480" w:lineRule="atLeast"/>
        <w:ind w:firstLine="480"/>
        <w:jc w:val="center"/>
        <w:textAlignment w:val="baseline"/>
        <w:rPr>
          <w:color w:val="333333"/>
          <w:sz w:val="36"/>
          <w:szCs w:val="36"/>
        </w:rPr>
      </w:pPr>
      <w:bookmarkStart w:id="0" w:name="_Toc184635070"/>
      <w:bookmarkStart w:id="1" w:name="_Toc215567415"/>
      <w:r>
        <w:rPr>
          <w:rFonts w:hint="eastAsia" w:ascii="Arial" w:hAnsi="Arial" w:cs="Arial"/>
          <w:sz w:val="36"/>
          <w:szCs w:val="36"/>
        </w:rPr>
        <w:t>涂装车间（一期）电力负荷调配项目</w:t>
      </w:r>
    </w:p>
    <w:p>
      <w:pPr>
        <w:pStyle w:val="11"/>
        <w:shd w:val="clear" w:color="auto" w:fill="FFFFFF"/>
        <w:spacing w:before="0" w:beforeAutospacing="0" w:after="0" w:afterAutospacing="0" w:line="480" w:lineRule="atLeast"/>
        <w:ind w:firstLine="480"/>
        <w:jc w:val="center"/>
        <w:textAlignment w:val="baseline"/>
        <w:rPr>
          <w:color w:val="333333"/>
          <w:sz w:val="84"/>
          <w:szCs w:val="84"/>
        </w:rPr>
      </w:pPr>
    </w:p>
    <w:p>
      <w:pPr>
        <w:pStyle w:val="11"/>
        <w:shd w:val="clear" w:color="auto" w:fill="FFFFFF"/>
        <w:spacing w:before="0" w:beforeAutospacing="0" w:after="0" w:afterAutospacing="0" w:line="480" w:lineRule="atLeast"/>
        <w:ind w:firstLine="480"/>
        <w:jc w:val="center"/>
        <w:textAlignment w:val="baseline"/>
        <w:rPr>
          <w:color w:val="333333"/>
          <w:sz w:val="84"/>
          <w:szCs w:val="84"/>
        </w:rPr>
      </w:pPr>
    </w:p>
    <w:p>
      <w:pPr>
        <w:pStyle w:val="11"/>
        <w:shd w:val="clear" w:color="auto" w:fill="FFFFFF"/>
        <w:spacing w:before="0" w:beforeAutospacing="0" w:after="0" w:afterAutospacing="0" w:line="480" w:lineRule="atLeast"/>
        <w:ind w:firstLine="480"/>
        <w:jc w:val="center"/>
        <w:textAlignment w:val="baseline"/>
        <w:rPr>
          <w:color w:val="333333"/>
          <w:sz w:val="84"/>
          <w:szCs w:val="84"/>
        </w:rPr>
      </w:pPr>
      <w:r>
        <w:rPr>
          <w:rFonts w:hint="eastAsia"/>
          <w:color w:val="333333"/>
          <w:sz w:val="84"/>
          <w:szCs w:val="84"/>
        </w:rPr>
        <w:t>招</w:t>
      </w:r>
    </w:p>
    <w:p>
      <w:pPr>
        <w:pStyle w:val="11"/>
        <w:shd w:val="clear" w:color="auto" w:fill="FFFFFF"/>
        <w:spacing w:before="0" w:beforeAutospacing="0" w:after="0" w:afterAutospacing="0" w:line="480" w:lineRule="atLeast"/>
        <w:ind w:firstLine="480"/>
        <w:jc w:val="center"/>
        <w:textAlignment w:val="baseline"/>
        <w:rPr>
          <w:color w:val="333333"/>
          <w:sz w:val="84"/>
          <w:szCs w:val="84"/>
        </w:rPr>
      </w:pPr>
    </w:p>
    <w:p>
      <w:pPr>
        <w:pStyle w:val="11"/>
        <w:shd w:val="clear" w:color="auto" w:fill="FFFFFF"/>
        <w:spacing w:before="0" w:beforeAutospacing="0" w:after="0" w:afterAutospacing="0" w:line="480" w:lineRule="atLeast"/>
        <w:ind w:firstLine="480"/>
        <w:jc w:val="center"/>
        <w:textAlignment w:val="baseline"/>
        <w:rPr>
          <w:color w:val="333333"/>
          <w:sz w:val="84"/>
          <w:szCs w:val="84"/>
        </w:rPr>
      </w:pPr>
      <w:r>
        <w:rPr>
          <w:rFonts w:hint="eastAsia"/>
          <w:color w:val="333333"/>
          <w:sz w:val="84"/>
          <w:szCs w:val="84"/>
        </w:rPr>
        <w:t>标</w:t>
      </w:r>
    </w:p>
    <w:p>
      <w:pPr>
        <w:pStyle w:val="11"/>
        <w:shd w:val="clear" w:color="auto" w:fill="FFFFFF"/>
        <w:spacing w:before="0" w:beforeAutospacing="0" w:after="0" w:afterAutospacing="0" w:line="480" w:lineRule="atLeast"/>
        <w:ind w:firstLine="480"/>
        <w:jc w:val="center"/>
        <w:textAlignment w:val="baseline"/>
        <w:rPr>
          <w:color w:val="333333"/>
          <w:sz w:val="84"/>
          <w:szCs w:val="84"/>
        </w:rPr>
      </w:pPr>
    </w:p>
    <w:p>
      <w:pPr>
        <w:pStyle w:val="11"/>
        <w:shd w:val="clear" w:color="auto" w:fill="FFFFFF"/>
        <w:spacing w:before="0" w:beforeAutospacing="0" w:after="0" w:afterAutospacing="0" w:line="480" w:lineRule="atLeast"/>
        <w:ind w:firstLine="480"/>
        <w:jc w:val="center"/>
        <w:textAlignment w:val="baseline"/>
        <w:rPr>
          <w:color w:val="333333"/>
          <w:sz w:val="84"/>
          <w:szCs w:val="84"/>
        </w:rPr>
      </w:pPr>
      <w:r>
        <w:rPr>
          <w:rFonts w:hint="eastAsia"/>
          <w:color w:val="333333"/>
          <w:sz w:val="84"/>
          <w:szCs w:val="84"/>
        </w:rPr>
        <w:t>文</w:t>
      </w:r>
    </w:p>
    <w:p>
      <w:pPr>
        <w:pStyle w:val="11"/>
        <w:shd w:val="clear" w:color="auto" w:fill="FFFFFF"/>
        <w:spacing w:before="0" w:beforeAutospacing="0" w:after="0" w:afterAutospacing="0" w:line="480" w:lineRule="atLeast"/>
        <w:ind w:firstLine="480"/>
        <w:jc w:val="center"/>
        <w:textAlignment w:val="baseline"/>
        <w:rPr>
          <w:color w:val="333333"/>
          <w:sz w:val="84"/>
          <w:szCs w:val="84"/>
        </w:rPr>
      </w:pPr>
    </w:p>
    <w:p>
      <w:pPr>
        <w:pStyle w:val="11"/>
        <w:shd w:val="clear" w:color="auto" w:fill="FFFFFF"/>
        <w:spacing w:before="0" w:beforeAutospacing="0" w:after="0" w:afterAutospacing="0" w:line="480" w:lineRule="atLeast"/>
        <w:ind w:firstLine="480"/>
        <w:jc w:val="center"/>
        <w:textAlignment w:val="baseline"/>
        <w:rPr>
          <w:color w:val="333333"/>
          <w:sz w:val="84"/>
          <w:szCs w:val="84"/>
        </w:rPr>
      </w:pPr>
      <w:r>
        <w:rPr>
          <w:rFonts w:hint="eastAsia"/>
          <w:color w:val="333333"/>
          <w:sz w:val="84"/>
          <w:szCs w:val="84"/>
        </w:rPr>
        <w:t>件</w:t>
      </w:r>
    </w:p>
    <w:p>
      <w:pPr>
        <w:pStyle w:val="11"/>
        <w:shd w:val="clear" w:color="auto" w:fill="FFFFFF"/>
        <w:spacing w:before="0" w:beforeAutospacing="0" w:after="0" w:afterAutospacing="0" w:line="480" w:lineRule="atLeast"/>
        <w:ind w:firstLine="2280" w:firstLineChars="950"/>
        <w:textAlignment w:val="baseline"/>
        <w:rPr>
          <w:color w:val="333333"/>
        </w:rPr>
      </w:pPr>
      <w:r>
        <w:rPr>
          <w:rFonts w:hint="eastAsia"/>
          <w:color w:val="333333"/>
        </w:rPr>
        <w:t>招标单位：重庆力帆乘用车有限公司</w:t>
      </w:r>
    </w:p>
    <w:p>
      <w:pPr>
        <w:pStyle w:val="11"/>
        <w:shd w:val="clear" w:color="auto" w:fill="FFFFFF"/>
        <w:spacing w:before="0" w:beforeAutospacing="0" w:after="0" w:afterAutospacing="0" w:line="480" w:lineRule="atLeast"/>
        <w:ind w:firstLine="2280" w:firstLineChars="950"/>
        <w:textAlignment w:val="baseline"/>
        <w:rPr>
          <w:color w:val="333333"/>
        </w:rPr>
      </w:pPr>
      <w:r>
        <w:rPr>
          <w:rFonts w:hint="eastAsia"/>
          <w:color w:val="333333"/>
        </w:rPr>
        <w:t xml:space="preserve">发放日期：2017年9月 </w:t>
      </w:r>
      <w:r>
        <w:rPr>
          <w:rFonts w:hint="eastAsia"/>
          <w:color w:val="333333"/>
          <w:lang w:val="en-US" w:eastAsia="zh-CN"/>
        </w:rPr>
        <w:t>21</w:t>
      </w:r>
      <w:bookmarkStart w:id="22" w:name="_GoBack"/>
      <w:bookmarkEnd w:id="22"/>
      <w:r>
        <w:rPr>
          <w:rFonts w:hint="eastAsia"/>
          <w:color w:val="333333"/>
        </w:rPr>
        <w:t>日</w:t>
      </w:r>
    </w:p>
    <w:p>
      <w:pPr>
        <w:pStyle w:val="11"/>
        <w:shd w:val="clear" w:color="auto" w:fill="FFFFFF"/>
        <w:spacing w:before="0" w:beforeAutospacing="0" w:after="0" w:afterAutospacing="0" w:line="480" w:lineRule="atLeast"/>
        <w:ind w:firstLine="480"/>
        <w:textAlignment w:val="baseline"/>
        <w:rPr>
          <w:color w:val="333333"/>
        </w:rPr>
      </w:pPr>
    </w:p>
    <w:p>
      <w:pPr>
        <w:pStyle w:val="11"/>
        <w:shd w:val="clear" w:color="auto" w:fill="FFFFFF"/>
        <w:spacing w:before="0" w:beforeAutospacing="0" w:after="0" w:afterAutospacing="0" w:line="480" w:lineRule="atLeast"/>
        <w:ind w:firstLine="480"/>
        <w:textAlignment w:val="baseline"/>
        <w:rPr>
          <w:color w:val="333333"/>
        </w:rPr>
      </w:pPr>
    </w:p>
    <w:p>
      <w:pPr>
        <w:spacing w:line="360" w:lineRule="auto"/>
        <w:rPr>
          <w:rFonts w:ascii="宋体" w:hAnsi="宋体"/>
          <w:b/>
          <w:sz w:val="28"/>
          <w:szCs w:val="28"/>
        </w:rPr>
      </w:pPr>
    </w:p>
    <w:p>
      <w:pPr>
        <w:pStyle w:val="6"/>
        <w:spacing w:line="360" w:lineRule="auto"/>
        <w:ind w:left="0" w:leftChars="0"/>
        <w:jc w:val="center"/>
        <w:rPr>
          <w:rFonts w:ascii="楷体_GB2312" w:hAnsi="宋体" w:eastAsia="楷体_GB2312"/>
          <w:b/>
          <w:bCs/>
          <w:sz w:val="32"/>
          <w:szCs w:val="44"/>
        </w:rPr>
      </w:pPr>
      <w:r>
        <w:rPr>
          <w:rFonts w:hint="eastAsia" w:ascii="楷体_GB2312" w:hAnsi="宋体" w:eastAsia="楷体_GB2312"/>
          <w:b/>
          <w:bCs/>
          <w:sz w:val="32"/>
          <w:szCs w:val="44"/>
        </w:rPr>
        <w:t>目  录</w:t>
      </w:r>
    </w:p>
    <w:p>
      <w:pPr>
        <w:pStyle w:val="10"/>
        <w:rPr>
          <w:rStyle w:val="14"/>
        </w:rPr>
      </w:pPr>
      <w:r>
        <w:rPr>
          <w:rStyle w:val="14"/>
          <w:rFonts w:hint="eastAsia"/>
        </w:rPr>
        <w:t>邀请书</w:t>
      </w:r>
      <w:r>
        <w:rPr>
          <w:rStyle w:val="14"/>
        </w:rPr>
        <w:tab/>
      </w:r>
      <w:r>
        <w:rPr>
          <w:rFonts w:hint="eastAsia"/>
        </w:rPr>
        <w:t>3</w:t>
      </w:r>
    </w:p>
    <w:p>
      <w:pPr>
        <w:pStyle w:val="9"/>
        <w:ind w:firstLine="0" w:firstLineChars="0"/>
        <w:jc w:val="both"/>
        <w:rPr>
          <w:b/>
          <w:sz w:val="24"/>
        </w:rPr>
      </w:pPr>
      <w:r>
        <w:fldChar w:fldCharType="begin"/>
      </w:r>
      <w:r>
        <w:instrText xml:space="preserve"> HYPERLINK \l "_Toc184704674" </w:instrText>
      </w:r>
      <w:r>
        <w:fldChar w:fldCharType="separate"/>
      </w:r>
      <w:r>
        <w:rPr>
          <w:rFonts w:hint="eastAsia" w:ascii="宋体" w:hAnsi="宋体"/>
          <w:b/>
          <w:sz w:val="24"/>
        </w:rPr>
        <w:t>第一章</w:t>
      </w:r>
      <w:r>
        <w:rPr>
          <w:rStyle w:val="14"/>
          <w:rFonts w:hint="eastAsia"/>
          <w:b/>
          <w:sz w:val="24"/>
        </w:rPr>
        <w:t xml:space="preserve"> </w:t>
      </w:r>
      <w:r>
        <w:rPr>
          <w:rFonts w:hint="eastAsia" w:ascii="宋体" w:hAnsi="宋体"/>
          <w:b/>
          <w:sz w:val="24"/>
        </w:rPr>
        <w:t>投标人须知</w:t>
      </w:r>
      <w:r>
        <w:rPr>
          <w:b/>
          <w:sz w:val="24"/>
        </w:rPr>
        <w:tab/>
      </w:r>
      <w:r>
        <w:rPr>
          <w:b/>
          <w:sz w:val="24"/>
        </w:rPr>
        <w:fldChar w:fldCharType="end"/>
      </w:r>
      <w:r>
        <w:rPr>
          <w:rFonts w:hint="eastAsia"/>
          <w:b/>
        </w:rPr>
        <w:t>4</w:t>
      </w:r>
    </w:p>
    <w:p>
      <w:pPr>
        <w:pStyle w:val="10"/>
      </w:pPr>
      <w:r>
        <w:fldChar w:fldCharType="begin"/>
      </w:r>
      <w:r>
        <w:instrText xml:space="preserve"> HYPERLINK \l "_Toc184704675" </w:instrText>
      </w:r>
      <w:r>
        <w:fldChar w:fldCharType="separate"/>
      </w:r>
      <w:r>
        <w:rPr>
          <w:rFonts w:hint="eastAsia" w:ascii="宋体" w:hAnsi="宋体"/>
        </w:rPr>
        <w:t>投标人须知前附表</w:t>
      </w:r>
      <w:r>
        <w:rPr>
          <w:rStyle w:val="14"/>
        </w:rPr>
        <w:tab/>
      </w:r>
      <w:r>
        <w:rPr>
          <w:rStyle w:val="14"/>
        </w:rPr>
        <w:fldChar w:fldCharType="end"/>
      </w:r>
      <w:r>
        <w:rPr>
          <w:rFonts w:hint="eastAsia"/>
        </w:rPr>
        <w:t>5</w:t>
      </w:r>
    </w:p>
    <w:p>
      <w:pPr>
        <w:pStyle w:val="10"/>
      </w:pPr>
      <w:r>
        <w:fldChar w:fldCharType="begin"/>
      </w:r>
      <w:r>
        <w:instrText xml:space="preserve"> HYPERLINK \l "_Toc184704676" </w:instrText>
      </w:r>
      <w:r>
        <w:fldChar w:fldCharType="separate"/>
      </w:r>
      <w:r>
        <w:rPr>
          <w:rFonts w:hint="eastAsia"/>
        </w:rPr>
        <w:t>1.总则</w:t>
      </w:r>
      <w:r>
        <w:tab/>
      </w:r>
      <w:r>
        <w:fldChar w:fldCharType="end"/>
      </w:r>
      <w:r>
        <w:rPr>
          <w:rFonts w:hint="eastAsia"/>
        </w:rPr>
        <w:t>7</w:t>
      </w:r>
    </w:p>
    <w:p>
      <w:pPr>
        <w:pStyle w:val="10"/>
      </w:pPr>
      <w:r>
        <w:fldChar w:fldCharType="begin"/>
      </w:r>
      <w:r>
        <w:instrText xml:space="preserve"> HYPERLINK \l "_Toc184704677" </w:instrText>
      </w:r>
      <w:r>
        <w:fldChar w:fldCharType="separate"/>
      </w:r>
      <w:r>
        <w:rPr>
          <w:rFonts w:hint="eastAsia"/>
        </w:rPr>
        <w:t>2.招标文件</w:t>
      </w:r>
      <w:r>
        <w:tab/>
      </w:r>
      <w:r>
        <w:fldChar w:fldCharType="end"/>
      </w:r>
      <w:r>
        <w:rPr>
          <w:rFonts w:hint="eastAsia"/>
        </w:rPr>
        <w:t>8</w:t>
      </w:r>
    </w:p>
    <w:p>
      <w:pPr>
        <w:pStyle w:val="10"/>
      </w:pPr>
      <w:r>
        <w:fldChar w:fldCharType="begin"/>
      </w:r>
      <w:r>
        <w:instrText xml:space="preserve"> HYPERLINK \l "_Toc184704678" </w:instrText>
      </w:r>
      <w:r>
        <w:fldChar w:fldCharType="separate"/>
      </w:r>
      <w:r>
        <w:rPr>
          <w:rFonts w:hint="eastAsia"/>
        </w:rPr>
        <w:t>3.投标文件</w:t>
      </w:r>
      <w:r>
        <w:tab/>
      </w:r>
      <w:r>
        <w:fldChar w:fldCharType="end"/>
      </w:r>
      <w:r>
        <w:rPr>
          <w:rFonts w:hint="eastAsia"/>
        </w:rPr>
        <w:t>9</w:t>
      </w:r>
    </w:p>
    <w:p>
      <w:pPr>
        <w:pStyle w:val="10"/>
      </w:pPr>
      <w:r>
        <w:fldChar w:fldCharType="begin"/>
      </w:r>
      <w:r>
        <w:instrText xml:space="preserve"> HYPERLINK \l "_Toc184704679" </w:instrText>
      </w:r>
      <w:r>
        <w:fldChar w:fldCharType="separate"/>
      </w:r>
      <w:r>
        <w:rPr>
          <w:rFonts w:hint="eastAsia"/>
        </w:rPr>
        <w:t>4.投标</w:t>
      </w:r>
      <w:r>
        <w:tab/>
      </w:r>
      <w:r>
        <w:fldChar w:fldCharType="end"/>
      </w:r>
      <w:r>
        <w:rPr>
          <w:rFonts w:hint="eastAsia"/>
        </w:rPr>
        <w:t>13</w:t>
      </w:r>
    </w:p>
    <w:p>
      <w:pPr>
        <w:pStyle w:val="10"/>
      </w:pPr>
      <w:r>
        <w:fldChar w:fldCharType="begin"/>
      </w:r>
      <w:r>
        <w:instrText xml:space="preserve"> HYPERLINK \l "_Toc184704680" </w:instrText>
      </w:r>
      <w:r>
        <w:fldChar w:fldCharType="separate"/>
      </w:r>
      <w:r>
        <w:rPr>
          <w:rFonts w:hint="eastAsia"/>
        </w:rPr>
        <w:t>5.开标</w:t>
      </w:r>
      <w:r>
        <w:tab/>
      </w:r>
      <w:r>
        <w:fldChar w:fldCharType="end"/>
      </w:r>
      <w:r>
        <w:rPr>
          <w:rFonts w:hint="eastAsia"/>
        </w:rPr>
        <w:t>14</w:t>
      </w:r>
    </w:p>
    <w:p>
      <w:pPr>
        <w:pStyle w:val="10"/>
      </w:pPr>
      <w:r>
        <w:fldChar w:fldCharType="begin"/>
      </w:r>
      <w:r>
        <w:instrText xml:space="preserve"> HYPERLINK \l "_Toc184704681" </w:instrText>
      </w:r>
      <w:r>
        <w:fldChar w:fldCharType="separate"/>
      </w:r>
      <w:r>
        <w:rPr>
          <w:rFonts w:hint="eastAsia"/>
        </w:rPr>
        <w:t>6.评标</w:t>
      </w:r>
      <w:r>
        <w:tab/>
      </w:r>
      <w:r>
        <w:fldChar w:fldCharType="end"/>
      </w:r>
      <w:r>
        <w:rPr>
          <w:rFonts w:hint="eastAsia"/>
        </w:rPr>
        <w:t>14</w:t>
      </w:r>
    </w:p>
    <w:p>
      <w:pPr>
        <w:pStyle w:val="10"/>
      </w:pPr>
      <w:r>
        <w:fldChar w:fldCharType="begin"/>
      </w:r>
      <w:r>
        <w:instrText xml:space="preserve"> HYPERLINK \l "_Toc184704682" </w:instrText>
      </w:r>
      <w:r>
        <w:fldChar w:fldCharType="separate"/>
      </w:r>
      <w:r>
        <w:rPr>
          <w:rFonts w:hint="eastAsia"/>
        </w:rPr>
        <w:t>7.合同授予</w:t>
      </w:r>
      <w:r>
        <w:tab/>
      </w:r>
      <w:r>
        <w:fldChar w:fldCharType="end"/>
      </w:r>
      <w:r>
        <w:rPr>
          <w:rFonts w:hint="eastAsia"/>
        </w:rPr>
        <w:t>15</w:t>
      </w:r>
    </w:p>
    <w:p>
      <w:pPr>
        <w:pStyle w:val="10"/>
      </w:pPr>
      <w:r>
        <w:fldChar w:fldCharType="begin"/>
      </w:r>
      <w:r>
        <w:instrText xml:space="preserve"> HYPERLINK \l "_Toc184704683" </w:instrText>
      </w:r>
      <w:r>
        <w:fldChar w:fldCharType="separate"/>
      </w:r>
      <w:r>
        <w:rPr>
          <w:rFonts w:hint="eastAsia"/>
        </w:rPr>
        <w:t>8.重新招标和不再招标</w:t>
      </w:r>
      <w:r>
        <w:tab/>
      </w:r>
      <w:r>
        <w:fldChar w:fldCharType="end"/>
      </w:r>
      <w:r>
        <w:rPr>
          <w:rFonts w:hint="eastAsia"/>
        </w:rPr>
        <w:t>16</w:t>
      </w:r>
    </w:p>
    <w:p>
      <w:pPr>
        <w:pStyle w:val="9"/>
        <w:ind w:firstLine="412"/>
        <w:jc w:val="both"/>
        <w:rPr>
          <w:b/>
        </w:rPr>
      </w:pPr>
      <w:r>
        <w:fldChar w:fldCharType="begin"/>
      </w:r>
      <w:r>
        <w:instrText xml:space="preserve"> HYPERLINK \l "_Toc184704684" </w:instrText>
      </w:r>
      <w:r>
        <w:fldChar w:fldCharType="separate"/>
      </w:r>
      <w:r>
        <w:rPr>
          <w:rFonts w:hint="eastAsia"/>
          <w:b/>
        </w:rPr>
        <w:t>9.纪律和监督</w:t>
      </w:r>
      <w:r>
        <w:rPr>
          <w:b/>
        </w:rPr>
        <w:tab/>
      </w:r>
      <w:r>
        <w:rPr>
          <w:b/>
        </w:rPr>
        <w:fldChar w:fldCharType="end"/>
      </w:r>
      <w:r>
        <w:rPr>
          <w:rFonts w:hint="eastAsia"/>
          <w:b/>
        </w:rPr>
        <w:t>16</w:t>
      </w:r>
    </w:p>
    <w:p>
      <w:pPr>
        <w:pStyle w:val="10"/>
      </w:pPr>
      <w:r>
        <w:fldChar w:fldCharType="begin"/>
      </w:r>
      <w:r>
        <w:instrText xml:space="preserve"> HYPERLINK \l "_Toc184704685" </w:instrText>
      </w:r>
      <w:r>
        <w:fldChar w:fldCharType="separate"/>
      </w:r>
      <w:r>
        <w:rPr>
          <w:rFonts w:hint="eastAsia"/>
        </w:rPr>
        <w:t>10.需要补充的其他内容</w:t>
      </w:r>
      <w:r>
        <w:tab/>
      </w:r>
      <w:r>
        <w:rPr>
          <w:rFonts w:hint="eastAsia"/>
        </w:rPr>
        <w:t xml:space="preserve">17   </w:t>
      </w:r>
      <w:r>
        <w:rPr>
          <w:rFonts w:hint="eastAsia"/>
        </w:rPr>
        <w:fldChar w:fldCharType="end"/>
      </w:r>
    </w:p>
    <w:p>
      <w:pPr>
        <w:pStyle w:val="10"/>
        <w:ind w:left="0" w:leftChars="0" w:firstLine="0" w:firstLineChars="0"/>
      </w:pPr>
      <w:r>
        <w:fldChar w:fldCharType="begin"/>
      </w:r>
      <w:r>
        <w:instrText xml:space="preserve"> HYPERLINK \l "_Toc184704686" </w:instrText>
      </w:r>
      <w:r>
        <w:fldChar w:fldCharType="separate"/>
      </w:r>
      <w:r>
        <w:rPr>
          <w:rFonts w:hint="eastAsia" w:ascii="宋体" w:hAnsi="宋体"/>
          <w:sz w:val="24"/>
        </w:rPr>
        <w:t>第二章 评标办法</w:t>
      </w:r>
      <w:r>
        <w:tab/>
      </w:r>
      <w:r>
        <w:rPr>
          <w:rFonts w:hint="eastAsia"/>
        </w:rPr>
        <w:t>1</w:t>
      </w:r>
      <w:r>
        <w:rPr>
          <w:rFonts w:hint="eastAsia"/>
        </w:rPr>
        <w:fldChar w:fldCharType="end"/>
      </w:r>
      <w:r>
        <w:rPr>
          <w:rFonts w:hint="eastAsia"/>
        </w:rPr>
        <w:t>8</w:t>
      </w:r>
    </w:p>
    <w:p>
      <w:pPr>
        <w:pStyle w:val="10"/>
      </w:pPr>
      <w:r>
        <w:fldChar w:fldCharType="begin"/>
      </w:r>
      <w:r>
        <w:instrText xml:space="preserve"> HYPERLINK \l "_Toc184704687" </w:instrText>
      </w:r>
      <w:r>
        <w:fldChar w:fldCharType="separate"/>
      </w:r>
      <w:r>
        <w:rPr>
          <w:rFonts w:hint="eastAsia"/>
        </w:rPr>
        <w:t>1.评标方法</w:t>
      </w:r>
      <w:r>
        <w:tab/>
      </w:r>
      <w:r>
        <w:fldChar w:fldCharType="end"/>
      </w:r>
      <w:r>
        <w:rPr>
          <w:rFonts w:hint="eastAsia"/>
        </w:rPr>
        <w:t>19</w:t>
      </w:r>
    </w:p>
    <w:p>
      <w:pPr>
        <w:pStyle w:val="10"/>
      </w:pPr>
      <w:r>
        <w:fldChar w:fldCharType="begin"/>
      </w:r>
      <w:r>
        <w:instrText xml:space="preserve"> HYPERLINK \l "_Toc184704688" </w:instrText>
      </w:r>
      <w:r>
        <w:fldChar w:fldCharType="separate"/>
      </w:r>
      <w:r>
        <w:rPr>
          <w:rFonts w:hint="eastAsia"/>
        </w:rPr>
        <w:t>2.评审标准</w:t>
      </w:r>
      <w:r>
        <w:tab/>
      </w:r>
      <w:r>
        <w:rPr>
          <w:rFonts w:hint="eastAsia"/>
        </w:rPr>
        <w:t>20</w:t>
      </w:r>
      <w:r>
        <w:rPr>
          <w:rFonts w:hint="eastAsia"/>
        </w:rPr>
        <w:fldChar w:fldCharType="end"/>
      </w:r>
    </w:p>
    <w:p>
      <w:pPr>
        <w:pStyle w:val="10"/>
      </w:pPr>
      <w:r>
        <w:fldChar w:fldCharType="begin"/>
      </w:r>
      <w:r>
        <w:instrText xml:space="preserve"> HYPERLINK \l "_Toc184704689" </w:instrText>
      </w:r>
      <w:r>
        <w:fldChar w:fldCharType="separate"/>
      </w:r>
      <w:r>
        <w:rPr>
          <w:rFonts w:hint="eastAsia"/>
        </w:rPr>
        <w:t>3.评标程序</w:t>
      </w:r>
      <w:bookmarkStart w:id="2" w:name="_Hlt238778418"/>
      <w:bookmarkStart w:id="3" w:name="_Hlt238778419"/>
      <w:r>
        <w:tab/>
      </w:r>
      <w:bookmarkEnd w:id="2"/>
      <w:bookmarkEnd w:id="3"/>
      <w:r>
        <w:rPr>
          <w:rFonts w:hint="eastAsia"/>
        </w:rPr>
        <w:t>20</w:t>
      </w:r>
      <w:r>
        <w:rPr>
          <w:rFonts w:hint="eastAsia"/>
        </w:rPr>
        <w:fldChar w:fldCharType="end"/>
      </w:r>
    </w:p>
    <w:p>
      <w:pPr>
        <w:pStyle w:val="9"/>
        <w:ind w:firstLine="0" w:firstLineChars="0"/>
        <w:jc w:val="both"/>
        <w:rPr>
          <w:b/>
        </w:rPr>
      </w:pPr>
      <w:r>
        <w:fldChar w:fldCharType="begin"/>
      </w:r>
      <w:r>
        <w:instrText xml:space="preserve"> HYPERLINK \l "_Toc184704696" </w:instrText>
      </w:r>
      <w:r>
        <w:fldChar w:fldCharType="separate"/>
      </w:r>
      <w:r>
        <w:rPr>
          <w:rFonts w:hint="eastAsia" w:ascii="宋体" w:hAnsi="宋体"/>
          <w:b/>
          <w:sz w:val="24"/>
        </w:rPr>
        <w:t>第三章  付款方式</w:t>
      </w:r>
      <w:r>
        <w:rPr>
          <w:b/>
        </w:rPr>
        <w:tab/>
      </w:r>
      <w:r>
        <w:rPr>
          <w:rFonts w:hint="eastAsia"/>
          <w:b/>
        </w:rPr>
        <w:t>2</w:t>
      </w:r>
      <w:r>
        <w:rPr>
          <w:rFonts w:hint="eastAsia"/>
          <w:b/>
        </w:rPr>
        <w:fldChar w:fldCharType="end"/>
      </w:r>
      <w:r>
        <w:rPr>
          <w:rFonts w:hint="eastAsia"/>
        </w:rPr>
        <w:t>0</w:t>
      </w:r>
    </w:p>
    <w:p>
      <w:pPr>
        <w:pStyle w:val="10"/>
        <w:ind w:left="0" w:leftChars="0" w:firstLine="0" w:firstLineChars="0"/>
      </w:pPr>
      <w:r>
        <w:fldChar w:fldCharType="begin"/>
      </w:r>
      <w:r>
        <w:instrText xml:space="preserve"> HYPERLINK \l "_Toc184704697" </w:instrText>
      </w:r>
      <w:r>
        <w:fldChar w:fldCharType="separate"/>
      </w:r>
      <w:r>
        <w:rPr>
          <w:rFonts w:hint="eastAsia" w:ascii="宋体" w:hAnsi="宋体"/>
          <w:sz w:val="24"/>
        </w:rPr>
        <w:t>第四章  供货清单及技术指标要求</w:t>
      </w:r>
      <w:r>
        <w:tab/>
      </w:r>
      <w:r>
        <w:rPr>
          <w:rFonts w:hint="eastAsia"/>
        </w:rPr>
        <w:t>2</w:t>
      </w:r>
      <w:r>
        <w:rPr>
          <w:rFonts w:hint="eastAsia"/>
        </w:rPr>
        <w:fldChar w:fldCharType="end"/>
      </w:r>
      <w:r>
        <w:rPr>
          <w:rFonts w:hint="eastAsia"/>
        </w:rPr>
        <w:t>1</w:t>
      </w:r>
    </w:p>
    <w:p>
      <w:pPr>
        <w:pStyle w:val="10"/>
        <w:ind w:left="0" w:leftChars="0" w:firstLine="0" w:firstLineChars="0"/>
      </w:pPr>
      <w:r>
        <w:fldChar w:fldCharType="begin"/>
      </w:r>
      <w:r>
        <w:instrText xml:space="preserve"> HYPERLINK \l "_Toc184704702" </w:instrText>
      </w:r>
      <w:r>
        <w:fldChar w:fldCharType="separate"/>
      </w:r>
      <w:r>
        <w:rPr>
          <w:rFonts w:hint="eastAsia" w:ascii="宋体" w:hAnsi="宋体"/>
          <w:sz w:val="24"/>
        </w:rPr>
        <w:t>第五章  投标文件部分格式</w:t>
      </w:r>
      <w:r>
        <w:tab/>
      </w:r>
      <w:r>
        <w:rPr>
          <w:rFonts w:hint="eastAsia"/>
        </w:rPr>
        <w:t>64</w:t>
      </w:r>
      <w:r>
        <w:rPr>
          <w:rFonts w:hint="eastAsia"/>
        </w:rPr>
        <w:fldChar w:fldCharType="end"/>
      </w:r>
    </w:p>
    <w:p>
      <w:pPr>
        <w:spacing w:line="360" w:lineRule="auto"/>
        <w:rPr>
          <w:rFonts w:ascii="宋体" w:hAnsi="宋体"/>
          <w:b/>
          <w:sz w:val="28"/>
          <w:szCs w:val="28"/>
        </w:rPr>
      </w:pPr>
    </w:p>
    <w:p>
      <w:pPr>
        <w:jc w:val="center"/>
        <w:rPr>
          <w:rFonts w:ascii="宋体" w:hAnsi="宋体" w:eastAsia="宋体" w:cs="宋体"/>
          <w:b/>
          <w:sz w:val="28"/>
          <w:szCs w:val="28"/>
        </w:rPr>
      </w:pPr>
      <w:r>
        <w:rPr>
          <w:b/>
          <w:sz w:val="28"/>
          <w:szCs w:val="28"/>
        </w:rPr>
        <w:br w:type="page"/>
      </w:r>
      <w:r>
        <w:rPr>
          <w:rFonts w:hint="eastAsia"/>
          <w:b/>
          <w:sz w:val="28"/>
          <w:szCs w:val="28"/>
        </w:rPr>
        <w:t>涂装车间电力负荷调配</w:t>
      </w:r>
      <w:r>
        <w:rPr>
          <w:rFonts w:hint="eastAsia" w:ascii="宋体" w:hAnsi="宋体" w:eastAsia="宋体" w:cs="宋体"/>
          <w:b/>
          <w:sz w:val="28"/>
          <w:szCs w:val="28"/>
        </w:rPr>
        <w:t>项目</w:t>
      </w:r>
    </w:p>
    <w:p>
      <w:pPr>
        <w:jc w:val="center"/>
        <w:rPr>
          <w:rFonts w:ascii="宋体" w:hAnsi="宋体" w:eastAsia="宋体" w:cs="宋体"/>
          <w:b/>
          <w:sz w:val="28"/>
          <w:szCs w:val="28"/>
        </w:rPr>
      </w:pPr>
      <w:r>
        <w:rPr>
          <w:rFonts w:hint="eastAsia" w:ascii="宋体" w:hAnsi="宋体" w:eastAsia="宋体" w:cs="宋体"/>
          <w:b/>
          <w:sz w:val="28"/>
          <w:szCs w:val="28"/>
        </w:rPr>
        <w:t>投标邀请书</w:t>
      </w:r>
    </w:p>
    <w:p>
      <w:pPr>
        <w:spacing w:line="360" w:lineRule="exact"/>
        <w:rPr>
          <w:rFonts w:ascii="宋体" w:hAnsi="宋体"/>
          <w:b/>
          <w:snapToGrid w:val="0"/>
          <w:szCs w:val="21"/>
        </w:rPr>
      </w:pPr>
      <w:r>
        <w:rPr>
          <w:rFonts w:hint="eastAsia" w:ascii="宋体" w:hAnsi="宋体"/>
          <w:b/>
          <w:snapToGrid w:val="0"/>
          <w:szCs w:val="21"/>
        </w:rPr>
        <w:t xml:space="preserve">致： </w:t>
      </w:r>
    </w:p>
    <w:p>
      <w:pPr>
        <w:spacing w:line="360" w:lineRule="auto"/>
        <w:ind w:firstLine="501" w:firstLineChars="239"/>
        <w:rPr>
          <w:rFonts w:ascii="宋体" w:hAnsi="宋体" w:eastAsia="宋体" w:cs="宋体"/>
          <w:bCs/>
          <w:snapToGrid w:val="0"/>
          <w:szCs w:val="21"/>
        </w:rPr>
      </w:pPr>
      <w:r>
        <w:rPr>
          <w:rFonts w:hint="eastAsia" w:ascii="宋体" w:hAnsi="宋体" w:eastAsia="宋体" w:cs="宋体"/>
          <w:bCs/>
          <w:szCs w:val="21"/>
        </w:rPr>
        <w:t>特邀请你单位参加涂装车间电力负荷调配项目材料采购及安装的投标。招标内容是根据本次招标提供调配负荷参数及线路走向，对电缆、桥架进行采购及安装（含接头制作）直至通电验收合格。</w:t>
      </w:r>
    </w:p>
    <w:p>
      <w:pPr>
        <w:spacing w:line="500" w:lineRule="exact"/>
        <w:ind w:firstLine="422" w:firstLineChars="200"/>
        <w:rPr>
          <w:rFonts w:ascii="宋体" w:hAnsi="宋体"/>
          <w:b/>
          <w:snapToGrid w:val="0"/>
          <w:szCs w:val="21"/>
        </w:rPr>
      </w:pPr>
      <w:r>
        <w:rPr>
          <w:rFonts w:hint="eastAsia" w:ascii="宋体" w:hAnsi="宋体"/>
          <w:b/>
          <w:snapToGrid w:val="0"/>
          <w:szCs w:val="21"/>
        </w:rPr>
        <w:t>一、工程概况:</w:t>
      </w:r>
    </w:p>
    <w:p>
      <w:pPr>
        <w:spacing w:line="400" w:lineRule="exact"/>
        <w:ind w:firstLine="420" w:firstLineChars="200"/>
        <w:rPr>
          <w:snapToGrid w:val="0"/>
          <w:szCs w:val="21"/>
        </w:rPr>
      </w:pPr>
      <w:r>
        <w:rPr>
          <w:rFonts w:hint="eastAsia" w:ascii="宋体" w:hAnsi="宋体"/>
          <w:szCs w:val="21"/>
        </w:rPr>
        <w:t>1、 工程名称：涂装车间电力负荷调配</w:t>
      </w:r>
    </w:p>
    <w:p>
      <w:pPr>
        <w:spacing w:line="400" w:lineRule="exact"/>
        <w:ind w:firstLine="420" w:firstLineChars="200"/>
        <w:rPr>
          <w:rFonts w:ascii="宋体" w:hAnsi="宋体"/>
          <w:szCs w:val="21"/>
        </w:rPr>
      </w:pPr>
      <w:r>
        <w:rPr>
          <w:rFonts w:hint="eastAsia" w:ascii="宋体" w:hAnsi="宋体"/>
          <w:szCs w:val="21"/>
        </w:rPr>
        <w:t>2、 工程地点：乘用车涂装车间（一期）</w:t>
      </w:r>
    </w:p>
    <w:p>
      <w:pPr>
        <w:spacing w:line="400" w:lineRule="exact"/>
        <w:ind w:firstLine="420" w:firstLineChars="200"/>
        <w:rPr>
          <w:rFonts w:ascii="宋体" w:hAnsi="宋体"/>
          <w:szCs w:val="21"/>
        </w:rPr>
      </w:pPr>
      <w:r>
        <w:rPr>
          <w:rFonts w:hint="eastAsia" w:ascii="宋体" w:hAnsi="宋体"/>
          <w:szCs w:val="21"/>
        </w:rPr>
        <w:t>3、 招标内容：电缆、桥架采购</w:t>
      </w:r>
      <w:r>
        <w:rPr>
          <w:rFonts w:hint="eastAsia" w:ascii="宋体" w:hAnsi="宋体" w:eastAsia="宋体" w:cs="宋体"/>
          <w:bCs/>
          <w:szCs w:val="21"/>
        </w:rPr>
        <w:t>及安装（含接头制作）直至通电验收合格。</w:t>
      </w:r>
    </w:p>
    <w:p>
      <w:pPr>
        <w:spacing w:line="400" w:lineRule="exact"/>
        <w:ind w:firstLine="420" w:firstLineChars="200"/>
        <w:rPr>
          <w:rFonts w:ascii="宋体" w:hAnsi="宋体"/>
          <w:szCs w:val="21"/>
        </w:rPr>
      </w:pPr>
      <w:r>
        <w:rPr>
          <w:rFonts w:hint="eastAsia" w:ascii="宋体" w:hAnsi="宋体"/>
          <w:szCs w:val="21"/>
        </w:rPr>
        <w:t>4、 交货期:一个月</w:t>
      </w:r>
    </w:p>
    <w:p>
      <w:pPr>
        <w:spacing w:line="400" w:lineRule="exact"/>
        <w:ind w:firstLine="420" w:firstLineChars="200"/>
        <w:rPr>
          <w:rFonts w:ascii="宋体" w:hAnsi="宋体"/>
          <w:szCs w:val="21"/>
        </w:rPr>
      </w:pPr>
      <w:r>
        <w:rPr>
          <w:rFonts w:hint="eastAsia" w:ascii="宋体" w:hAnsi="宋体"/>
          <w:szCs w:val="21"/>
        </w:rPr>
        <w:t>5、质量标准：符合国家电力相关标准的规定</w:t>
      </w:r>
    </w:p>
    <w:p>
      <w:pPr>
        <w:spacing w:line="500" w:lineRule="exact"/>
        <w:ind w:firstLine="422" w:firstLineChars="200"/>
        <w:rPr>
          <w:rFonts w:ascii="宋体" w:hAnsi="宋体"/>
          <w:b/>
          <w:snapToGrid w:val="0"/>
          <w:szCs w:val="21"/>
        </w:rPr>
      </w:pPr>
      <w:r>
        <w:rPr>
          <w:rFonts w:hint="eastAsia" w:ascii="宋体" w:hAnsi="宋体"/>
          <w:b/>
          <w:snapToGrid w:val="0"/>
          <w:szCs w:val="21"/>
        </w:rPr>
        <w:t>二、投标人资格要求</w:t>
      </w:r>
    </w:p>
    <w:p>
      <w:pPr>
        <w:spacing w:line="360" w:lineRule="auto"/>
        <w:ind w:firstLine="420"/>
        <w:rPr>
          <w:rFonts w:ascii="宋体" w:hAnsi="宋体"/>
          <w:szCs w:val="21"/>
        </w:rPr>
      </w:pPr>
      <w:r>
        <w:rPr>
          <w:rFonts w:hint="eastAsia" w:ascii="宋体" w:hAnsi="宋体"/>
          <w:szCs w:val="21"/>
        </w:rPr>
        <w:t>1、投标人必须是经工商、税务登记注册，并符合投标项目经营范围，能独立承担民事责任的法人组织，具有</w:t>
      </w:r>
      <w:r>
        <w:rPr>
          <w:rFonts w:hint="eastAsia" w:ascii="宋体" w:hAnsi="宋体"/>
          <w:color w:val="FF0000"/>
          <w:szCs w:val="21"/>
        </w:rPr>
        <w:t>电力行业承装、修、试4级及以上资质</w:t>
      </w:r>
      <w:r>
        <w:rPr>
          <w:rFonts w:hint="eastAsia" w:ascii="宋体" w:hAnsi="宋体"/>
          <w:szCs w:val="21"/>
        </w:rPr>
        <w:t>；</w:t>
      </w:r>
    </w:p>
    <w:p>
      <w:pPr>
        <w:spacing w:line="360" w:lineRule="auto"/>
        <w:ind w:firstLine="420"/>
        <w:rPr>
          <w:rFonts w:ascii="宋体" w:hAnsi="宋体"/>
          <w:szCs w:val="21"/>
        </w:rPr>
      </w:pPr>
      <w:r>
        <w:rPr>
          <w:rFonts w:hint="eastAsia" w:ascii="宋体" w:hAnsi="宋体"/>
          <w:szCs w:val="21"/>
        </w:rPr>
        <w:t>2、</w:t>
      </w:r>
      <w:r>
        <w:rPr>
          <w:rFonts w:hint="eastAsia" w:ascii="宋体" w:hAnsi="宋体"/>
          <w:color w:val="0070C0"/>
          <w:szCs w:val="21"/>
        </w:rPr>
        <w:t>投标人必须提供所投产品制造厂商对本项目的专项授权书，制造厂商注册资金必须在人民币500万</w:t>
      </w:r>
      <w:r>
        <w:rPr>
          <w:rFonts w:hint="eastAsia" w:ascii="宋体" w:hAnsi="宋体"/>
          <w:szCs w:val="21"/>
        </w:rPr>
        <w:t>元（含）以上。</w:t>
      </w:r>
    </w:p>
    <w:p>
      <w:pPr>
        <w:spacing w:line="360" w:lineRule="auto"/>
        <w:ind w:firstLine="449" w:firstLineChars="214"/>
        <w:rPr>
          <w:rFonts w:ascii="宋体" w:hAnsi="宋体"/>
          <w:szCs w:val="21"/>
        </w:rPr>
      </w:pPr>
      <w:r>
        <w:rPr>
          <w:rFonts w:hint="eastAsia" w:ascii="宋体" w:hAnsi="宋体"/>
          <w:szCs w:val="21"/>
        </w:rPr>
        <w:t>3、产品生产商需提供项目所涉产品国家级检测报告</w:t>
      </w:r>
      <w:r>
        <w:rPr>
          <w:rFonts w:ascii="宋体" w:hAnsi="宋体"/>
          <w:szCs w:val="21"/>
        </w:rPr>
        <w:t>；</w:t>
      </w:r>
    </w:p>
    <w:p>
      <w:pPr>
        <w:spacing w:line="500" w:lineRule="exact"/>
        <w:ind w:firstLine="422" w:firstLineChars="200"/>
        <w:rPr>
          <w:rFonts w:ascii="宋体" w:hAnsi="宋体"/>
          <w:b/>
          <w:snapToGrid w:val="0"/>
          <w:szCs w:val="21"/>
        </w:rPr>
      </w:pPr>
      <w:r>
        <w:rPr>
          <w:rFonts w:hint="eastAsia" w:ascii="宋体" w:hAnsi="宋体"/>
          <w:b/>
          <w:snapToGrid w:val="0"/>
          <w:szCs w:val="21"/>
        </w:rPr>
        <w:t>三、招标文件的获取：</w:t>
      </w:r>
    </w:p>
    <w:p>
      <w:pPr>
        <w:spacing w:line="400" w:lineRule="exact"/>
        <w:ind w:left="283" w:leftChars="135" w:firstLine="210" w:firstLineChars="100"/>
        <w:rPr>
          <w:rFonts w:ascii="宋体" w:hAnsi="宋体"/>
          <w:szCs w:val="21"/>
        </w:rPr>
      </w:pPr>
      <w:r>
        <w:rPr>
          <w:rFonts w:hint="eastAsia" w:ascii="宋体" w:hAnsi="宋体"/>
          <w:szCs w:val="21"/>
        </w:rPr>
        <w:t>1、时间：2017年9月</w:t>
      </w:r>
      <w:r>
        <w:rPr>
          <w:rFonts w:hint="eastAsia" w:ascii="宋体" w:hAnsi="宋体"/>
          <w:szCs w:val="21"/>
          <w:lang w:val="en-US" w:eastAsia="zh-CN"/>
        </w:rPr>
        <w:t>25</w:t>
      </w:r>
      <w:r>
        <w:rPr>
          <w:rFonts w:hint="eastAsia" w:ascii="宋体" w:hAnsi="宋体"/>
          <w:szCs w:val="21"/>
        </w:rPr>
        <w:t xml:space="preserve">日---2017年9月 </w:t>
      </w:r>
      <w:r>
        <w:rPr>
          <w:rFonts w:hint="eastAsia" w:ascii="宋体" w:hAnsi="宋体"/>
          <w:szCs w:val="21"/>
          <w:lang w:val="en-US" w:eastAsia="zh-CN"/>
        </w:rPr>
        <w:t>30</w:t>
      </w:r>
      <w:r>
        <w:rPr>
          <w:rFonts w:hint="eastAsia" w:ascii="宋体" w:hAnsi="宋体"/>
          <w:szCs w:val="21"/>
        </w:rPr>
        <w:t xml:space="preserve">日   </w:t>
      </w:r>
    </w:p>
    <w:p>
      <w:pPr>
        <w:spacing w:line="400" w:lineRule="exact"/>
        <w:ind w:left="808" w:leftChars="235" w:hanging="315" w:hangingChars="150"/>
        <w:rPr>
          <w:rFonts w:ascii="宋体" w:hAnsi="宋体"/>
          <w:szCs w:val="21"/>
        </w:rPr>
      </w:pPr>
      <w:r>
        <w:rPr>
          <w:rFonts w:hint="eastAsia" w:ascii="宋体" w:hAnsi="宋体"/>
          <w:szCs w:val="21"/>
        </w:rPr>
        <w:t>2、招标文件：必须携带厂家授权委托书及企业相关证件的复印件（盖红章），到力帆乘用车公司基建工程中心领取 联系人陶华 15025307026</w:t>
      </w:r>
    </w:p>
    <w:p>
      <w:pPr>
        <w:spacing w:line="360" w:lineRule="auto"/>
        <w:ind w:left="284" w:firstLine="252" w:firstLineChars="120"/>
        <w:rPr>
          <w:rFonts w:ascii="宋体" w:hAnsi="宋体"/>
          <w:szCs w:val="21"/>
        </w:rPr>
      </w:pPr>
      <w:r>
        <w:rPr>
          <w:rFonts w:hint="eastAsia" w:ascii="宋体" w:hAnsi="宋体"/>
          <w:szCs w:val="21"/>
        </w:rPr>
        <w:t>四、投标文件递交：</w:t>
      </w:r>
    </w:p>
    <w:p>
      <w:pPr>
        <w:numPr>
          <w:ilvl w:val="0"/>
          <w:numId w:val="1"/>
        </w:numPr>
        <w:spacing w:line="360" w:lineRule="auto"/>
        <w:ind w:firstLine="252" w:firstLineChars="120"/>
        <w:rPr>
          <w:rFonts w:ascii="宋体" w:hAnsi="宋体"/>
          <w:color w:val="00B0F0"/>
          <w:szCs w:val="21"/>
        </w:rPr>
      </w:pPr>
      <w:r>
        <w:rPr>
          <w:rFonts w:hint="eastAsia" w:ascii="宋体" w:hAnsi="宋体"/>
          <w:color w:val="00B0F0"/>
          <w:szCs w:val="21"/>
        </w:rPr>
        <w:t xml:space="preserve">投标文件的递交截止时间为2017年 </w:t>
      </w:r>
      <w:r>
        <w:rPr>
          <w:rFonts w:hint="eastAsia" w:ascii="宋体" w:hAnsi="宋体"/>
          <w:color w:val="00B0F0"/>
          <w:szCs w:val="21"/>
          <w:lang w:val="en-US" w:eastAsia="zh-CN"/>
        </w:rPr>
        <w:t>10</w:t>
      </w:r>
      <w:r>
        <w:rPr>
          <w:rFonts w:hint="eastAsia" w:ascii="宋体" w:hAnsi="宋体"/>
          <w:color w:val="00B0F0"/>
          <w:szCs w:val="21"/>
        </w:rPr>
        <w:t xml:space="preserve">月 </w:t>
      </w:r>
      <w:r>
        <w:rPr>
          <w:rFonts w:hint="eastAsia" w:ascii="宋体" w:hAnsi="宋体"/>
          <w:color w:val="00B0F0"/>
          <w:szCs w:val="21"/>
          <w:lang w:val="en-US" w:eastAsia="zh-CN"/>
        </w:rPr>
        <w:t>10</w:t>
      </w:r>
      <w:r>
        <w:rPr>
          <w:rFonts w:hint="eastAsia" w:ascii="宋体" w:hAnsi="宋体"/>
          <w:color w:val="00B0F0"/>
          <w:szCs w:val="21"/>
        </w:rPr>
        <w:t xml:space="preserve"> 日 9 时整（北京时间）。</w:t>
      </w:r>
    </w:p>
    <w:p>
      <w:pPr>
        <w:numPr>
          <w:ilvl w:val="0"/>
          <w:numId w:val="1"/>
        </w:numPr>
        <w:spacing w:line="360" w:lineRule="auto"/>
        <w:ind w:firstLine="252" w:firstLineChars="120"/>
        <w:rPr>
          <w:rFonts w:ascii="宋体" w:hAnsi="宋体" w:eastAsia="宋体" w:cs="宋体"/>
          <w:bCs/>
          <w:szCs w:val="21"/>
        </w:rPr>
      </w:pPr>
      <w:r>
        <w:rPr>
          <w:rFonts w:hint="eastAsia" w:ascii="宋体" w:hAnsi="宋体"/>
          <w:szCs w:val="21"/>
        </w:rPr>
        <w:t>递交地点：力帆乘用车公司基建工程中心。</w:t>
      </w:r>
    </w:p>
    <w:p>
      <w:pPr>
        <w:numPr>
          <w:ilvl w:val="0"/>
          <w:numId w:val="1"/>
        </w:numPr>
        <w:spacing w:line="360" w:lineRule="auto"/>
        <w:ind w:firstLine="252" w:firstLineChars="120"/>
        <w:rPr>
          <w:rFonts w:ascii="宋体" w:hAnsi="宋体"/>
          <w:szCs w:val="21"/>
        </w:rPr>
      </w:pPr>
      <w:r>
        <w:rPr>
          <w:rFonts w:hint="eastAsia" w:ascii="宋体" w:hAnsi="宋体"/>
          <w:szCs w:val="21"/>
        </w:rPr>
        <w:t>逾期送达的或者未送达指定地点的投标文件不予受理。</w:t>
      </w:r>
    </w:p>
    <w:p>
      <w:pPr>
        <w:spacing w:line="400" w:lineRule="exact"/>
        <w:ind w:left="298" w:leftChars="142" w:firstLine="315" w:firstLineChars="150"/>
        <w:rPr>
          <w:rFonts w:ascii="宋体" w:hAnsi="宋体"/>
          <w:szCs w:val="21"/>
        </w:rPr>
      </w:pPr>
      <w:r>
        <w:rPr>
          <w:rFonts w:hint="eastAsia" w:ascii="宋体" w:hAnsi="宋体"/>
          <w:szCs w:val="21"/>
        </w:rPr>
        <w:t>注意事项：请投标人严格按照招标文件的要求，在规定时间前递交投标文件、出具投标保证金缴纳依据，否则将被视作无效投标。</w:t>
      </w:r>
    </w:p>
    <w:p>
      <w:pPr>
        <w:spacing w:line="400" w:lineRule="exact"/>
        <w:ind w:firstLine="308" w:firstLineChars="147"/>
        <w:rPr>
          <w:rFonts w:ascii="宋体" w:hAnsi="宋体"/>
          <w:szCs w:val="21"/>
        </w:rPr>
      </w:pPr>
      <w:r>
        <w:rPr>
          <w:rFonts w:hint="eastAsia" w:ascii="宋体" w:hAnsi="宋体"/>
          <w:szCs w:val="21"/>
        </w:rPr>
        <w:t>五、联系方式</w:t>
      </w:r>
    </w:p>
    <w:p>
      <w:pPr>
        <w:spacing w:line="400" w:lineRule="exact"/>
        <w:ind w:left="298" w:leftChars="142" w:firstLine="315" w:firstLineChars="150"/>
        <w:rPr>
          <w:rFonts w:ascii="宋体" w:hAnsi="宋体"/>
          <w:szCs w:val="21"/>
        </w:rPr>
      </w:pPr>
      <w:r>
        <w:rPr>
          <w:rFonts w:hint="eastAsia" w:ascii="宋体" w:hAnsi="宋体"/>
          <w:szCs w:val="21"/>
        </w:rPr>
        <w:t>邀请人：力帆乘用车公司基建工程中心</w:t>
      </w:r>
    </w:p>
    <w:p>
      <w:pPr>
        <w:spacing w:line="400" w:lineRule="exact"/>
        <w:ind w:left="298" w:leftChars="142" w:firstLine="315" w:firstLineChars="150"/>
        <w:rPr>
          <w:rFonts w:ascii="宋体" w:hAnsi="宋体"/>
          <w:szCs w:val="21"/>
        </w:rPr>
      </w:pPr>
      <w:r>
        <w:rPr>
          <w:rFonts w:hint="eastAsia" w:ascii="宋体" w:hAnsi="宋体"/>
          <w:szCs w:val="21"/>
        </w:rPr>
        <w:t>地　址：力帆乘用车公司基建工程中心</w:t>
      </w:r>
    </w:p>
    <w:p>
      <w:pPr>
        <w:spacing w:line="400" w:lineRule="exact"/>
        <w:ind w:left="298" w:leftChars="142" w:firstLine="315" w:firstLineChars="150"/>
        <w:rPr>
          <w:rFonts w:ascii="宋体" w:hAnsi="宋体"/>
          <w:szCs w:val="21"/>
        </w:rPr>
      </w:pPr>
      <w:r>
        <w:rPr>
          <w:rFonts w:hint="eastAsia" w:ascii="宋体" w:hAnsi="宋体"/>
          <w:szCs w:val="21"/>
        </w:rPr>
        <w:t xml:space="preserve">联系人：陶华       </w:t>
      </w:r>
    </w:p>
    <w:p>
      <w:pPr>
        <w:spacing w:line="400" w:lineRule="exact"/>
        <w:ind w:left="298" w:leftChars="142" w:firstLine="315" w:firstLineChars="150"/>
        <w:rPr>
          <w:rFonts w:ascii="宋体" w:hAnsi="宋体"/>
          <w:szCs w:val="21"/>
        </w:rPr>
      </w:pPr>
      <w:r>
        <w:rPr>
          <w:rFonts w:hint="eastAsia" w:ascii="宋体" w:hAnsi="宋体"/>
          <w:szCs w:val="21"/>
        </w:rPr>
        <w:t>电  话：15025307026</w:t>
      </w:r>
    </w:p>
    <w:p>
      <w:pPr>
        <w:pStyle w:val="2"/>
      </w:pPr>
      <w:r>
        <w:rPr>
          <w:rFonts w:hint="eastAsia"/>
        </w:rPr>
        <w:t xml:space="preserve">                   第一章    投标须知</w:t>
      </w:r>
    </w:p>
    <w:p>
      <w:pPr>
        <w:pStyle w:val="2"/>
        <w:rPr>
          <w:sz w:val="30"/>
          <w:szCs w:val="30"/>
        </w:rPr>
      </w:pPr>
      <w:r>
        <w:rPr>
          <w:rFonts w:hint="eastAsia"/>
        </w:rPr>
        <w:t xml:space="preserve">                      </w:t>
      </w:r>
      <w:r>
        <w:rPr>
          <w:rFonts w:hint="eastAsia"/>
          <w:sz w:val="30"/>
          <w:szCs w:val="30"/>
        </w:rPr>
        <w:t>投标人须知前附表</w:t>
      </w:r>
      <w:bookmarkEnd w:id="0"/>
      <w:bookmarkEnd w:id="1"/>
    </w:p>
    <w:tbl>
      <w:tblPr>
        <w:tblStyle w:val="15"/>
        <w:tblW w:w="92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2754"/>
        <w:gridCol w:w="5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 w:hRule="atLeast"/>
        </w:trPr>
        <w:tc>
          <w:tcPr>
            <w:tcW w:w="865" w:type="dxa"/>
            <w:vAlign w:val="center"/>
          </w:tcPr>
          <w:p>
            <w:pPr>
              <w:jc w:val="center"/>
              <w:rPr>
                <w:rFonts w:ascii="宋体" w:hAnsi="宋体"/>
                <w:color w:val="FF0000"/>
              </w:rPr>
            </w:pPr>
            <w:r>
              <w:rPr>
                <w:rFonts w:hint="eastAsia" w:ascii="宋体" w:hAnsi="宋体"/>
                <w:color w:val="FF0000"/>
                <w:szCs w:val="21"/>
              </w:rPr>
              <w:t>条款号</w:t>
            </w:r>
          </w:p>
        </w:tc>
        <w:tc>
          <w:tcPr>
            <w:tcW w:w="2754" w:type="dxa"/>
            <w:vAlign w:val="center"/>
          </w:tcPr>
          <w:p>
            <w:pPr>
              <w:jc w:val="center"/>
              <w:rPr>
                <w:rFonts w:ascii="宋体" w:hAnsi="宋体"/>
                <w:color w:val="FF0000"/>
              </w:rPr>
            </w:pPr>
            <w:r>
              <w:rPr>
                <w:rFonts w:hint="eastAsia" w:ascii="宋体" w:hAnsi="宋体"/>
                <w:color w:val="FF0000"/>
                <w:szCs w:val="21"/>
              </w:rPr>
              <w:t>条款名称</w:t>
            </w:r>
          </w:p>
        </w:tc>
        <w:tc>
          <w:tcPr>
            <w:tcW w:w="5640" w:type="dxa"/>
            <w:vAlign w:val="center"/>
          </w:tcPr>
          <w:p>
            <w:pPr>
              <w:jc w:val="center"/>
              <w:rPr>
                <w:rFonts w:ascii="宋体" w:hAnsi="宋体"/>
                <w:color w:val="FF0000"/>
              </w:rPr>
            </w:pPr>
            <w:r>
              <w:rPr>
                <w:rFonts w:hint="eastAsia" w:ascii="宋体" w:hAnsi="宋体"/>
                <w:color w:val="FF000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 w:hRule="atLeast"/>
        </w:trPr>
        <w:tc>
          <w:tcPr>
            <w:tcW w:w="865" w:type="dxa"/>
            <w:vAlign w:val="center"/>
          </w:tcPr>
          <w:p>
            <w:pPr>
              <w:jc w:val="center"/>
              <w:rPr>
                <w:rFonts w:ascii="宋体" w:hAnsi="宋体"/>
                <w:color w:val="FF0000"/>
              </w:rPr>
            </w:pPr>
            <w:r>
              <w:rPr>
                <w:rFonts w:hint="eastAsia" w:ascii="宋体" w:hAnsi="宋体"/>
                <w:color w:val="FF0000"/>
                <w:szCs w:val="21"/>
              </w:rPr>
              <w:t>1.1</w:t>
            </w:r>
          </w:p>
        </w:tc>
        <w:tc>
          <w:tcPr>
            <w:tcW w:w="2754" w:type="dxa"/>
            <w:vAlign w:val="center"/>
          </w:tcPr>
          <w:p>
            <w:pPr>
              <w:jc w:val="center"/>
              <w:rPr>
                <w:rFonts w:ascii="宋体" w:hAnsi="宋体"/>
                <w:color w:val="FF0000"/>
              </w:rPr>
            </w:pPr>
            <w:r>
              <w:rPr>
                <w:rFonts w:hint="eastAsia" w:ascii="宋体" w:hAnsi="宋体"/>
                <w:color w:val="FF0000"/>
              </w:rPr>
              <w:t>工程名称</w:t>
            </w:r>
          </w:p>
        </w:tc>
        <w:tc>
          <w:tcPr>
            <w:tcW w:w="5640" w:type="dxa"/>
            <w:vAlign w:val="center"/>
          </w:tcPr>
          <w:p>
            <w:pPr>
              <w:rPr>
                <w:rFonts w:ascii="宋体" w:hAnsi="宋体"/>
                <w:color w:val="FF0000"/>
              </w:rPr>
            </w:pPr>
            <w:r>
              <w:rPr>
                <w:rFonts w:hint="eastAsia" w:ascii="宋体" w:hAnsi="宋体"/>
                <w:szCs w:val="21"/>
              </w:rPr>
              <w:t>涂装车间电力负荷调配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 w:hRule="atLeast"/>
        </w:trPr>
        <w:tc>
          <w:tcPr>
            <w:tcW w:w="865" w:type="dxa"/>
            <w:vAlign w:val="center"/>
          </w:tcPr>
          <w:p>
            <w:pPr>
              <w:jc w:val="center"/>
              <w:rPr>
                <w:rFonts w:ascii="宋体" w:hAnsi="宋体"/>
                <w:color w:val="FF0000"/>
                <w:szCs w:val="21"/>
              </w:rPr>
            </w:pPr>
          </w:p>
        </w:tc>
        <w:tc>
          <w:tcPr>
            <w:tcW w:w="2754" w:type="dxa"/>
            <w:vAlign w:val="center"/>
          </w:tcPr>
          <w:p>
            <w:pPr>
              <w:tabs>
                <w:tab w:val="left" w:pos="987"/>
              </w:tabs>
              <w:jc w:val="center"/>
              <w:rPr>
                <w:rFonts w:ascii="宋体" w:hAnsi="宋体"/>
                <w:color w:val="FF0000"/>
              </w:rPr>
            </w:pPr>
            <w:r>
              <w:rPr>
                <w:rFonts w:hint="eastAsia" w:ascii="宋体" w:hAnsi="宋体"/>
                <w:color w:val="FF0000"/>
              </w:rPr>
              <w:t>工程地址</w:t>
            </w:r>
          </w:p>
        </w:tc>
        <w:tc>
          <w:tcPr>
            <w:tcW w:w="5640" w:type="dxa"/>
            <w:vAlign w:val="center"/>
          </w:tcPr>
          <w:p>
            <w:pPr>
              <w:tabs>
                <w:tab w:val="left" w:pos="987"/>
              </w:tabs>
              <w:rPr>
                <w:rFonts w:ascii="宋体" w:hAnsi="宋体"/>
                <w:color w:val="FF0000"/>
              </w:rPr>
            </w:pPr>
            <w:r>
              <w:rPr>
                <w:rFonts w:hint="eastAsia" w:ascii="宋体" w:hAnsi="宋体"/>
                <w:szCs w:val="21"/>
              </w:rPr>
              <w:t>乘用车涂装车间（一期）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 w:hRule="atLeast"/>
        </w:trPr>
        <w:tc>
          <w:tcPr>
            <w:tcW w:w="865" w:type="dxa"/>
            <w:vAlign w:val="center"/>
          </w:tcPr>
          <w:p>
            <w:pPr>
              <w:jc w:val="center"/>
              <w:rPr>
                <w:rFonts w:ascii="宋体" w:hAnsi="宋体"/>
                <w:color w:val="FF0000"/>
              </w:rPr>
            </w:pPr>
            <w:r>
              <w:rPr>
                <w:rFonts w:hint="eastAsia" w:ascii="宋体" w:hAnsi="宋体"/>
                <w:color w:val="FF0000"/>
              </w:rPr>
              <w:t>1.3</w:t>
            </w:r>
          </w:p>
        </w:tc>
        <w:tc>
          <w:tcPr>
            <w:tcW w:w="2754" w:type="dxa"/>
            <w:vAlign w:val="center"/>
          </w:tcPr>
          <w:p>
            <w:pPr>
              <w:jc w:val="center"/>
              <w:rPr>
                <w:rFonts w:ascii="宋体" w:hAnsi="宋体"/>
                <w:color w:val="FF0000"/>
              </w:rPr>
            </w:pPr>
            <w:r>
              <w:rPr>
                <w:rFonts w:hint="eastAsia" w:ascii="宋体" w:hAnsi="宋体"/>
                <w:color w:val="FF0000"/>
                <w:szCs w:val="21"/>
              </w:rPr>
              <w:t>资金来源</w:t>
            </w:r>
          </w:p>
        </w:tc>
        <w:tc>
          <w:tcPr>
            <w:tcW w:w="5640" w:type="dxa"/>
            <w:vAlign w:val="center"/>
          </w:tcPr>
          <w:p>
            <w:pPr>
              <w:rPr>
                <w:rFonts w:ascii="宋体" w:hAnsi="宋体"/>
                <w:color w:val="FF0000"/>
              </w:rPr>
            </w:pPr>
            <w:r>
              <w:rPr>
                <w:rFonts w:hint="eastAsia" w:ascii="宋体" w:hAnsi="宋体"/>
                <w:color w:val="FF0000"/>
              </w:rPr>
              <w:t>企业自筹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 w:hRule="atLeast"/>
        </w:trPr>
        <w:tc>
          <w:tcPr>
            <w:tcW w:w="865" w:type="dxa"/>
            <w:vAlign w:val="center"/>
          </w:tcPr>
          <w:p>
            <w:pPr>
              <w:jc w:val="center"/>
              <w:rPr>
                <w:rFonts w:ascii="宋体" w:hAnsi="宋体"/>
                <w:color w:val="FF0000"/>
              </w:rPr>
            </w:pPr>
            <w:r>
              <w:rPr>
                <w:rFonts w:hint="eastAsia" w:ascii="宋体" w:hAnsi="宋体"/>
                <w:color w:val="FF0000"/>
              </w:rPr>
              <w:t>1.4</w:t>
            </w:r>
          </w:p>
        </w:tc>
        <w:tc>
          <w:tcPr>
            <w:tcW w:w="2754" w:type="dxa"/>
            <w:vAlign w:val="center"/>
          </w:tcPr>
          <w:p>
            <w:pPr>
              <w:jc w:val="center"/>
              <w:rPr>
                <w:rFonts w:ascii="宋体" w:hAnsi="宋体"/>
                <w:color w:val="FF0000"/>
              </w:rPr>
            </w:pPr>
            <w:r>
              <w:rPr>
                <w:rFonts w:hint="eastAsia" w:ascii="宋体" w:hAnsi="宋体"/>
                <w:color w:val="FF0000"/>
                <w:szCs w:val="21"/>
              </w:rPr>
              <w:t>招标内容</w:t>
            </w:r>
          </w:p>
        </w:tc>
        <w:tc>
          <w:tcPr>
            <w:tcW w:w="5640" w:type="dxa"/>
            <w:vAlign w:val="center"/>
          </w:tcPr>
          <w:p>
            <w:pPr>
              <w:rPr>
                <w:rFonts w:ascii="宋体" w:hAnsi="宋体"/>
                <w:color w:val="FF0000"/>
                <w:szCs w:val="21"/>
              </w:rPr>
            </w:pPr>
            <w:r>
              <w:rPr>
                <w:rFonts w:hint="eastAsia" w:ascii="宋体" w:hAnsi="宋体"/>
                <w:szCs w:val="21"/>
              </w:rPr>
              <w:t>电缆、桥架采购</w:t>
            </w:r>
            <w:r>
              <w:rPr>
                <w:rFonts w:hint="eastAsia" w:ascii="宋体" w:hAnsi="宋体" w:eastAsia="宋体" w:cs="宋体"/>
                <w:bCs/>
                <w:szCs w:val="21"/>
              </w:rPr>
              <w:t>及安装（含接头制作）直至通电验收合格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 w:hRule="atLeast"/>
        </w:trPr>
        <w:tc>
          <w:tcPr>
            <w:tcW w:w="865" w:type="dxa"/>
            <w:vMerge w:val="restart"/>
            <w:vAlign w:val="center"/>
          </w:tcPr>
          <w:p>
            <w:pPr>
              <w:jc w:val="center"/>
              <w:rPr>
                <w:rFonts w:ascii="宋体" w:hAnsi="宋体"/>
                <w:color w:val="FF0000"/>
              </w:rPr>
            </w:pPr>
            <w:r>
              <w:rPr>
                <w:rFonts w:hint="eastAsia" w:ascii="宋体" w:hAnsi="宋体"/>
                <w:color w:val="FF0000"/>
              </w:rPr>
              <w:t>1.4</w:t>
            </w:r>
          </w:p>
        </w:tc>
        <w:tc>
          <w:tcPr>
            <w:tcW w:w="2754" w:type="dxa"/>
            <w:vAlign w:val="center"/>
          </w:tcPr>
          <w:p>
            <w:pPr>
              <w:jc w:val="center"/>
              <w:rPr>
                <w:rFonts w:ascii="宋体" w:hAnsi="宋体"/>
                <w:color w:val="FF0000"/>
              </w:rPr>
            </w:pPr>
            <w:r>
              <w:rPr>
                <w:rFonts w:hint="eastAsia" w:ascii="宋体" w:hAnsi="宋体"/>
                <w:color w:val="FF0000"/>
                <w:szCs w:val="21"/>
              </w:rPr>
              <w:t>施工期限</w:t>
            </w:r>
          </w:p>
        </w:tc>
        <w:tc>
          <w:tcPr>
            <w:tcW w:w="5640" w:type="dxa"/>
            <w:vAlign w:val="center"/>
          </w:tcPr>
          <w:p>
            <w:pPr>
              <w:spacing w:line="400" w:lineRule="exact"/>
              <w:rPr>
                <w:rFonts w:ascii="宋体" w:hAnsi="宋体"/>
                <w:color w:val="FF0000"/>
                <w:szCs w:val="21"/>
              </w:rPr>
            </w:pPr>
            <w:r>
              <w:rPr>
                <w:rFonts w:hint="eastAsia" w:ascii="宋体" w:hAnsi="宋体"/>
                <w:color w:val="FF0000"/>
                <w:szCs w:val="21"/>
              </w:rPr>
              <w:t>总周期一个月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 w:hRule="atLeast"/>
        </w:trPr>
        <w:tc>
          <w:tcPr>
            <w:tcW w:w="865" w:type="dxa"/>
            <w:vMerge w:val="continue"/>
            <w:vAlign w:val="center"/>
          </w:tcPr>
          <w:p>
            <w:pPr>
              <w:jc w:val="center"/>
              <w:rPr>
                <w:rFonts w:ascii="宋体" w:hAnsi="宋体"/>
                <w:color w:val="FF0000"/>
              </w:rPr>
            </w:pPr>
          </w:p>
        </w:tc>
        <w:tc>
          <w:tcPr>
            <w:tcW w:w="2754" w:type="dxa"/>
            <w:vAlign w:val="center"/>
          </w:tcPr>
          <w:p>
            <w:pPr>
              <w:ind w:firstLine="735" w:firstLineChars="350"/>
              <w:rPr>
                <w:rFonts w:ascii="宋体" w:hAnsi="宋体"/>
                <w:color w:val="FF0000"/>
                <w:szCs w:val="21"/>
              </w:rPr>
            </w:pPr>
            <w:r>
              <w:rPr>
                <w:rFonts w:hint="eastAsia" w:ascii="宋体" w:hAnsi="宋体"/>
                <w:color w:val="FF0000"/>
                <w:szCs w:val="21"/>
              </w:rPr>
              <w:t>施工地点</w:t>
            </w:r>
          </w:p>
        </w:tc>
        <w:tc>
          <w:tcPr>
            <w:tcW w:w="5640" w:type="dxa"/>
            <w:vAlign w:val="center"/>
          </w:tcPr>
          <w:p>
            <w:pPr>
              <w:rPr>
                <w:rFonts w:ascii="宋体" w:hAnsi="宋体"/>
                <w:color w:val="FF0000"/>
                <w:szCs w:val="21"/>
              </w:rPr>
            </w:pPr>
            <w:r>
              <w:rPr>
                <w:rFonts w:hint="eastAsia" w:ascii="宋体" w:hAnsi="宋体"/>
                <w:szCs w:val="21"/>
              </w:rPr>
              <w:t>乘用车涂装车间（一期）2#、3#配电区域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 w:hRule="atLeast"/>
        </w:trPr>
        <w:tc>
          <w:tcPr>
            <w:tcW w:w="865" w:type="dxa"/>
            <w:vAlign w:val="center"/>
          </w:tcPr>
          <w:p>
            <w:pPr>
              <w:jc w:val="center"/>
              <w:rPr>
                <w:rFonts w:ascii="宋体" w:hAnsi="宋体"/>
                <w:color w:val="FF0000"/>
              </w:rPr>
            </w:pPr>
            <w:r>
              <w:rPr>
                <w:rFonts w:hint="eastAsia" w:ascii="宋体" w:hAnsi="宋体"/>
                <w:color w:val="FF0000"/>
              </w:rPr>
              <w:t>1.5</w:t>
            </w:r>
          </w:p>
        </w:tc>
        <w:tc>
          <w:tcPr>
            <w:tcW w:w="2754" w:type="dxa"/>
            <w:vAlign w:val="center"/>
          </w:tcPr>
          <w:p>
            <w:pPr>
              <w:jc w:val="center"/>
              <w:rPr>
                <w:rFonts w:ascii="宋体" w:hAnsi="宋体"/>
                <w:color w:val="FF0000"/>
                <w:szCs w:val="21"/>
              </w:rPr>
            </w:pPr>
            <w:r>
              <w:rPr>
                <w:rFonts w:hint="eastAsia" w:ascii="宋体" w:hAnsi="宋体"/>
                <w:color w:val="FF0000"/>
                <w:szCs w:val="21"/>
              </w:rPr>
              <w:t>质量标准</w:t>
            </w:r>
          </w:p>
        </w:tc>
        <w:tc>
          <w:tcPr>
            <w:tcW w:w="5640" w:type="dxa"/>
            <w:vAlign w:val="center"/>
          </w:tcPr>
          <w:p>
            <w:pPr>
              <w:spacing w:line="400" w:lineRule="exact"/>
              <w:rPr>
                <w:rFonts w:ascii="宋体" w:hAnsi="宋体"/>
                <w:color w:val="FF0000"/>
                <w:szCs w:val="21"/>
              </w:rPr>
            </w:pPr>
            <w:r>
              <w:rPr>
                <w:rFonts w:hint="eastAsia" w:ascii="宋体" w:hAnsi="宋体"/>
                <w:szCs w:val="21"/>
              </w:rPr>
              <w:t>符合国家电力相关标准的规定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 w:hRule="atLeast"/>
        </w:trPr>
        <w:tc>
          <w:tcPr>
            <w:tcW w:w="865" w:type="dxa"/>
            <w:vAlign w:val="center"/>
          </w:tcPr>
          <w:p>
            <w:pPr>
              <w:ind w:firstLine="105" w:firstLineChars="50"/>
              <w:rPr>
                <w:rFonts w:ascii="宋体" w:hAnsi="宋体"/>
                <w:color w:val="FF0000"/>
                <w:szCs w:val="21"/>
              </w:rPr>
            </w:pPr>
          </w:p>
        </w:tc>
        <w:tc>
          <w:tcPr>
            <w:tcW w:w="2754" w:type="dxa"/>
            <w:vAlign w:val="center"/>
          </w:tcPr>
          <w:p>
            <w:pPr>
              <w:ind w:firstLine="735" w:firstLineChars="350"/>
              <w:rPr>
                <w:rFonts w:ascii="宋体" w:hAnsi="宋体"/>
                <w:color w:val="FF0000"/>
                <w:szCs w:val="21"/>
              </w:rPr>
            </w:pPr>
            <w:r>
              <w:rPr>
                <w:rFonts w:hint="eastAsia" w:ascii="宋体" w:hAnsi="宋体"/>
                <w:color w:val="FF0000"/>
                <w:szCs w:val="21"/>
              </w:rPr>
              <w:t>质量保证期</w:t>
            </w:r>
          </w:p>
        </w:tc>
        <w:tc>
          <w:tcPr>
            <w:tcW w:w="5640" w:type="dxa"/>
            <w:vAlign w:val="center"/>
          </w:tcPr>
          <w:p>
            <w:pPr>
              <w:rPr>
                <w:rFonts w:ascii="宋体" w:hAnsi="宋体"/>
                <w:color w:val="FF0000"/>
                <w:szCs w:val="21"/>
              </w:rPr>
            </w:pPr>
            <w:r>
              <w:rPr>
                <w:rFonts w:hint="eastAsia" w:ascii="宋体" w:hAnsi="宋体"/>
                <w:color w:val="FF0000"/>
                <w:szCs w:val="21"/>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 w:hRule="atLeast"/>
        </w:trPr>
        <w:tc>
          <w:tcPr>
            <w:tcW w:w="865" w:type="dxa"/>
            <w:vAlign w:val="center"/>
          </w:tcPr>
          <w:p>
            <w:pPr>
              <w:ind w:firstLine="105" w:firstLineChars="50"/>
              <w:rPr>
                <w:rFonts w:ascii="宋体" w:hAnsi="宋体"/>
                <w:color w:val="FF0000"/>
                <w:szCs w:val="21"/>
              </w:rPr>
            </w:pPr>
            <w:r>
              <w:rPr>
                <w:rFonts w:hint="eastAsia" w:ascii="宋体" w:hAnsi="宋体"/>
                <w:color w:val="FF0000"/>
                <w:szCs w:val="21"/>
              </w:rPr>
              <w:t xml:space="preserve"> 1.6</w:t>
            </w:r>
          </w:p>
        </w:tc>
        <w:tc>
          <w:tcPr>
            <w:tcW w:w="2754" w:type="dxa"/>
            <w:vAlign w:val="center"/>
          </w:tcPr>
          <w:p>
            <w:pPr>
              <w:ind w:firstLine="735" w:firstLineChars="350"/>
              <w:rPr>
                <w:rFonts w:ascii="宋体" w:hAnsi="宋体"/>
                <w:color w:val="FF0000"/>
                <w:szCs w:val="21"/>
              </w:rPr>
            </w:pPr>
            <w:r>
              <w:rPr>
                <w:rFonts w:hint="eastAsia" w:ascii="宋体" w:hAnsi="宋体"/>
                <w:color w:val="FF0000"/>
                <w:szCs w:val="21"/>
              </w:rPr>
              <w:t>踏勘现场</w:t>
            </w:r>
          </w:p>
        </w:tc>
        <w:tc>
          <w:tcPr>
            <w:tcW w:w="5640" w:type="dxa"/>
            <w:vAlign w:val="center"/>
          </w:tcPr>
          <w:p>
            <w:pPr>
              <w:rPr>
                <w:rFonts w:ascii="宋体" w:hAnsi="宋体"/>
                <w:color w:val="FF0000"/>
                <w:szCs w:val="21"/>
              </w:rPr>
            </w:pPr>
            <w:r>
              <w:rPr>
                <w:rFonts w:hint="eastAsia" w:ascii="宋体" w:hAnsi="宋体"/>
                <w:color w:val="FF0000"/>
                <w:szCs w:val="21"/>
              </w:rPr>
              <w:t>自行组织踏勘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 w:hRule="atLeast"/>
        </w:trPr>
        <w:tc>
          <w:tcPr>
            <w:tcW w:w="865" w:type="dxa"/>
            <w:vAlign w:val="center"/>
          </w:tcPr>
          <w:p>
            <w:pPr>
              <w:jc w:val="center"/>
              <w:rPr>
                <w:rFonts w:ascii="宋体" w:hAnsi="宋体"/>
                <w:color w:val="FF0000"/>
                <w:szCs w:val="21"/>
              </w:rPr>
            </w:pPr>
            <w:r>
              <w:rPr>
                <w:rFonts w:hint="eastAsia" w:ascii="宋体" w:hAnsi="宋体"/>
                <w:color w:val="FF0000"/>
                <w:szCs w:val="21"/>
              </w:rPr>
              <w:t>1.7</w:t>
            </w:r>
          </w:p>
        </w:tc>
        <w:tc>
          <w:tcPr>
            <w:tcW w:w="2754" w:type="dxa"/>
            <w:vAlign w:val="center"/>
          </w:tcPr>
          <w:p>
            <w:pPr>
              <w:jc w:val="center"/>
              <w:rPr>
                <w:rFonts w:ascii="宋体" w:hAnsi="宋体"/>
                <w:color w:val="FF0000"/>
                <w:szCs w:val="21"/>
              </w:rPr>
            </w:pPr>
            <w:r>
              <w:rPr>
                <w:rFonts w:hint="eastAsia" w:ascii="宋体" w:hAnsi="宋体"/>
                <w:color w:val="FF0000"/>
                <w:szCs w:val="21"/>
              </w:rPr>
              <w:t>投标人提出问题</w:t>
            </w:r>
          </w:p>
          <w:p>
            <w:pPr>
              <w:jc w:val="center"/>
              <w:rPr>
                <w:rFonts w:ascii="宋体" w:hAnsi="宋体"/>
                <w:color w:val="FF0000"/>
                <w:szCs w:val="21"/>
              </w:rPr>
            </w:pPr>
            <w:r>
              <w:rPr>
                <w:rFonts w:hint="eastAsia" w:ascii="宋体" w:hAnsi="宋体"/>
                <w:color w:val="FF0000"/>
                <w:szCs w:val="21"/>
              </w:rPr>
              <w:t>的截止时间</w:t>
            </w:r>
          </w:p>
        </w:tc>
        <w:tc>
          <w:tcPr>
            <w:tcW w:w="5640" w:type="dxa"/>
            <w:vAlign w:val="center"/>
          </w:tcPr>
          <w:p>
            <w:pPr>
              <w:ind w:firstLine="420" w:firstLineChars="200"/>
              <w:rPr>
                <w:rFonts w:ascii="宋体" w:hAnsi="宋体"/>
                <w:color w:val="FF0000"/>
                <w:szCs w:val="21"/>
              </w:rPr>
            </w:pPr>
            <w:r>
              <w:rPr>
                <w:rFonts w:hint="eastAsia" w:ascii="宋体" w:hAnsi="宋体"/>
                <w:color w:val="FF0000"/>
                <w:szCs w:val="21"/>
              </w:rPr>
              <w:t xml:space="preserve">2017年 </w:t>
            </w:r>
            <w:r>
              <w:rPr>
                <w:rFonts w:hint="eastAsia" w:ascii="宋体" w:hAnsi="宋体"/>
                <w:color w:val="FF0000"/>
                <w:szCs w:val="21"/>
                <w:lang w:val="en-US" w:eastAsia="zh-CN"/>
              </w:rPr>
              <w:t>10</w:t>
            </w:r>
            <w:r>
              <w:rPr>
                <w:rFonts w:hint="eastAsia" w:ascii="宋体" w:hAnsi="宋体"/>
                <w:color w:val="FF0000"/>
                <w:szCs w:val="21"/>
              </w:rPr>
              <w:t xml:space="preserve">月  </w:t>
            </w:r>
            <w:r>
              <w:rPr>
                <w:rFonts w:hint="eastAsia" w:ascii="宋体" w:hAnsi="宋体"/>
                <w:color w:val="FF0000"/>
                <w:szCs w:val="21"/>
                <w:lang w:val="en-US" w:eastAsia="zh-CN"/>
              </w:rPr>
              <w:t>8</w:t>
            </w:r>
            <w:r>
              <w:rPr>
                <w:rFonts w:hint="eastAsia" w:ascii="宋体" w:hAnsi="宋体"/>
                <w:color w:val="FF0000"/>
                <w:szCs w:val="21"/>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trPr>
        <w:tc>
          <w:tcPr>
            <w:tcW w:w="865" w:type="dxa"/>
            <w:vAlign w:val="center"/>
          </w:tcPr>
          <w:p>
            <w:pPr>
              <w:jc w:val="center"/>
              <w:rPr>
                <w:rFonts w:ascii="宋体" w:hAnsi="宋体"/>
                <w:color w:val="FF0000"/>
                <w:szCs w:val="21"/>
              </w:rPr>
            </w:pPr>
            <w:r>
              <w:rPr>
                <w:rFonts w:hint="eastAsia" w:ascii="宋体" w:hAnsi="宋体"/>
                <w:color w:val="FF0000"/>
                <w:szCs w:val="21"/>
              </w:rPr>
              <w:t>1.9</w:t>
            </w:r>
          </w:p>
        </w:tc>
        <w:tc>
          <w:tcPr>
            <w:tcW w:w="2754" w:type="dxa"/>
            <w:vAlign w:val="center"/>
          </w:tcPr>
          <w:p>
            <w:pPr>
              <w:jc w:val="center"/>
              <w:rPr>
                <w:rFonts w:ascii="宋体" w:hAnsi="宋体"/>
                <w:color w:val="FF0000"/>
                <w:szCs w:val="21"/>
              </w:rPr>
            </w:pPr>
            <w:r>
              <w:rPr>
                <w:rFonts w:hint="eastAsia" w:ascii="宋体" w:hAnsi="宋体"/>
                <w:color w:val="FF0000"/>
                <w:szCs w:val="21"/>
              </w:rPr>
              <w:t>构成招标文件的</w:t>
            </w:r>
          </w:p>
          <w:p>
            <w:pPr>
              <w:jc w:val="center"/>
              <w:rPr>
                <w:rFonts w:ascii="宋体" w:hAnsi="宋体"/>
                <w:color w:val="FF0000"/>
                <w:szCs w:val="21"/>
              </w:rPr>
            </w:pPr>
            <w:r>
              <w:rPr>
                <w:rFonts w:hint="eastAsia" w:ascii="宋体" w:hAnsi="宋体"/>
                <w:color w:val="FF0000"/>
                <w:szCs w:val="21"/>
              </w:rPr>
              <w:t>其他材料</w:t>
            </w:r>
          </w:p>
        </w:tc>
        <w:tc>
          <w:tcPr>
            <w:tcW w:w="5640" w:type="dxa"/>
            <w:vAlign w:val="center"/>
          </w:tcPr>
          <w:p>
            <w:pPr>
              <w:rPr>
                <w:rFonts w:ascii="宋体" w:hAnsi="宋体"/>
                <w:color w:val="FF0000"/>
                <w:szCs w:val="21"/>
              </w:rPr>
            </w:pPr>
            <w:r>
              <w:rPr>
                <w:rFonts w:hint="eastAsia" w:ascii="宋体" w:hAnsi="宋体"/>
                <w:color w:val="FF0000"/>
                <w:szCs w:val="21"/>
              </w:rPr>
              <w:t>本招标文件的澄清、答疑书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 w:hRule="atLeast"/>
        </w:trPr>
        <w:tc>
          <w:tcPr>
            <w:tcW w:w="865" w:type="dxa"/>
            <w:vAlign w:val="center"/>
          </w:tcPr>
          <w:p>
            <w:pPr>
              <w:jc w:val="center"/>
              <w:rPr>
                <w:rFonts w:ascii="宋体" w:hAnsi="宋体"/>
                <w:color w:val="FF0000"/>
                <w:szCs w:val="21"/>
              </w:rPr>
            </w:pPr>
            <w:r>
              <w:rPr>
                <w:rFonts w:hint="eastAsia" w:ascii="宋体" w:hAnsi="宋体"/>
                <w:color w:val="FF0000"/>
                <w:szCs w:val="21"/>
              </w:rPr>
              <w:t>2.0</w:t>
            </w:r>
          </w:p>
        </w:tc>
        <w:tc>
          <w:tcPr>
            <w:tcW w:w="2754" w:type="dxa"/>
            <w:vAlign w:val="center"/>
          </w:tcPr>
          <w:p>
            <w:pPr>
              <w:jc w:val="center"/>
              <w:rPr>
                <w:rFonts w:ascii="宋体" w:hAnsi="宋体"/>
                <w:color w:val="FF0000"/>
                <w:szCs w:val="21"/>
              </w:rPr>
            </w:pPr>
            <w:r>
              <w:rPr>
                <w:rFonts w:hint="eastAsia" w:ascii="宋体" w:hAnsi="宋体"/>
                <w:color w:val="FF0000"/>
                <w:szCs w:val="21"/>
              </w:rPr>
              <w:t>投标截止时间</w:t>
            </w:r>
          </w:p>
        </w:tc>
        <w:tc>
          <w:tcPr>
            <w:tcW w:w="5640" w:type="dxa"/>
            <w:vAlign w:val="center"/>
          </w:tcPr>
          <w:p>
            <w:pPr>
              <w:rPr>
                <w:rFonts w:ascii="宋体" w:hAnsi="宋体"/>
                <w:color w:val="FF0000"/>
                <w:szCs w:val="21"/>
              </w:rPr>
            </w:pPr>
            <w:r>
              <w:rPr>
                <w:rFonts w:hint="eastAsia" w:ascii="宋体" w:hAnsi="宋体"/>
                <w:color w:val="FF0000"/>
                <w:szCs w:val="21"/>
              </w:rPr>
              <w:t xml:space="preserve">2017年 </w:t>
            </w:r>
            <w:r>
              <w:rPr>
                <w:rFonts w:hint="eastAsia" w:ascii="宋体" w:hAnsi="宋体"/>
                <w:color w:val="FF0000"/>
                <w:szCs w:val="21"/>
                <w:lang w:val="en-US" w:eastAsia="zh-CN"/>
              </w:rPr>
              <w:t>10</w:t>
            </w:r>
            <w:r>
              <w:rPr>
                <w:rFonts w:hint="eastAsia" w:ascii="宋体" w:hAnsi="宋体"/>
                <w:color w:val="FF0000"/>
                <w:szCs w:val="21"/>
              </w:rPr>
              <w:t xml:space="preserve">月 </w:t>
            </w:r>
            <w:r>
              <w:rPr>
                <w:rFonts w:hint="eastAsia" w:ascii="宋体" w:hAnsi="宋体"/>
                <w:color w:val="FF0000"/>
                <w:szCs w:val="21"/>
                <w:lang w:val="en-US" w:eastAsia="zh-CN"/>
              </w:rPr>
              <w:t>10</w:t>
            </w:r>
            <w:r>
              <w:rPr>
                <w:rFonts w:hint="eastAsia" w:ascii="宋体" w:hAnsi="宋体"/>
                <w:color w:val="FF0000"/>
                <w:szCs w:val="21"/>
              </w:rPr>
              <w:t xml:space="preserve">  日上午9时（北京时间）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865" w:type="dxa"/>
            <w:vAlign w:val="center"/>
          </w:tcPr>
          <w:p>
            <w:pPr>
              <w:jc w:val="center"/>
              <w:rPr>
                <w:rFonts w:ascii="宋体" w:hAnsi="宋体" w:eastAsia="宋体"/>
                <w:color w:val="FF0000"/>
                <w:szCs w:val="21"/>
              </w:rPr>
            </w:pPr>
            <w:r>
              <w:rPr>
                <w:rFonts w:hint="eastAsia" w:ascii="宋体" w:hAnsi="宋体"/>
                <w:color w:val="FF0000"/>
                <w:szCs w:val="21"/>
              </w:rPr>
              <w:t>2.2</w:t>
            </w:r>
          </w:p>
        </w:tc>
        <w:tc>
          <w:tcPr>
            <w:tcW w:w="2754" w:type="dxa"/>
            <w:vAlign w:val="center"/>
          </w:tcPr>
          <w:p>
            <w:pPr>
              <w:jc w:val="center"/>
              <w:rPr>
                <w:rFonts w:ascii="宋体" w:hAnsi="宋体"/>
                <w:color w:val="FF0000"/>
                <w:szCs w:val="21"/>
              </w:rPr>
            </w:pPr>
            <w:r>
              <w:rPr>
                <w:rFonts w:hint="eastAsia" w:ascii="宋体" w:hAnsi="宋体"/>
                <w:color w:val="FF0000"/>
                <w:szCs w:val="21"/>
              </w:rPr>
              <w:t>投标有效期</w:t>
            </w:r>
          </w:p>
        </w:tc>
        <w:tc>
          <w:tcPr>
            <w:tcW w:w="5640" w:type="dxa"/>
            <w:vAlign w:val="center"/>
          </w:tcPr>
          <w:p>
            <w:pPr>
              <w:rPr>
                <w:rFonts w:ascii="宋体" w:hAnsi="宋体"/>
                <w:color w:val="FF0000"/>
                <w:szCs w:val="21"/>
              </w:rPr>
            </w:pPr>
            <w:r>
              <w:rPr>
                <w:rFonts w:hint="eastAsia" w:ascii="宋体" w:hAnsi="宋体"/>
                <w:color w:val="FF0000"/>
                <w:szCs w:val="21"/>
              </w:rPr>
              <w:t>投标截止日起算 10 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865" w:type="dxa"/>
            <w:vAlign w:val="center"/>
          </w:tcPr>
          <w:p>
            <w:pPr>
              <w:jc w:val="center"/>
              <w:rPr>
                <w:rFonts w:ascii="宋体" w:hAnsi="宋体" w:eastAsia="宋体"/>
                <w:color w:val="FF0000"/>
                <w:szCs w:val="21"/>
              </w:rPr>
            </w:pPr>
            <w:r>
              <w:rPr>
                <w:rFonts w:hint="eastAsia" w:ascii="宋体" w:hAnsi="宋体"/>
                <w:color w:val="FF0000"/>
                <w:szCs w:val="21"/>
              </w:rPr>
              <w:t>2.3</w:t>
            </w:r>
          </w:p>
        </w:tc>
        <w:tc>
          <w:tcPr>
            <w:tcW w:w="2754" w:type="dxa"/>
            <w:vAlign w:val="center"/>
          </w:tcPr>
          <w:p>
            <w:pPr>
              <w:jc w:val="center"/>
              <w:rPr>
                <w:rFonts w:ascii="宋体" w:hAnsi="宋体"/>
                <w:color w:val="FF0000"/>
                <w:szCs w:val="21"/>
              </w:rPr>
            </w:pPr>
            <w:r>
              <w:rPr>
                <w:rFonts w:hint="eastAsia" w:ascii="宋体" w:hAnsi="宋体"/>
                <w:color w:val="FF0000"/>
                <w:szCs w:val="21"/>
              </w:rPr>
              <w:t>投标保证金</w:t>
            </w:r>
          </w:p>
        </w:tc>
        <w:tc>
          <w:tcPr>
            <w:tcW w:w="5640" w:type="dxa"/>
            <w:vAlign w:val="center"/>
          </w:tcPr>
          <w:p>
            <w:pPr>
              <w:rPr>
                <w:rFonts w:ascii="宋体" w:hAnsi="宋体"/>
                <w:color w:val="FF0000"/>
                <w:spacing w:val="-6"/>
              </w:rPr>
            </w:pPr>
            <w:r>
              <w:rPr>
                <w:rFonts w:hint="eastAsia" w:ascii="宋体" w:hAnsi="宋体"/>
                <w:color w:val="FF0000"/>
                <w:spacing w:val="-6"/>
              </w:rPr>
              <w:t>金　　额：</w:t>
            </w:r>
            <w:r>
              <w:rPr>
                <w:rFonts w:hint="eastAsia" w:ascii="宋体" w:hAnsi="宋体"/>
                <w:color w:val="FF0000"/>
                <w:spacing w:val="-6"/>
                <w:u w:val="single"/>
              </w:rPr>
              <w:t xml:space="preserve">  5000  </w:t>
            </w:r>
            <w:r>
              <w:rPr>
                <w:rFonts w:hint="eastAsia" w:ascii="宋体" w:hAnsi="宋体"/>
                <w:color w:val="FF0000"/>
                <w:spacing w:val="-6"/>
              </w:rPr>
              <w:t>元人民币（转账到指定账户，出具转账汇票）</w:t>
            </w:r>
          </w:p>
          <w:p>
            <w:pPr>
              <w:rPr>
                <w:rFonts w:ascii="宋体" w:hAnsi="宋体"/>
                <w:color w:val="FF0000"/>
                <w:spacing w:val="-6"/>
              </w:rPr>
            </w:pPr>
            <w:r>
              <w:rPr>
                <w:rFonts w:hint="eastAsia" w:ascii="宋体" w:hAnsi="宋体"/>
                <w:color w:val="FF0000"/>
                <w:spacing w:val="-6"/>
              </w:rPr>
              <w:t>有 效 期：未中标者投标保证金5个工作日内退还</w:t>
            </w:r>
          </w:p>
          <w:p>
            <w:pPr>
              <w:rPr>
                <w:rFonts w:ascii="宋体" w:hAnsi="宋体" w:cs="Arial"/>
                <w:color w:val="FF0000"/>
                <w:szCs w:val="21"/>
              </w:rPr>
            </w:pPr>
            <w:r>
              <w:rPr>
                <w:rFonts w:ascii="宋体" w:hAnsi="宋体" w:cs="Arial"/>
                <w:color w:val="FF0000"/>
                <w:szCs w:val="21"/>
              </w:rPr>
              <w:t>收</w:t>
            </w:r>
            <w:r>
              <w:rPr>
                <w:rFonts w:hint="eastAsia" w:ascii="宋体" w:hAnsi="宋体" w:cs="Arial"/>
                <w:color w:val="FF0000"/>
                <w:szCs w:val="21"/>
              </w:rPr>
              <w:t xml:space="preserve"> </w:t>
            </w:r>
            <w:r>
              <w:rPr>
                <w:rFonts w:ascii="宋体" w:hAnsi="宋体" w:cs="Arial"/>
                <w:color w:val="FF0000"/>
                <w:szCs w:val="21"/>
              </w:rPr>
              <w:t>款</w:t>
            </w:r>
            <w:r>
              <w:rPr>
                <w:rFonts w:hint="eastAsia" w:ascii="宋体" w:hAnsi="宋体" w:cs="Arial"/>
                <w:color w:val="FF0000"/>
                <w:szCs w:val="21"/>
              </w:rPr>
              <w:t xml:space="preserve"> </w:t>
            </w:r>
            <w:r>
              <w:rPr>
                <w:rFonts w:ascii="宋体" w:hAnsi="宋体" w:cs="Arial"/>
                <w:color w:val="FF0000"/>
                <w:szCs w:val="21"/>
              </w:rPr>
              <w:t>人</w:t>
            </w:r>
            <w:r>
              <w:rPr>
                <w:rFonts w:hint="eastAsia" w:ascii="宋体" w:hAnsi="宋体" w:cs="Arial"/>
                <w:color w:val="FF0000"/>
                <w:szCs w:val="21"/>
              </w:rPr>
              <w:t xml:space="preserve">：重庆力帆乘用车有限公司 </w:t>
            </w:r>
          </w:p>
          <w:p>
            <w:pPr>
              <w:rPr>
                <w:rFonts w:ascii="宋体" w:hAnsi="宋体" w:cs="Arial"/>
                <w:color w:val="FF0000"/>
                <w:szCs w:val="21"/>
              </w:rPr>
            </w:pPr>
            <w:r>
              <w:rPr>
                <w:rFonts w:ascii="宋体" w:hAnsi="宋体" w:cs="Arial"/>
                <w:color w:val="FF0000"/>
                <w:szCs w:val="21"/>
              </w:rPr>
              <w:t>银</w:t>
            </w:r>
            <w:r>
              <w:rPr>
                <w:rFonts w:hint="eastAsia" w:ascii="宋体" w:hAnsi="宋体" w:cs="Arial"/>
                <w:color w:val="FF0000"/>
                <w:szCs w:val="21"/>
              </w:rPr>
              <w:t xml:space="preserve">    </w:t>
            </w:r>
            <w:r>
              <w:rPr>
                <w:rFonts w:ascii="宋体" w:hAnsi="宋体" w:cs="Arial"/>
                <w:color w:val="FF0000"/>
                <w:szCs w:val="21"/>
              </w:rPr>
              <w:t>行：</w:t>
            </w:r>
            <w:r>
              <w:rPr>
                <w:rFonts w:hint="eastAsia" w:ascii="宋体" w:hAnsi="宋体" w:cs="Arial"/>
                <w:color w:val="FF0000"/>
                <w:szCs w:val="21"/>
              </w:rPr>
              <w:t>建行两江分行营业部</w:t>
            </w:r>
          </w:p>
          <w:p>
            <w:pPr>
              <w:rPr>
                <w:rFonts w:ascii="宋体" w:hAnsi="宋体" w:cs="Arial"/>
                <w:color w:val="FF0000"/>
                <w:szCs w:val="21"/>
              </w:rPr>
            </w:pPr>
            <w:r>
              <w:rPr>
                <w:rFonts w:ascii="宋体" w:hAnsi="宋体" w:cs="Arial"/>
                <w:color w:val="FF0000"/>
                <w:szCs w:val="21"/>
              </w:rPr>
              <w:t>帐</w:t>
            </w:r>
            <w:r>
              <w:rPr>
                <w:rFonts w:hint="eastAsia" w:ascii="宋体" w:hAnsi="宋体" w:cs="Arial"/>
                <w:color w:val="FF0000"/>
                <w:szCs w:val="21"/>
              </w:rPr>
              <w:t xml:space="preserve">    </w:t>
            </w:r>
            <w:r>
              <w:rPr>
                <w:rFonts w:ascii="宋体" w:hAnsi="宋体" w:cs="Arial"/>
                <w:color w:val="FF0000"/>
                <w:szCs w:val="21"/>
              </w:rPr>
              <w:t>号：</w:t>
            </w:r>
            <w:r>
              <w:rPr>
                <w:rFonts w:hint="eastAsia" w:ascii="宋体" w:hAnsi="宋体" w:cs="Arial"/>
                <w:color w:val="FF0000"/>
                <w:szCs w:val="21"/>
              </w:rPr>
              <w:t>50001043600050202621</w:t>
            </w:r>
          </w:p>
          <w:p>
            <w:pPr>
              <w:rPr>
                <w:rFonts w:ascii="宋体" w:hAnsi="宋体"/>
                <w:color w:val="FF0000"/>
                <w:szCs w:val="21"/>
              </w:rPr>
            </w:pPr>
            <w:r>
              <w:rPr>
                <w:rFonts w:hint="eastAsia" w:ascii="宋体" w:hAnsi="宋体"/>
                <w:color w:val="FF0000"/>
                <w:spacing w:val="-6"/>
              </w:rPr>
              <w:t>递交时间：</w:t>
            </w:r>
            <w:r>
              <w:rPr>
                <w:rFonts w:hint="eastAsia" w:ascii="宋体" w:hAnsi="宋体"/>
                <w:color w:val="FF0000"/>
                <w:u w:val="single"/>
              </w:rPr>
              <w:t>2017</w:t>
            </w:r>
            <w:r>
              <w:rPr>
                <w:rFonts w:hint="eastAsia" w:ascii="宋体" w:hAnsi="宋体"/>
                <w:color w:val="FF0000"/>
              </w:rPr>
              <w:t>年</w:t>
            </w:r>
            <w:r>
              <w:rPr>
                <w:rFonts w:hint="eastAsia" w:ascii="宋体" w:hAnsi="宋体"/>
                <w:color w:val="FF0000"/>
                <w:u w:val="single"/>
              </w:rPr>
              <w:t xml:space="preserve"> 9 </w:t>
            </w:r>
            <w:r>
              <w:rPr>
                <w:rFonts w:hint="eastAsia" w:ascii="宋体" w:hAnsi="宋体"/>
                <w:color w:val="FF0000"/>
              </w:rPr>
              <w:t>月</w:t>
            </w:r>
            <w:r>
              <w:rPr>
                <w:rFonts w:hint="eastAsia" w:ascii="宋体" w:hAnsi="宋体"/>
                <w:color w:val="FF0000"/>
                <w:u w:val="single"/>
              </w:rPr>
              <w:t xml:space="preserve">   </w:t>
            </w:r>
            <w:r>
              <w:rPr>
                <w:rFonts w:hint="eastAsia" w:ascii="宋体" w:hAnsi="宋体"/>
                <w:color w:val="FF0000"/>
              </w:rPr>
              <w:t>日前</w:t>
            </w:r>
            <w:r>
              <w:rPr>
                <w:rFonts w:hint="eastAsia" w:ascii="宋体" w:hAnsi="宋体"/>
                <w:color w:val="FF0000"/>
                <w:szCs w:val="21"/>
              </w:rPr>
              <w:t>提交投标保证金（以银行到账的时间为准）逾期未交保证金者视为废标。</w:t>
            </w:r>
          </w:p>
          <w:p>
            <w:pPr>
              <w:rPr>
                <w:rFonts w:ascii="宋体" w:hAnsi="宋体"/>
                <w:color w:val="FF0000"/>
                <w:szCs w:val="21"/>
              </w:rPr>
            </w:pPr>
            <w:r>
              <w:rPr>
                <w:rFonts w:hint="eastAsia" w:ascii="宋体" w:hAnsi="宋体"/>
                <w:color w:val="FF0000"/>
                <w:szCs w:val="21"/>
              </w:rPr>
              <w:t>递交方式：银行转账</w:t>
            </w:r>
            <w:r>
              <w:rPr>
                <w:rFonts w:hint="eastAsia"/>
                <w:b/>
                <w:color w:val="FF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 w:hRule="atLeast"/>
        </w:trPr>
        <w:tc>
          <w:tcPr>
            <w:tcW w:w="865" w:type="dxa"/>
            <w:vAlign w:val="center"/>
          </w:tcPr>
          <w:p>
            <w:pPr>
              <w:jc w:val="center"/>
              <w:rPr>
                <w:rFonts w:ascii="宋体" w:hAnsi="宋体" w:eastAsia="宋体"/>
                <w:color w:val="FF0000"/>
                <w:szCs w:val="21"/>
              </w:rPr>
            </w:pPr>
            <w:r>
              <w:rPr>
                <w:rFonts w:hint="eastAsia" w:ascii="宋体" w:hAnsi="宋体"/>
                <w:color w:val="FF0000"/>
              </w:rPr>
              <w:t>2.4</w:t>
            </w:r>
          </w:p>
        </w:tc>
        <w:tc>
          <w:tcPr>
            <w:tcW w:w="2754" w:type="dxa"/>
            <w:vAlign w:val="center"/>
          </w:tcPr>
          <w:p>
            <w:pPr>
              <w:ind w:right="-126" w:rightChars="-60"/>
              <w:rPr>
                <w:rFonts w:ascii="宋体" w:hAnsi="宋体"/>
                <w:color w:val="FF0000"/>
                <w:szCs w:val="21"/>
              </w:rPr>
            </w:pPr>
            <w:r>
              <w:rPr>
                <w:rFonts w:hint="eastAsia" w:ascii="宋体" w:hAnsi="宋体"/>
                <w:color w:val="FF0000"/>
                <w:szCs w:val="21"/>
              </w:rPr>
              <w:t>近年财务状况的年份要求</w:t>
            </w:r>
          </w:p>
        </w:tc>
        <w:tc>
          <w:tcPr>
            <w:tcW w:w="5640" w:type="dxa"/>
            <w:vAlign w:val="center"/>
          </w:tcPr>
          <w:p>
            <w:pPr>
              <w:rPr>
                <w:rFonts w:ascii="宋体" w:hAnsi="宋体" w:cs="Arial"/>
                <w:color w:val="FF0000"/>
                <w:szCs w:val="21"/>
              </w:rPr>
            </w:pPr>
            <w:r>
              <w:rPr>
                <w:rFonts w:hint="eastAsia" w:ascii="宋体" w:hAnsi="宋体"/>
                <w:color w:val="FF0000"/>
                <w:szCs w:val="21"/>
              </w:rPr>
              <w:t>3 年（2014年-2016年）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865" w:type="dxa"/>
            <w:vAlign w:val="center"/>
          </w:tcPr>
          <w:p>
            <w:pPr>
              <w:jc w:val="center"/>
              <w:rPr>
                <w:rFonts w:ascii="宋体" w:hAnsi="宋体" w:eastAsia="宋体"/>
              </w:rPr>
            </w:pPr>
            <w:r>
              <w:rPr>
                <w:rFonts w:hint="eastAsia" w:ascii="宋体" w:hAnsi="宋体"/>
              </w:rPr>
              <w:t>2.5</w:t>
            </w:r>
          </w:p>
        </w:tc>
        <w:tc>
          <w:tcPr>
            <w:tcW w:w="2754" w:type="dxa"/>
            <w:vAlign w:val="center"/>
          </w:tcPr>
          <w:p>
            <w:pPr>
              <w:rPr>
                <w:rFonts w:ascii="宋体" w:hAnsi="宋体"/>
                <w:szCs w:val="21"/>
              </w:rPr>
            </w:pPr>
            <w:r>
              <w:rPr>
                <w:rFonts w:hint="eastAsia" w:ascii="宋体" w:hAnsi="宋体"/>
                <w:szCs w:val="21"/>
              </w:rPr>
              <w:t>近年完成的类似项目的年份要求</w:t>
            </w:r>
          </w:p>
        </w:tc>
        <w:tc>
          <w:tcPr>
            <w:tcW w:w="5640" w:type="dxa"/>
            <w:vAlign w:val="center"/>
          </w:tcPr>
          <w:p>
            <w:pPr>
              <w:rPr>
                <w:rFonts w:ascii="宋体" w:hAnsi="宋体"/>
              </w:rPr>
            </w:pPr>
            <w:r>
              <w:rPr>
                <w:rFonts w:hint="eastAsia" w:ascii="宋体" w:hAnsi="宋体"/>
                <w:szCs w:val="21"/>
              </w:rPr>
              <w:t>3年（2014年-2016年）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 w:hRule="atLeast"/>
        </w:trPr>
        <w:tc>
          <w:tcPr>
            <w:tcW w:w="865" w:type="dxa"/>
            <w:vAlign w:val="center"/>
          </w:tcPr>
          <w:p>
            <w:pPr>
              <w:jc w:val="center"/>
              <w:rPr>
                <w:rFonts w:ascii="宋体" w:hAnsi="宋体" w:eastAsia="宋体"/>
              </w:rPr>
            </w:pPr>
            <w:r>
              <w:rPr>
                <w:rFonts w:hint="eastAsia" w:ascii="宋体" w:hAnsi="宋体"/>
              </w:rPr>
              <w:t>2.6</w:t>
            </w:r>
          </w:p>
        </w:tc>
        <w:tc>
          <w:tcPr>
            <w:tcW w:w="2754" w:type="dxa"/>
            <w:vAlign w:val="center"/>
          </w:tcPr>
          <w:p>
            <w:pPr>
              <w:ind w:leftChars="-46" w:hanging="96" w:hangingChars="46"/>
              <w:rPr>
                <w:rFonts w:ascii="宋体" w:hAnsi="宋体"/>
              </w:rPr>
            </w:pPr>
            <w:r>
              <w:rPr>
                <w:rFonts w:hint="eastAsia" w:ascii="宋体" w:hAnsi="宋体"/>
                <w:szCs w:val="21"/>
              </w:rPr>
              <w:t>近年发生的诉讼及仲裁情况的年份要求</w:t>
            </w:r>
          </w:p>
        </w:tc>
        <w:tc>
          <w:tcPr>
            <w:tcW w:w="5640" w:type="dxa"/>
            <w:vAlign w:val="center"/>
          </w:tcPr>
          <w:p>
            <w:pPr>
              <w:rPr>
                <w:rFonts w:ascii="宋体" w:hAnsi="宋体"/>
              </w:rPr>
            </w:pPr>
            <w:r>
              <w:rPr>
                <w:rFonts w:hint="eastAsia" w:ascii="宋体" w:hAnsi="宋体"/>
                <w:szCs w:val="21"/>
              </w:rPr>
              <w:t>3 年（2014年-2016年）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 w:hRule="atLeast"/>
        </w:trPr>
        <w:tc>
          <w:tcPr>
            <w:tcW w:w="865" w:type="dxa"/>
            <w:vAlign w:val="center"/>
          </w:tcPr>
          <w:p>
            <w:pPr>
              <w:jc w:val="center"/>
              <w:rPr>
                <w:rFonts w:ascii="宋体" w:hAnsi="宋体" w:eastAsia="宋体"/>
              </w:rPr>
            </w:pPr>
            <w:r>
              <w:rPr>
                <w:rFonts w:hint="eastAsia" w:ascii="宋体" w:hAnsi="宋体"/>
              </w:rPr>
              <w:t>2.7</w:t>
            </w:r>
          </w:p>
        </w:tc>
        <w:tc>
          <w:tcPr>
            <w:tcW w:w="2754" w:type="dxa"/>
            <w:vAlign w:val="center"/>
          </w:tcPr>
          <w:p>
            <w:pPr>
              <w:jc w:val="center"/>
              <w:rPr>
                <w:rFonts w:ascii="宋体" w:hAnsi="宋体"/>
              </w:rPr>
            </w:pPr>
            <w:r>
              <w:rPr>
                <w:rFonts w:hint="eastAsia" w:ascii="宋体" w:hAnsi="宋体"/>
                <w:szCs w:val="21"/>
              </w:rPr>
              <w:t>签字或盖章要求</w:t>
            </w:r>
          </w:p>
        </w:tc>
        <w:tc>
          <w:tcPr>
            <w:tcW w:w="5640" w:type="dxa"/>
            <w:vAlign w:val="center"/>
          </w:tcPr>
          <w:p>
            <w:pPr>
              <w:rPr>
                <w:rFonts w:ascii="宋体" w:hAnsi="宋体"/>
              </w:rPr>
            </w:pPr>
            <w:r>
              <w:rPr>
                <w:rFonts w:hint="eastAsia" w:ascii="宋体" w:hAnsi="宋体"/>
                <w:szCs w:val="21"/>
              </w:rPr>
              <w:t>投标函、开标一览表、投标文件修改处及招标文件要求签字盖章的地方由投标人的法定代表人或其委托代理人签字并盖单位章。投标文件需逐页加盖法人章或由授权委托人小签。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 w:hRule="atLeast"/>
        </w:trPr>
        <w:tc>
          <w:tcPr>
            <w:tcW w:w="865" w:type="dxa"/>
            <w:vAlign w:val="center"/>
          </w:tcPr>
          <w:p>
            <w:pPr>
              <w:jc w:val="center"/>
              <w:rPr>
                <w:rFonts w:ascii="宋体" w:hAnsi="宋体" w:eastAsia="宋体"/>
              </w:rPr>
            </w:pPr>
            <w:r>
              <w:rPr>
                <w:rFonts w:hint="eastAsia" w:ascii="宋体" w:hAnsi="宋体"/>
                <w:szCs w:val="21"/>
              </w:rPr>
              <w:t>2.8</w:t>
            </w:r>
          </w:p>
        </w:tc>
        <w:tc>
          <w:tcPr>
            <w:tcW w:w="2754" w:type="dxa"/>
            <w:vAlign w:val="center"/>
          </w:tcPr>
          <w:p>
            <w:pPr>
              <w:jc w:val="center"/>
              <w:rPr>
                <w:rFonts w:ascii="宋体" w:hAnsi="宋体"/>
              </w:rPr>
            </w:pPr>
            <w:r>
              <w:rPr>
                <w:rFonts w:hint="eastAsia" w:ascii="宋体" w:hAnsi="宋体"/>
                <w:szCs w:val="21"/>
              </w:rPr>
              <w:t>投标文件份数</w:t>
            </w:r>
          </w:p>
        </w:tc>
        <w:tc>
          <w:tcPr>
            <w:tcW w:w="5640" w:type="dxa"/>
            <w:vAlign w:val="center"/>
          </w:tcPr>
          <w:p>
            <w:pPr>
              <w:rPr>
                <w:rFonts w:ascii="宋体" w:hAnsi="宋体"/>
                <w:szCs w:val="21"/>
              </w:rPr>
            </w:pPr>
            <w:r>
              <w:rPr>
                <w:rFonts w:hint="eastAsia" w:ascii="宋体" w:hAnsi="宋体"/>
                <w:szCs w:val="21"/>
              </w:rPr>
              <w:t xml:space="preserve">正本1份    副本2份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865" w:type="dxa"/>
            <w:vAlign w:val="center"/>
          </w:tcPr>
          <w:p>
            <w:pPr>
              <w:jc w:val="center"/>
              <w:rPr>
                <w:rFonts w:ascii="宋体" w:hAnsi="宋体" w:eastAsia="宋体"/>
                <w:szCs w:val="21"/>
              </w:rPr>
            </w:pPr>
            <w:r>
              <w:rPr>
                <w:rFonts w:hint="eastAsia" w:ascii="宋体" w:hAnsi="宋体"/>
              </w:rPr>
              <w:t>2.9</w:t>
            </w:r>
          </w:p>
        </w:tc>
        <w:tc>
          <w:tcPr>
            <w:tcW w:w="2754" w:type="dxa"/>
            <w:vAlign w:val="center"/>
          </w:tcPr>
          <w:p>
            <w:pPr>
              <w:jc w:val="center"/>
              <w:rPr>
                <w:rFonts w:ascii="宋体" w:hAnsi="宋体"/>
                <w:szCs w:val="21"/>
              </w:rPr>
            </w:pPr>
            <w:r>
              <w:rPr>
                <w:rFonts w:hint="eastAsia" w:ascii="宋体" w:hAnsi="宋体"/>
                <w:szCs w:val="21"/>
              </w:rPr>
              <w:t>投标文件的装订要求</w:t>
            </w:r>
          </w:p>
        </w:tc>
        <w:tc>
          <w:tcPr>
            <w:tcW w:w="5640" w:type="dxa"/>
            <w:vAlign w:val="center"/>
          </w:tcPr>
          <w:p>
            <w:pPr>
              <w:rPr>
                <w:rFonts w:ascii="宋体" w:hAnsi="宋体"/>
                <w:szCs w:val="21"/>
              </w:rPr>
            </w:pPr>
            <w:r>
              <w:rPr>
                <w:rFonts w:hint="eastAsia" w:ascii="宋体" w:hAnsi="宋体"/>
                <w:szCs w:val="21"/>
              </w:rPr>
              <w:t>正本与副本应分别牢固装订.牢固装订是指装订好的投标书不至于在翻页时散开或用简单的方式将其中一页取出或插入。各种用活页夹、文件夹、塑料方便式书脊插入式装订的不认为是牢固装订，没有牢固装订的投标书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 w:hRule="atLeast"/>
        </w:trPr>
        <w:tc>
          <w:tcPr>
            <w:tcW w:w="865" w:type="dxa"/>
            <w:vAlign w:val="center"/>
          </w:tcPr>
          <w:p>
            <w:pPr>
              <w:jc w:val="center"/>
              <w:rPr>
                <w:rFonts w:ascii="宋体" w:hAnsi="宋体" w:eastAsia="宋体"/>
              </w:rPr>
            </w:pPr>
            <w:r>
              <w:rPr>
                <w:rFonts w:hint="eastAsia" w:ascii="宋体" w:hAnsi="宋体"/>
                <w:szCs w:val="21"/>
              </w:rPr>
              <w:t>3.0</w:t>
            </w:r>
          </w:p>
        </w:tc>
        <w:tc>
          <w:tcPr>
            <w:tcW w:w="2754" w:type="dxa"/>
            <w:vAlign w:val="center"/>
          </w:tcPr>
          <w:p>
            <w:pPr>
              <w:jc w:val="center"/>
              <w:rPr>
                <w:rFonts w:ascii="宋体" w:hAnsi="宋体"/>
              </w:rPr>
            </w:pPr>
            <w:r>
              <w:rPr>
                <w:rFonts w:hint="eastAsia" w:ascii="宋体" w:hAnsi="宋体"/>
                <w:szCs w:val="21"/>
              </w:rPr>
              <w:t>外层封套上写明</w:t>
            </w:r>
          </w:p>
        </w:tc>
        <w:tc>
          <w:tcPr>
            <w:tcW w:w="5640" w:type="dxa"/>
            <w:vAlign w:val="center"/>
          </w:tcPr>
          <w:p>
            <w:pPr>
              <w:rPr>
                <w:rFonts w:ascii="宋体" w:hAnsi="宋体"/>
                <w:szCs w:val="21"/>
              </w:rPr>
            </w:pPr>
            <w:r>
              <w:rPr>
                <w:rFonts w:hint="eastAsia" w:ascii="宋体" w:hAnsi="宋体"/>
                <w:szCs w:val="21"/>
              </w:rPr>
              <w:t>封皮上注明招标编号、招标项目名称、投标人名称、地址、邮政编码、电话、联系人，并注明“开标时启封”字样。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 w:hRule="atLeast"/>
        </w:trPr>
        <w:tc>
          <w:tcPr>
            <w:tcW w:w="865" w:type="dxa"/>
            <w:vAlign w:val="center"/>
          </w:tcPr>
          <w:p>
            <w:pPr>
              <w:jc w:val="center"/>
              <w:rPr>
                <w:rFonts w:ascii="宋体" w:hAnsi="宋体" w:eastAsia="宋体"/>
                <w:szCs w:val="21"/>
              </w:rPr>
            </w:pPr>
            <w:r>
              <w:rPr>
                <w:rFonts w:hint="eastAsia" w:ascii="宋体" w:hAnsi="宋体"/>
                <w:szCs w:val="21"/>
              </w:rPr>
              <w:t>3.1</w:t>
            </w:r>
          </w:p>
        </w:tc>
        <w:tc>
          <w:tcPr>
            <w:tcW w:w="2754" w:type="dxa"/>
            <w:vAlign w:val="center"/>
          </w:tcPr>
          <w:p>
            <w:pPr>
              <w:jc w:val="center"/>
              <w:rPr>
                <w:rFonts w:ascii="宋体" w:hAnsi="宋体"/>
                <w:szCs w:val="21"/>
              </w:rPr>
            </w:pPr>
            <w:r>
              <w:rPr>
                <w:rFonts w:hint="eastAsia" w:ascii="宋体" w:hAnsi="宋体"/>
                <w:szCs w:val="21"/>
              </w:rPr>
              <w:t>递交投标文件地点</w:t>
            </w:r>
          </w:p>
        </w:tc>
        <w:tc>
          <w:tcPr>
            <w:tcW w:w="5640" w:type="dxa"/>
            <w:vAlign w:val="center"/>
          </w:tcPr>
          <w:p>
            <w:pPr>
              <w:spacing w:line="400" w:lineRule="exact"/>
              <w:ind w:left="298" w:leftChars="142" w:firstLine="315" w:firstLineChars="150"/>
              <w:rPr>
                <w:rFonts w:ascii="宋体" w:hAnsi="宋体"/>
                <w:szCs w:val="21"/>
              </w:rPr>
            </w:pPr>
            <w:r>
              <w:rPr>
                <w:rFonts w:hint="eastAsia" w:ascii="宋体" w:hAnsi="宋体"/>
                <w:szCs w:val="21"/>
              </w:rPr>
              <w:t>力帆乘用车公司基建工程中心 陶华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865" w:type="dxa"/>
            <w:vAlign w:val="center"/>
          </w:tcPr>
          <w:p>
            <w:pPr>
              <w:jc w:val="center"/>
              <w:rPr>
                <w:rFonts w:ascii="宋体" w:hAnsi="宋体" w:eastAsia="宋体"/>
                <w:szCs w:val="21"/>
              </w:rPr>
            </w:pPr>
            <w:r>
              <w:rPr>
                <w:rFonts w:hint="eastAsia" w:ascii="宋体" w:hAnsi="宋体"/>
                <w:szCs w:val="21"/>
              </w:rPr>
              <w:t>3.2</w:t>
            </w:r>
          </w:p>
        </w:tc>
        <w:tc>
          <w:tcPr>
            <w:tcW w:w="2754" w:type="dxa"/>
            <w:vAlign w:val="center"/>
          </w:tcPr>
          <w:p>
            <w:pPr>
              <w:jc w:val="center"/>
              <w:rPr>
                <w:rFonts w:ascii="宋体" w:hAnsi="宋体"/>
                <w:szCs w:val="21"/>
              </w:rPr>
            </w:pPr>
            <w:r>
              <w:rPr>
                <w:rFonts w:hint="eastAsia" w:ascii="宋体" w:hAnsi="宋体"/>
                <w:szCs w:val="21"/>
              </w:rPr>
              <w:t>是否退还投标文件</w:t>
            </w:r>
          </w:p>
        </w:tc>
        <w:tc>
          <w:tcPr>
            <w:tcW w:w="5640" w:type="dxa"/>
            <w:vAlign w:val="center"/>
          </w:tcPr>
          <w:p>
            <w:pPr>
              <w:rPr>
                <w:rFonts w:ascii="宋体" w:hAnsi="宋体"/>
                <w:szCs w:val="21"/>
              </w:rPr>
            </w:pP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865" w:type="dxa"/>
            <w:vAlign w:val="center"/>
          </w:tcPr>
          <w:p>
            <w:pPr>
              <w:jc w:val="center"/>
              <w:rPr>
                <w:rFonts w:ascii="宋体" w:hAnsi="宋体" w:eastAsia="宋体"/>
                <w:szCs w:val="21"/>
              </w:rPr>
            </w:pPr>
            <w:r>
              <w:rPr>
                <w:rFonts w:hint="eastAsia" w:ascii="宋体" w:hAnsi="宋体"/>
                <w:szCs w:val="21"/>
              </w:rPr>
              <w:t>3.3</w:t>
            </w:r>
          </w:p>
        </w:tc>
        <w:tc>
          <w:tcPr>
            <w:tcW w:w="2754" w:type="dxa"/>
            <w:vAlign w:val="center"/>
          </w:tcPr>
          <w:p>
            <w:pPr>
              <w:jc w:val="center"/>
              <w:rPr>
                <w:rFonts w:ascii="宋体" w:hAnsi="宋体"/>
                <w:szCs w:val="21"/>
              </w:rPr>
            </w:pPr>
            <w:r>
              <w:rPr>
                <w:rFonts w:hint="eastAsia" w:ascii="宋体" w:hAnsi="宋体"/>
                <w:szCs w:val="21"/>
              </w:rPr>
              <w:t>开标时间和地点</w:t>
            </w:r>
          </w:p>
        </w:tc>
        <w:tc>
          <w:tcPr>
            <w:tcW w:w="5640" w:type="dxa"/>
            <w:vAlign w:val="center"/>
          </w:tcPr>
          <w:p>
            <w:pPr>
              <w:rPr>
                <w:rFonts w:ascii="宋体" w:hAnsi="宋体"/>
                <w:color w:val="FF0000"/>
                <w:szCs w:val="21"/>
              </w:rPr>
            </w:pPr>
            <w:r>
              <w:rPr>
                <w:rFonts w:hint="eastAsia" w:ascii="宋体" w:hAnsi="宋体"/>
                <w:szCs w:val="21"/>
              </w:rPr>
              <w:t>开标时间：</w:t>
            </w:r>
            <w:r>
              <w:rPr>
                <w:rFonts w:hint="eastAsia" w:ascii="宋体" w:hAnsi="宋体"/>
                <w:color w:val="FF0000"/>
                <w:szCs w:val="21"/>
              </w:rPr>
              <w:t xml:space="preserve">2017 年 </w:t>
            </w:r>
            <w:r>
              <w:rPr>
                <w:rFonts w:hint="eastAsia" w:ascii="宋体" w:hAnsi="宋体"/>
                <w:color w:val="FF0000"/>
                <w:szCs w:val="21"/>
                <w:lang w:val="en-US" w:eastAsia="zh-CN"/>
              </w:rPr>
              <w:t>10</w:t>
            </w:r>
            <w:r>
              <w:rPr>
                <w:rFonts w:hint="eastAsia" w:ascii="宋体" w:hAnsi="宋体"/>
                <w:color w:val="FF0000"/>
                <w:szCs w:val="21"/>
              </w:rPr>
              <w:t xml:space="preserve"> 月  </w:t>
            </w:r>
            <w:r>
              <w:rPr>
                <w:rFonts w:hint="eastAsia" w:ascii="宋体" w:hAnsi="宋体"/>
                <w:color w:val="FF0000"/>
                <w:szCs w:val="21"/>
                <w:lang w:val="en-US" w:eastAsia="zh-CN"/>
              </w:rPr>
              <w:t>12</w:t>
            </w:r>
            <w:r>
              <w:rPr>
                <w:rFonts w:hint="eastAsia" w:ascii="宋体" w:hAnsi="宋体"/>
                <w:color w:val="FF0000"/>
                <w:szCs w:val="21"/>
              </w:rPr>
              <w:t xml:space="preserve">  日</w:t>
            </w:r>
          </w:p>
          <w:p>
            <w:pPr>
              <w:rPr>
                <w:rFonts w:ascii="宋体" w:hAnsi="宋体"/>
                <w:szCs w:val="21"/>
              </w:rPr>
            </w:pPr>
            <w:r>
              <w:rPr>
                <w:rFonts w:hint="eastAsia" w:ascii="宋体" w:hAnsi="宋体"/>
                <w:szCs w:val="21"/>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865" w:type="dxa"/>
            <w:vAlign w:val="center"/>
          </w:tcPr>
          <w:p>
            <w:pPr>
              <w:jc w:val="center"/>
              <w:rPr>
                <w:rFonts w:ascii="宋体" w:hAnsi="宋体"/>
                <w:szCs w:val="21"/>
              </w:rPr>
            </w:pPr>
          </w:p>
          <w:p>
            <w:pPr>
              <w:jc w:val="center"/>
              <w:rPr>
                <w:rFonts w:ascii="宋体" w:hAnsi="宋体" w:eastAsia="宋体"/>
                <w:szCs w:val="21"/>
              </w:rPr>
            </w:pPr>
            <w:r>
              <w:rPr>
                <w:rFonts w:hint="eastAsia" w:ascii="宋体" w:hAnsi="宋体"/>
                <w:szCs w:val="21"/>
              </w:rPr>
              <w:t>3.4</w:t>
            </w:r>
          </w:p>
        </w:tc>
        <w:tc>
          <w:tcPr>
            <w:tcW w:w="2754" w:type="dxa"/>
            <w:vAlign w:val="center"/>
          </w:tcPr>
          <w:p>
            <w:pPr>
              <w:jc w:val="center"/>
              <w:rPr>
                <w:rFonts w:ascii="宋体" w:hAnsi="宋体"/>
                <w:szCs w:val="21"/>
              </w:rPr>
            </w:pPr>
            <w:r>
              <w:rPr>
                <w:rFonts w:hint="eastAsia" w:ascii="宋体" w:hAnsi="宋体"/>
                <w:szCs w:val="21"/>
              </w:rPr>
              <w:t>评标方式</w:t>
            </w:r>
          </w:p>
        </w:tc>
        <w:tc>
          <w:tcPr>
            <w:tcW w:w="5640" w:type="dxa"/>
            <w:vAlign w:val="center"/>
          </w:tcPr>
          <w:p>
            <w:pPr>
              <w:rPr>
                <w:rFonts w:ascii="宋体" w:hAnsi="宋体"/>
                <w:szCs w:val="21"/>
              </w:rPr>
            </w:pPr>
            <w:r>
              <w:rPr>
                <w:rFonts w:hint="eastAsia" w:ascii="宋体" w:hAnsi="宋体"/>
                <w:szCs w:val="21"/>
              </w:rPr>
              <w:t>竞争性谈判及企业实力综合评定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865" w:type="dxa"/>
            <w:vAlign w:val="center"/>
          </w:tcPr>
          <w:p>
            <w:pPr>
              <w:jc w:val="center"/>
              <w:rPr>
                <w:rFonts w:ascii="宋体" w:hAnsi="宋体" w:eastAsia="宋体"/>
                <w:szCs w:val="21"/>
              </w:rPr>
            </w:pPr>
            <w:r>
              <w:rPr>
                <w:rFonts w:hint="eastAsia" w:ascii="宋体" w:hAnsi="宋体"/>
                <w:szCs w:val="21"/>
              </w:rPr>
              <w:t>3.5</w:t>
            </w:r>
          </w:p>
        </w:tc>
        <w:tc>
          <w:tcPr>
            <w:tcW w:w="2754" w:type="dxa"/>
            <w:vAlign w:val="center"/>
          </w:tcPr>
          <w:p>
            <w:pPr>
              <w:ind w:firstLine="630" w:firstLineChars="300"/>
              <w:rPr>
                <w:rFonts w:ascii="宋体" w:hAnsi="宋体"/>
                <w:szCs w:val="21"/>
              </w:rPr>
            </w:pPr>
            <w:r>
              <w:rPr>
                <w:rFonts w:hint="eastAsia" w:ascii="宋体" w:hAnsi="宋体"/>
                <w:szCs w:val="21"/>
              </w:rPr>
              <w:t>评标办法</w:t>
            </w:r>
          </w:p>
        </w:tc>
        <w:tc>
          <w:tcPr>
            <w:tcW w:w="5640" w:type="dxa"/>
            <w:vAlign w:val="center"/>
          </w:tcPr>
          <w:p>
            <w:pPr>
              <w:spacing w:line="360" w:lineRule="auto"/>
              <w:rPr>
                <w:rFonts w:ascii="宋体" w:hAnsi="宋体"/>
                <w:szCs w:val="21"/>
              </w:rPr>
            </w:pPr>
            <w:r>
              <w:rPr>
                <w:rFonts w:hint="eastAsia" w:ascii="宋体" w:hAnsi="宋体"/>
                <w:szCs w:val="21"/>
              </w:rPr>
              <w:t>评标标准和评标方法：综合评估法</w:t>
            </w:r>
          </w:p>
          <w:p>
            <w:pPr>
              <w:rPr>
                <w:rFonts w:ascii="宋体" w:hAnsi="宋体"/>
                <w:szCs w:val="21"/>
              </w:rPr>
            </w:pPr>
            <w:r>
              <w:rPr>
                <w:rFonts w:hint="eastAsia" w:ascii="宋体" w:hAnsi="宋体"/>
                <w:szCs w:val="21"/>
              </w:rPr>
              <w:t xml:space="preserve">    对定性评标因素进行合理量化，包括设备性能、质量、价格、付款方式、交货期、企业同类设备业绩、售后服务、资信情况等进行综合评审。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trPr>
        <w:tc>
          <w:tcPr>
            <w:tcW w:w="865" w:type="dxa"/>
            <w:vAlign w:val="center"/>
          </w:tcPr>
          <w:p>
            <w:pPr>
              <w:jc w:val="center"/>
              <w:rPr>
                <w:rFonts w:ascii="宋体" w:hAnsi="宋体" w:eastAsia="宋体"/>
                <w:szCs w:val="21"/>
              </w:rPr>
            </w:pPr>
            <w:r>
              <w:rPr>
                <w:rFonts w:hint="eastAsia" w:ascii="宋体" w:hAnsi="宋体"/>
                <w:szCs w:val="21"/>
              </w:rPr>
              <w:t>3.6</w:t>
            </w:r>
          </w:p>
        </w:tc>
        <w:tc>
          <w:tcPr>
            <w:tcW w:w="2754" w:type="dxa"/>
            <w:vAlign w:val="center"/>
          </w:tcPr>
          <w:p>
            <w:pPr>
              <w:jc w:val="center"/>
              <w:rPr>
                <w:rFonts w:ascii="宋体" w:hAnsi="宋体"/>
                <w:szCs w:val="21"/>
              </w:rPr>
            </w:pPr>
            <w:r>
              <w:rPr>
                <w:rFonts w:hint="eastAsia" w:ascii="宋体" w:hAnsi="宋体"/>
                <w:szCs w:val="21"/>
              </w:rPr>
              <w:t>评标委员会的组建</w:t>
            </w:r>
          </w:p>
        </w:tc>
        <w:tc>
          <w:tcPr>
            <w:tcW w:w="5640" w:type="dxa"/>
            <w:vAlign w:val="center"/>
          </w:tcPr>
          <w:p>
            <w:pPr>
              <w:rPr>
                <w:rFonts w:ascii="宋体" w:hAnsi="宋体"/>
                <w:szCs w:val="21"/>
              </w:rPr>
            </w:pPr>
            <w:r>
              <w:rPr>
                <w:rFonts w:hint="eastAsia" w:ascii="宋体" w:hAnsi="宋体"/>
                <w:szCs w:val="21"/>
              </w:rPr>
              <w:t>评标委员会由</w:t>
            </w:r>
            <w:r>
              <w:rPr>
                <w:rFonts w:hint="eastAsia" w:ascii="宋体" w:hAnsi="宋体"/>
                <w:szCs w:val="21"/>
                <w:u w:val="single"/>
              </w:rPr>
              <w:t>5</w:t>
            </w:r>
            <w:r>
              <w:rPr>
                <w:rFonts w:hint="eastAsia" w:ascii="宋体" w:hAnsi="宋体"/>
                <w:szCs w:val="21"/>
              </w:rPr>
              <w:t>人及以上单数组成，其中技术、经济等方面专家不少于成员总数的三分之二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 w:hRule="atLeast"/>
        </w:trPr>
        <w:tc>
          <w:tcPr>
            <w:tcW w:w="865" w:type="dxa"/>
            <w:vAlign w:val="center"/>
          </w:tcPr>
          <w:p>
            <w:pPr>
              <w:jc w:val="center"/>
              <w:rPr>
                <w:rFonts w:ascii="宋体" w:hAnsi="宋体" w:eastAsia="宋体"/>
                <w:szCs w:val="21"/>
              </w:rPr>
            </w:pPr>
            <w:r>
              <w:rPr>
                <w:rFonts w:hint="eastAsia" w:ascii="宋体" w:hAnsi="宋体"/>
                <w:szCs w:val="21"/>
              </w:rPr>
              <w:t>3.7</w:t>
            </w:r>
          </w:p>
        </w:tc>
        <w:tc>
          <w:tcPr>
            <w:tcW w:w="2754" w:type="dxa"/>
            <w:vAlign w:val="center"/>
          </w:tcPr>
          <w:p>
            <w:pPr>
              <w:jc w:val="center"/>
              <w:rPr>
                <w:rFonts w:ascii="宋体" w:hAnsi="宋体"/>
                <w:szCs w:val="21"/>
              </w:rPr>
            </w:pPr>
            <w:r>
              <w:rPr>
                <w:rFonts w:hint="eastAsia" w:ascii="宋体" w:hAnsi="宋体"/>
                <w:szCs w:val="21"/>
              </w:rPr>
              <w:t>是否授权评标委员会确定中标人</w:t>
            </w:r>
          </w:p>
        </w:tc>
        <w:tc>
          <w:tcPr>
            <w:tcW w:w="5640" w:type="dxa"/>
          </w:tcPr>
          <w:p>
            <w:pPr>
              <w:rPr>
                <w:rFonts w:ascii="宋体" w:hAnsi="宋体"/>
                <w:szCs w:val="21"/>
              </w:rPr>
            </w:pPr>
            <w:r>
              <w:rPr>
                <w:rFonts w:hint="eastAsia" w:ascii="宋体" w:hAnsi="宋体"/>
                <w:szCs w:val="21"/>
              </w:rPr>
              <w:t>推荐的中标候选人数：有效投标人数大于或等于5家时，推荐中标候选人为前3名；有效投标人数小于5家时，推荐中标候选人前2名。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9" w:hRule="atLeast"/>
        </w:trPr>
        <w:tc>
          <w:tcPr>
            <w:tcW w:w="865" w:type="dxa"/>
            <w:vAlign w:val="center"/>
          </w:tcPr>
          <w:p>
            <w:pPr>
              <w:jc w:val="center"/>
              <w:rPr>
                <w:rFonts w:ascii="宋体" w:hAnsi="宋体" w:eastAsia="宋体"/>
                <w:szCs w:val="21"/>
              </w:rPr>
            </w:pPr>
            <w:r>
              <w:rPr>
                <w:rFonts w:hint="eastAsia" w:ascii="宋体" w:hAnsi="宋体"/>
                <w:szCs w:val="21"/>
              </w:rPr>
              <w:t>3.8</w:t>
            </w:r>
          </w:p>
        </w:tc>
        <w:tc>
          <w:tcPr>
            <w:tcW w:w="2754" w:type="dxa"/>
            <w:vAlign w:val="center"/>
          </w:tcPr>
          <w:p>
            <w:pPr>
              <w:jc w:val="center"/>
              <w:rPr>
                <w:rFonts w:ascii="宋体" w:hAnsi="宋体"/>
                <w:szCs w:val="21"/>
              </w:rPr>
            </w:pPr>
            <w:r>
              <w:rPr>
                <w:rFonts w:hint="eastAsia" w:ascii="宋体" w:hAnsi="宋体"/>
                <w:szCs w:val="21"/>
              </w:rPr>
              <w:t>报价方式</w:t>
            </w:r>
          </w:p>
        </w:tc>
        <w:tc>
          <w:tcPr>
            <w:tcW w:w="5640" w:type="dxa"/>
            <w:vAlign w:val="center"/>
          </w:tcPr>
          <w:p>
            <w:pPr>
              <w:rPr>
                <w:rFonts w:ascii="宋体" w:hAnsi="宋体"/>
                <w:szCs w:val="21"/>
              </w:rPr>
            </w:pPr>
            <w:r>
              <w:rPr>
                <w:rFonts w:hint="eastAsia" w:ascii="宋体" w:hAnsi="宋体"/>
                <w:szCs w:val="21"/>
              </w:rPr>
              <w:t>综合单价加报总价（附详细的组价清单和工程预算）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865" w:type="dxa"/>
            <w:vAlign w:val="center"/>
          </w:tcPr>
          <w:p>
            <w:pPr>
              <w:jc w:val="center"/>
              <w:rPr>
                <w:rFonts w:ascii="宋体" w:hAnsi="宋体"/>
              </w:rPr>
            </w:pPr>
          </w:p>
        </w:tc>
        <w:tc>
          <w:tcPr>
            <w:tcW w:w="2754" w:type="dxa"/>
            <w:vAlign w:val="center"/>
          </w:tcPr>
          <w:p>
            <w:pPr>
              <w:jc w:val="center"/>
              <w:rPr>
                <w:rFonts w:ascii="宋体" w:hAnsi="宋体"/>
                <w:szCs w:val="21"/>
              </w:rPr>
            </w:pPr>
          </w:p>
        </w:tc>
        <w:tc>
          <w:tcPr>
            <w:tcW w:w="5640"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865" w:type="dxa"/>
            <w:vAlign w:val="center"/>
          </w:tcPr>
          <w:p>
            <w:pPr>
              <w:jc w:val="center"/>
              <w:rPr>
                <w:rFonts w:ascii="宋体" w:hAnsi="宋体"/>
              </w:rPr>
            </w:pPr>
          </w:p>
        </w:tc>
        <w:tc>
          <w:tcPr>
            <w:tcW w:w="2754" w:type="dxa"/>
            <w:vAlign w:val="center"/>
          </w:tcPr>
          <w:p>
            <w:pPr>
              <w:jc w:val="center"/>
              <w:rPr>
                <w:rFonts w:ascii="宋体" w:hAnsi="宋体"/>
                <w:szCs w:val="21"/>
              </w:rPr>
            </w:pPr>
          </w:p>
        </w:tc>
        <w:tc>
          <w:tcPr>
            <w:tcW w:w="5640" w:type="dxa"/>
            <w:vAlign w:val="center"/>
          </w:tcPr>
          <w:p>
            <w:pPr>
              <w:rPr>
                <w:rFonts w:ascii="宋体" w:hAnsi="宋体"/>
                <w:szCs w:val="21"/>
              </w:rPr>
            </w:pPr>
          </w:p>
        </w:tc>
      </w:tr>
    </w:tbl>
    <w:p>
      <w:pPr>
        <w:sectPr>
          <w:headerReference r:id="rId4" w:type="first"/>
          <w:footerReference r:id="rId7" w:type="first"/>
          <w:headerReference r:id="rId3" w:type="default"/>
          <w:footerReference r:id="rId5" w:type="default"/>
          <w:footerReference r:id="rId6" w:type="even"/>
          <w:pgSz w:w="11906" w:h="16838"/>
          <w:pgMar w:top="1134" w:right="1134" w:bottom="1134" w:left="1134" w:header="851" w:footer="992" w:gutter="0"/>
          <w:cols w:space="720" w:num="1"/>
          <w:docGrid w:type="lines" w:linePitch="312" w:charSpace="0"/>
        </w:sectPr>
      </w:pPr>
    </w:p>
    <w:p>
      <w:pPr>
        <w:spacing w:line="500" w:lineRule="exact"/>
        <w:rPr>
          <w:b/>
          <w:sz w:val="24"/>
        </w:rPr>
      </w:pPr>
      <w:bookmarkStart w:id="4" w:name="_Toc184635071"/>
      <w:bookmarkStart w:id="5" w:name="_Toc215567416"/>
      <w:r>
        <w:rPr>
          <w:rFonts w:hint="eastAsia"/>
          <w:b/>
          <w:sz w:val="24"/>
        </w:rPr>
        <w:t>1 ．总则</w:t>
      </w:r>
      <w:bookmarkEnd w:id="4"/>
      <w:bookmarkEnd w:id="5"/>
    </w:p>
    <w:p>
      <w:pPr>
        <w:pStyle w:val="4"/>
        <w:spacing w:line="500" w:lineRule="exact"/>
        <w:rPr>
          <w:rFonts w:ascii="宋体" w:hAnsi="宋体"/>
          <w:szCs w:val="21"/>
        </w:rPr>
      </w:pPr>
      <w:r>
        <w:rPr>
          <w:rFonts w:hint="eastAsia" w:ascii="宋体" w:hAnsi="宋体"/>
          <w:szCs w:val="21"/>
        </w:rPr>
        <w:t>1.1 项目概况</w:t>
      </w:r>
    </w:p>
    <w:p>
      <w:pPr>
        <w:spacing w:line="500" w:lineRule="exact"/>
        <w:ind w:firstLine="480" w:firstLineChars="200"/>
        <w:rPr>
          <w:rFonts w:ascii="宋体" w:hAnsi="宋体"/>
        </w:rPr>
      </w:pPr>
      <w:r>
        <w:rPr>
          <w:rFonts w:hint="eastAsia" w:ascii="宋体" w:hAnsi="宋体"/>
          <w:sz w:val="24"/>
        </w:rPr>
        <w:t>1.1.1本招标文件仅适用于投标函中所述项目的货物及服务招标。</w:t>
      </w:r>
    </w:p>
    <w:p>
      <w:pPr>
        <w:spacing w:line="500" w:lineRule="exact"/>
        <w:ind w:firstLine="480" w:firstLineChars="200"/>
        <w:rPr>
          <w:rFonts w:ascii="宋体" w:hAnsi="宋体"/>
          <w:sz w:val="24"/>
        </w:rPr>
      </w:pPr>
      <w:r>
        <w:rPr>
          <w:rFonts w:hint="eastAsia" w:ascii="宋体" w:hAnsi="宋体"/>
          <w:sz w:val="24"/>
        </w:rPr>
        <w:t>1.1.2本招标项目招标人：见投标人须知前附表。</w:t>
      </w:r>
    </w:p>
    <w:p>
      <w:pPr>
        <w:spacing w:line="500" w:lineRule="exact"/>
        <w:ind w:firstLine="480" w:firstLineChars="200"/>
        <w:rPr>
          <w:rFonts w:ascii="宋体" w:hAnsi="宋体"/>
          <w:sz w:val="24"/>
        </w:rPr>
      </w:pPr>
      <w:r>
        <w:rPr>
          <w:rFonts w:hint="eastAsia" w:ascii="宋体" w:hAnsi="宋体"/>
          <w:sz w:val="24"/>
        </w:rPr>
        <w:t>1.1.3邀请代理机构：见投标人须知前附表。</w:t>
      </w:r>
    </w:p>
    <w:p>
      <w:pPr>
        <w:spacing w:line="500" w:lineRule="exact"/>
        <w:ind w:firstLine="480" w:firstLineChars="200"/>
        <w:rPr>
          <w:rFonts w:ascii="宋体" w:hAnsi="宋体"/>
          <w:sz w:val="24"/>
        </w:rPr>
      </w:pPr>
      <w:r>
        <w:rPr>
          <w:rFonts w:hint="eastAsia" w:ascii="宋体" w:hAnsi="宋体"/>
          <w:sz w:val="24"/>
        </w:rPr>
        <w:t>1.1.4 本招标项目名称：见投标人须知前附表。</w:t>
      </w:r>
    </w:p>
    <w:p>
      <w:pPr>
        <w:spacing w:line="500" w:lineRule="exact"/>
        <w:ind w:firstLine="480" w:firstLineChars="200"/>
        <w:rPr>
          <w:rFonts w:ascii="宋体" w:hAnsi="宋体"/>
          <w:sz w:val="24"/>
        </w:rPr>
      </w:pPr>
      <w:r>
        <w:rPr>
          <w:rFonts w:hint="eastAsia" w:ascii="宋体" w:hAnsi="宋体"/>
          <w:sz w:val="24"/>
        </w:rPr>
        <w:t>1.1.5建设地点：见投标人须知前附表。</w:t>
      </w:r>
    </w:p>
    <w:p>
      <w:pPr>
        <w:pStyle w:val="4"/>
        <w:spacing w:line="500" w:lineRule="exact"/>
        <w:rPr>
          <w:rFonts w:ascii="宋体" w:hAnsi="宋体"/>
          <w:szCs w:val="21"/>
        </w:rPr>
      </w:pPr>
      <w:r>
        <w:rPr>
          <w:rFonts w:hint="eastAsia" w:ascii="宋体" w:hAnsi="宋体"/>
          <w:szCs w:val="21"/>
        </w:rPr>
        <w:t>1.2招标范围、交货期和质量要求</w:t>
      </w:r>
    </w:p>
    <w:p>
      <w:pPr>
        <w:spacing w:line="500" w:lineRule="exact"/>
        <w:ind w:firstLine="480" w:firstLineChars="200"/>
        <w:rPr>
          <w:rFonts w:ascii="宋体" w:hAnsi="宋体"/>
          <w:sz w:val="24"/>
        </w:rPr>
      </w:pPr>
      <w:r>
        <w:rPr>
          <w:rFonts w:hint="eastAsia" w:ascii="宋体" w:hAnsi="宋体"/>
          <w:sz w:val="24"/>
        </w:rPr>
        <w:t>1.3.1 本次招标范围：见投标人须知前附表。</w:t>
      </w:r>
    </w:p>
    <w:p>
      <w:pPr>
        <w:spacing w:line="500" w:lineRule="exact"/>
        <w:ind w:firstLine="480" w:firstLineChars="200"/>
        <w:rPr>
          <w:rFonts w:ascii="宋体" w:hAnsi="宋体"/>
          <w:sz w:val="24"/>
        </w:rPr>
      </w:pPr>
      <w:r>
        <w:rPr>
          <w:rFonts w:hint="eastAsia" w:ascii="宋体" w:hAnsi="宋体"/>
          <w:sz w:val="24"/>
        </w:rPr>
        <w:t>1.3.2交货期及交货地点：见投标人须知前附表。</w:t>
      </w:r>
    </w:p>
    <w:p>
      <w:pPr>
        <w:spacing w:line="500" w:lineRule="exact"/>
        <w:ind w:firstLine="480" w:firstLineChars="200"/>
        <w:rPr>
          <w:rFonts w:ascii="宋体" w:hAnsi="宋体"/>
          <w:szCs w:val="21"/>
        </w:rPr>
      </w:pPr>
      <w:r>
        <w:rPr>
          <w:rFonts w:hint="eastAsia" w:ascii="宋体" w:hAnsi="宋体"/>
          <w:sz w:val="24"/>
        </w:rPr>
        <w:t>1.3.3质量要求：见投标人须知前附表。</w:t>
      </w:r>
    </w:p>
    <w:p>
      <w:pPr>
        <w:pStyle w:val="4"/>
        <w:spacing w:line="500" w:lineRule="exact"/>
        <w:rPr>
          <w:rFonts w:ascii="宋体" w:hAnsi="宋体"/>
          <w:szCs w:val="21"/>
        </w:rPr>
      </w:pPr>
      <w:r>
        <w:rPr>
          <w:rFonts w:hint="eastAsia" w:ascii="宋体" w:hAnsi="宋体"/>
          <w:szCs w:val="21"/>
        </w:rPr>
        <w:t>1.3投标人要求</w:t>
      </w:r>
    </w:p>
    <w:p>
      <w:pPr>
        <w:spacing w:line="460" w:lineRule="exact"/>
        <w:ind w:firstLine="360" w:firstLineChars="150"/>
        <w:rPr>
          <w:rFonts w:ascii="宋体" w:hAnsi="宋体"/>
          <w:sz w:val="24"/>
        </w:rPr>
      </w:pPr>
      <w:r>
        <w:rPr>
          <w:rFonts w:hint="eastAsia" w:ascii="宋体" w:hAnsi="宋体"/>
          <w:sz w:val="24"/>
        </w:rPr>
        <w:t>1、具有中国独立法人资格和独立承担民事责任的能力；</w:t>
      </w:r>
    </w:p>
    <w:p>
      <w:pPr>
        <w:spacing w:line="460" w:lineRule="exact"/>
        <w:ind w:firstLine="360" w:firstLineChars="150"/>
        <w:rPr>
          <w:rFonts w:ascii="宋体" w:hAnsi="宋体"/>
          <w:sz w:val="24"/>
        </w:rPr>
      </w:pPr>
      <w:r>
        <w:rPr>
          <w:rFonts w:hint="eastAsia" w:ascii="宋体" w:hAnsi="宋体"/>
          <w:sz w:val="24"/>
        </w:rPr>
        <w:t>2、遵守国家法律、行政法规，具有良好的信誉和商业道德；</w:t>
      </w:r>
    </w:p>
    <w:p>
      <w:pPr>
        <w:spacing w:line="460" w:lineRule="exact"/>
        <w:ind w:firstLine="360" w:firstLineChars="150"/>
        <w:rPr>
          <w:rFonts w:ascii="宋体" w:hAnsi="宋体"/>
          <w:sz w:val="24"/>
        </w:rPr>
      </w:pPr>
      <w:r>
        <w:rPr>
          <w:rFonts w:hint="eastAsia" w:ascii="宋体" w:hAnsi="宋体"/>
          <w:sz w:val="24"/>
        </w:rPr>
        <w:t>3、承诺履行中华人民共和国招标投标有关法律规定；</w:t>
      </w:r>
    </w:p>
    <w:p>
      <w:pPr>
        <w:spacing w:line="460" w:lineRule="exact"/>
        <w:ind w:firstLine="360" w:firstLineChars="150"/>
        <w:rPr>
          <w:rFonts w:ascii="宋体" w:hAnsi="宋体"/>
          <w:sz w:val="24"/>
        </w:rPr>
      </w:pPr>
      <w:r>
        <w:rPr>
          <w:rFonts w:hint="eastAsia" w:ascii="宋体" w:hAnsi="宋体"/>
          <w:sz w:val="24"/>
        </w:rPr>
        <w:t>4、具有履行合同的能力和良好的履行合同记录；</w:t>
      </w:r>
    </w:p>
    <w:p>
      <w:pPr>
        <w:spacing w:line="460" w:lineRule="exact"/>
        <w:ind w:firstLine="360" w:firstLineChars="150"/>
        <w:rPr>
          <w:rFonts w:ascii="宋体" w:hAnsi="宋体"/>
          <w:sz w:val="24"/>
        </w:rPr>
      </w:pPr>
      <w:r>
        <w:rPr>
          <w:rFonts w:hint="eastAsia" w:ascii="宋体" w:hAnsi="宋体"/>
          <w:sz w:val="24"/>
        </w:rPr>
        <w:t>5、良好的资金、财务状况；</w:t>
      </w:r>
    </w:p>
    <w:p>
      <w:pPr>
        <w:spacing w:line="460" w:lineRule="exact"/>
        <w:ind w:firstLine="360" w:firstLineChars="150"/>
        <w:rPr>
          <w:rFonts w:ascii="宋体" w:hAnsi="宋体"/>
          <w:sz w:val="24"/>
        </w:rPr>
      </w:pPr>
      <w:r>
        <w:rPr>
          <w:rFonts w:hint="eastAsia" w:ascii="宋体" w:hAnsi="宋体"/>
          <w:sz w:val="24"/>
        </w:rPr>
        <w:t>6、产品及生产所需装备符合中国政府规定的相应技术标准和环保标准；</w:t>
      </w:r>
    </w:p>
    <w:p>
      <w:pPr>
        <w:spacing w:line="460" w:lineRule="exact"/>
        <w:ind w:firstLine="360" w:firstLineChars="150"/>
        <w:rPr>
          <w:rFonts w:ascii="宋体" w:hAnsi="宋体"/>
          <w:sz w:val="24"/>
        </w:rPr>
      </w:pPr>
      <w:r>
        <w:rPr>
          <w:rFonts w:hint="eastAsia" w:ascii="宋体" w:hAnsi="宋体"/>
          <w:sz w:val="24"/>
        </w:rPr>
        <w:t>7、近三年没有违反招标投标、政策的记录；</w:t>
      </w:r>
    </w:p>
    <w:p>
      <w:pPr>
        <w:spacing w:line="460" w:lineRule="exact"/>
        <w:ind w:firstLine="360" w:firstLineChars="150"/>
        <w:rPr>
          <w:rFonts w:ascii="宋体" w:hAnsi="宋体"/>
          <w:sz w:val="24"/>
        </w:rPr>
      </w:pPr>
      <w:r>
        <w:rPr>
          <w:rFonts w:hint="eastAsia" w:ascii="宋体" w:hAnsi="宋体"/>
          <w:sz w:val="24"/>
        </w:rPr>
        <w:t>8、法人代表及财务主管在本次的投标前五年内没有刑事犯罪记录，没有行贿或者偷税漏税等欺诈行为；</w:t>
      </w:r>
    </w:p>
    <w:p>
      <w:pPr>
        <w:spacing w:line="460" w:lineRule="exact"/>
        <w:ind w:firstLine="360" w:firstLineChars="150"/>
        <w:rPr>
          <w:rFonts w:ascii="宋体" w:hAnsi="宋体"/>
          <w:sz w:val="24"/>
        </w:rPr>
      </w:pPr>
      <w:r>
        <w:rPr>
          <w:rFonts w:hint="eastAsia" w:ascii="宋体" w:hAnsi="宋体"/>
          <w:sz w:val="24"/>
        </w:rPr>
        <w:t>9、没有发生重大经济纠纷及走私犯罪记录；</w:t>
      </w:r>
    </w:p>
    <w:p>
      <w:pPr>
        <w:spacing w:line="460" w:lineRule="exact"/>
        <w:ind w:firstLine="360" w:firstLineChars="150"/>
        <w:rPr>
          <w:rFonts w:ascii="宋体" w:hAnsi="宋体"/>
          <w:sz w:val="24"/>
        </w:rPr>
      </w:pPr>
      <w:r>
        <w:rPr>
          <w:rFonts w:hint="eastAsia" w:ascii="宋体" w:hAnsi="宋体"/>
          <w:sz w:val="24"/>
        </w:rPr>
        <w:t>10、符合招标公告对投标人的条件和要求。</w:t>
      </w:r>
    </w:p>
    <w:p>
      <w:pPr>
        <w:pStyle w:val="4"/>
        <w:spacing w:line="500" w:lineRule="exact"/>
        <w:rPr>
          <w:rFonts w:ascii="宋体" w:hAnsi="宋体"/>
          <w:szCs w:val="21"/>
        </w:rPr>
      </w:pPr>
      <w:r>
        <w:rPr>
          <w:rFonts w:hint="eastAsia" w:ascii="宋体" w:hAnsi="宋体"/>
          <w:szCs w:val="21"/>
        </w:rPr>
        <w:t>1.4费用承担</w:t>
      </w:r>
    </w:p>
    <w:p>
      <w:pPr>
        <w:spacing w:line="500" w:lineRule="exact"/>
        <w:ind w:firstLine="360" w:firstLineChars="150"/>
        <w:rPr>
          <w:rFonts w:ascii="宋体" w:hAnsi="宋体"/>
          <w:sz w:val="24"/>
        </w:rPr>
      </w:pPr>
      <w:r>
        <w:rPr>
          <w:rFonts w:hint="eastAsia" w:ascii="宋体" w:hAnsi="宋体"/>
          <w:sz w:val="24"/>
        </w:rPr>
        <w:t>无论投标过程中的做法和结果如何，投标人自行承担所有与参加投标有关的全部费用。</w:t>
      </w:r>
    </w:p>
    <w:p>
      <w:pPr>
        <w:pStyle w:val="4"/>
        <w:spacing w:line="500" w:lineRule="exact"/>
        <w:rPr>
          <w:rFonts w:ascii="宋体" w:hAnsi="宋体"/>
          <w:szCs w:val="21"/>
        </w:rPr>
      </w:pPr>
      <w:r>
        <w:rPr>
          <w:rFonts w:hint="eastAsia" w:ascii="宋体" w:hAnsi="宋体"/>
          <w:szCs w:val="21"/>
        </w:rPr>
        <w:t>1.5 保密</w:t>
      </w:r>
    </w:p>
    <w:p>
      <w:pPr>
        <w:spacing w:line="500" w:lineRule="exact"/>
        <w:ind w:firstLine="480" w:firstLineChars="200"/>
        <w:rPr>
          <w:rFonts w:ascii="宋体" w:hAnsi="宋体"/>
          <w:sz w:val="24"/>
        </w:rPr>
      </w:pPr>
      <w:r>
        <w:rPr>
          <w:rFonts w:hint="eastAsia" w:ascii="宋体" w:hAnsi="宋体"/>
          <w:sz w:val="24"/>
        </w:rPr>
        <w:t>参与招标投标活动的各方应对招标文件和投标文件中的商业和技术等秘密保密，违者应对由此造成的后果承担法律责任。</w:t>
      </w:r>
    </w:p>
    <w:p>
      <w:pPr>
        <w:pStyle w:val="4"/>
        <w:spacing w:line="500" w:lineRule="exact"/>
        <w:rPr>
          <w:rFonts w:ascii="宋体" w:hAnsi="宋体"/>
          <w:szCs w:val="21"/>
        </w:rPr>
      </w:pPr>
      <w:r>
        <w:rPr>
          <w:rFonts w:hint="eastAsia" w:ascii="宋体" w:hAnsi="宋体"/>
          <w:szCs w:val="21"/>
        </w:rPr>
        <w:t>1.6语言文字</w:t>
      </w:r>
    </w:p>
    <w:p>
      <w:pPr>
        <w:spacing w:line="500" w:lineRule="exact"/>
        <w:ind w:firstLine="480" w:firstLineChars="200"/>
        <w:rPr>
          <w:rFonts w:ascii="宋体" w:hAnsi="宋体"/>
          <w:sz w:val="24"/>
        </w:rPr>
      </w:pPr>
      <w:r>
        <w:rPr>
          <w:rFonts w:hint="eastAsia" w:ascii="宋体" w:hAnsi="宋体"/>
          <w:sz w:val="24"/>
        </w:rPr>
        <w:t>除专用术语外，与招标投标有关的语言均使用中文。必要时专用术语应附有中文注释。</w:t>
      </w:r>
    </w:p>
    <w:p>
      <w:pPr>
        <w:pStyle w:val="4"/>
        <w:spacing w:line="500" w:lineRule="exact"/>
        <w:rPr>
          <w:rFonts w:ascii="宋体" w:hAnsi="宋体"/>
          <w:szCs w:val="21"/>
        </w:rPr>
      </w:pPr>
      <w:r>
        <w:rPr>
          <w:rFonts w:hint="eastAsia" w:ascii="宋体" w:hAnsi="宋体"/>
          <w:szCs w:val="21"/>
        </w:rPr>
        <w:t>1.7计量单位</w:t>
      </w:r>
    </w:p>
    <w:p>
      <w:pPr>
        <w:spacing w:line="500" w:lineRule="exact"/>
        <w:ind w:firstLine="480" w:firstLineChars="200"/>
        <w:rPr>
          <w:b/>
          <w:sz w:val="28"/>
          <w:szCs w:val="28"/>
        </w:rPr>
      </w:pPr>
      <w:r>
        <w:rPr>
          <w:rFonts w:hint="eastAsia" w:ascii="宋体" w:hAnsi="宋体"/>
          <w:sz w:val="24"/>
        </w:rPr>
        <w:t>所有计量均采用中华人民共和国法定计量单位。</w:t>
      </w:r>
      <w:bookmarkStart w:id="6" w:name="_Toc215567417"/>
      <w:bookmarkStart w:id="7" w:name="_Toc184635072"/>
    </w:p>
    <w:p>
      <w:pPr>
        <w:spacing w:line="500" w:lineRule="exact"/>
        <w:rPr>
          <w:rFonts w:ascii="宋体" w:hAnsi="宋体"/>
          <w:b/>
          <w:sz w:val="28"/>
          <w:szCs w:val="28"/>
        </w:rPr>
      </w:pPr>
      <w:r>
        <w:rPr>
          <w:rFonts w:hint="eastAsia"/>
          <w:b/>
          <w:sz w:val="28"/>
          <w:szCs w:val="28"/>
        </w:rPr>
        <w:t>2．招标文件</w:t>
      </w:r>
      <w:bookmarkEnd w:id="6"/>
      <w:bookmarkEnd w:id="7"/>
    </w:p>
    <w:p>
      <w:pPr>
        <w:pStyle w:val="4"/>
        <w:spacing w:line="500" w:lineRule="exact"/>
        <w:rPr>
          <w:rFonts w:ascii="宋体" w:hAnsi="宋体"/>
          <w:szCs w:val="21"/>
        </w:rPr>
      </w:pPr>
      <w:r>
        <w:rPr>
          <w:rFonts w:hint="eastAsia" w:ascii="宋体" w:hAnsi="宋体"/>
          <w:szCs w:val="21"/>
        </w:rPr>
        <w:t>2.1 招标文件的组成</w:t>
      </w:r>
    </w:p>
    <w:p>
      <w:pPr>
        <w:spacing w:line="500" w:lineRule="exact"/>
        <w:ind w:firstLine="480" w:firstLineChars="200"/>
        <w:rPr>
          <w:rFonts w:ascii="宋体" w:hAnsi="宋体"/>
          <w:sz w:val="24"/>
        </w:rPr>
      </w:pPr>
      <w:r>
        <w:rPr>
          <w:rFonts w:hint="eastAsia" w:ascii="宋体" w:hAnsi="宋体"/>
          <w:sz w:val="24"/>
        </w:rPr>
        <w:t>本招标文件包括：</w:t>
      </w:r>
    </w:p>
    <w:p>
      <w:pPr>
        <w:spacing w:line="500" w:lineRule="exact"/>
        <w:ind w:firstLine="480" w:firstLineChars="200"/>
        <w:rPr>
          <w:rFonts w:ascii="宋体" w:hAnsi="宋体"/>
          <w:sz w:val="24"/>
        </w:rPr>
      </w:pPr>
      <w:r>
        <w:rPr>
          <w:rFonts w:hint="eastAsia" w:ascii="宋体" w:hAnsi="宋体"/>
          <w:sz w:val="24"/>
        </w:rPr>
        <w:t>（1）投标人须知； （2）评标办法； （3）合同条款及格式；</w:t>
      </w:r>
    </w:p>
    <w:p>
      <w:pPr>
        <w:spacing w:line="500" w:lineRule="exact"/>
        <w:ind w:firstLine="480" w:firstLineChars="200"/>
        <w:rPr>
          <w:rFonts w:ascii="宋体" w:hAnsi="宋体"/>
          <w:sz w:val="24"/>
        </w:rPr>
      </w:pPr>
      <w:r>
        <w:rPr>
          <w:rFonts w:hint="eastAsia" w:ascii="宋体" w:hAnsi="宋体"/>
          <w:sz w:val="24"/>
        </w:rPr>
        <w:t>（4）供货清单及技术指标要求；   （5）投标文件格式；</w:t>
      </w:r>
    </w:p>
    <w:p>
      <w:pPr>
        <w:spacing w:line="500" w:lineRule="exact"/>
        <w:ind w:firstLine="480" w:firstLineChars="200"/>
        <w:rPr>
          <w:rFonts w:ascii="宋体" w:hAnsi="宋体"/>
          <w:sz w:val="24"/>
        </w:rPr>
      </w:pPr>
      <w:r>
        <w:rPr>
          <w:rFonts w:hint="eastAsia" w:ascii="宋体" w:hAnsi="宋体"/>
          <w:sz w:val="24"/>
        </w:rPr>
        <w:t>根据本章第2.2 款和第2.3 款对招标文件所作的澄清、修改，构成招标文件的组成部分。</w:t>
      </w:r>
    </w:p>
    <w:p>
      <w:pPr>
        <w:pStyle w:val="4"/>
        <w:spacing w:line="500" w:lineRule="exact"/>
        <w:rPr>
          <w:rFonts w:ascii="宋体" w:hAnsi="宋体"/>
          <w:szCs w:val="21"/>
        </w:rPr>
      </w:pPr>
      <w:r>
        <w:rPr>
          <w:rFonts w:hint="eastAsia" w:ascii="宋体" w:hAnsi="宋体"/>
          <w:szCs w:val="21"/>
        </w:rPr>
        <w:t>2.2 招标文件的澄清</w:t>
      </w:r>
    </w:p>
    <w:p>
      <w:pPr>
        <w:spacing w:line="500" w:lineRule="exact"/>
        <w:ind w:firstLine="480" w:firstLineChars="200"/>
        <w:rPr>
          <w:rFonts w:ascii="宋体" w:hAnsi="宋体"/>
          <w:sz w:val="24"/>
        </w:rPr>
      </w:pPr>
      <w:r>
        <w:rPr>
          <w:rFonts w:hint="eastAsia" w:ascii="宋体" w:hAnsi="宋体"/>
          <w:sz w:val="24"/>
        </w:rPr>
        <w:t>2.2.1 投标人应仔细阅读和检查招标文件的全部内容。如发现缺页或附件不全，应及时向招标人提出，以便补齐。如有疑问，应在投标人须知前附表规定的时间前以书面形式（包括信函、电子邮件、传真等可以有形地表现所载内容的形式，下同），要求招标人对招标文件予以澄清。</w:t>
      </w:r>
    </w:p>
    <w:p>
      <w:pPr>
        <w:spacing w:line="500" w:lineRule="exact"/>
        <w:ind w:firstLine="480" w:firstLineChars="200"/>
        <w:rPr>
          <w:rFonts w:ascii="宋体" w:hAnsi="宋体"/>
          <w:sz w:val="24"/>
        </w:rPr>
      </w:pPr>
      <w:r>
        <w:rPr>
          <w:rFonts w:hint="eastAsia" w:ascii="宋体" w:hAnsi="宋体"/>
          <w:sz w:val="24"/>
        </w:rPr>
        <w:t>2.2.2 招标文件的澄清将在投标人须知前附表规定的投标截止时间5天前以书面形式发给所有购买招标文件的投标人，但不指明澄清问题的来源。</w:t>
      </w:r>
    </w:p>
    <w:p>
      <w:pPr>
        <w:spacing w:line="500" w:lineRule="exact"/>
        <w:ind w:firstLine="480" w:firstLineChars="200"/>
        <w:rPr>
          <w:sz w:val="24"/>
        </w:rPr>
      </w:pPr>
      <w:r>
        <w:rPr>
          <w:rFonts w:hint="eastAsia"/>
          <w:sz w:val="24"/>
        </w:rPr>
        <w:t>2.2.3 投标人在收到澄清后，应在投标人须知前附表规定的时间内以书面形式通知招标人，确认己收到该澄清。</w:t>
      </w:r>
      <w:bookmarkStart w:id="8" w:name="_Toc184635073"/>
      <w:bookmarkStart w:id="9" w:name="_Toc215567418"/>
    </w:p>
    <w:p>
      <w:pPr>
        <w:spacing w:line="500" w:lineRule="exact"/>
        <w:rPr>
          <w:b/>
          <w:sz w:val="28"/>
          <w:szCs w:val="28"/>
        </w:rPr>
      </w:pPr>
      <w:r>
        <w:rPr>
          <w:rFonts w:hint="eastAsia"/>
          <w:b/>
          <w:sz w:val="28"/>
          <w:szCs w:val="28"/>
        </w:rPr>
        <w:t>3．投标文件</w:t>
      </w:r>
      <w:bookmarkEnd w:id="8"/>
      <w:bookmarkEnd w:id="9"/>
    </w:p>
    <w:p>
      <w:pPr>
        <w:pStyle w:val="4"/>
        <w:spacing w:line="500" w:lineRule="exact"/>
        <w:rPr>
          <w:rFonts w:ascii="宋体" w:hAnsi="宋体"/>
        </w:rPr>
      </w:pPr>
      <w:r>
        <w:rPr>
          <w:rFonts w:hint="eastAsia" w:ascii="宋体" w:hAnsi="宋体"/>
        </w:rPr>
        <w:t>3.1 投标文件的组成</w:t>
      </w:r>
    </w:p>
    <w:p>
      <w:pPr>
        <w:autoSpaceDE w:val="0"/>
        <w:autoSpaceDN w:val="0"/>
        <w:adjustRightInd w:val="0"/>
        <w:snapToGrid w:val="0"/>
        <w:spacing w:line="360" w:lineRule="auto"/>
        <w:ind w:firstLine="480" w:firstLineChars="200"/>
        <w:rPr>
          <w:rFonts w:ascii="宋体" w:hAnsi="宋体" w:cs="仿宋_GB2312"/>
          <w:b/>
          <w:sz w:val="24"/>
          <w:lang w:val="zh-CN"/>
        </w:rPr>
      </w:pPr>
      <w:r>
        <w:rPr>
          <w:rFonts w:hint="eastAsia" w:ascii="宋体" w:hAnsi="宋体"/>
          <w:sz w:val="24"/>
          <w:lang w:val="zh-CN"/>
        </w:rPr>
        <w:t>（</w:t>
      </w:r>
      <w:r>
        <w:rPr>
          <w:rFonts w:hint="eastAsia" w:ascii="宋体" w:hAnsi="宋体"/>
          <w:sz w:val="24"/>
        </w:rPr>
        <w:t>1</w:t>
      </w:r>
      <w:r>
        <w:rPr>
          <w:rFonts w:hint="eastAsia" w:ascii="宋体" w:hAnsi="宋体"/>
          <w:sz w:val="24"/>
          <w:lang w:val="zh-CN"/>
        </w:rPr>
        <w:t>）</w:t>
      </w:r>
      <w:r>
        <w:rPr>
          <w:rFonts w:hint="eastAsia" w:ascii="宋体" w:hAnsi="宋体" w:cs="Arial"/>
          <w:bCs/>
          <w:sz w:val="24"/>
          <w:u w:val="single"/>
        </w:rPr>
        <w:t>商务报价部分</w:t>
      </w:r>
      <w:r>
        <w:rPr>
          <w:rFonts w:hint="eastAsia" w:ascii="宋体" w:hAnsi="宋体" w:cs="仿宋_GB2312"/>
          <w:sz w:val="24"/>
          <w:u w:val="single"/>
          <w:lang w:val="zh-CN"/>
        </w:rPr>
        <w:t>组成</w:t>
      </w:r>
    </w:p>
    <w:p>
      <w:pPr>
        <w:autoSpaceDE w:val="0"/>
        <w:autoSpaceDN w:val="0"/>
        <w:adjustRightInd w:val="0"/>
        <w:snapToGrid w:val="0"/>
        <w:spacing w:line="360" w:lineRule="auto"/>
        <w:ind w:firstLine="600" w:firstLineChars="250"/>
        <w:textAlignment w:val="bottom"/>
        <w:rPr>
          <w:rFonts w:ascii="宋体" w:hAnsi="宋体"/>
          <w:bCs/>
          <w:sz w:val="24"/>
        </w:rPr>
      </w:pPr>
      <w:r>
        <w:rPr>
          <w:rFonts w:hint="eastAsia" w:ascii="宋体" w:hAnsi="宋体"/>
          <w:sz w:val="24"/>
        </w:rPr>
        <w:t>1）投标函（附件一）</w:t>
      </w:r>
      <w:r>
        <w:rPr>
          <w:rFonts w:hint="eastAsia" w:ascii="宋体" w:hAnsi="宋体"/>
          <w:bCs/>
          <w:sz w:val="24"/>
        </w:rPr>
        <w:t xml:space="preserve">  </w:t>
      </w:r>
      <w:r>
        <w:rPr>
          <w:rFonts w:hint="eastAsia" w:ascii="宋体" w:hAnsi="宋体"/>
          <w:sz w:val="24"/>
        </w:rPr>
        <w:t>2）开标一览表（附件二、一）</w:t>
      </w:r>
    </w:p>
    <w:p>
      <w:pPr>
        <w:autoSpaceDE w:val="0"/>
        <w:autoSpaceDN w:val="0"/>
        <w:adjustRightInd w:val="0"/>
        <w:snapToGrid w:val="0"/>
        <w:spacing w:line="360" w:lineRule="auto"/>
        <w:ind w:firstLine="600" w:firstLineChars="250"/>
        <w:textAlignment w:val="bottom"/>
        <w:rPr>
          <w:rFonts w:ascii="宋体" w:hAnsi="宋体"/>
          <w:sz w:val="24"/>
        </w:rPr>
      </w:pPr>
      <w:r>
        <w:rPr>
          <w:rFonts w:hint="eastAsia" w:ascii="宋体" w:hAnsi="宋体"/>
          <w:sz w:val="24"/>
        </w:rPr>
        <w:t>3）设备数量价格表（附件二、二）  4）工程项目预算价格表</w:t>
      </w:r>
    </w:p>
    <w:p>
      <w:pPr>
        <w:autoSpaceDE w:val="0"/>
        <w:autoSpaceDN w:val="0"/>
        <w:adjustRightInd w:val="0"/>
        <w:snapToGrid w:val="0"/>
        <w:spacing w:line="360" w:lineRule="auto"/>
        <w:ind w:firstLine="480" w:firstLineChars="200"/>
        <w:textAlignment w:val="bottom"/>
        <w:rPr>
          <w:rFonts w:ascii="宋体" w:hAnsi="宋体"/>
          <w:sz w:val="24"/>
        </w:rPr>
      </w:pPr>
      <w:r>
        <w:rPr>
          <w:rFonts w:hint="eastAsia" w:ascii="宋体" w:hAnsi="宋体"/>
          <w:sz w:val="24"/>
          <w:lang w:val="zh-CN"/>
        </w:rPr>
        <w:t>（</w:t>
      </w:r>
      <w:r>
        <w:rPr>
          <w:rFonts w:hint="eastAsia" w:ascii="宋体" w:hAnsi="宋体"/>
          <w:sz w:val="24"/>
        </w:rPr>
        <w:t>2</w:t>
      </w:r>
      <w:r>
        <w:rPr>
          <w:rFonts w:hint="eastAsia" w:ascii="宋体" w:hAnsi="宋体"/>
          <w:sz w:val="24"/>
          <w:lang w:val="zh-CN"/>
        </w:rPr>
        <w:t>）</w:t>
      </w:r>
      <w:r>
        <w:rPr>
          <w:rFonts w:hint="eastAsia" w:ascii="宋体" w:hAnsi="宋体" w:cs="Arial"/>
          <w:bCs/>
          <w:sz w:val="24"/>
          <w:u w:val="single"/>
        </w:rPr>
        <w:t>技术资信部分</w:t>
      </w:r>
      <w:r>
        <w:rPr>
          <w:rFonts w:hint="eastAsia" w:ascii="宋体" w:hAnsi="宋体"/>
          <w:bCs/>
          <w:sz w:val="24"/>
          <w:u w:val="single"/>
        </w:rPr>
        <w:t>组成</w:t>
      </w:r>
    </w:p>
    <w:p>
      <w:pPr>
        <w:autoSpaceDE w:val="0"/>
        <w:autoSpaceDN w:val="0"/>
        <w:adjustRightInd w:val="0"/>
        <w:snapToGrid w:val="0"/>
        <w:spacing w:line="360" w:lineRule="auto"/>
        <w:ind w:firstLine="600" w:firstLineChars="250"/>
        <w:textAlignment w:val="bottom"/>
        <w:rPr>
          <w:rFonts w:ascii="宋体" w:hAnsi="宋体"/>
          <w:sz w:val="24"/>
        </w:rPr>
      </w:pPr>
      <w:r>
        <w:rPr>
          <w:rFonts w:hint="eastAsia" w:ascii="宋体" w:hAnsi="宋体"/>
          <w:sz w:val="24"/>
        </w:rPr>
        <w:t>1) 法定代表人授权书（附件四、一）、</w:t>
      </w:r>
    </w:p>
    <w:p>
      <w:pPr>
        <w:autoSpaceDE w:val="0"/>
        <w:autoSpaceDN w:val="0"/>
        <w:adjustRightInd w:val="0"/>
        <w:snapToGrid w:val="0"/>
        <w:spacing w:line="360" w:lineRule="auto"/>
        <w:ind w:firstLine="600" w:firstLineChars="250"/>
        <w:textAlignment w:val="bottom"/>
        <w:rPr>
          <w:rFonts w:ascii="宋体" w:hAnsi="宋体"/>
          <w:sz w:val="24"/>
        </w:rPr>
      </w:pPr>
      <w:r>
        <w:rPr>
          <w:rFonts w:hint="eastAsia" w:ascii="宋体" w:hAnsi="宋体"/>
          <w:sz w:val="24"/>
        </w:rPr>
        <w:t>2）投标产品的主要技术参数、详细技术规格书（附件二（三、四））</w:t>
      </w:r>
    </w:p>
    <w:p>
      <w:pPr>
        <w:autoSpaceDE w:val="0"/>
        <w:autoSpaceDN w:val="0"/>
        <w:adjustRightInd w:val="0"/>
        <w:snapToGrid w:val="0"/>
        <w:spacing w:line="360" w:lineRule="auto"/>
        <w:ind w:firstLine="600" w:firstLineChars="250"/>
        <w:textAlignment w:val="bottom"/>
        <w:rPr>
          <w:rFonts w:ascii="宋体" w:hAnsi="宋体"/>
          <w:sz w:val="24"/>
        </w:rPr>
      </w:pPr>
      <w:r>
        <w:rPr>
          <w:rFonts w:hint="eastAsia" w:ascii="宋体" w:hAnsi="宋体"/>
          <w:sz w:val="24"/>
        </w:rPr>
        <w:t xml:space="preserve">3）投标产品样本图册 </w:t>
      </w:r>
    </w:p>
    <w:p>
      <w:pPr>
        <w:autoSpaceDE w:val="0"/>
        <w:autoSpaceDN w:val="0"/>
        <w:adjustRightInd w:val="0"/>
        <w:snapToGrid w:val="0"/>
        <w:spacing w:line="360" w:lineRule="auto"/>
        <w:ind w:firstLine="600" w:firstLineChars="250"/>
        <w:textAlignment w:val="bottom"/>
        <w:rPr>
          <w:rFonts w:ascii="宋体" w:hAnsi="宋体" w:cs="Arial"/>
          <w:sz w:val="24"/>
        </w:rPr>
      </w:pPr>
      <w:r>
        <w:rPr>
          <w:rFonts w:hint="eastAsia" w:ascii="宋体" w:hAnsi="宋体"/>
          <w:sz w:val="24"/>
        </w:rPr>
        <w:t>4）投标产品的主要技术、配置、性能、特点和质量水平的详细描述</w:t>
      </w:r>
      <w:r>
        <w:rPr>
          <w:rFonts w:hint="eastAsia" w:ascii="宋体" w:hAnsi="宋体" w:cs="Arial"/>
          <w:bCs/>
          <w:sz w:val="24"/>
          <w:u w:val="thick"/>
        </w:rPr>
        <w:t>（包括配置、部件来源说明等）</w:t>
      </w:r>
      <w:r>
        <w:rPr>
          <w:rFonts w:hint="eastAsia" w:ascii="宋体" w:hAnsi="宋体" w:cs="Arial"/>
          <w:sz w:val="24"/>
        </w:rPr>
        <w:t>（如果资料提供不全，可能导致对供应商不利的评定）</w:t>
      </w:r>
    </w:p>
    <w:p>
      <w:pPr>
        <w:autoSpaceDE w:val="0"/>
        <w:autoSpaceDN w:val="0"/>
        <w:adjustRightInd w:val="0"/>
        <w:snapToGrid w:val="0"/>
        <w:spacing w:line="360" w:lineRule="auto"/>
        <w:ind w:firstLine="600" w:firstLineChars="250"/>
        <w:textAlignment w:val="bottom"/>
        <w:rPr>
          <w:rFonts w:ascii="宋体" w:hAnsi="宋体"/>
          <w:sz w:val="24"/>
        </w:rPr>
      </w:pPr>
      <w:r>
        <w:rPr>
          <w:rFonts w:hint="eastAsia" w:ascii="宋体" w:hAnsi="宋体"/>
          <w:sz w:val="24"/>
        </w:rPr>
        <w:t>5）制造商资质证书；产品制造、验收标准；产品如涉及到国家规定的特殊许可制造及销售要求，必须满足相关要求；安装资质；具备相应的安装、调试资质。</w:t>
      </w:r>
    </w:p>
    <w:p>
      <w:pPr>
        <w:autoSpaceDE w:val="0"/>
        <w:autoSpaceDN w:val="0"/>
        <w:adjustRightInd w:val="0"/>
        <w:snapToGrid w:val="0"/>
        <w:spacing w:line="360" w:lineRule="auto"/>
        <w:ind w:firstLine="600" w:firstLineChars="250"/>
        <w:textAlignment w:val="bottom"/>
        <w:rPr>
          <w:rFonts w:ascii="宋体" w:hAnsi="宋体" w:cs="Arial"/>
          <w:sz w:val="24"/>
        </w:rPr>
      </w:pPr>
      <w:r>
        <w:rPr>
          <w:rFonts w:hint="eastAsia" w:ascii="宋体" w:hAnsi="宋体"/>
          <w:sz w:val="24"/>
        </w:rPr>
        <w:t>6）商务响应表（附件三（一））、技术响应表（附件三（二））</w:t>
      </w:r>
      <w:r>
        <w:rPr>
          <w:rFonts w:hint="eastAsia" w:ascii="宋体" w:hAnsi="宋体" w:cs="Arial"/>
          <w:bCs/>
          <w:sz w:val="24"/>
          <w:u w:val="thick"/>
        </w:rPr>
        <w:t>（如不填写，则视为完全响应招标文件的技术要求）</w:t>
      </w:r>
    </w:p>
    <w:p>
      <w:pPr>
        <w:autoSpaceDE w:val="0"/>
        <w:autoSpaceDN w:val="0"/>
        <w:adjustRightInd w:val="0"/>
        <w:snapToGrid w:val="0"/>
        <w:spacing w:line="360" w:lineRule="auto"/>
        <w:ind w:firstLine="600" w:firstLineChars="250"/>
        <w:textAlignment w:val="bottom"/>
        <w:rPr>
          <w:rFonts w:ascii="宋体" w:hAnsi="宋体"/>
          <w:sz w:val="24"/>
        </w:rPr>
      </w:pPr>
      <w:r>
        <w:rPr>
          <w:rFonts w:hint="eastAsia" w:ascii="宋体" w:hAnsi="宋体"/>
          <w:sz w:val="24"/>
        </w:rPr>
        <w:t>7)营业执照（复印件加盖公章）、税务登记证（复印件加盖公章）、相关行业资质证明；</w:t>
      </w:r>
    </w:p>
    <w:p>
      <w:pPr>
        <w:autoSpaceDE w:val="0"/>
        <w:autoSpaceDN w:val="0"/>
        <w:adjustRightInd w:val="0"/>
        <w:snapToGrid w:val="0"/>
        <w:spacing w:line="360" w:lineRule="auto"/>
        <w:ind w:firstLine="600" w:firstLineChars="250"/>
        <w:textAlignment w:val="bottom"/>
        <w:rPr>
          <w:rFonts w:ascii="宋体" w:hAnsi="宋体"/>
          <w:sz w:val="24"/>
        </w:rPr>
      </w:pPr>
      <w:r>
        <w:rPr>
          <w:rFonts w:hint="eastAsia" w:ascii="宋体" w:hAnsi="宋体"/>
          <w:sz w:val="24"/>
        </w:rPr>
        <w:t>8）投标单位情况声明（见附件四（二））</w:t>
      </w:r>
    </w:p>
    <w:p>
      <w:pPr>
        <w:autoSpaceDE w:val="0"/>
        <w:autoSpaceDN w:val="0"/>
        <w:adjustRightInd w:val="0"/>
        <w:snapToGrid w:val="0"/>
        <w:spacing w:line="360" w:lineRule="auto"/>
        <w:ind w:firstLine="600" w:firstLineChars="250"/>
        <w:textAlignment w:val="bottom"/>
        <w:rPr>
          <w:rFonts w:ascii="宋体" w:hAnsi="宋体"/>
          <w:sz w:val="24"/>
        </w:rPr>
      </w:pPr>
      <w:r>
        <w:rPr>
          <w:rFonts w:hint="eastAsia" w:ascii="宋体" w:hAnsi="宋体"/>
          <w:sz w:val="24"/>
        </w:rPr>
        <w:t>9）供应商资信、信用证书（复印件加盖有效公章）</w:t>
      </w:r>
    </w:p>
    <w:p>
      <w:pPr>
        <w:autoSpaceDE w:val="0"/>
        <w:autoSpaceDN w:val="0"/>
        <w:adjustRightInd w:val="0"/>
        <w:snapToGrid w:val="0"/>
        <w:spacing w:line="360" w:lineRule="auto"/>
        <w:ind w:firstLine="600" w:firstLineChars="250"/>
        <w:textAlignment w:val="bottom"/>
        <w:rPr>
          <w:rFonts w:ascii="宋体" w:hAnsi="宋体"/>
          <w:sz w:val="24"/>
        </w:rPr>
      </w:pPr>
      <w:r>
        <w:rPr>
          <w:rFonts w:hint="eastAsia" w:ascii="宋体" w:hAnsi="宋体"/>
          <w:sz w:val="24"/>
        </w:rPr>
        <w:t>10)业绩（附件六）  11)施工周期表、施工技术方案及安全措施；</w:t>
      </w:r>
    </w:p>
    <w:p>
      <w:pPr>
        <w:autoSpaceDE w:val="0"/>
        <w:autoSpaceDN w:val="0"/>
        <w:adjustRightInd w:val="0"/>
        <w:snapToGrid w:val="0"/>
        <w:spacing w:line="360" w:lineRule="auto"/>
        <w:ind w:firstLine="600" w:firstLineChars="250"/>
        <w:textAlignment w:val="bottom"/>
        <w:rPr>
          <w:rFonts w:ascii="宋体" w:hAnsi="宋体"/>
          <w:sz w:val="24"/>
        </w:rPr>
      </w:pPr>
      <w:bookmarkStart w:id="10" w:name="_Toc132122410"/>
      <w:bookmarkStart w:id="11" w:name="_Toc132122113"/>
      <w:r>
        <w:rPr>
          <w:rFonts w:hint="eastAsia" w:ascii="宋体" w:hAnsi="宋体"/>
          <w:sz w:val="24"/>
        </w:rPr>
        <w:t>12）根据招标文件中的采购内容与技术要求，需要提供的其它文件和资料</w:t>
      </w:r>
      <w:bookmarkEnd w:id="10"/>
      <w:bookmarkEnd w:id="11"/>
      <w:r>
        <w:rPr>
          <w:rFonts w:hint="eastAsia" w:ascii="宋体" w:hAnsi="宋体"/>
          <w:sz w:val="24"/>
        </w:rPr>
        <w:t>。</w:t>
      </w:r>
    </w:p>
    <w:p>
      <w:pPr>
        <w:autoSpaceDE w:val="0"/>
        <w:autoSpaceDN w:val="0"/>
        <w:adjustRightInd w:val="0"/>
        <w:snapToGrid w:val="0"/>
        <w:spacing w:line="360" w:lineRule="auto"/>
        <w:ind w:firstLine="600" w:firstLineChars="250"/>
        <w:textAlignment w:val="bottom"/>
        <w:rPr>
          <w:rFonts w:ascii="宋体" w:hAnsi="宋体"/>
          <w:sz w:val="24"/>
        </w:rPr>
      </w:pPr>
      <w:bookmarkStart w:id="12" w:name="_Toc132122114"/>
      <w:bookmarkStart w:id="13" w:name="_Toc132122411"/>
      <w:r>
        <w:rPr>
          <w:rFonts w:hint="eastAsia" w:ascii="宋体" w:hAnsi="宋体"/>
          <w:sz w:val="24"/>
        </w:rPr>
        <w:t>13）供应商认为需要提供的文件和资料</w:t>
      </w:r>
      <w:bookmarkEnd w:id="12"/>
      <w:bookmarkEnd w:id="13"/>
      <w:r>
        <w:rPr>
          <w:rFonts w:hint="eastAsia" w:ascii="宋体" w:hAnsi="宋体"/>
          <w:sz w:val="24"/>
        </w:rPr>
        <w:t>。</w:t>
      </w:r>
    </w:p>
    <w:p>
      <w:pPr>
        <w:spacing w:line="360" w:lineRule="auto"/>
        <w:ind w:left="567" w:hanging="567"/>
        <w:rPr>
          <w:rFonts w:ascii="宋体" w:hAnsi="宋体"/>
          <w:sz w:val="24"/>
        </w:rPr>
      </w:pPr>
      <w:r>
        <w:rPr>
          <w:rFonts w:hint="eastAsia" w:ascii="宋体" w:hAnsi="宋体"/>
          <w:sz w:val="24"/>
        </w:rPr>
        <w:t xml:space="preserve">  （3）证明投标人合格和资格的文件</w:t>
      </w:r>
    </w:p>
    <w:p>
      <w:pPr>
        <w:spacing w:line="360" w:lineRule="auto"/>
        <w:ind w:left="454" w:hanging="454"/>
        <w:rPr>
          <w:rFonts w:ascii="宋体" w:hAnsi="宋体"/>
          <w:sz w:val="24"/>
        </w:rPr>
      </w:pPr>
      <w:r>
        <w:rPr>
          <w:rFonts w:hint="eastAsia" w:ascii="宋体" w:hAnsi="宋体"/>
          <w:sz w:val="24"/>
        </w:rPr>
        <w:t xml:space="preserve">     1）投标人应提供证明其合格和资格的证明文件，包括按有关规定的合格投标人的证明、合格货物和服务的证明、履行合同的资格证明以及其它业绩证明。</w:t>
      </w:r>
    </w:p>
    <w:p>
      <w:pPr>
        <w:spacing w:line="360" w:lineRule="auto"/>
        <w:ind w:left="454" w:hanging="454"/>
        <w:rPr>
          <w:rFonts w:ascii="宋体" w:hAnsi="宋体"/>
          <w:sz w:val="24"/>
        </w:rPr>
      </w:pPr>
      <w:r>
        <w:rPr>
          <w:rFonts w:hint="eastAsia" w:ascii="宋体" w:hAnsi="宋体"/>
          <w:sz w:val="24"/>
        </w:rPr>
        <w:t xml:space="preserve">     2）如果投标人为联合体，则联合体各方应分别提交资格证明文件、联合体协议并注明主办人。</w:t>
      </w:r>
    </w:p>
    <w:p>
      <w:pPr>
        <w:spacing w:line="360" w:lineRule="auto"/>
        <w:ind w:left="454" w:hanging="454"/>
        <w:rPr>
          <w:rFonts w:ascii="宋体" w:hAnsi="宋体"/>
          <w:sz w:val="24"/>
        </w:rPr>
      </w:pPr>
      <w:r>
        <w:rPr>
          <w:rFonts w:hint="eastAsia" w:ascii="宋体" w:hAnsi="宋体"/>
          <w:sz w:val="24"/>
        </w:rPr>
        <w:t xml:space="preserve">  （4）证明货物符合招标文件规定的文件</w:t>
      </w:r>
    </w:p>
    <w:p>
      <w:pPr>
        <w:spacing w:line="360" w:lineRule="auto"/>
        <w:ind w:left="624" w:hanging="624"/>
        <w:rPr>
          <w:rFonts w:ascii="宋体" w:hAnsi="宋体"/>
          <w:sz w:val="24"/>
        </w:rPr>
      </w:pPr>
      <w:r>
        <w:rPr>
          <w:rFonts w:hint="eastAsia" w:ascii="宋体" w:hAnsi="宋体"/>
          <w:sz w:val="24"/>
        </w:rPr>
        <w:t xml:space="preserve">    1）投标人应提交其货物和服务符合招标文件规定的证明，作为投标文件的一部分。</w:t>
      </w:r>
    </w:p>
    <w:p>
      <w:pPr>
        <w:spacing w:line="360" w:lineRule="auto"/>
        <w:ind w:left="624" w:hanging="624"/>
        <w:rPr>
          <w:rFonts w:ascii="宋体" w:hAnsi="宋体"/>
          <w:sz w:val="24"/>
        </w:rPr>
      </w:pPr>
      <w:r>
        <w:rPr>
          <w:rFonts w:hint="eastAsia" w:ascii="宋体" w:hAnsi="宋体"/>
          <w:sz w:val="24"/>
        </w:rPr>
        <w:t xml:space="preserve">    2）货物和服务与招标文件的要求相一致的证明，可以是文字资料、图纸和数据，包括：</w:t>
      </w:r>
    </w:p>
    <w:p>
      <w:pPr>
        <w:numPr>
          <w:ilvl w:val="0"/>
          <w:numId w:val="2"/>
        </w:numPr>
        <w:spacing w:line="360" w:lineRule="auto"/>
        <w:ind w:left="567" w:firstLine="33"/>
        <w:rPr>
          <w:rFonts w:ascii="宋体" w:hAnsi="宋体"/>
          <w:sz w:val="24"/>
        </w:rPr>
      </w:pPr>
      <w:r>
        <w:rPr>
          <w:rFonts w:hint="eastAsia" w:ascii="宋体" w:hAnsi="宋体"/>
          <w:sz w:val="24"/>
        </w:rPr>
        <w:t>货物主要技术指标和性能的详细说明。</w:t>
      </w:r>
    </w:p>
    <w:p>
      <w:pPr>
        <w:numPr>
          <w:ilvl w:val="0"/>
          <w:numId w:val="2"/>
        </w:numPr>
        <w:spacing w:line="360" w:lineRule="auto"/>
        <w:ind w:left="567" w:firstLine="33"/>
        <w:rPr>
          <w:rFonts w:ascii="宋体" w:hAnsi="宋体"/>
          <w:sz w:val="24"/>
        </w:rPr>
      </w:pPr>
      <w:r>
        <w:rPr>
          <w:rFonts w:hint="eastAsia" w:ascii="宋体" w:hAnsi="宋体"/>
          <w:sz w:val="24"/>
        </w:rPr>
        <w:t>货物从招标人开始使用至“投标须知表”中规定的周期内正常、连续地使用所必须的备件和专用工具清单，包括备件和专用工具的货源及现行价格。</w:t>
      </w:r>
    </w:p>
    <w:p>
      <w:pPr>
        <w:numPr>
          <w:ilvl w:val="0"/>
          <w:numId w:val="2"/>
        </w:numPr>
        <w:spacing w:line="360" w:lineRule="auto"/>
        <w:ind w:left="567" w:firstLine="33"/>
        <w:rPr>
          <w:rFonts w:ascii="宋体" w:hAnsi="宋体"/>
          <w:sz w:val="24"/>
        </w:rPr>
      </w:pPr>
      <w:r>
        <w:rPr>
          <w:rFonts w:hint="eastAsia" w:ascii="宋体" w:hAnsi="宋体"/>
          <w:sz w:val="24"/>
        </w:rPr>
        <w:t>对照招标文件技术规格，逐条说明所提供货物和服务已对招标文件的技术规格做出了实质性响应，或申明与技术规格的偏差和例外。特别对于有具体参数要求的指标，投标人必须提供所投设备的具体参数。</w:t>
      </w:r>
    </w:p>
    <w:p>
      <w:pPr>
        <w:spacing w:line="500" w:lineRule="exact"/>
        <w:rPr>
          <w:rFonts w:ascii="宋体" w:hAnsi="宋体"/>
          <w:b/>
          <w:sz w:val="28"/>
          <w:szCs w:val="28"/>
        </w:rPr>
      </w:pPr>
      <w:r>
        <w:rPr>
          <w:rFonts w:hint="eastAsia" w:ascii="宋体" w:hAnsi="宋体"/>
          <w:b/>
          <w:sz w:val="28"/>
          <w:szCs w:val="28"/>
        </w:rPr>
        <w:t>3.2 投标报价</w:t>
      </w:r>
    </w:p>
    <w:p>
      <w:pPr>
        <w:spacing w:line="500" w:lineRule="exact"/>
        <w:ind w:firstLine="479" w:firstLineChars="199"/>
        <w:rPr>
          <w:rFonts w:ascii="宋体" w:hAnsi="宋体"/>
          <w:b/>
          <w:color w:val="000000"/>
          <w:sz w:val="24"/>
        </w:rPr>
      </w:pPr>
      <w:r>
        <w:rPr>
          <w:rFonts w:hint="eastAsia" w:ascii="宋体" w:hAnsi="宋体"/>
          <w:b/>
          <w:color w:val="000000"/>
          <w:sz w:val="24"/>
        </w:rPr>
        <w:t>3.2.1设备投标报价以综合单价报价，包括成品、备品备件、包装、运费、装卸、搬运（包括吊装）、保险、指导安装调试、维修备件、专用工具、技术资料及政府管理部门收取的检验（验收）费用、质保期内维修费用和相关技术服务费用、税金（工程所在地建安税）等在内的一切费用。安装与设备分开报价，安装报价（包含五金辅材、支吊架、施工机具、施工人员食宿等）采用整体一口包死价，安装验收除达到国家现行验收标准外，还须达到监理、建设、质检单位提出其他验收要求。</w:t>
      </w:r>
    </w:p>
    <w:p>
      <w:pPr>
        <w:spacing w:line="500" w:lineRule="exact"/>
        <w:ind w:firstLine="479" w:firstLineChars="199"/>
        <w:rPr>
          <w:rFonts w:ascii="宋体" w:hAnsi="宋体"/>
          <w:b/>
          <w:sz w:val="24"/>
        </w:rPr>
      </w:pPr>
      <w:r>
        <w:rPr>
          <w:rFonts w:hint="eastAsia" w:ascii="宋体" w:hAnsi="宋体"/>
          <w:b/>
          <w:sz w:val="24"/>
        </w:rPr>
        <w:t>3.2.2</w:t>
      </w:r>
      <w:r>
        <w:rPr>
          <w:rFonts w:hint="eastAsia" w:ascii="宋体" w:hAnsi="宋体"/>
          <w:spacing w:val="-10"/>
        </w:rPr>
        <w:t xml:space="preserve"> </w:t>
      </w:r>
      <w:r>
        <w:rPr>
          <w:rFonts w:hint="eastAsia" w:ascii="宋体" w:hAnsi="宋体"/>
          <w:b/>
          <w:sz w:val="24"/>
        </w:rPr>
        <w:t>投标人所提供产品必须为本厂成熟且技术先进的产品，设备上必须标示本厂（公司）商标；</w:t>
      </w:r>
    </w:p>
    <w:p>
      <w:pPr>
        <w:spacing w:line="460" w:lineRule="exact"/>
        <w:ind w:firstLine="482" w:firstLineChars="200"/>
        <w:rPr>
          <w:rFonts w:ascii="宋体" w:hAnsi="宋体"/>
          <w:b/>
          <w:sz w:val="24"/>
        </w:rPr>
      </w:pPr>
      <w:r>
        <w:rPr>
          <w:rFonts w:hint="eastAsia" w:ascii="宋体" w:hAnsi="宋体"/>
          <w:b/>
          <w:sz w:val="24"/>
        </w:rPr>
        <w:t>3.2.3投标人不得低于成本价报价;投标报价精确到小数点后两位；</w:t>
      </w:r>
    </w:p>
    <w:p>
      <w:pPr>
        <w:spacing w:line="460" w:lineRule="exact"/>
        <w:ind w:firstLine="482" w:firstLineChars="200"/>
        <w:rPr>
          <w:rFonts w:ascii="宋体" w:hAnsi="宋体"/>
          <w:b/>
          <w:sz w:val="24"/>
        </w:rPr>
      </w:pPr>
      <w:r>
        <w:rPr>
          <w:rFonts w:hint="eastAsia" w:ascii="宋体" w:hAnsi="宋体"/>
          <w:b/>
          <w:sz w:val="24"/>
        </w:rPr>
        <w:t>3.2.4只允许有一个有效报价，并结合自身的实力及市场价格充分考虑风险后确定投标价格；</w:t>
      </w:r>
    </w:p>
    <w:p>
      <w:pPr>
        <w:spacing w:line="420" w:lineRule="exact"/>
        <w:ind w:firstLine="482" w:firstLineChars="200"/>
        <w:rPr>
          <w:rFonts w:ascii="宋体" w:hAnsi="宋体"/>
          <w:b/>
          <w:sz w:val="24"/>
        </w:rPr>
      </w:pPr>
      <w:r>
        <w:rPr>
          <w:rFonts w:hint="eastAsia" w:ascii="宋体" w:hAnsi="宋体"/>
          <w:b/>
          <w:sz w:val="24"/>
        </w:rPr>
        <w:t>3.2.5投标人报价若与招标范围有出入者，招标人视情况将保留废标的权利；</w:t>
      </w:r>
    </w:p>
    <w:p>
      <w:pPr>
        <w:spacing w:line="360" w:lineRule="auto"/>
        <w:ind w:firstLine="482" w:firstLineChars="200"/>
        <w:rPr>
          <w:rFonts w:ascii="宋体" w:hAnsi="宋体"/>
          <w:b/>
          <w:sz w:val="24"/>
        </w:rPr>
      </w:pPr>
      <w:r>
        <w:rPr>
          <w:rFonts w:hint="eastAsia" w:ascii="宋体" w:hAnsi="宋体"/>
          <w:b/>
          <w:sz w:val="24"/>
        </w:rPr>
        <w:t>3.2.6投标人所报综合单价在合同执行过程中是固定不变的（合同另有规定的除外），不得以任何理由变更。以可调整的价格提交的投标将作为非响应性投标而予以拒绝；招标人对投标人的任何报价均视为其对本招标文件内容（包括：对设备名称、数量、配置要求、技术规格、安装条件、投标报价要求、交货日期、交货地点、付款方式、保修期限等）已经全部理解，招标人对投标人由于对本招标文件不正确的理解造成的漏报等即认为是投标人对招标单位的优惠；</w:t>
      </w:r>
    </w:p>
    <w:p>
      <w:pPr>
        <w:autoSpaceDE w:val="0"/>
        <w:autoSpaceDN w:val="0"/>
        <w:adjustRightInd w:val="0"/>
        <w:spacing w:line="360" w:lineRule="auto"/>
        <w:jc w:val="left"/>
        <w:rPr>
          <w:rFonts w:ascii="宋体" w:hAnsi="宋体"/>
          <w:b/>
          <w:sz w:val="24"/>
        </w:rPr>
      </w:pPr>
      <w:r>
        <w:rPr>
          <w:rFonts w:hint="eastAsia" w:ascii="宋体" w:hAnsi="宋体"/>
          <w:b/>
          <w:sz w:val="24"/>
        </w:rPr>
        <w:t>3.2.7电缆、桥架的组成元器件必须在</w:t>
      </w:r>
      <w:r>
        <w:rPr>
          <w:rFonts w:hint="eastAsia" w:ascii="宋体" w:hAnsi="宋体" w:cs="仿宋_GB2312"/>
          <w:b/>
          <w:sz w:val="24"/>
          <w:szCs w:val="24"/>
          <w:lang w:val="zh-CN"/>
        </w:rPr>
        <w:t>产品主要部件配置清单中</w:t>
      </w:r>
      <w:r>
        <w:rPr>
          <w:rFonts w:hint="eastAsia" w:ascii="宋体" w:hAnsi="宋体"/>
          <w:b/>
          <w:sz w:val="24"/>
        </w:rPr>
        <w:t>明确品牌、规格型号，且不得与产品使用元器件有差别，如有差别需无条件更换。</w:t>
      </w:r>
    </w:p>
    <w:p>
      <w:pPr>
        <w:pStyle w:val="4"/>
        <w:spacing w:line="500" w:lineRule="exact"/>
        <w:rPr>
          <w:rFonts w:ascii="宋体" w:hAnsi="宋体"/>
          <w:szCs w:val="21"/>
        </w:rPr>
      </w:pPr>
      <w:r>
        <w:rPr>
          <w:rFonts w:hint="eastAsia" w:ascii="宋体" w:hAnsi="宋体"/>
          <w:szCs w:val="21"/>
        </w:rPr>
        <w:t>3.3 投标有效期</w:t>
      </w:r>
    </w:p>
    <w:p>
      <w:pPr>
        <w:spacing w:line="500" w:lineRule="exact"/>
        <w:ind w:firstLine="480" w:firstLineChars="200"/>
        <w:rPr>
          <w:rFonts w:ascii="宋体" w:hAnsi="宋体"/>
          <w:sz w:val="24"/>
        </w:rPr>
      </w:pPr>
      <w:r>
        <w:rPr>
          <w:rFonts w:hint="eastAsia" w:ascii="宋体" w:hAnsi="宋体"/>
          <w:sz w:val="24"/>
        </w:rPr>
        <w:t>3.3.1 在投标人须知前附表规定的投标有效期内，投标人不得要求撤销或修改其投标文件。</w:t>
      </w:r>
    </w:p>
    <w:p>
      <w:pPr>
        <w:spacing w:line="500" w:lineRule="exact"/>
        <w:ind w:firstLine="480" w:firstLineChars="200"/>
        <w:rPr>
          <w:rFonts w:ascii="宋体" w:hAnsi="宋体"/>
          <w:sz w:val="24"/>
        </w:rPr>
      </w:pPr>
      <w:r>
        <w:rPr>
          <w:rFonts w:hint="eastAsia" w:ascii="宋体" w:hAnsi="宋体"/>
          <w:sz w:val="24"/>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pStyle w:val="4"/>
        <w:spacing w:line="500" w:lineRule="exact"/>
        <w:rPr>
          <w:rFonts w:ascii="宋体" w:hAnsi="宋体"/>
          <w:szCs w:val="21"/>
        </w:rPr>
      </w:pPr>
      <w:r>
        <w:rPr>
          <w:rFonts w:hint="eastAsia" w:ascii="宋体" w:hAnsi="宋体"/>
          <w:szCs w:val="21"/>
        </w:rPr>
        <w:t>3.4 投标保证金</w:t>
      </w:r>
    </w:p>
    <w:p>
      <w:pPr>
        <w:spacing w:line="500" w:lineRule="exact"/>
        <w:ind w:firstLine="480" w:firstLineChars="200"/>
        <w:rPr>
          <w:rFonts w:ascii="宋体" w:hAnsi="宋体"/>
          <w:sz w:val="24"/>
        </w:rPr>
      </w:pPr>
      <w:r>
        <w:rPr>
          <w:rFonts w:hint="eastAsia" w:ascii="宋体" w:hAnsi="宋体"/>
          <w:sz w:val="24"/>
        </w:rPr>
        <w:t>3.4.1 投标人在递交投标文件前，应按投标人须知前附表规定的时间、金额、方式递交投标保证金，并作为其投标文件的组成部分。</w:t>
      </w:r>
    </w:p>
    <w:p>
      <w:pPr>
        <w:spacing w:line="500" w:lineRule="exact"/>
        <w:ind w:firstLine="480" w:firstLineChars="200"/>
        <w:rPr>
          <w:rFonts w:ascii="宋体" w:hAnsi="宋体"/>
          <w:sz w:val="24"/>
        </w:rPr>
      </w:pPr>
      <w:r>
        <w:rPr>
          <w:rFonts w:hint="eastAsia" w:ascii="宋体" w:hAnsi="宋体"/>
          <w:sz w:val="24"/>
        </w:rPr>
        <w:t>3.4.2 投标人不按本章第3.4.1 项要求提交投标保证金的，其投标文件作废标处理。</w:t>
      </w:r>
    </w:p>
    <w:p>
      <w:pPr>
        <w:spacing w:line="500" w:lineRule="exact"/>
        <w:ind w:firstLine="480" w:firstLineChars="200"/>
        <w:rPr>
          <w:rFonts w:ascii="宋体" w:hAnsi="宋体"/>
          <w:color w:val="0000FF"/>
          <w:sz w:val="24"/>
        </w:rPr>
      </w:pPr>
      <w:r>
        <w:rPr>
          <w:rFonts w:hint="eastAsia" w:ascii="宋体" w:hAnsi="宋体"/>
          <w:color w:val="0000FF"/>
          <w:sz w:val="24"/>
        </w:rPr>
        <w:t>3.4.3 招标人确定中标人后</w:t>
      </w:r>
      <w:r>
        <w:rPr>
          <w:rFonts w:hint="eastAsia" w:ascii="宋体" w:hAnsi="宋体"/>
          <w:color w:val="0000FF"/>
          <w:sz w:val="24"/>
          <w:lang w:val="en-US" w:eastAsia="zh-CN"/>
        </w:rPr>
        <w:t>60</w:t>
      </w:r>
      <w:r>
        <w:rPr>
          <w:rFonts w:hint="eastAsia" w:ascii="宋体" w:hAnsi="宋体"/>
          <w:color w:val="0000FF"/>
          <w:sz w:val="24"/>
        </w:rPr>
        <w:t xml:space="preserve"> 个工作日内，向未中标的投标人退还投标保证金。</w:t>
      </w:r>
    </w:p>
    <w:p>
      <w:pPr>
        <w:spacing w:line="500" w:lineRule="exact"/>
        <w:ind w:firstLine="480" w:firstLineChars="200"/>
        <w:rPr>
          <w:rFonts w:ascii="宋体" w:hAnsi="宋体"/>
          <w:sz w:val="24"/>
        </w:rPr>
      </w:pPr>
      <w:r>
        <w:rPr>
          <w:rFonts w:hint="eastAsia" w:ascii="宋体" w:hAnsi="宋体"/>
          <w:sz w:val="24"/>
        </w:rPr>
        <w:t>3.4.4 有下列情形之一的，投标保证金将不予退还：</w:t>
      </w:r>
    </w:p>
    <w:p>
      <w:pPr>
        <w:spacing w:line="500" w:lineRule="exact"/>
        <w:ind w:firstLine="480" w:firstLineChars="200"/>
        <w:rPr>
          <w:rFonts w:ascii="宋体" w:hAnsi="宋体"/>
          <w:sz w:val="24"/>
        </w:rPr>
      </w:pPr>
      <w:r>
        <w:rPr>
          <w:rFonts w:hint="eastAsia" w:ascii="宋体" w:hAnsi="宋体"/>
          <w:sz w:val="24"/>
        </w:rPr>
        <w:t>(1）</w:t>
      </w:r>
      <w:r>
        <w:rPr>
          <w:rFonts w:ascii="宋体" w:hAnsi="宋体"/>
          <w:sz w:val="24"/>
        </w:rPr>
        <w:t>投标人在投标函格式中规定的投标有效期内撤回其投标</w:t>
      </w:r>
      <w:r>
        <w:rPr>
          <w:rFonts w:hint="eastAsia" w:ascii="宋体" w:hAnsi="宋体"/>
          <w:sz w:val="24"/>
        </w:rPr>
        <w:t>；</w:t>
      </w:r>
    </w:p>
    <w:p>
      <w:pPr>
        <w:spacing w:line="500" w:lineRule="exact"/>
        <w:ind w:firstLine="480" w:firstLineChars="200"/>
        <w:rPr>
          <w:rFonts w:ascii="宋体" w:hAnsi="宋体"/>
          <w:sz w:val="24"/>
        </w:rPr>
      </w:pPr>
      <w:r>
        <w:rPr>
          <w:rFonts w:hint="eastAsia" w:ascii="宋体" w:hAnsi="宋体"/>
          <w:sz w:val="24"/>
        </w:rPr>
        <w:t>(2）</w:t>
      </w:r>
      <w:r>
        <w:rPr>
          <w:rFonts w:ascii="宋体" w:hAnsi="宋体"/>
          <w:sz w:val="24"/>
        </w:rPr>
        <w:t>中标人在规定期限内未能：</w:t>
      </w:r>
    </w:p>
    <w:p>
      <w:pPr>
        <w:spacing w:line="500" w:lineRule="exact"/>
        <w:ind w:firstLine="480" w:firstLineChars="200"/>
        <w:rPr>
          <w:rFonts w:ascii="宋体" w:hAnsi="宋体"/>
          <w:sz w:val="24"/>
        </w:rPr>
      </w:pPr>
      <w:r>
        <w:rPr>
          <w:rFonts w:ascii="宋体" w:hAnsi="宋体"/>
          <w:sz w:val="24"/>
        </w:rPr>
        <w:t>（a）根据规定签订合同；或根据规定接受对错误的修正；</w:t>
      </w:r>
    </w:p>
    <w:p>
      <w:pPr>
        <w:spacing w:line="500" w:lineRule="exact"/>
        <w:ind w:firstLine="480" w:firstLineChars="200"/>
        <w:rPr>
          <w:rFonts w:ascii="宋体" w:hAnsi="宋体"/>
          <w:sz w:val="24"/>
        </w:rPr>
      </w:pPr>
      <w:r>
        <w:rPr>
          <w:rFonts w:ascii="宋体" w:hAnsi="宋体"/>
          <w:sz w:val="24"/>
        </w:rPr>
        <w:t>（b）根据规定提交履约保证金</w:t>
      </w:r>
      <w:r>
        <w:rPr>
          <w:rFonts w:hint="eastAsia" w:ascii="宋体" w:hAnsi="宋体"/>
          <w:sz w:val="24"/>
        </w:rPr>
        <w:t>；</w:t>
      </w:r>
    </w:p>
    <w:p>
      <w:pPr>
        <w:spacing w:line="500" w:lineRule="exact"/>
        <w:ind w:firstLine="360" w:firstLineChars="150"/>
        <w:rPr>
          <w:rFonts w:ascii="宋体" w:hAnsi="宋体"/>
          <w:sz w:val="24"/>
        </w:rPr>
      </w:pPr>
      <w:r>
        <w:rPr>
          <w:rFonts w:hint="eastAsia" w:ascii="宋体" w:hAnsi="宋体"/>
          <w:sz w:val="24"/>
        </w:rPr>
        <w:t>（3）</w:t>
      </w:r>
      <w:r>
        <w:rPr>
          <w:rFonts w:ascii="宋体" w:hAnsi="宋体"/>
          <w:sz w:val="24"/>
        </w:rPr>
        <w:t>投标人项目</w:t>
      </w:r>
      <w:r>
        <w:rPr>
          <w:rFonts w:hint="eastAsia" w:ascii="宋体" w:hAnsi="宋体"/>
          <w:sz w:val="24"/>
        </w:rPr>
        <w:t>负责人</w:t>
      </w:r>
      <w:r>
        <w:rPr>
          <w:rFonts w:ascii="宋体" w:hAnsi="宋体"/>
          <w:sz w:val="24"/>
        </w:rPr>
        <w:t>未持相关证件参加开标会的</w:t>
      </w:r>
      <w:r>
        <w:rPr>
          <w:rFonts w:hint="eastAsia" w:ascii="宋体" w:hAnsi="宋体"/>
          <w:sz w:val="24"/>
        </w:rPr>
        <w:t>；</w:t>
      </w:r>
    </w:p>
    <w:p>
      <w:pPr>
        <w:spacing w:line="500" w:lineRule="exact"/>
        <w:ind w:firstLine="360" w:firstLineChars="150"/>
        <w:rPr>
          <w:rFonts w:ascii="宋体" w:hAnsi="宋体"/>
          <w:sz w:val="24"/>
        </w:rPr>
      </w:pPr>
      <w:r>
        <w:rPr>
          <w:rFonts w:hint="eastAsia" w:ascii="宋体" w:hAnsi="宋体"/>
          <w:sz w:val="24"/>
        </w:rPr>
        <w:t>（4）</w:t>
      </w:r>
      <w:r>
        <w:rPr>
          <w:rFonts w:ascii="宋体" w:hAnsi="宋体"/>
          <w:sz w:val="24"/>
        </w:rPr>
        <w:t>购买标书后，已交纳投标担保的无故不参加投标</w:t>
      </w:r>
      <w:r>
        <w:rPr>
          <w:rFonts w:hint="eastAsia" w:ascii="宋体" w:hAnsi="宋体"/>
          <w:sz w:val="24"/>
        </w:rPr>
        <w:t>；</w:t>
      </w:r>
    </w:p>
    <w:p>
      <w:pPr>
        <w:spacing w:line="500" w:lineRule="exact"/>
        <w:ind w:firstLine="360" w:firstLineChars="150"/>
        <w:rPr>
          <w:rFonts w:ascii="宋体" w:hAnsi="宋体"/>
          <w:sz w:val="24"/>
        </w:rPr>
      </w:pPr>
      <w:r>
        <w:rPr>
          <w:rFonts w:hint="eastAsia" w:ascii="宋体" w:hAnsi="宋体"/>
          <w:sz w:val="24"/>
        </w:rPr>
        <w:t>（5）</w:t>
      </w:r>
      <w:r>
        <w:rPr>
          <w:rFonts w:ascii="宋体" w:hAnsi="宋体"/>
          <w:sz w:val="24"/>
        </w:rPr>
        <w:t>投标人在评标过程中拒绝对其投标报价进行算术性修正的或澄清的</w:t>
      </w:r>
      <w:r>
        <w:rPr>
          <w:rFonts w:hint="eastAsia" w:ascii="宋体" w:hAnsi="宋体"/>
          <w:sz w:val="24"/>
        </w:rPr>
        <w:t>；</w:t>
      </w:r>
    </w:p>
    <w:p>
      <w:pPr>
        <w:spacing w:line="500" w:lineRule="exact"/>
        <w:ind w:firstLine="360" w:firstLineChars="150"/>
        <w:rPr>
          <w:rFonts w:ascii="宋体" w:hAnsi="宋体"/>
          <w:sz w:val="24"/>
        </w:rPr>
      </w:pPr>
      <w:r>
        <w:rPr>
          <w:rFonts w:hint="eastAsia" w:ascii="宋体" w:hAnsi="宋体"/>
          <w:sz w:val="24"/>
        </w:rPr>
        <w:t>（6）</w:t>
      </w:r>
      <w:r>
        <w:rPr>
          <w:rFonts w:ascii="宋体" w:hAnsi="宋体"/>
          <w:sz w:val="24"/>
        </w:rPr>
        <w:t>在投标过程中被评标委员会确认有串标行为的</w:t>
      </w:r>
      <w:r>
        <w:rPr>
          <w:rFonts w:hint="eastAsia" w:ascii="宋体" w:hAnsi="宋体"/>
          <w:sz w:val="24"/>
        </w:rPr>
        <w:t>。</w:t>
      </w:r>
    </w:p>
    <w:p>
      <w:pPr>
        <w:pStyle w:val="4"/>
        <w:spacing w:line="500" w:lineRule="exact"/>
        <w:rPr>
          <w:rFonts w:ascii="宋体" w:hAnsi="宋体"/>
          <w:szCs w:val="21"/>
        </w:rPr>
      </w:pPr>
      <w:r>
        <w:rPr>
          <w:rFonts w:hint="eastAsia" w:ascii="宋体" w:hAnsi="宋体"/>
          <w:szCs w:val="21"/>
        </w:rPr>
        <w:t>3.5投标文件的编制</w:t>
      </w:r>
    </w:p>
    <w:p>
      <w:pPr>
        <w:spacing w:line="500" w:lineRule="exact"/>
        <w:ind w:firstLine="480" w:firstLineChars="200"/>
        <w:rPr>
          <w:rFonts w:ascii="宋体" w:hAnsi="宋体"/>
          <w:sz w:val="24"/>
        </w:rPr>
      </w:pPr>
      <w:r>
        <w:rPr>
          <w:rFonts w:hint="eastAsia" w:ascii="宋体" w:hAnsi="宋体"/>
          <w:sz w:val="24"/>
        </w:rPr>
        <w:t>3.5.1 投标文件应按第五章“投标文件格式”进行编写，如有必要，可以增加附页，作为投标文件的组成部分。其中，投标函在满足招标文件实质性要求的基础上，可以提出比招标文件要求更有利于招标人的承诺。</w:t>
      </w:r>
    </w:p>
    <w:p>
      <w:pPr>
        <w:spacing w:line="500" w:lineRule="exact"/>
        <w:ind w:firstLine="482" w:firstLineChars="200"/>
        <w:rPr>
          <w:rFonts w:ascii="宋体" w:hAnsi="宋体"/>
          <w:b/>
          <w:sz w:val="24"/>
          <w:u w:val="single"/>
        </w:rPr>
      </w:pPr>
      <w:r>
        <w:rPr>
          <w:rFonts w:hint="eastAsia" w:ascii="宋体" w:hAnsi="宋体"/>
          <w:b/>
          <w:sz w:val="24"/>
          <w:u w:val="single"/>
        </w:rPr>
        <w:t>3.5.2 投标文件应当对招标文件有关施工周期、投标有效期、质量要求、招标范围及执行标准等实质性内容作出响应。</w:t>
      </w:r>
    </w:p>
    <w:p>
      <w:pPr>
        <w:spacing w:line="500" w:lineRule="exact"/>
        <w:ind w:firstLine="482" w:firstLineChars="200"/>
        <w:rPr>
          <w:rFonts w:ascii="宋体" w:hAnsi="宋体"/>
          <w:b/>
          <w:sz w:val="24"/>
          <w:u w:val="single"/>
        </w:rPr>
      </w:pPr>
      <w:r>
        <w:rPr>
          <w:rFonts w:hint="eastAsia" w:ascii="宋体" w:hAnsi="宋体"/>
          <w:b/>
          <w:sz w:val="24"/>
          <w:u w:val="single"/>
        </w:rPr>
        <w:t>3.5.3 投标文件应用不褪色的材料书写或打印，并由投标人的法定代表人或其委托代理人签字和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pPr>
        <w:spacing w:line="500" w:lineRule="exact"/>
        <w:ind w:firstLine="480" w:firstLineChars="200"/>
        <w:rPr>
          <w:rFonts w:ascii="宋体" w:hAnsi="宋体"/>
          <w:sz w:val="24"/>
        </w:rPr>
      </w:pPr>
      <w:r>
        <w:rPr>
          <w:rFonts w:hint="eastAsia" w:ascii="宋体" w:hAnsi="宋体"/>
          <w:sz w:val="24"/>
        </w:rPr>
        <w:t>3.5.4 投标文件正本一份，副本份数见投标人须知前附表。正本和副本的封面上应清楚地标记“正本”或“副本”的字样。当副本和正本不一致时，以正本为准。</w:t>
      </w:r>
    </w:p>
    <w:p>
      <w:pPr>
        <w:spacing w:line="500" w:lineRule="exact"/>
        <w:ind w:firstLine="480" w:firstLineChars="200"/>
        <w:rPr>
          <w:rFonts w:ascii="宋体" w:hAnsi="宋体"/>
          <w:sz w:val="24"/>
        </w:rPr>
      </w:pPr>
      <w:r>
        <w:rPr>
          <w:rFonts w:hint="eastAsia" w:ascii="宋体" w:hAnsi="宋体"/>
          <w:sz w:val="24"/>
        </w:rPr>
        <w:t>3.5.5 投标文件的正本与副本应分别装订成册，具体装订要求见投标人须知前附表规定。</w:t>
      </w:r>
    </w:p>
    <w:p>
      <w:pPr>
        <w:spacing w:line="500" w:lineRule="exact"/>
        <w:ind w:firstLine="482" w:firstLineChars="200"/>
        <w:rPr>
          <w:rFonts w:ascii="宋体" w:hAnsi="宋体"/>
          <w:b/>
          <w:sz w:val="24"/>
          <w:u w:val="single"/>
        </w:rPr>
      </w:pPr>
      <w:r>
        <w:rPr>
          <w:rFonts w:hint="eastAsia" w:ascii="宋体" w:hAnsi="宋体"/>
          <w:b/>
          <w:sz w:val="24"/>
          <w:u w:val="single"/>
        </w:rPr>
        <w:t>3.5.6投标文件需逐页加盖法人章或由授权委托人小签。</w:t>
      </w:r>
    </w:p>
    <w:p>
      <w:pPr>
        <w:spacing w:line="500" w:lineRule="exact"/>
        <w:ind w:firstLine="482" w:firstLineChars="200"/>
        <w:rPr>
          <w:rFonts w:ascii="宋体" w:hAnsi="宋体"/>
          <w:b/>
          <w:sz w:val="24"/>
        </w:rPr>
      </w:pPr>
      <w:r>
        <w:rPr>
          <w:rFonts w:hint="eastAsia" w:ascii="宋体" w:hAnsi="宋体"/>
          <w:b/>
          <w:sz w:val="24"/>
        </w:rPr>
        <w:t>3.5.7</w:t>
      </w:r>
      <w:r>
        <w:rPr>
          <w:rFonts w:hint="eastAsia" w:ascii="宋体" w:hAnsi="宋体"/>
          <w:b/>
          <w:sz w:val="24"/>
          <w:u w:val="single"/>
        </w:rPr>
        <w:t>投标报价清单严格按照所提供清单格式填写，如改变清单格式或内容招标人保留作废标处理的权利</w:t>
      </w:r>
      <w:r>
        <w:rPr>
          <w:rFonts w:hint="eastAsia" w:ascii="宋体" w:hAnsi="宋体"/>
          <w:b/>
          <w:sz w:val="24"/>
        </w:rPr>
        <w:t>。</w:t>
      </w:r>
    </w:p>
    <w:p>
      <w:pPr>
        <w:pStyle w:val="3"/>
        <w:spacing w:line="500" w:lineRule="exact"/>
        <w:rPr>
          <w:rFonts w:ascii="宋体" w:hAnsi="宋体" w:eastAsia="宋体"/>
          <w:sz w:val="28"/>
          <w:szCs w:val="28"/>
        </w:rPr>
      </w:pPr>
      <w:bookmarkStart w:id="14" w:name="_Toc184635074"/>
      <w:bookmarkStart w:id="15" w:name="_Toc215567419"/>
      <w:r>
        <w:rPr>
          <w:rFonts w:hint="eastAsia" w:ascii="宋体" w:hAnsi="宋体" w:eastAsia="宋体"/>
          <w:sz w:val="28"/>
          <w:szCs w:val="28"/>
        </w:rPr>
        <w:t>4．投标</w:t>
      </w:r>
      <w:bookmarkEnd w:id="14"/>
      <w:bookmarkEnd w:id="15"/>
    </w:p>
    <w:p>
      <w:pPr>
        <w:pStyle w:val="4"/>
        <w:spacing w:line="500" w:lineRule="exact"/>
        <w:rPr>
          <w:rFonts w:ascii="宋体" w:hAnsi="宋体"/>
          <w:szCs w:val="21"/>
        </w:rPr>
      </w:pPr>
      <w:r>
        <w:rPr>
          <w:rFonts w:hint="eastAsia" w:ascii="宋体" w:hAnsi="宋体"/>
          <w:szCs w:val="21"/>
        </w:rPr>
        <w:t>4.1 投标文件的密封和标记</w:t>
      </w:r>
    </w:p>
    <w:p>
      <w:pPr>
        <w:spacing w:line="360" w:lineRule="auto"/>
        <w:ind w:left="567" w:hanging="567"/>
        <w:rPr>
          <w:rFonts w:ascii="宋体" w:hAnsi="宋体"/>
          <w:b/>
          <w:sz w:val="24"/>
          <w:u w:val="single"/>
        </w:rPr>
      </w:pPr>
      <w:r>
        <w:rPr>
          <w:rFonts w:hint="eastAsia" w:ascii="宋体" w:hAnsi="宋体"/>
          <w:sz w:val="24"/>
        </w:rPr>
        <w:t>4.1.1</w:t>
      </w:r>
      <w:r>
        <w:rPr>
          <w:rFonts w:hint="eastAsia" w:ascii="宋体" w:hAnsi="宋体"/>
          <w:b/>
          <w:sz w:val="24"/>
          <w:u w:val="single"/>
        </w:rPr>
        <w:t>投标文件的正本与副本应分别包装在内层封套里，电子文件放置于正本的同一内层封套里，然后统一密封在一个外层封套中，封皮上注明招标编号、招标项目名称、投标人名称、地址、邮政编码、电话、联系人，并注明“开标时启封”字样。</w:t>
      </w:r>
    </w:p>
    <w:p>
      <w:pPr>
        <w:spacing w:line="500" w:lineRule="exact"/>
        <w:ind w:firstLine="480" w:firstLineChars="200"/>
        <w:rPr>
          <w:rFonts w:ascii="宋体" w:hAnsi="宋体"/>
          <w:sz w:val="24"/>
        </w:rPr>
      </w:pPr>
      <w:r>
        <w:rPr>
          <w:rFonts w:hint="eastAsia" w:ascii="宋体" w:hAnsi="宋体"/>
          <w:sz w:val="24"/>
        </w:rPr>
        <w:t>4.1.2 投标文件的内层封套上应清楚地标记“正本”或“副本”字样，封套上应写明的其他内容见投标人须知前附表。</w:t>
      </w:r>
    </w:p>
    <w:p>
      <w:pPr>
        <w:spacing w:line="500" w:lineRule="exact"/>
        <w:ind w:firstLine="480" w:firstLineChars="200"/>
        <w:rPr>
          <w:rFonts w:ascii="宋体" w:hAnsi="宋体"/>
          <w:sz w:val="24"/>
        </w:rPr>
      </w:pPr>
      <w:r>
        <w:rPr>
          <w:rFonts w:hint="eastAsia" w:ascii="宋体" w:hAnsi="宋体"/>
          <w:sz w:val="24"/>
        </w:rPr>
        <w:t>4.1.3 未按本章第4.1.1 项或第4.1.2 项要求密封和加写标记的投标文件，招标人不予受理。</w:t>
      </w:r>
    </w:p>
    <w:p>
      <w:pPr>
        <w:pStyle w:val="4"/>
        <w:spacing w:line="500" w:lineRule="exact"/>
        <w:rPr>
          <w:rFonts w:ascii="宋体" w:hAnsi="宋体"/>
          <w:szCs w:val="21"/>
        </w:rPr>
      </w:pPr>
      <w:r>
        <w:rPr>
          <w:rFonts w:hint="eastAsia" w:ascii="宋体" w:hAnsi="宋体"/>
          <w:szCs w:val="21"/>
        </w:rPr>
        <w:t>4.2 投标文件的递交</w:t>
      </w:r>
    </w:p>
    <w:p>
      <w:pPr>
        <w:spacing w:line="500" w:lineRule="exact"/>
        <w:ind w:firstLine="480" w:firstLineChars="200"/>
        <w:rPr>
          <w:rFonts w:ascii="宋体" w:hAnsi="宋体"/>
          <w:sz w:val="24"/>
        </w:rPr>
      </w:pPr>
      <w:r>
        <w:rPr>
          <w:rFonts w:hint="eastAsia" w:ascii="宋体" w:hAnsi="宋体"/>
          <w:sz w:val="24"/>
        </w:rPr>
        <w:t>4.2.1 投标人应在本章投标人须知第2.2.2 项规定的投标截止时间前递交投标文件。</w:t>
      </w:r>
    </w:p>
    <w:p>
      <w:pPr>
        <w:spacing w:line="500" w:lineRule="exact"/>
        <w:ind w:firstLine="480" w:firstLineChars="200"/>
        <w:rPr>
          <w:rFonts w:ascii="宋体" w:hAnsi="宋体"/>
          <w:sz w:val="24"/>
        </w:rPr>
      </w:pPr>
      <w:r>
        <w:rPr>
          <w:rFonts w:hint="eastAsia" w:ascii="宋体" w:hAnsi="宋体"/>
          <w:sz w:val="24"/>
        </w:rPr>
        <w:t>4.2.2 投标人递交投标文件的地点：见投标人须知前附表。</w:t>
      </w:r>
    </w:p>
    <w:p>
      <w:pPr>
        <w:spacing w:line="500" w:lineRule="exact"/>
        <w:ind w:firstLine="480" w:firstLineChars="200"/>
        <w:rPr>
          <w:rFonts w:ascii="宋体" w:hAnsi="宋体"/>
          <w:sz w:val="24"/>
        </w:rPr>
      </w:pPr>
      <w:r>
        <w:rPr>
          <w:rFonts w:hint="eastAsia" w:ascii="宋体" w:hAnsi="宋体"/>
          <w:sz w:val="24"/>
        </w:rPr>
        <w:t>4.2.3 投标人所递交的投标文件不予退还。</w:t>
      </w:r>
    </w:p>
    <w:p>
      <w:pPr>
        <w:spacing w:line="500" w:lineRule="exact"/>
        <w:ind w:firstLine="480" w:firstLineChars="200"/>
        <w:rPr>
          <w:rFonts w:ascii="宋体" w:hAnsi="宋体"/>
          <w:sz w:val="24"/>
        </w:rPr>
      </w:pPr>
      <w:r>
        <w:rPr>
          <w:rFonts w:hint="eastAsia" w:ascii="宋体" w:hAnsi="宋体"/>
          <w:sz w:val="24"/>
        </w:rPr>
        <w:t>4.2.4 招标人收到投标文件后，向投标人出具签收凭证。</w:t>
      </w:r>
    </w:p>
    <w:p>
      <w:pPr>
        <w:spacing w:line="500" w:lineRule="exact"/>
        <w:ind w:firstLine="480" w:firstLineChars="200"/>
        <w:rPr>
          <w:rFonts w:ascii="宋体" w:hAnsi="宋体"/>
          <w:sz w:val="24"/>
        </w:rPr>
      </w:pPr>
      <w:r>
        <w:rPr>
          <w:rFonts w:hint="eastAsia" w:ascii="宋体" w:hAnsi="宋体"/>
          <w:sz w:val="24"/>
        </w:rPr>
        <w:t>4.2.5 逾期送达的或者未送达指定地点的投标文件，招标人不予受理。</w:t>
      </w:r>
    </w:p>
    <w:p>
      <w:pPr>
        <w:pStyle w:val="4"/>
        <w:spacing w:line="500" w:lineRule="exact"/>
        <w:rPr>
          <w:rFonts w:ascii="宋体" w:hAnsi="宋体"/>
          <w:szCs w:val="21"/>
        </w:rPr>
      </w:pPr>
      <w:r>
        <w:rPr>
          <w:rFonts w:hint="eastAsia" w:ascii="宋体" w:hAnsi="宋体"/>
          <w:szCs w:val="21"/>
        </w:rPr>
        <w:t>4.3 投标文件的修改与撤回</w:t>
      </w:r>
    </w:p>
    <w:p>
      <w:pPr>
        <w:spacing w:line="500" w:lineRule="exact"/>
        <w:ind w:firstLine="480" w:firstLineChars="200"/>
        <w:rPr>
          <w:rFonts w:ascii="宋体" w:hAnsi="宋体"/>
          <w:sz w:val="24"/>
        </w:rPr>
      </w:pPr>
      <w:r>
        <w:rPr>
          <w:rFonts w:hint="eastAsia" w:ascii="宋体" w:hAnsi="宋体"/>
          <w:sz w:val="24"/>
        </w:rPr>
        <w:t>4.3.1 在本章投标人须知第2.2.2 项规定的投标截止时间前，投标人可以修改或撤回已递交的投标文件，但应以书面形式通知招标人。</w:t>
      </w:r>
    </w:p>
    <w:p>
      <w:pPr>
        <w:spacing w:line="500" w:lineRule="exact"/>
        <w:ind w:firstLine="480" w:firstLineChars="200"/>
        <w:rPr>
          <w:rFonts w:ascii="宋体" w:hAnsi="宋体"/>
          <w:sz w:val="24"/>
        </w:rPr>
      </w:pPr>
      <w:r>
        <w:rPr>
          <w:rFonts w:hint="eastAsia" w:ascii="宋体" w:hAnsi="宋体"/>
          <w:sz w:val="24"/>
        </w:rPr>
        <w:t>4.3.2 投标人修改或撤回已递交投标文件的书面通知应按照本章第3.7.3 项的要求签字或盖章。招标人收到书面通知后，向投标人出具签收凭证。</w:t>
      </w:r>
    </w:p>
    <w:p>
      <w:pPr>
        <w:spacing w:line="500" w:lineRule="exact"/>
        <w:ind w:firstLine="480" w:firstLineChars="200"/>
        <w:rPr>
          <w:rFonts w:ascii="宋体" w:hAnsi="宋体"/>
          <w:sz w:val="24"/>
        </w:rPr>
      </w:pPr>
      <w:r>
        <w:rPr>
          <w:rFonts w:hint="eastAsia" w:ascii="宋体" w:hAnsi="宋体"/>
          <w:sz w:val="24"/>
        </w:rPr>
        <w:t>4.3.3 修改的内容为投标文件的组成部分。修改的投标文件应按照本章第3 条、第4 条规定进行编制、密封、标记和递交，并标明“修改”字样。</w:t>
      </w:r>
    </w:p>
    <w:p>
      <w:pPr>
        <w:pStyle w:val="3"/>
        <w:spacing w:line="500" w:lineRule="exact"/>
        <w:rPr>
          <w:rFonts w:ascii="宋体" w:hAnsi="宋体" w:eastAsia="宋体"/>
          <w:sz w:val="28"/>
          <w:szCs w:val="28"/>
        </w:rPr>
      </w:pPr>
      <w:bookmarkStart w:id="16" w:name="_Toc215567420"/>
      <w:bookmarkStart w:id="17" w:name="_Toc184635075"/>
      <w:r>
        <w:rPr>
          <w:rFonts w:hint="eastAsia" w:ascii="宋体" w:hAnsi="宋体" w:eastAsia="宋体"/>
          <w:sz w:val="28"/>
          <w:szCs w:val="28"/>
        </w:rPr>
        <w:t>5．开标</w:t>
      </w:r>
      <w:bookmarkEnd w:id="16"/>
      <w:bookmarkEnd w:id="17"/>
    </w:p>
    <w:p>
      <w:pPr>
        <w:pStyle w:val="4"/>
        <w:spacing w:line="500" w:lineRule="exact"/>
        <w:rPr>
          <w:rFonts w:ascii="宋体" w:hAnsi="宋体"/>
          <w:szCs w:val="21"/>
        </w:rPr>
      </w:pPr>
      <w:r>
        <w:rPr>
          <w:rFonts w:hint="eastAsia" w:ascii="宋体" w:hAnsi="宋体"/>
          <w:szCs w:val="21"/>
        </w:rPr>
        <w:t xml:space="preserve">5.1 </w:t>
      </w:r>
      <w:r>
        <w:rPr>
          <w:rFonts w:hint="eastAsia" w:ascii="宋体" w:hAnsi="宋体" w:eastAsia="宋体"/>
        </w:rPr>
        <w:t>开</w:t>
      </w:r>
      <w:r>
        <w:rPr>
          <w:rFonts w:hint="eastAsia" w:ascii="宋体" w:hAnsi="宋体"/>
          <w:szCs w:val="21"/>
        </w:rPr>
        <w:t>标时间和地点</w:t>
      </w:r>
    </w:p>
    <w:p>
      <w:pPr>
        <w:spacing w:line="500" w:lineRule="exact"/>
        <w:ind w:firstLine="480" w:firstLineChars="200"/>
        <w:rPr>
          <w:rFonts w:ascii="宋体" w:hAnsi="宋体"/>
          <w:sz w:val="24"/>
        </w:rPr>
      </w:pPr>
      <w:r>
        <w:rPr>
          <w:rFonts w:hint="eastAsia" w:ascii="宋体" w:hAnsi="宋体"/>
          <w:sz w:val="24"/>
        </w:rPr>
        <w:t>招标人在本章第2.2.2 项规定的投标截止时间（开标时间）和投标人须知前附表规定的地点公开开标，并邀请所有投标人的法定代表人或其委托代理人准时参加。</w:t>
      </w:r>
    </w:p>
    <w:p>
      <w:pPr>
        <w:pStyle w:val="4"/>
        <w:spacing w:line="500" w:lineRule="exact"/>
        <w:rPr>
          <w:rFonts w:ascii="宋体" w:hAnsi="宋体"/>
          <w:szCs w:val="21"/>
        </w:rPr>
      </w:pPr>
      <w:r>
        <w:rPr>
          <w:rFonts w:hint="eastAsia" w:ascii="宋体" w:hAnsi="宋体"/>
          <w:szCs w:val="21"/>
        </w:rPr>
        <w:t xml:space="preserve">5.2 </w:t>
      </w:r>
      <w:r>
        <w:rPr>
          <w:rFonts w:hint="eastAsia" w:ascii="宋体" w:hAnsi="宋体" w:eastAsia="宋体"/>
        </w:rPr>
        <w:t>开</w:t>
      </w:r>
      <w:r>
        <w:rPr>
          <w:rFonts w:hint="eastAsia" w:ascii="宋体" w:hAnsi="宋体"/>
          <w:szCs w:val="21"/>
        </w:rPr>
        <w:t>标程序</w:t>
      </w:r>
    </w:p>
    <w:p>
      <w:pPr>
        <w:spacing w:line="500" w:lineRule="exact"/>
        <w:ind w:firstLine="480" w:firstLineChars="200"/>
        <w:rPr>
          <w:rFonts w:ascii="宋体" w:hAnsi="宋体"/>
          <w:sz w:val="24"/>
        </w:rPr>
      </w:pPr>
      <w:r>
        <w:rPr>
          <w:rFonts w:hint="eastAsia" w:ascii="宋体" w:hAnsi="宋体"/>
          <w:sz w:val="24"/>
        </w:rPr>
        <w:t>主持人按下列程序进行议标：</w:t>
      </w:r>
    </w:p>
    <w:p>
      <w:pPr>
        <w:spacing w:line="500" w:lineRule="exact"/>
        <w:ind w:firstLine="480" w:firstLineChars="200"/>
        <w:rPr>
          <w:rFonts w:ascii="宋体" w:hAnsi="宋体"/>
          <w:sz w:val="24"/>
        </w:rPr>
      </w:pPr>
      <w:r>
        <w:rPr>
          <w:rFonts w:hint="eastAsia" w:ascii="宋体" w:hAnsi="宋体"/>
          <w:sz w:val="24"/>
        </w:rPr>
        <w:t>(l）投标人在规定的时间内递交投标文件；</w:t>
      </w:r>
    </w:p>
    <w:p>
      <w:pPr>
        <w:spacing w:line="500" w:lineRule="exact"/>
        <w:ind w:firstLine="480" w:firstLineChars="200"/>
        <w:rPr>
          <w:rFonts w:ascii="宋体" w:hAnsi="宋体"/>
          <w:sz w:val="24"/>
        </w:rPr>
      </w:pPr>
      <w:r>
        <w:rPr>
          <w:rFonts w:hint="eastAsia" w:ascii="宋体" w:hAnsi="宋体"/>
          <w:sz w:val="24"/>
        </w:rPr>
        <w:t>(2）按照招标文件要求检查投标文件的密封情况；</w:t>
      </w:r>
    </w:p>
    <w:p>
      <w:pPr>
        <w:spacing w:line="500" w:lineRule="exact"/>
        <w:ind w:firstLine="480" w:firstLineChars="200"/>
        <w:rPr>
          <w:rFonts w:ascii="宋体" w:hAnsi="宋体"/>
          <w:sz w:val="24"/>
        </w:rPr>
      </w:pPr>
      <w:r>
        <w:rPr>
          <w:rFonts w:hint="eastAsia" w:ascii="宋体" w:hAnsi="宋体"/>
          <w:sz w:val="24"/>
        </w:rPr>
        <w:t>(3）评审委员会进行符合性审查和报价的评审；</w:t>
      </w:r>
    </w:p>
    <w:p>
      <w:pPr>
        <w:spacing w:line="500" w:lineRule="exact"/>
        <w:ind w:firstLine="480" w:firstLineChars="200"/>
        <w:rPr>
          <w:rFonts w:ascii="宋体" w:hAnsi="宋体"/>
          <w:sz w:val="24"/>
        </w:rPr>
      </w:pPr>
      <w:r>
        <w:rPr>
          <w:rFonts w:hint="eastAsia" w:ascii="宋体" w:hAnsi="宋体"/>
          <w:sz w:val="24"/>
        </w:rPr>
        <w:t>(4）按照递交投标文件的顺序进行谈判；</w:t>
      </w:r>
    </w:p>
    <w:p>
      <w:pPr>
        <w:spacing w:line="500" w:lineRule="exact"/>
        <w:ind w:firstLine="480" w:firstLineChars="200"/>
        <w:rPr>
          <w:rFonts w:ascii="宋体" w:hAnsi="宋体"/>
          <w:sz w:val="24"/>
        </w:rPr>
      </w:pPr>
      <w:r>
        <w:rPr>
          <w:rFonts w:hint="eastAsia" w:ascii="宋体" w:hAnsi="宋体"/>
          <w:sz w:val="24"/>
        </w:rPr>
        <w:t>(5）谈判结束。</w:t>
      </w:r>
    </w:p>
    <w:p>
      <w:pPr>
        <w:pStyle w:val="3"/>
        <w:spacing w:line="500" w:lineRule="exact"/>
        <w:rPr>
          <w:rFonts w:ascii="宋体" w:hAnsi="宋体" w:eastAsia="宋体"/>
          <w:sz w:val="28"/>
          <w:szCs w:val="28"/>
        </w:rPr>
      </w:pPr>
      <w:bookmarkStart w:id="18" w:name="_Toc184635076"/>
      <w:bookmarkStart w:id="19" w:name="_Toc215567421"/>
      <w:r>
        <w:rPr>
          <w:rFonts w:hint="eastAsia" w:ascii="宋体" w:hAnsi="宋体" w:eastAsia="宋体"/>
          <w:sz w:val="28"/>
          <w:szCs w:val="28"/>
        </w:rPr>
        <w:t>6．评标</w:t>
      </w:r>
      <w:bookmarkEnd w:id="18"/>
      <w:bookmarkEnd w:id="19"/>
    </w:p>
    <w:p>
      <w:pPr>
        <w:spacing w:line="500" w:lineRule="exact"/>
        <w:ind w:firstLine="480" w:firstLineChars="200"/>
        <w:rPr>
          <w:rFonts w:ascii="宋体" w:hAnsi="宋体"/>
          <w:sz w:val="24"/>
          <w:szCs w:val="24"/>
        </w:rPr>
      </w:pPr>
      <w:r>
        <w:rPr>
          <w:rFonts w:hint="eastAsia" w:ascii="宋体" w:hAnsi="宋体"/>
          <w:sz w:val="24"/>
          <w:szCs w:val="24"/>
        </w:rPr>
        <w:t>6.1 评标委员会</w:t>
      </w:r>
    </w:p>
    <w:p>
      <w:pPr>
        <w:spacing w:line="500" w:lineRule="exact"/>
        <w:ind w:firstLine="480" w:firstLineChars="200"/>
        <w:rPr>
          <w:rFonts w:ascii="宋体" w:hAnsi="宋体"/>
          <w:szCs w:val="21"/>
        </w:rPr>
      </w:pPr>
      <w:r>
        <w:rPr>
          <w:rFonts w:hint="eastAsia" w:ascii="宋体" w:hAnsi="宋体"/>
          <w:sz w:val="24"/>
        </w:rPr>
        <w:t>评标活动遵循公平、公正、科学和择优的原则。</w:t>
      </w:r>
    </w:p>
    <w:p>
      <w:pPr>
        <w:spacing w:line="500" w:lineRule="exact"/>
        <w:ind w:firstLine="480" w:firstLineChars="200"/>
        <w:rPr>
          <w:rFonts w:ascii="宋体" w:hAnsi="宋体"/>
          <w:sz w:val="24"/>
        </w:rPr>
      </w:pPr>
      <w:r>
        <w:rPr>
          <w:rFonts w:hint="eastAsia" w:ascii="宋体" w:hAnsi="宋体"/>
          <w:sz w:val="24"/>
        </w:rPr>
        <w:t>6.1.1 评标由招标人依法组建的评标委员会负责。评标委员会由招标人以及有关技术、经济等方面的专家组成。评标委员会成员人数以及技术、经济等方面专家的确定方式见投标人须知前附表。</w:t>
      </w:r>
    </w:p>
    <w:p>
      <w:pPr>
        <w:spacing w:line="500" w:lineRule="exact"/>
        <w:ind w:firstLine="480" w:firstLineChars="200"/>
        <w:rPr>
          <w:rFonts w:ascii="宋体" w:hAnsi="宋体"/>
          <w:sz w:val="24"/>
        </w:rPr>
      </w:pPr>
      <w:r>
        <w:rPr>
          <w:rFonts w:hint="eastAsia" w:ascii="宋体" w:hAnsi="宋体"/>
          <w:sz w:val="24"/>
        </w:rPr>
        <w:t>6.1.2 评标委员会成员有下列情形之一的，应当回避：</w:t>
      </w:r>
    </w:p>
    <w:p>
      <w:pPr>
        <w:spacing w:line="500" w:lineRule="exact"/>
        <w:ind w:firstLine="480" w:firstLineChars="200"/>
        <w:rPr>
          <w:rFonts w:ascii="宋体" w:hAnsi="宋体"/>
          <w:sz w:val="24"/>
        </w:rPr>
      </w:pPr>
      <w:r>
        <w:rPr>
          <w:rFonts w:hint="eastAsia" w:ascii="宋体" w:hAnsi="宋体"/>
          <w:sz w:val="24"/>
        </w:rPr>
        <w:t>(1）招标人或投标人的主要负责人的近亲属；</w:t>
      </w:r>
    </w:p>
    <w:p>
      <w:pPr>
        <w:spacing w:line="500" w:lineRule="exact"/>
        <w:ind w:firstLine="480" w:firstLineChars="200"/>
        <w:rPr>
          <w:rFonts w:ascii="宋体" w:hAnsi="宋体"/>
          <w:sz w:val="24"/>
        </w:rPr>
      </w:pPr>
      <w:r>
        <w:rPr>
          <w:rFonts w:hint="eastAsia" w:ascii="宋体" w:hAnsi="宋体"/>
          <w:sz w:val="24"/>
        </w:rPr>
        <w:t>(2）与投标人有经济利益关系，可能影响对投标公正评审的；</w:t>
      </w:r>
    </w:p>
    <w:p>
      <w:pPr>
        <w:spacing w:line="500" w:lineRule="exact"/>
        <w:ind w:firstLine="480" w:firstLineChars="200"/>
        <w:rPr>
          <w:rFonts w:ascii="宋体" w:hAnsi="宋体"/>
          <w:sz w:val="24"/>
        </w:rPr>
      </w:pPr>
      <w:r>
        <w:rPr>
          <w:rFonts w:hint="eastAsia" w:ascii="宋体" w:hAnsi="宋体"/>
          <w:sz w:val="24"/>
        </w:rPr>
        <w:t>(3）曾因在招标、评标以及其他与招标投标有关活动中从事违法行为而受过行政处罚或刑事处罚的。</w:t>
      </w:r>
    </w:p>
    <w:p>
      <w:pPr>
        <w:pStyle w:val="4"/>
        <w:spacing w:line="500" w:lineRule="exact"/>
        <w:rPr>
          <w:rFonts w:ascii="宋体" w:hAnsi="宋体"/>
          <w:b w:val="0"/>
          <w:szCs w:val="21"/>
        </w:rPr>
      </w:pPr>
      <w:r>
        <w:rPr>
          <w:rFonts w:hint="eastAsia" w:ascii="宋体" w:hAnsi="宋体"/>
          <w:b w:val="0"/>
          <w:szCs w:val="21"/>
        </w:rPr>
        <w:t>6.2评标</w:t>
      </w:r>
    </w:p>
    <w:p>
      <w:pPr>
        <w:spacing w:line="500" w:lineRule="exact"/>
        <w:ind w:firstLine="480" w:firstLineChars="200"/>
        <w:rPr>
          <w:rFonts w:ascii="宋体" w:hAnsi="宋体"/>
          <w:szCs w:val="21"/>
        </w:rPr>
      </w:pPr>
      <w:r>
        <w:rPr>
          <w:rFonts w:hint="eastAsia" w:ascii="宋体" w:hAnsi="宋体"/>
          <w:sz w:val="24"/>
        </w:rPr>
        <w:t>评标委员会按照第二章“评标办法”规定的方法、评审因素、标准和程序对投标文件进行评审。第二章“评标办法”没有规定的方法、评审因素和标准，不作为评标依据。</w:t>
      </w:r>
    </w:p>
    <w:p>
      <w:pPr>
        <w:pStyle w:val="3"/>
        <w:spacing w:line="500" w:lineRule="exact"/>
        <w:rPr>
          <w:rFonts w:ascii="宋体" w:hAnsi="宋体" w:eastAsia="宋体"/>
          <w:sz w:val="28"/>
          <w:szCs w:val="28"/>
        </w:rPr>
      </w:pPr>
      <w:bookmarkStart w:id="20" w:name="_Toc184635077"/>
      <w:bookmarkStart w:id="21" w:name="_Toc215567422"/>
      <w:r>
        <w:rPr>
          <w:rFonts w:hint="eastAsia" w:ascii="宋体" w:hAnsi="宋体" w:eastAsia="宋体"/>
          <w:sz w:val="28"/>
          <w:szCs w:val="28"/>
        </w:rPr>
        <w:t>7．合同授予</w:t>
      </w:r>
      <w:bookmarkEnd w:id="20"/>
      <w:bookmarkEnd w:id="21"/>
    </w:p>
    <w:p>
      <w:pPr>
        <w:pStyle w:val="4"/>
        <w:spacing w:line="500" w:lineRule="exact"/>
        <w:rPr>
          <w:rFonts w:ascii="宋体" w:hAnsi="宋体"/>
          <w:szCs w:val="21"/>
        </w:rPr>
      </w:pPr>
      <w:r>
        <w:rPr>
          <w:rFonts w:hint="eastAsia" w:ascii="宋体" w:hAnsi="宋体"/>
          <w:szCs w:val="21"/>
        </w:rPr>
        <w:t>7.1 定标方式</w:t>
      </w:r>
    </w:p>
    <w:p>
      <w:pPr>
        <w:spacing w:line="500" w:lineRule="exact"/>
        <w:ind w:firstLine="480" w:firstLineChars="200"/>
        <w:rPr>
          <w:rFonts w:ascii="宋体" w:hAnsi="宋体"/>
          <w:sz w:val="24"/>
        </w:rPr>
      </w:pPr>
      <w:r>
        <w:rPr>
          <w:rFonts w:hint="eastAsia" w:ascii="宋体" w:hAnsi="宋体"/>
          <w:sz w:val="24"/>
        </w:rPr>
        <w:t>除投标人须知前附表规定评标委员会直接确定中标人外，招标人依据评标委员会推荐的中标候选人确定中标人，但不保证最低价中标，评标委员会推荐中标候选人的人数见投标人须知前附表。</w:t>
      </w:r>
    </w:p>
    <w:p>
      <w:pPr>
        <w:pStyle w:val="4"/>
        <w:spacing w:line="500" w:lineRule="exact"/>
        <w:rPr>
          <w:rFonts w:ascii="宋体" w:hAnsi="宋体"/>
          <w:szCs w:val="21"/>
        </w:rPr>
      </w:pPr>
      <w:r>
        <w:rPr>
          <w:rFonts w:hint="eastAsia" w:ascii="宋体" w:hAnsi="宋体"/>
          <w:szCs w:val="21"/>
        </w:rPr>
        <w:t>7.2 中标通知</w:t>
      </w:r>
    </w:p>
    <w:p>
      <w:pPr>
        <w:spacing w:line="500" w:lineRule="exact"/>
        <w:ind w:firstLine="480" w:firstLineChars="200"/>
        <w:rPr>
          <w:rFonts w:ascii="宋体" w:hAnsi="宋体"/>
          <w:sz w:val="24"/>
        </w:rPr>
      </w:pPr>
      <w:r>
        <w:rPr>
          <w:rFonts w:hint="eastAsia" w:ascii="宋体" w:hAnsi="宋体"/>
          <w:sz w:val="24"/>
        </w:rPr>
        <w:t>在本章第3.3 款规定的投标有效期内，招标人以书面形式向各施工总承包人发出中标合格供应商及中标价格通知书。</w:t>
      </w:r>
    </w:p>
    <w:p>
      <w:pPr>
        <w:pStyle w:val="4"/>
        <w:spacing w:line="500" w:lineRule="exact"/>
        <w:rPr>
          <w:rFonts w:ascii="宋体" w:hAnsi="宋体"/>
          <w:szCs w:val="21"/>
        </w:rPr>
      </w:pPr>
      <w:r>
        <w:rPr>
          <w:rFonts w:hint="eastAsia" w:ascii="宋体" w:hAnsi="宋体"/>
          <w:szCs w:val="21"/>
        </w:rPr>
        <w:t>7.3 签订合同</w:t>
      </w:r>
    </w:p>
    <w:p>
      <w:pPr>
        <w:spacing w:line="500" w:lineRule="exact"/>
        <w:ind w:firstLine="480" w:firstLineChars="200"/>
        <w:rPr>
          <w:rFonts w:ascii="宋体" w:hAnsi="宋体"/>
          <w:sz w:val="24"/>
        </w:rPr>
      </w:pPr>
      <w:r>
        <w:rPr>
          <w:rFonts w:hint="eastAsia" w:ascii="宋体" w:hAnsi="宋体"/>
          <w:sz w:val="24"/>
        </w:rPr>
        <w:t>7.3.1 各施工总承包人和中标人应当自中标结果发出之日起30 天内，根据招标文件和中标人的投标文件与总承包人签订合同意向书，待合同造价确定后订立书面合同。中标人无正当理由拒签合同的，招标人取消其中标资格，其投标保证金不予退还；给招标人造成的损失超过投标保证金数额的，中标人还应当对超过部分予以赔偿。</w:t>
      </w:r>
    </w:p>
    <w:p>
      <w:pPr>
        <w:pStyle w:val="4"/>
        <w:spacing w:line="500" w:lineRule="exact"/>
        <w:rPr>
          <w:rFonts w:ascii="宋体" w:hAnsi="宋体"/>
          <w:szCs w:val="21"/>
        </w:rPr>
      </w:pPr>
      <w:r>
        <w:rPr>
          <w:rFonts w:hint="eastAsia" w:ascii="宋体" w:hAnsi="宋体"/>
          <w:sz w:val="24"/>
        </w:rPr>
        <w:t>7.3.2 发出中标接过后，招标人无正当理由拒签合同的，招标人向中标人退还投标保证金；给中标人造成损失的，还应当赔偿损失。投标人和其他利害关系人认为本次招标活动违反法律、法规和规章规定的，有权向有关行政监督部门投诉。</w:t>
      </w:r>
      <w:r>
        <w:rPr>
          <w:rFonts w:hint="eastAsia" w:ascii="宋体" w:hAnsi="宋体"/>
          <w:szCs w:val="21"/>
        </w:rPr>
        <w:t>6.2评标</w:t>
      </w:r>
    </w:p>
    <w:p>
      <w:pPr>
        <w:spacing w:line="500" w:lineRule="exact"/>
        <w:ind w:firstLine="480" w:firstLineChars="200"/>
        <w:rPr>
          <w:rFonts w:ascii="宋体" w:hAnsi="宋体"/>
          <w:szCs w:val="21"/>
        </w:rPr>
      </w:pPr>
      <w:r>
        <w:rPr>
          <w:rFonts w:hint="eastAsia" w:ascii="宋体" w:hAnsi="宋体"/>
          <w:sz w:val="24"/>
        </w:rPr>
        <w:t>评标委员会按照第二章“评标办法”规定的方法、评审因素、标准和程序对投标文件进行评审。第二章“评标办法”没有规定的方法、评审因素和标准，不作为评标依据。</w:t>
      </w:r>
    </w:p>
    <w:p>
      <w:pPr>
        <w:pStyle w:val="4"/>
        <w:spacing w:line="500" w:lineRule="exact"/>
        <w:rPr>
          <w:rFonts w:ascii="宋体" w:hAnsi="宋体"/>
          <w:szCs w:val="21"/>
        </w:rPr>
      </w:pPr>
      <w:r>
        <w:rPr>
          <w:rFonts w:hint="eastAsia" w:ascii="宋体" w:hAnsi="宋体"/>
          <w:szCs w:val="21"/>
        </w:rPr>
        <w:t>8对投标人的纪律要求</w:t>
      </w:r>
    </w:p>
    <w:p>
      <w:pPr>
        <w:spacing w:line="500" w:lineRule="exact"/>
        <w:ind w:firstLine="480" w:firstLineChars="200"/>
        <w:rPr>
          <w:rFonts w:ascii="宋体" w:hAnsi="宋体"/>
          <w:sz w:val="24"/>
        </w:rPr>
      </w:pPr>
      <w:r>
        <w:rPr>
          <w:rFonts w:hint="eastAsia" w:ascii="宋体" w:hAnsi="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4"/>
        <w:spacing w:line="500" w:lineRule="exact"/>
        <w:rPr>
          <w:rFonts w:ascii="宋体" w:hAnsi="宋体"/>
          <w:szCs w:val="21"/>
        </w:rPr>
      </w:pPr>
      <w:r>
        <w:rPr>
          <w:rFonts w:hint="eastAsia" w:ascii="宋体" w:hAnsi="宋体"/>
          <w:szCs w:val="21"/>
        </w:rPr>
        <w:t xml:space="preserve"> 对评标委员会成员的纪律要求</w:t>
      </w:r>
    </w:p>
    <w:p>
      <w:pPr>
        <w:spacing w:line="500" w:lineRule="exact"/>
        <w:ind w:firstLine="480" w:firstLineChars="200"/>
        <w:rPr>
          <w:rFonts w:ascii="宋体" w:hAnsi="宋体"/>
          <w:sz w:val="24"/>
        </w:rPr>
      </w:pPr>
      <w:r>
        <w:rPr>
          <w:rFonts w:hint="eastAsia" w:ascii="宋体" w:hAnsi="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二章“评标办法”没有规定的评审因素和标准进行评标。</w:t>
      </w:r>
    </w:p>
    <w:p>
      <w:pPr>
        <w:pStyle w:val="4"/>
        <w:spacing w:line="240" w:lineRule="auto"/>
        <w:rPr>
          <w:rFonts w:ascii="宋体" w:hAnsi="宋体"/>
          <w:szCs w:val="21"/>
        </w:rPr>
      </w:pPr>
      <w:r>
        <w:rPr>
          <w:rFonts w:hint="eastAsia" w:ascii="宋体" w:hAnsi="宋体"/>
          <w:szCs w:val="21"/>
        </w:rPr>
        <w:t xml:space="preserve"> 投诉</w:t>
      </w:r>
    </w:p>
    <w:p>
      <w:pPr>
        <w:spacing w:line="360" w:lineRule="auto"/>
        <w:ind w:firstLine="480" w:firstLineChars="200"/>
      </w:pPr>
      <w:r>
        <w:rPr>
          <w:rFonts w:hint="eastAsia" w:ascii="宋体" w:hAnsi="宋体"/>
          <w:sz w:val="24"/>
        </w:rPr>
        <w:t>投标人和其他利害关系人认为本次招标活动违反法律、法规和规章规定的，有权向有关行政监督部门投诉。</w:t>
      </w:r>
    </w:p>
    <w:p>
      <w:pPr>
        <w:spacing w:line="360" w:lineRule="auto"/>
        <w:ind w:firstLine="562" w:firstLineChars="200"/>
        <w:rPr>
          <w:b/>
          <w:sz w:val="28"/>
          <w:szCs w:val="28"/>
        </w:rPr>
      </w:pPr>
      <w:r>
        <w:rPr>
          <w:rFonts w:hint="eastAsia"/>
          <w:b/>
          <w:sz w:val="28"/>
          <w:szCs w:val="28"/>
        </w:rPr>
        <w:t>评标办法</w:t>
      </w:r>
    </w:p>
    <w:p>
      <w:pPr>
        <w:spacing w:line="360" w:lineRule="auto"/>
        <w:ind w:firstLine="352" w:firstLineChars="147"/>
        <w:rPr>
          <w:rFonts w:ascii="宋体" w:hAnsi="宋体"/>
          <w:sz w:val="24"/>
        </w:rPr>
      </w:pPr>
      <w:r>
        <w:rPr>
          <w:rFonts w:hint="eastAsia" w:ascii="宋体" w:hAnsi="宋体"/>
          <w:sz w:val="24"/>
        </w:rPr>
        <w:t>本次评标采用综合评估法，允许谈判时进行二次报价。评标委员会对满足招标文件实质性要求的投标文件，进行综合评判推荐中标候选人，但投标报价低于其成本的除外。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作废标处理。</w:t>
      </w:r>
    </w:p>
    <w:p>
      <w:pPr>
        <w:spacing w:line="360" w:lineRule="auto"/>
        <w:ind w:firstLine="480" w:firstLineChars="200"/>
        <w:rPr>
          <w:rFonts w:ascii="宋体" w:hAnsi="宋体"/>
          <w:sz w:val="24"/>
        </w:rPr>
      </w:pPr>
    </w:p>
    <w:p>
      <w:pPr>
        <w:pStyle w:val="4"/>
      </w:pPr>
      <w:r>
        <w:rPr>
          <w:rFonts w:hint="eastAsia"/>
        </w:rPr>
        <w:t>投标文件的澄清和补正</w:t>
      </w:r>
    </w:p>
    <w:p>
      <w:pPr>
        <w:spacing w:line="360" w:lineRule="auto"/>
        <w:ind w:firstLine="480" w:firstLineChars="200"/>
        <w:rPr>
          <w:rFonts w:ascii="宋体" w:hAnsi="宋体"/>
          <w:sz w:val="24"/>
        </w:rPr>
      </w:pPr>
      <w:r>
        <w:rPr>
          <w:rFonts w:hint="eastAsia" w:ascii="宋体" w:hAnsi="宋体"/>
          <w:sz w:val="24"/>
        </w:rPr>
        <w:t xml:space="preserve"> 在评标过程中，评标委员会可以书面形式要求投标人对所提交投标文件中不明确的内容进行书面澄清或说明，或者对细微偏差进行补正。评标委员会不接受投标人主动提出的澄清、说明或补正。</w:t>
      </w:r>
    </w:p>
    <w:p>
      <w:pPr>
        <w:spacing w:line="360" w:lineRule="auto"/>
        <w:ind w:firstLine="480" w:firstLineChars="200"/>
        <w:rPr>
          <w:rFonts w:ascii="宋体" w:hAnsi="宋体"/>
          <w:sz w:val="24"/>
        </w:rPr>
      </w:pPr>
      <w:r>
        <w:rPr>
          <w:rFonts w:hint="eastAsia" w:ascii="宋体" w:hAnsi="宋体"/>
          <w:sz w:val="24"/>
        </w:rPr>
        <w:t xml:space="preserve"> 澄清、说明和补正不得改变投标文件的实质性内容（算术性错误修正的除外）。投标人的书面澄清、说明和补正属于投标文件的组成部分。</w:t>
      </w:r>
    </w:p>
    <w:p>
      <w:pPr>
        <w:spacing w:line="360" w:lineRule="auto"/>
        <w:ind w:firstLine="480" w:firstLineChars="200"/>
        <w:rPr>
          <w:rFonts w:ascii="宋体" w:hAnsi="宋体"/>
          <w:sz w:val="24"/>
          <w:szCs w:val="20"/>
        </w:rPr>
      </w:pPr>
      <w:r>
        <w:rPr>
          <w:rFonts w:hint="eastAsia" w:ascii="宋体" w:hAnsi="宋体"/>
          <w:sz w:val="24"/>
        </w:rPr>
        <w:t>评标委员会对投标人提交的澄清、说明或补正有疑问的，可以要求投标人进一步澄清、说明或补正，直至满足评标委员会的要求</w:t>
      </w:r>
    </w:p>
    <w:p>
      <w:pPr>
        <w:rPr>
          <w:rFonts w:ascii="宋体" w:hAnsi="宋体"/>
          <w:sz w:val="24"/>
          <w:szCs w:val="20"/>
        </w:rPr>
      </w:pPr>
    </w:p>
    <w:p>
      <w:pPr>
        <w:autoSpaceDE w:val="0"/>
        <w:autoSpaceDN w:val="0"/>
        <w:adjustRightInd w:val="0"/>
        <w:spacing w:line="360" w:lineRule="auto"/>
        <w:jc w:val="center"/>
        <w:rPr>
          <w:rFonts w:ascii="宋体" w:hAnsi="宋体"/>
          <w:b/>
          <w:bCs/>
          <w:color w:val="FF0000"/>
          <w:sz w:val="32"/>
          <w:szCs w:val="32"/>
        </w:rPr>
      </w:pPr>
      <w:r>
        <w:rPr>
          <w:rFonts w:ascii="宋体" w:hAnsi="宋体"/>
          <w:sz w:val="24"/>
          <w:szCs w:val="20"/>
        </w:rPr>
        <w:tab/>
      </w:r>
      <w:r>
        <w:rPr>
          <w:rFonts w:hint="eastAsia" w:ascii="宋体" w:hAnsi="宋体"/>
          <w:b/>
          <w:bCs/>
          <w:color w:val="FF0000"/>
          <w:sz w:val="32"/>
          <w:szCs w:val="32"/>
        </w:rPr>
        <w:t>供货清单及技术指标要求</w:t>
      </w:r>
    </w:p>
    <w:p>
      <w:pPr>
        <w:spacing w:beforeLines="20" w:afterLines="20" w:line="360" w:lineRule="auto"/>
        <w:ind w:firstLine="480" w:firstLineChars="200"/>
        <w:rPr>
          <w:rFonts w:ascii="宋体" w:hAnsi="宋体"/>
          <w:color w:val="0000FF"/>
          <w:sz w:val="24"/>
        </w:rPr>
      </w:pPr>
      <w:r>
        <w:rPr>
          <w:rFonts w:hint="eastAsia" w:ascii="宋体" w:hAnsi="宋体"/>
          <w:color w:val="0000FF"/>
          <w:sz w:val="24"/>
        </w:rPr>
        <w:t>投标人必须按技术条件及配置要求提供电缆及桥架 ，投标人需提供由投标人编制的本工程安装工艺图及相关资料。</w:t>
      </w:r>
      <w:r>
        <w:rPr>
          <w:rFonts w:hint="eastAsia" w:ascii="宋体" w:hAnsi="宋体"/>
          <w:color w:val="FF0000"/>
          <w:sz w:val="24"/>
        </w:rPr>
        <w:t>制造单位的检验部门在制造过程中和完工后，应按相关标准和规范，进行各项具体的检验和试验，提出检验报告，并对检验报告的准确性和完整性负责。标的物及附件（包括安装所需的一切零部件及专用工具）、备件的开箱检验，应在标的物到达招标人指定交货地点，并接到招标人开箱通知后在招标人现场完成，检验人员由招标人及相关单位人员和投标人代表组成。</w:t>
      </w:r>
    </w:p>
    <w:p>
      <w:pPr>
        <w:spacing w:beforeLines="20" w:afterLines="20" w:line="360" w:lineRule="auto"/>
        <w:ind w:firstLine="472" w:firstLineChars="196"/>
        <w:rPr>
          <w:rFonts w:ascii="宋体" w:hAnsi="宋体"/>
          <w:b/>
          <w:color w:val="FF0000"/>
          <w:sz w:val="24"/>
        </w:rPr>
      </w:pPr>
      <w:r>
        <w:rPr>
          <w:rFonts w:hint="eastAsia" w:ascii="宋体" w:hAnsi="宋体"/>
          <w:b/>
          <w:color w:val="FF0000"/>
          <w:sz w:val="24"/>
        </w:rPr>
        <w:t>技术要求</w:t>
      </w:r>
    </w:p>
    <w:p>
      <w:pPr>
        <w:spacing w:beforeLines="20" w:afterLines="20" w:line="360" w:lineRule="auto"/>
        <w:rPr>
          <w:rFonts w:ascii="宋体" w:hAnsi="宋体"/>
          <w:b/>
          <w:color w:val="FF0000"/>
          <w:sz w:val="24"/>
        </w:rPr>
      </w:pPr>
      <w:r>
        <w:rPr>
          <w:rFonts w:hint="eastAsia" w:ascii="宋体" w:hAnsi="宋体"/>
          <w:b/>
          <w:color w:val="FF0000"/>
          <w:sz w:val="24"/>
        </w:rPr>
        <w:tab/>
      </w:r>
      <w:r>
        <w:rPr>
          <w:rFonts w:hint="eastAsia" w:ascii="宋体" w:hAnsi="宋体"/>
          <w:b/>
          <w:color w:val="FF0000"/>
          <w:sz w:val="24"/>
        </w:rPr>
        <w:t>适用的标准及规范</w:t>
      </w:r>
    </w:p>
    <w:p>
      <w:pPr>
        <w:spacing w:beforeLines="20" w:afterLines="20" w:line="360" w:lineRule="auto"/>
        <w:ind w:firstLine="480" w:firstLineChars="200"/>
        <w:rPr>
          <w:rFonts w:ascii="宋体" w:hAnsi="宋体"/>
          <w:color w:val="FF0000"/>
          <w:sz w:val="24"/>
        </w:rPr>
      </w:pPr>
      <w:r>
        <w:rPr>
          <w:rFonts w:hint="eastAsia" w:ascii="宋体" w:hAnsi="宋体"/>
          <w:color w:val="FF0000"/>
          <w:sz w:val="24"/>
        </w:rPr>
        <w:t xml:space="preserve">  国家标准（GB4208-1993）《外壳防护等级（IP代码）》</w:t>
      </w:r>
    </w:p>
    <w:p>
      <w:pPr>
        <w:spacing w:beforeLines="20" w:afterLines="20" w:line="360" w:lineRule="auto"/>
        <w:ind w:firstLine="720" w:firstLineChars="300"/>
        <w:rPr>
          <w:rFonts w:ascii="宋体" w:hAnsi="宋体"/>
          <w:color w:val="FF0000"/>
          <w:sz w:val="24"/>
        </w:rPr>
      </w:pPr>
      <w:r>
        <w:rPr>
          <w:rFonts w:hint="eastAsia" w:ascii="宋体" w:hAnsi="宋体"/>
          <w:color w:val="FF0000"/>
          <w:sz w:val="24"/>
        </w:rPr>
        <w:t>国家标准（GB5585.1-3）《电工用铜、铝及合金母线》</w:t>
      </w:r>
    </w:p>
    <w:p>
      <w:pPr>
        <w:spacing w:beforeLines="20" w:afterLines="20" w:line="360" w:lineRule="auto"/>
        <w:ind w:firstLine="720" w:firstLineChars="300"/>
        <w:rPr>
          <w:rFonts w:ascii="宋体" w:hAnsi="宋体"/>
          <w:color w:val="FF0000"/>
          <w:sz w:val="24"/>
        </w:rPr>
      </w:pPr>
      <w:r>
        <w:rPr>
          <w:rFonts w:hint="eastAsia" w:ascii="宋体" w:hAnsi="宋体"/>
          <w:color w:val="FF0000"/>
          <w:sz w:val="24"/>
        </w:rPr>
        <w:t>IEC664《低压系统的绝缘配合》</w:t>
      </w:r>
    </w:p>
    <w:p>
      <w:pPr>
        <w:spacing w:beforeLines="20" w:afterLines="20" w:line="360" w:lineRule="auto"/>
        <w:ind w:left="718" w:leftChars="342"/>
        <w:rPr>
          <w:rFonts w:ascii="宋体" w:hAnsi="宋体" w:cs="Arial"/>
          <w:bCs/>
          <w:color w:val="FF0000"/>
          <w:sz w:val="24"/>
        </w:rPr>
      </w:pPr>
      <w:r>
        <w:rPr>
          <w:rFonts w:hint="eastAsia" w:ascii="宋体" w:hAnsi="宋体" w:cs="Arial"/>
          <w:bCs/>
          <w:color w:val="FF0000"/>
          <w:sz w:val="24"/>
        </w:rPr>
        <w:t>JB/T3085-1999 《电力传动控制装置的产品包装与运输规程》</w:t>
      </w:r>
    </w:p>
    <w:p>
      <w:pPr>
        <w:spacing w:line="360" w:lineRule="auto"/>
        <w:ind w:firstLine="720" w:firstLineChars="300"/>
        <w:rPr>
          <w:rFonts w:ascii="宋体" w:hAnsi="宋体" w:cs="Arial"/>
          <w:bCs/>
          <w:color w:val="FF0000"/>
          <w:sz w:val="24"/>
        </w:rPr>
      </w:pPr>
      <w:r>
        <w:rPr>
          <w:rFonts w:hint="eastAsia" w:ascii="宋体" w:hAnsi="宋体" w:cs="Arial"/>
          <w:bCs/>
          <w:color w:val="FF0000"/>
          <w:sz w:val="24"/>
        </w:rPr>
        <w:t>GB50150-2006《电气装置安装工程电气设备交接试验标准》</w:t>
      </w:r>
    </w:p>
    <w:p>
      <w:pPr>
        <w:spacing w:line="360" w:lineRule="auto"/>
        <w:ind w:firstLine="480" w:firstLineChars="200"/>
        <w:rPr>
          <w:rFonts w:ascii="宋体" w:hAnsi="宋体"/>
          <w:snapToGrid w:val="0"/>
          <w:color w:val="FF0000"/>
          <w:sz w:val="24"/>
        </w:rPr>
      </w:pPr>
      <w:r>
        <w:rPr>
          <w:rFonts w:hint="eastAsia" w:ascii="宋体" w:hAnsi="宋体" w:cs="Arial"/>
          <w:bCs/>
          <w:color w:val="FF0000"/>
          <w:sz w:val="24"/>
        </w:rPr>
        <w:t xml:space="preserve"> </w:t>
      </w:r>
      <w:r>
        <w:rPr>
          <w:rFonts w:hint="eastAsia" w:ascii="宋体" w:hAnsi="宋体" w:eastAsia="宋体" w:cs="Times New Roman"/>
          <w:snapToGrid w:val="0"/>
          <w:color w:val="FF0000"/>
          <w:sz w:val="24"/>
          <w:szCs w:val="24"/>
        </w:rPr>
        <w:t>《供配电系统设计规范》GB50052-2009</w:t>
      </w:r>
    </w:p>
    <w:p>
      <w:pPr>
        <w:spacing w:line="360" w:lineRule="auto"/>
        <w:ind w:firstLine="600" w:firstLineChars="250"/>
        <w:rPr>
          <w:rFonts w:ascii="宋体" w:hAnsi="宋体"/>
          <w:snapToGrid w:val="0"/>
          <w:color w:val="FF0000"/>
          <w:sz w:val="24"/>
        </w:rPr>
      </w:pPr>
      <w:r>
        <w:rPr>
          <w:rFonts w:hint="eastAsia" w:ascii="宋体" w:hAnsi="宋体" w:eastAsia="宋体" w:cs="Times New Roman"/>
          <w:snapToGrid w:val="0"/>
          <w:color w:val="FF0000"/>
          <w:sz w:val="24"/>
          <w:szCs w:val="24"/>
        </w:rPr>
        <w:t>《低压配电设计规范》GB50054-2011</w:t>
      </w:r>
    </w:p>
    <w:p>
      <w:pPr>
        <w:spacing w:line="360" w:lineRule="auto"/>
        <w:ind w:firstLine="600" w:firstLineChars="250"/>
        <w:rPr>
          <w:rFonts w:ascii="宋体" w:hAnsi="宋体"/>
          <w:snapToGrid w:val="0"/>
          <w:color w:val="FF0000"/>
          <w:sz w:val="24"/>
        </w:rPr>
      </w:pPr>
      <w:r>
        <w:rPr>
          <w:rFonts w:hint="eastAsia" w:ascii="宋体" w:hAnsi="宋体" w:eastAsia="宋体" w:cs="Times New Roman"/>
          <w:snapToGrid w:val="0"/>
          <w:color w:val="FF0000"/>
          <w:sz w:val="24"/>
          <w:szCs w:val="24"/>
        </w:rPr>
        <w:t>《建筑物防雷设计规范》GB50057-2010</w:t>
      </w:r>
    </w:p>
    <w:p>
      <w:pPr>
        <w:spacing w:line="360" w:lineRule="auto"/>
        <w:ind w:firstLine="600" w:firstLineChars="250"/>
        <w:rPr>
          <w:rFonts w:ascii="宋体" w:hAnsi="宋体"/>
          <w:snapToGrid w:val="0"/>
          <w:color w:val="FF0000"/>
          <w:sz w:val="24"/>
        </w:rPr>
      </w:pPr>
      <w:r>
        <w:rPr>
          <w:rFonts w:hint="eastAsia" w:ascii="宋体" w:hAnsi="宋体" w:eastAsia="宋体" w:cs="Times New Roman"/>
          <w:snapToGrid w:val="0"/>
          <w:color w:val="FF0000"/>
          <w:sz w:val="24"/>
          <w:szCs w:val="24"/>
        </w:rPr>
        <w:t>《交流电气装置的接地设计规范》GB/T50065-2011</w:t>
      </w:r>
    </w:p>
    <w:p>
      <w:pPr>
        <w:spacing w:line="360" w:lineRule="auto"/>
        <w:ind w:firstLine="600" w:firstLineChars="250"/>
        <w:rPr>
          <w:rFonts w:ascii="宋体" w:hAnsi="宋体"/>
          <w:snapToGrid w:val="0"/>
          <w:color w:val="FF0000"/>
          <w:sz w:val="24"/>
        </w:rPr>
      </w:pPr>
      <w:r>
        <w:rPr>
          <w:rFonts w:hint="eastAsia" w:ascii="宋体" w:hAnsi="宋体" w:eastAsia="宋体" w:cs="Times New Roman"/>
          <w:snapToGrid w:val="0"/>
          <w:color w:val="FF0000"/>
          <w:sz w:val="24"/>
          <w:szCs w:val="24"/>
        </w:rPr>
        <w:t>《电力工程电缆设计规范》GB50217-2007</w:t>
      </w:r>
    </w:p>
    <w:p>
      <w:pPr>
        <w:spacing w:line="360" w:lineRule="auto"/>
        <w:ind w:firstLine="600" w:firstLineChars="250"/>
        <w:rPr>
          <w:rFonts w:ascii="宋体" w:hAnsi="宋体"/>
          <w:snapToGrid w:val="0"/>
          <w:color w:val="FF0000"/>
          <w:sz w:val="24"/>
        </w:rPr>
      </w:pPr>
      <w:r>
        <w:rPr>
          <w:rFonts w:hint="eastAsia" w:ascii="宋体" w:hAnsi="宋体" w:eastAsia="宋体" w:cs="Times New Roman"/>
          <w:snapToGrid w:val="0"/>
          <w:color w:val="FF0000"/>
          <w:sz w:val="24"/>
          <w:szCs w:val="24"/>
        </w:rPr>
        <w:t>《民用建筑电气设计规范》JGJ16-2008</w:t>
      </w:r>
    </w:p>
    <w:p>
      <w:pPr>
        <w:spacing w:beforeLines="20" w:afterLines="20" w:line="360" w:lineRule="auto"/>
        <w:rPr>
          <w:rFonts w:ascii="宋体" w:hAnsi="宋体"/>
          <w:b/>
          <w:color w:val="FF0000"/>
          <w:sz w:val="24"/>
        </w:rPr>
      </w:pPr>
      <w:r>
        <w:rPr>
          <w:rFonts w:hint="eastAsia" w:ascii="宋体" w:hAnsi="宋体"/>
          <w:b/>
          <w:color w:val="FF0000"/>
          <w:sz w:val="24"/>
        </w:rPr>
        <w:t>环境条件</w:t>
      </w:r>
    </w:p>
    <w:p>
      <w:pPr>
        <w:spacing w:beforeLines="20" w:afterLines="20" w:line="360" w:lineRule="auto"/>
        <w:rPr>
          <w:rFonts w:ascii="宋体" w:hAnsi="宋体"/>
          <w:color w:val="FF0000"/>
          <w:sz w:val="24"/>
        </w:rPr>
      </w:pPr>
      <w:r>
        <w:rPr>
          <w:rFonts w:hint="eastAsia" w:ascii="宋体" w:hAnsi="宋体"/>
          <w:color w:val="FF0000"/>
          <w:sz w:val="24"/>
        </w:rPr>
        <w:t>1.1安装地点：室内</w:t>
      </w:r>
    </w:p>
    <w:p>
      <w:pPr>
        <w:spacing w:line="360" w:lineRule="auto"/>
        <w:rPr>
          <w:rFonts w:ascii="宋体" w:hAnsi="宋体"/>
          <w:color w:val="FF0000"/>
          <w:sz w:val="24"/>
        </w:rPr>
      </w:pPr>
      <w:r>
        <w:rPr>
          <w:rFonts w:hint="eastAsia" w:ascii="宋体" w:hAnsi="宋体"/>
          <w:color w:val="FF0000"/>
          <w:sz w:val="24"/>
        </w:rPr>
        <w:t>1.2空气温度：环境温度-20℃～+40℃ ，且24小时平均值不超过35℃</w:t>
      </w:r>
    </w:p>
    <w:p>
      <w:pPr>
        <w:spacing w:beforeLines="20" w:afterLines="20" w:line="360" w:lineRule="auto"/>
        <w:rPr>
          <w:rFonts w:ascii="宋体" w:hAnsi="宋体"/>
          <w:color w:val="FF0000"/>
          <w:sz w:val="24"/>
        </w:rPr>
      </w:pPr>
      <w:r>
        <w:rPr>
          <w:rFonts w:hint="eastAsia" w:ascii="宋体" w:hAnsi="宋体"/>
          <w:color w:val="FF0000"/>
          <w:sz w:val="24"/>
        </w:rPr>
        <w:t>1.3相对湿度：日平均值不大于95%，月平均值不大于90%（25℃）</w:t>
      </w:r>
    </w:p>
    <w:p>
      <w:pPr>
        <w:spacing w:line="360" w:lineRule="auto"/>
        <w:rPr>
          <w:rFonts w:ascii="宋体" w:hAnsi="宋体"/>
          <w:color w:val="FF0000"/>
          <w:sz w:val="24"/>
        </w:rPr>
      </w:pPr>
      <w:r>
        <w:rPr>
          <w:rFonts w:hint="eastAsia" w:ascii="宋体" w:hAnsi="宋体"/>
          <w:color w:val="FF0000"/>
          <w:sz w:val="24"/>
        </w:rPr>
        <w:t>1.4</w:t>
      </w:r>
      <w:r>
        <w:rPr>
          <w:rFonts w:hint="eastAsia" w:ascii="宋体" w:hAnsi="宋体"/>
          <w:b/>
          <w:color w:val="FF0000"/>
          <w:sz w:val="24"/>
        </w:rPr>
        <w:t xml:space="preserve"> </w:t>
      </w:r>
      <w:r>
        <w:rPr>
          <w:rFonts w:hint="eastAsia" w:ascii="宋体" w:hAnsi="宋体"/>
          <w:color w:val="FF0000"/>
          <w:sz w:val="24"/>
        </w:rPr>
        <w:t>海拔高度： ≤500米。</w:t>
      </w:r>
    </w:p>
    <w:p>
      <w:pPr>
        <w:spacing w:line="360" w:lineRule="auto"/>
        <w:rPr>
          <w:rFonts w:ascii="宋体" w:hAnsi="宋体"/>
          <w:color w:val="FF0000"/>
          <w:sz w:val="24"/>
        </w:rPr>
      </w:pPr>
      <w:r>
        <w:rPr>
          <w:rFonts w:hint="eastAsia" w:ascii="宋体" w:hAnsi="宋体"/>
          <w:color w:val="FF0000"/>
          <w:sz w:val="24"/>
        </w:rPr>
        <w:t>1.5 环境湿度：日平均相对湿度：不大于95％（25℃）  月平均相对湿度：不大于90％（25℃） 。</w:t>
      </w:r>
    </w:p>
    <w:p>
      <w:pPr>
        <w:spacing w:line="360" w:lineRule="auto"/>
        <w:rPr>
          <w:rFonts w:ascii="宋体" w:hAnsi="宋体"/>
          <w:color w:val="FF0000"/>
          <w:sz w:val="24"/>
        </w:rPr>
      </w:pPr>
      <w:r>
        <w:rPr>
          <w:rFonts w:hint="eastAsia" w:ascii="宋体" w:hAnsi="宋体"/>
          <w:color w:val="FF0000"/>
          <w:sz w:val="24"/>
        </w:rPr>
        <w:t>1.6 当地地震基本列度：≤8度。</w:t>
      </w:r>
    </w:p>
    <w:p>
      <w:pPr>
        <w:spacing w:line="360" w:lineRule="auto"/>
        <w:rPr>
          <w:rFonts w:ascii="宋体" w:hAnsi="宋体"/>
          <w:color w:val="FF0000"/>
          <w:sz w:val="24"/>
        </w:rPr>
      </w:pPr>
      <w:r>
        <w:rPr>
          <w:rFonts w:hint="eastAsia" w:ascii="宋体" w:hAnsi="宋体"/>
          <w:color w:val="FF0000"/>
          <w:sz w:val="24"/>
        </w:rPr>
        <w:t>1.7环境污秽等级：</w:t>
      </w:r>
      <w:r>
        <w:rPr>
          <w:rFonts w:ascii="宋体" w:hAnsi="宋体"/>
          <w:color w:val="FF0000"/>
          <w:sz w:val="24"/>
        </w:rPr>
        <w:fldChar w:fldCharType="begin"/>
      </w:r>
      <w:r>
        <w:rPr>
          <w:rFonts w:ascii="宋体" w:hAnsi="宋体"/>
          <w:color w:val="FF0000"/>
          <w:sz w:val="24"/>
        </w:rPr>
        <w:instrText xml:space="preserve"> </w:instrText>
      </w:r>
      <w:r>
        <w:rPr>
          <w:rFonts w:hint="eastAsia" w:ascii="宋体" w:hAnsi="宋体"/>
          <w:color w:val="FF0000"/>
          <w:sz w:val="24"/>
        </w:rPr>
        <w:instrText xml:space="preserve">= 2 \* ROMAN</w:instrText>
      </w:r>
      <w:r>
        <w:rPr>
          <w:rFonts w:ascii="宋体" w:hAnsi="宋体"/>
          <w:color w:val="FF0000"/>
          <w:sz w:val="24"/>
        </w:rPr>
        <w:instrText xml:space="preserve"> </w:instrText>
      </w:r>
      <w:r>
        <w:rPr>
          <w:rFonts w:ascii="宋体" w:hAnsi="宋体"/>
          <w:color w:val="FF0000"/>
          <w:sz w:val="24"/>
        </w:rPr>
        <w:fldChar w:fldCharType="separate"/>
      </w:r>
      <w:r>
        <w:rPr>
          <w:rFonts w:ascii="宋体" w:hAnsi="宋体"/>
          <w:color w:val="FF0000"/>
          <w:sz w:val="24"/>
        </w:rPr>
        <w:t>II</w:t>
      </w:r>
      <w:r>
        <w:rPr>
          <w:rFonts w:ascii="宋体" w:hAnsi="宋体"/>
          <w:color w:val="FF0000"/>
          <w:sz w:val="24"/>
        </w:rPr>
        <w:fldChar w:fldCharType="end"/>
      </w:r>
      <w:r>
        <w:rPr>
          <w:rFonts w:hint="eastAsia" w:ascii="宋体" w:hAnsi="宋体"/>
          <w:color w:val="FF0000"/>
          <w:sz w:val="24"/>
        </w:rPr>
        <w:t>级 。</w:t>
      </w:r>
    </w:p>
    <w:p>
      <w:pPr>
        <w:spacing w:line="360" w:lineRule="auto"/>
        <w:rPr>
          <w:rFonts w:ascii="宋体" w:hAnsi="宋体"/>
          <w:b/>
          <w:color w:val="FF0000"/>
          <w:sz w:val="24"/>
        </w:rPr>
      </w:pPr>
      <w:r>
        <w:rPr>
          <w:rFonts w:hint="eastAsia" w:ascii="宋体" w:hAnsi="宋体"/>
          <w:b/>
          <w:color w:val="FF0000"/>
          <w:sz w:val="24"/>
        </w:rPr>
        <w:t>供电条件</w:t>
      </w:r>
    </w:p>
    <w:p>
      <w:pPr>
        <w:spacing w:line="360" w:lineRule="auto"/>
        <w:ind w:firstLine="480" w:firstLineChars="200"/>
        <w:rPr>
          <w:rFonts w:ascii="宋体" w:hAnsi="宋体"/>
          <w:color w:val="FF0000"/>
          <w:sz w:val="24"/>
        </w:rPr>
      </w:pPr>
      <w:r>
        <w:rPr>
          <w:rFonts w:hint="eastAsia" w:ascii="宋体" w:hAnsi="宋体"/>
          <w:color w:val="FF0000"/>
          <w:sz w:val="24"/>
        </w:rPr>
        <w:t>供电电压：380V，±5％ ；供电频率：50</w:t>
      </w:r>
      <w:r>
        <w:rPr>
          <w:rFonts w:ascii="宋体" w:hAnsi="宋体"/>
          <w:color w:val="FF0000"/>
          <w:sz w:val="24"/>
        </w:rPr>
        <w:t>H</w:t>
      </w:r>
      <w:r>
        <w:rPr>
          <w:rFonts w:hint="eastAsia" w:ascii="宋体" w:hAnsi="宋体"/>
          <w:color w:val="FF0000"/>
          <w:sz w:val="24"/>
        </w:rPr>
        <w:t>z。使用情况：户内使用，连续工作</w:t>
      </w:r>
    </w:p>
    <w:p>
      <w:pPr>
        <w:spacing w:beforeLines="20" w:afterLines="20" w:line="360" w:lineRule="auto"/>
        <w:rPr>
          <w:rFonts w:ascii="宋体" w:hAnsi="宋体"/>
          <w:b/>
          <w:color w:val="FF0000"/>
          <w:sz w:val="24"/>
        </w:rPr>
      </w:pPr>
      <w:r>
        <w:rPr>
          <w:rFonts w:hint="eastAsia" w:ascii="宋体" w:hAnsi="宋体"/>
          <w:b/>
          <w:color w:val="FF0000"/>
          <w:sz w:val="24"/>
        </w:rPr>
        <w:t>电气指标</w:t>
      </w:r>
    </w:p>
    <w:p>
      <w:pPr>
        <w:numPr>
          <w:ilvl w:val="0"/>
          <w:numId w:val="3"/>
        </w:numPr>
        <w:spacing w:beforeLines="20" w:afterLines="20" w:line="360" w:lineRule="auto"/>
        <w:rPr>
          <w:rFonts w:ascii="宋体" w:hAnsi="宋体"/>
          <w:color w:val="FF0000"/>
          <w:sz w:val="24"/>
          <w:highlight w:val="magenta"/>
        </w:rPr>
      </w:pPr>
      <w:r>
        <w:rPr>
          <w:rFonts w:hint="eastAsia" w:ascii="宋体" w:hAnsi="宋体"/>
          <w:color w:val="FF0000"/>
          <w:sz w:val="24"/>
        </w:rPr>
        <w:t>线制：三相五线，</w:t>
      </w:r>
    </w:p>
    <w:p>
      <w:pPr>
        <w:numPr>
          <w:ilvl w:val="0"/>
          <w:numId w:val="3"/>
        </w:numPr>
        <w:spacing w:beforeLines="20" w:afterLines="20" w:line="360" w:lineRule="auto"/>
        <w:rPr>
          <w:rFonts w:ascii="宋体" w:hAnsi="宋体"/>
          <w:color w:val="FF0000"/>
          <w:sz w:val="24"/>
        </w:rPr>
      </w:pPr>
      <w:r>
        <w:rPr>
          <w:rFonts w:hint="eastAsia"/>
          <w:color w:val="FF0000"/>
          <w:sz w:val="24"/>
        </w:rPr>
        <w:t>额定工作电压：380/660V</w:t>
      </w:r>
    </w:p>
    <w:p>
      <w:pPr>
        <w:numPr>
          <w:ilvl w:val="0"/>
          <w:numId w:val="3"/>
        </w:numPr>
        <w:spacing w:beforeLines="20" w:afterLines="20" w:line="360" w:lineRule="auto"/>
        <w:rPr>
          <w:rFonts w:ascii="宋体" w:hAnsi="宋体"/>
          <w:color w:val="FF0000"/>
          <w:sz w:val="24"/>
        </w:rPr>
      </w:pPr>
      <w:r>
        <w:rPr>
          <w:rFonts w:hint="eastAsia"/>
          <w:color w:val="FF0000"/>
          <w:sz w:val="24"/>
        </w:rPr>
        <w:t>电力调配是将2#变压器的2B-D6-K1负荷调配到3#变压器的3B2-D4-K2，</w:t>
      </w:r>
      <w:r>
        <w:rPr>
          <w:rFonts w:hint="eastAsia"/>
          <w:color w:val="FF0000"/>
          <w:sz w:val="24"/>
          <w:szCs w:val="24"/>
        </w:rPr>
        <w:t>空调风机（200A）</w:t>
      </w:r>
      <w:r>
        <w:rPr>
          <w:rFonts w:hint="eastAsia"/>
          <w:color w:val="FF0000"/>
          <w:sz w:val="24"/>
        </w:rPr>
        <w:t>进线配电柜位置不变；2#变压器的2B-D6-K2负荷调配到3#变压器的3B2-D4-K3，</w:t>
      </w:r>
      <w:r>
        <w:rPr>
          <w:rFonts w:hint="eastAsia"/>
          <w:color w:val="FF0000"/>
          <w:sz w:val="24"/>
          <w:szCs w:val="24"/>
        </w:rPr>
        <w:t>车间循环风机（150A）</w:t>
      </w:r>
      <w:r>
        <w:rPr>
          <w:rFonts w:hint="eastAsia"/>
          <w:color w:val="FF0000"/>
          <w:sz w:val="24"/>
        </w:rPr>
        <w:t>进线配电柜位置不变；投标单位依据电流参数和现场环境确定所敷设的交联聚乙烯电缆规格型号及镀锌钢制桥架规格型号（电缆采用泰山或渝丰，桥架为钢制镀锌），并召开技术交流会。</w:t>
      </w:r>
    </w:p>
    <w:p>
      <w:pPr>
        <w:tabs>
          <w:tab w:val="left" w:pos="638"/>
        </w:tabs>
        <w:ind w:firstLine="120" w:firstLineChars="50"/>
        <w:rPr>
          <w:rFonts w:ascii="宋体" w:hAnsi="宋体"/>
          <w:color w:val="FF0000"/>
          <w:sz w:val="24"/>
          <w:szCs w:val="20"/>
        </w:rPr>
      </w:pPr>
      <w:r>
        <w:rPr>
          <w:rFonts w:hint="eastAsia" w:ascii="宋体" w:hAnsi="宋体"/>
          <w:color w:val="FF0000"/>
          <w:sz w:val="24"/>
          <w:szCs w:val="20"/>
        </w:rPr>
        <w:t>4）安装工艺要求</w:t>
      </w:r>
    </w:p>
    <w:p>
      <w:pPr>
        <w:rPr>
          <w:rFonts w:ascii="宋体" w:hAnsi="宋体"/>
          <w:color w:val="FF0000"/>
          <w:sz w:val="24"/>
          <w:szCs w:val="20"/>
        </w:rPr>
      </w:pPr>
    </w:p>
    <w:p>
      <w:pPr>
        <w:ind w:firstLine="480" w:firstLineChars="200"/>
        <w:rPr>
          <w:color w:val="FF0000"/>
          <w:sz w:val="24"/>
          <w:szCs w:val="24"/>
        </w:rPr>
      </w:pPr>
      <w:r>
        <w:rPr>
          <w:color w:val="FF0000"/>
          <w:sz w:val="24"/>
          <w:szCs w:val="24"/>
        </w:rPr>
        <w:t>电缆桥架(梯架、托盘)水平敷设时的距地高度一般不宜低于2.50m，垂直敷设时距地1.80m以下部分应加金属盖板保护</w:t>
      </w:r>
      <w:r>
        <w:rPr>
          <w:rFonts w:hint="eastAsia"/>
          <w:color w:val="FF0000"/>
          <w:sz w:val="24"/>
          <w:szCs w:val="24"/>
        </w:rPr>
        <w:t>。</w:t>
      </w:r>
    </w:p>
    <w:p>
      <w:pPr>
        <w:ind w:firstLine="480" w:firstLineChars="200"/>
        <w:rPr>
          <w:color w:val="FF0000"/>
          <w:sz w:val="24"/>
          <w:szCs w:val="24"/>
        </w:rPr>
      </w:pPr>
      <w:r>
        <w:rPr>
          <w:color w:val="FF0000"/>
          <w:sz w:val="24"/>
          <w:szCs w:val="24"/>
        </w:rPr>
        <w:t>电缆桥架水平敷设时，宜按荷载曲线选取最佳跨距进行支撑，跨距一般为1.50～3m。垂直敷设时，其固定点间距不宜大于2m。</w:t>
      </w:r>
    </w:p>
    <w:p>
      <w:pPr>
        <w:ind w:firstLine="480" w:firstLineChars="200"/>
        <w:rPr>
          <w:color w:val="FF0000"/>
          <w:sz w:val="24"/>
          <w:szCs w:val="24"/>
        </w:rPr>
      </w:pPr>
      <w:r>
        <w:rPr>
          <w:color w:val="FF0000"/>
          <w:sz w:val="24"/>
          <w:szCs w:val="24"/>
        </w:rPr>
        <w:t>电缆桥架多层敷设时，其层间距离一般为：控制电缆间不应小于0.20m；电力电缆间不应小于0.30m；弱电电缆与电力电缆间不应小于0.50m，如有屏蔽盖板可减少到0.30m；桥架上部距顶棚或其他障碍物不应小于0.30m。</w:t>
      </w:r>
    </w:p>
    <w:p>
      <w:pPr>
        <w:ind w:firstLine="480" w:firstLineChars="200"/>
        <w:rPr>
          <w:color w:val="FF0000"/>
          <w:sz w:val="24"/>
          <w:szCs w:val="24"/>
        </w:rPr>
      </w:pPr>
      <w:r>
        <w:rPr>
          <w:color w:val="FF0000"/>
          <w:sz w:val="24"/>
          <w:szCs w:val="24"/>
        </w:rPr>
        <w:t>在电缆桥架上可以无间距敷设电缆，电缆在桥架内横断面的填充率：电力电缆不应大于40%；控制电缆不应大于50%。</w:t>
      </w:r>
    </w:p>
    <w:p>
      <w:pPr>
        <w:pStyle w:val="11"/>
        <w:ind w:firstLine="480" w:firstLineChars="200"/>
        <w:rPr>
          <w:color w:val="FF0000"/>
        </w:rPr>
      </w:pPr>
      <w:r>
        <w:rPr>
          <w:color w:val="FF0000"/>
        </w:rPr>
        <w:t>电缆桥架与各种管道平行或交叉时，其最小净距应符合的规定</w:t>
      </w:r>
      <w:r>
        <w:rPr>
          <w:rFonts w:hint="eastAsia"/>
          <w:color w:val="FF0000"/>
        </w:rPr>
        <w:t>：</w:t>
      </w:r>
    </w:p>
    <w:p>
      <w:pPr>
        <w:pStyle w:val="11"/>
        <w:rPr>
          <w:color w:val="FF0000"/>
        </w:rPr>
      </w:pPr>
      <w:r>
        <w:rPr>
          <w:rFonts w:hint="eastAsia"/>
          <w:color w:val="FF0000"/>
        </w:rPr>
        <w:t>一般工艺管道 0.4 m（平行） 0.3m（交叉），具有腐蚀性管道 0.5 m（平行） 0.5m（交叉），</w:t>
      </w:r>
    </w:p>
    <w:p>
      <w:pPr>
        <w:pStyle w:val="11"/>
        <w:rPr>
          <w:color w:val="FF0000"/>
        </w:rPr>
      </w:pPr>
      <w:r>
        <w:rPr>
          <w:rFonts w:hint="eastAsia"/>
          <w:color w:val="FF0000"/>
        </w:rPr>
        <w:t>热力管道有保温层0.5 m（平行） 0.5m（交叉），无保温层1.0 m（平行） 1.0m（交叉）</w:t>
      </w:r>
    </w:p>
    <w:p>
      <w:pPr>
        <w:pStyle w:val="11"/>
        <w:ind w:firstLine="480" w:firstLineChars="200"/>
        <w:rPr>
          <w:color w:val="FF0000"/>
        </w:rPr>
      </w:pPr>
      <w:r>
        <w:rPr>
          <w:color w:val="FF0000"/>
        </w:rPr>
        <w:t>电缆桥架不宜敷设在腐蚀性气体管道和热力管道的上方及腐蚀性液体管道的下方，否则应采取防腐、隔热措施。</w:t>
      </w:r>
    </w:p>
    <w:p>
      <w:pPr>
        <w:pStyle w:val="11"/>
        <w:ind w:firstLine="480" w:firstLineChars="200"/>
        <w:rPr>
          <w:color w:val="FF0000"/>
        </w:rPr>
      </w:pPr>
      <w:r>
        <w:rPr>
          <w:color w:val="FF0000"/>
        </w:rPr>
        <w:t>电缆桥架内的电缆应在下列部位进行固定：</w:t>
      </w:r>
    </w:p>
    <w:p>
      <w:pPr>
        <w:pStyle w:val="11"/>
        <w:rPr>
          <w:color w:val="FF0000"/>
        </w:rPr>
      </w:pPr>
      <w:r>
        <w:rPr>
          <w:color w:val="FF0000"/>
        </w:rPr>
        <w:t>垂直敷设时，电缆的上端及每隔1.50～2m处</w:t>
      </w:r>
      <w:r>
        <w:rPr>
          <w:rFonts w:hint="eastAsia"/>
          <w:color w:val="FF0000"/>
        </w:rPr>
        <w:t>，</w:t>
      </w:r>
      <w:r>
        <w:rPr>
          <w:color w:val="FF0000"/>
        </w:rPr>
        <w:t>水平敷设时,电缆的首、尾两端、转弯及每隔5－10m处。</w:t>
      </w:r>
    </w:p>
    <w:p>
      <w:pPr>
        <w:ind w:firstLine="480" w:firstLineChars="200"/>
        <w:rPr>
          <w:color w:val="FF0000"/>
          <w:sz w:val="24"/>
          <w:szCs w:val="24"/>
        </w:rPr>
      </w:pPr>
      <w:r>
        <w:rPr>
          <w:color w:val="FF0000"/>
          <w:sz w:val="24"/>
          <w:szCs w:val="24"/>
        </w:rPr>
        <w:t>电缆桥架内的电缆应在首端、尾端、转弯及每隔50m处，设有编号、型号及起、止点等标记。电缆桥架在穿过防火墙及防火楼板时，应采取防火隔离措施。</w:t>
      </w:r>
    </w:p>
    <w:p>
      <w:pPr>
        <w:ind w:firstLine="480" w:firstLineChars="200"/>
        <w:rPr>
          <w:color w:val="FF0000"/>
          <w:sz w:val="24"/>
          <w:szCs w:val="24"/>
        </w:rPr>
      </w:pPr>
      <w:r>
        <w:rPr>
          <w:color w:val="FF0000"/>
          <w:sz w:val="24"/>
          <w:szCs w:val="24"/>
        </w:rPr>
        <w:t>金属电缆桥及其支架和引入或引出的金属电缆导管必须接地（PE）或接零（PEN）可靠，且必须符合下列规定：</w:t>
      </w:r>
      <w:r>
        <w:rPr>
          <w:color w:val="FF0000"/>
          <w:sz w:val="24"/>
          <w:szCs w:val="24"/>
        </w:rPr>
        <w:br w:type="textWrapping"/>
      </w:r>
      <w:r>
        <w:rPr>
          <w:color w:val="FF0000"/>
          <w:sz w:val="24"/>
          <w:szCs w:val="24"/>
        </w:rPr>
        <w:br w:type="textWrapping"/>
      </w:r>
      <w:r>
        <w:rPr>
          <w:color w:val="FF0000"/>
          <w:sz w:val="24"/>
          <w:szCs w:val="24"/>
        </w:rPr>
        <w:t>1 金属电缆桥架及其支架全长应不少于2处与接地（PE）或接零（PEN）干线相连接；</w:t>
      </w:r>
      <w:r>
        <w:rPr>
          <w:color w:val="FF0000"/>
          <w:sz w:val="24"/>
          <w:szCs w:val="24"/>
        </w:rPr>
        <w:br w:type="textWrapping"/>
      </w:r>
      <w:r>
        <w:rPr>
          <w:color w:val="FF0000"/>
          <w:sz w:val="24"/>
          <w:szCs w:val="24"/>
        </w:rPr>
        <w:t>2 非镀锌电缆桥架间连接板的两端跨接铜芯接地线，接地线最小允许截面积不小于4mm2；</w:t>
      </w:r>
      <w:r>
        <w:rPr>
          <w:color w:val="FF0000"/>
          <w:sz w:val="24"/>
          <w:szCs w:val="24"/>
        </w:rPr>
        <w:br w:type="textWrapping"/>
      </w:r>
      <w:r>
        <w:rPr>
          <w:color w:val="FF0000"/>
          <w:sz w:val="24"/>
          <w:szCs w:val="24"/>
        </w:rPr>
        <w:t>3 镀锌电缆桥架间连接板的两端不跨接接地线,但连接板两端不少于2个有防松螺帽或防松垫圈的连接固定螺栓。</w:t>
      </w:r>
    </w:p>
    <w:p>
      <w:pPr>
        <w:rPr>
          <w:color w:val="FF0000"/>
          <w:sz w:val="24"/>
          <w:szCs w:val="24"/>
        </w:rPr>
      </w:pPr>
    </w:p>
    <w:p>
      <w:pPr>
        <w:spacing w:beforeLines="20" w:afterLines="20" w:line="360" w:lineRule="auto"/>
        <w:rPr>
          <w:rFonts w:ascii="宋体" w:hAnsi="宋体"/>
          <w:color w:val="FF0000"/>
          <w:sz w:val="24"/>
        </w:rPr>
      </w:pPr>
      <w:r>
        <w:rPr>
          <w:rFonts w:hint="eastAsia" w:ascii="宋体" w:hAnsi="宋体"/>
          <w:b/>
          <w:color w:val="FF0000"/>
          <w:sz w:val="24"/>
        </w:rPr>
        <w:t>试验：</w:t>
      </w:r>
      <w:r>
        <w:rPr>
          <w:rFonts w:hint="eastAsia" w:ascii="宋体" w:hAnsi="宋体"/>
          <w:color w:val="FF0000"/>
          <w:sz w:val="24"/>
        </w:rPr>
        <w:t>厂商应按国家有关规定对产品进行型式试验，其中包括：</w:t>
      </w:r>
    </w:p>
    <w:p>
      <w:pPr>
        <w:spacing w:line="360" w:lineRule="auto"/>
        <w:ind w:firstLine="472" w:firstLineChars="196"/>
        <w:rPr>
          <w:rFonts w:ascii="宋体" w:hAnsi="宋体" w:cs="宋体"/>
          <w:b/>
          <w:color w:val="FF0000"/>
          <w:sz w:val="24"/>
        </w:rPr>
      </w:pPr>
      <w:r>
        <w:rPr>
          <w:rFonts w:hint="eastAsia" w:ascii="宋体" w:hAnsi="宋体" w:cs="宋体"/>
          <w:b/>
          <w:color w:val="FF0000"/>
          <w:sz w:val="24"/>
        </w:rPr>
        <w:t>出厂检验报告</w:t>
      </w:r>
    </w:p>
    <w:p>
      <w:pPr>
        <w:spacing w:line="360" w:lineRule="auto"/>
        <w:ind w:firstLine="472" w:firstLineChars="196"/>
        <w:rPr>
          <w:rFonts w:ascii="宋体" w:hAnsi="宋体" w:cs="宋体"/>
          <w:b/>
          <w:color w:val="FF0000"/>
          <w:sz w:val="24"/>
        </w:rPr>
      </w:pPr>
      <w:r>
        <w:rPr>
          <w:rFonts w:hint="eastAsia" w:ascii="宋体" w:hAnsi="宋体" w:cs="宋体"/>
          <w:b/>
          <w:color w:val="FF0000"/>
          <w:sz w:val="24"/>
        </w:rPr>
        <w:t xml:space="preserve"> </w:t>
      </w:r>
      <w:r>
        <w:rPr>
          <w:rFonts w:hint="eastAsia" w:ascii="宋体" w:hAnsi="宋体" w:cs="宋体"/>
          <w:color w:val="FF0000"/>
          <w:sz w:val="24"/>
        </w:rPr>
        <w:t>产品出厂检验报告应包括以下内容：</w:t>
      </w:r>
    </w:p>
    <w:tbl>
      <w:tblPr>
        <w:tblStyle w:val="15"/>
        <w:tblW w:w="7793" w:type="dxa"/>
        <w:tblInd w:w="57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3696"/>
        <w:gridCol w:w="4097"/>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12" w:hRule="atLeast"/>
        </w:trPr>
        <w:tc>
          <w:tcPr>
            <w:tcW w:w="3696" w:type="dxa"/>
            <w:vAlign w:val="center"/>
          </w:tcPr>
          <w:p>
            <w:pPr>
              <w:ind w:left="63"/>
              <w:rPr>
                <w:rFonts w:ascii="宋体" w:hAnsi="宋体" w:cs="宋体"/>
                <w:color w:val="FF0000"/>
                <w:sz w:val="24"/>
              </w:rPr>
            </w:pPr>
            <w:r>
              <w:rPr>
                <w:rFonts w:hint="eastAsia" w:ascii="宋体" w:hAnsi="宋体" w:cs="宋体"/>
                <w:color w:val="FF0000"/>
                <w:sz w:val="24"/>
              </w:rPr>
              <w:t>一般检查；</w:t>
            </w:r>
          </w:p>
          <w:p>
            <w:pPr>
              <w:ind w:left="63"/>
              <w:rPr>
                <w:rFonts w:ascii="宋体" w:hAnsi="宋体" w:cs="宋体"/>
                <w:color w:val="FF0000"/>
                <w:sz w:val="24"/>
              </w:rPr>
            </w:pPr>
            <w:r>
              <w:rPr>
                <w:rFonts w:hint="eastAsia" w:ascii="宋体" w:hAnsi="宋体" w:cs="宋体"/>
                <w:color w:val="FF0000"/>
                <w:sz w:val="24"/>
              </w:rPr>
              <w:t>保护电路连续性试验；</w:t>
            </w:r>
          </w:p>
          <w:p>
            <w:pPr>
              <w:ind w:left="63"/>
              <w:rPr>
                <w:rFonts w:ascii="宋体" w:hAnsi="宋体" w:cs="宋体"/>
                <w:color w:val="FF0000"/>
                <w:sz w:val="24"/>
              </w:rPr>
            </w:pPr>
            <w:r>
              <w:rPr>
                <w:rFonts w:hint="eastAsia" w:ascii="宋体" w:hAnsi="宋体" w:cs="宋体"/>
                <w:color w:val="FF0000"/>
                <w:sz w:val="24"/>
              </w:rPr>
              <w:t>机械负载试验；</w:t>
            </w:r>
          </w:p>
          <w:p>
            <w:pPr>
              <w:ind w:left="63"/>
              <w:rPr>
                <w:rFonts w:ascii="宋体" w:hAnsi="宋体" w:cs="宋体"/>
                <w:color w:val="FF0000"/>
                <w:sz w:val="24"/>
              </w:rPr>
            </w:pPr>
            <w:r>
              <w:rPr>
                <w:rFonts w:hint="eastAsia" w:ascii="宋体" w:hAnsi="宋体" w:cs="宋体"/>
                <w:color w:val="FF0000"/>
                <w:sz w:val="24"/>
              </w:rPr>
              <w:t>温升试验；</w:t>
            </w:r>
          </w:p>
          <w:p>
            <w:pPr>
              <w:ind w:left="63"/>
              <w:rPr>
                <w:rFonts w:ascii="宋体" w:hAnsi="宋体" w:cs="宋体"/>
                <w:color w:val="FF0000"/>
                <w:sz w:val="24"/>
              </w:rPr>
            </w:pPr>
            <w:r>
              <w:rPr>
                <w:rFonts w:hint="eastAsia" w:ascii="宋体" w:hAnsi="宋体" w:cs="宋体"/>
                <w:color w:val="FF0000"/>
                <w:sz w:val="24"/>
              </w:rPr>
              <w:t>绝缘部件的湿热试验</w:t>
            </w:r>
          </w:p>
          <w:p>
            <w:pPr>
              <w:ind w:left="63"/>
              <w:rPr>
                <w:rFonts w:ascii="宋体" w:hAnsi="宋体" w:cs="宋体"/>
                <w:color w:val="FF0000"/>
                <w:sz w:val="24"/>
              </w:rPr>
            </w:pPr>
            <w:r>
              <w:rPr>
                <w:rFonts w:hint="eastAsia" w:ascii="宋体" w:hAnsi="宋体" w:cs="宋体"/>
                <w:color w:val="FF0000"/>
                <w:sz w:val="24"/>
              </w:rPr>
              <w:t>短路强度试验</w:t>
            </w:r>
          </w:p>
        </w:tc>
        <w:tc>
          <w:tcPr>
            <w:tcW w:w="4097" w:type="dxa"/>
            <w:vAlign w:val="center"/>
          </w:tcPr>
          <w:p>
            <w:pPr>
              <w:ind w:left="63" w:leftChars="30" w:firstLine="237" w:firstLineChars="99"/>
              <w:rPr>
                <w:rFonts w:ascii="宋体" w:hAnsi="宋体" w:cs="宋体"/>
                <w:color w:val="FF0000"/>
                <w:sz w:val="24"/>
              </w:rPr>
            </w:pPr>
            <w:r>
              <w:rPr>
                <w:rFonts w:hint="eastAsia" w:ascii="宋体" w:hAnsi="宋体" w:cs="宋体"/>
                <w:color w:val="FF0000"/>
                <w:sz w:val="24"/>
              </w:rPr>
              <w:t>验证电阻、电抗和阻抗</w:t>
            </w:r>
          </w:p>
          <w:p>
            <w:pPr>
              <w:ind w:left="63" w:leftChars="30" w:firstLine="240" w:firstLineChars="100"/>
              <w:rPr>
                <w:rFonts w:ascii="宋体" w:hAnsi="宋体" w:cs="宋体"/>
                <w:color w:val="FF0000"/>
                <w:sz w:val="24"/>
              </w:rPr>
            </w:pPr>
            <w:r>
              <w:rPr>
                <w:rFonts w:hint="eastAsia" w:ascii="宋体" w:hAnsi="宋体" w:cs="宋体"/>
                <w:color w:val="FF0000"/>
                <w:sz w:val="24"/>
              </w:rPr>
              <w:t>验证绝缘电阻</w:t>
            </w:r>
          </w:p>
          <w:p>
            <w:pPr>
              <w:ind w:left="63" w:leftChars="30" w:firstLine="240" w:firstLineChars="100"/>
              <w:rPr>
                <w:rFonts w:ascii="宋体" w:hAnsi="宋体" w:cs="宋体"/>
                <w:color w:val="FF0000"/>
                <w:sz w:val="24"/>
              </w:rPr>
            </w:pPr>
            <w:r>
              <w:rPr>
                <w:rFonts w:hint="eastAsia" w:ascii="宋体" w:hAnsi="宋体" w:cs="宋体"/>
                <w:color w:val="FF0000"/>
                <w:sz w:val="24"/>
              </w:rPr>
              <w:t>介电强度试验</w:t>
            </w:r>
          </w:p>
          <w:p>
            <w:pPr>
              <w:ind w:left="63" w:leftChars="30" w:firstLine="240" w:firstLineChars="100"/>
              <w:rPr>
                <w:rFonts w:ascii="宋体" w:hAnsi="宋体" w:cs="宋体"/>
                <w:color w:val="FF0000"/>
                <w:sz w:val="24"/>
              </w:rPr>
            </w:pPr>
            <w:r>
              <w:rPr>
                <w:rFonts w:hint="eastAsia" w:ascii="宋体" w:hAnsi="宋体" w:cs="宋体"/>
                <w:color w:val="FF0000"/>
                <w:sz w:val="24"/>
              </w:rPr>
              <w:t>电气间隙和爬电距离</w:t>
            </w:r>
          </w:p>
          <w:p>
            <w:pPr>
              <w:ind w:left="63" w:leftChars="30" w:firstLine="240" w:firstLineChars="100"/>
              <w:rPr>
                <w:rFonts w:ascii="宋体" w:hAnsi="宋体" w:cs="宋体"/>
                <w:color w:val="FF0000"/>
                <w:sz w:val="24"/>
              </w:rPr>
            </w:pPr>
            <w:r>
              <w:rPr>
                <w:rFonts w:hint="eastAsia" w:ascii="宋体" w:hAnsi="宋体" w:cs="宋体"/>
                <w:color w:val="FF0000"/>
                <w:sz w:val="24"/>
              </w:rPr>
              <w:t>验证外壳的防护等级</w:t>
            </w:r>
          </w:p>
          <w:p>
            <w:pPr>
              <w:ind w:firstLine="237" w:firstLineChars="99"/>
              <w:rPr>
                <w:rFonts w:ascii="宋体" w:hAnsi="宋体" w:cs="宋体"/>
                <w:color w:val="FF0000"/>
                <w:sz w:val="24"/>
              </w:rPr>
            </w:pPr>
          </w:p>
        </w:tc>
      </w:tr>
    </w:tbl>
    <w:p>
      <w:pPr>
        <w:spacing w:line="420" w:lineRule="exact"/>
        <w:ind w:firstLine="472" w:firstLineChars="196"/>
        <w:rPr>
          <w:rFonts w:ascii="宋体" w:hAnsi="宋体" w:cs="宋体"/>
          <w:b/>
          <w:color w:val="FF0000"/>
          <w:sz w:val="24"/>
        </w:rPr>
      </w:pPr>
      <w:r>
        <w:rPr>
          <w:rFonts w:ascii="宋体" w:hAnsi="宋体" w:cs="宋体"/>
          <w:b/>
          <w:color w:val="FF0000"/>
          <w:sz w:val="24"/>
        </w:rPr>
        <w:t>现场试验</w:t>
      </w:r>
    </w:p>
    <w:p>
      <w:pPr>
        <w:spacing w:line="420" w:lineRule="exact"/>
        <w:ind w:firstLine="480" w:firstLineChars="200"/>
        <w:rPr>
          <w:rFonts w:ascii="宋体" w:hAnsi="宋体" w:cs="宋体"/>
          <w:color w:val="FF0000"/>
          <w:sz w:val="24"/>
        </w:rPr>
      </w:pPr>
      <w:r>
        <w:rPr>
          <w:rFonts w:hint="eastAsia" w:ascii="宋体" w:hAnsi="宋体" w:cs="宋体"/>
          <w:color w:val="FF0000"/>
          <w:sz w:val="24"/>
        </w:rPr>
        <w:t>招标人可根据情况</w:t>
      </w:r>
      <w:r>
        <w:rPr>
          <w:rFonts w:ascii="宋体" w:hAnsi="宋体" w:cs="宋体"/>
          <w:color w:val="FF0000"/>
          <w:sz w:val="24"/>
        </w:rPr>
        <w:t>对投标</w:t>
      </w:r>
      <w:r>
        <w:rPr>
          <w:rFonts w:hint="eastAsia" w:ascii="宋体" w:hAnsi="宋体" w:cs="宋体"/>
          <w:color w:val="FF0000"/>
          <w:sz w:val="24"/>
        </w:rPr>
        <w:t>人</w:t>
      </w:r>
      <w:r>
        <w:rPr>
          <w:rFonts w:ascii="宋体" w:hAnsi="宋体" w:cs="宋体"/>
          <w:color w:val="FF0000"/>
          <w:sz w:val="24"/>
        </w:rPr>
        <w:t>提供的全部或部分产品，进行现场验收试验</w:t>
      </w:r>
      <w:r>
        <w:rPr>
          <w:rFonts w:hint="eastAsia" w:ascii="宋体" w:hAnsi="宋体" w:cs="宋体"/>
          <w:color w:val="FF0000"/>
          <w:sz w:val="24"/>
        </w:rPr>
        <w:t>(依据现场条件抽验)</w:t>
      </w:r>
      <w:r>
        <w:rPr>
          <w:rFonts w:ascii="宋体" w:hAnsi="宋体" w:cs="宋体"/>
          <w:color w:val="FF0000"/>
          <w:sz w:val="24"/>
        </w:rPr>
        <w:t>。现场验收项目按产品技术条件规定的试验项目进行</w:t>
      </w:r>
      <w:r>
        <w:rPr>
          <w:rFonts w:hint="eastAsia" w:ascii="宋体" w:hAnsi="宋体" w:cs="宋体"/>
          <w:color w:val="FF0000"/>
          <w:sz w:val="24"/>
        </w:rPr>
        <w:t>。</w:t>
      </w:r>
    </w:p>
    <w:p>
      <w:pPr>
        <w:numPr>
          <w:ilvl w:val="0"/>
          <w:numId w:val="4"/>
        </w:numPr>
        <w:spacing w:beforeLines="20" w:afterLines="20" w:line="360" w:lineRule="auto"/>
        <w:rPr>
          <w:rFonts w:ascii="宋体" w:hAnsi="宋体"/>
          <w:color w:val="FF0000"/>
          <w:sz w:val="24"/>
        </w:rPr>
      </w:pPr>
      <w:r>
        <w:rPr>
          <w:rFonts w:hint="eastAsia" w:ascii="宋体" w:hAnsi="宋体"/>
          <w:color w:val="FF0000"/>
          <w:sz w:val="24"/>
        </w:rPr>
        <w:t>机械负载试验</w:t>
      </w:r>
    </w:p>
    <w:p>
      <w:pPr>
        <w:numPr>
          <w:ilvl w:val="0"/>
          <w:numId w:val="4"/>
        </w:numPr>
        <w:spacing w:beforeLines="20" w:afterLines="20" w:line="360" w:lineRule="auto"/>
        <w:rPr>
          <w:rFonts w:ascii="宋体" w:hAnsi="宋体"/>
          <w:color w:val="FF0000"/>
          <w:sz w:val="24"/>
        </w:rPr>
      </w:pPr>
      <w:r>
        <w:rPr>
          <w:rFonts w:hint="eastAsia" w:ascii="宋体" w:hAnsi="宋体"/>
          <w:color w:val="FF0000"/>
          <w:sz w:val="24"/>
        </w:rPr>
        <w:t>验证电阻、电抗和阻抗</w:t>
      </w:r>
    </w:p>
    <w:p>
      <w:pPr>
        <w:numPr>
          <w:ilvl w:val="0"/>
          <w:numId w:val="4"/>
        </w:numPr>
        <w:spacing w:beforeLines="20" w:afterLines="20" w:line="360" w:lineRule="auto"/>
        <w:rPr>
          <w:rFonts w:ascii="宋体" w:hAnsi="宋体"/>
          <w:color w:val="FF0000"/>
          <w:sz w:val="24"/>
        </w:rPr>
      </w:pPr>
      <w:r>
        <w:rPr>
          <w:rFonts w:hint="eastAsia" w:ascii="宋体" w:hAnsi="宋体"/>
          <w:color w:val="FF0000"/>
          <w:sz w:val="24"/>
        </w:rPr>
        <w:t>验证绝缘电阻</w:t>
      </w:r>
    </w:p>
    <w:p>
      <w:pPr>
        <w:numPr>
          <w:ilvl w:val="0"/>
          <w:numId w:val="4"/>
        </w:numPr>
        <w:spacing w:beforeLines="20" w:afterLines="20" w:line="360" w:lineRule="auto"/>
        <w:rPr>
          <w:rFonts w:ascii="宋体" w:hAnsi="宋体"/>
          <w:color w:val="FF0000"/>
          <w:sz w:val="24"/>
        </w:rPr>
      </w:pPr>
      <w:r>
        <w:rPr>
          <w:rFonts w:hint="eastAsia" w:ascii="宋体" w:hAnsi="宋体"/>
          <w:color w:val="FF0000"/>
          <w:sz w:val="24"/>
        </w:rPr>
        <w:t>介电强度试验</w:t>
      </w:r>
    </w:p>
    <w:p>
      <w:pPr>
        <w:numPr>
          <w:ilvl w:val="0"/>
          <w:numId w:val="4"/>
        </w:numPr>
        <w:spacing w:beforeLines="20" w:afterLines="20" w:line="360" w:lineRule="auto"/>
        <w:rPr>
          <w:rFonts w:ascii="宋体" w:hAnsi="宋体"/>
          <w:color w:val="FF0000"/>
          <w:sz w:val="24"/>
        </w:rPr>
      </w:pPr>
      <w:r>
        <w:rPr>
          <w:rFonts w:hint="eastAsia" w:ascii="宋体" w:hAnsi="宋体"/>
          <w:color w:val="FF0000"/>
          <w:sz w:val="24"/>
        </w:rPr>
        <w:t>验证电气间隙和爬电距离</w:t>
      </w:r>
    </w:p>
    <w:p>
      <w:pPr>
        <w:numPr>
          <w:ilvl w:val="0"/>
          <w:numId w:val="4"/>
        </w:numPr>
        <w:spacing w:beforeLines="20" w:afterLines="20" w:line="360" w:lineRule="auto"/>
        <w:rPr>
          <w:rFonts w:ascii="宋体" w:hAnsi="宋体"/>
          <w:color w:val="FF0000"/>
          <w:sz w:val="24"/>
        </w:rPr>
      </w:pPr>
      <w:r>
        <w:rPr>
          <w:rFonts w:hint="eastAsia" w:ascii="宋体" w:hAnsi="宋体"/>
          <w:color w:val="FF0000"/>
          <w:sz w:val="24"/>
        </w:rPr>
        <w:t>验证外壳和防护等级</w:t>
      </w:r>
    </w:p>
    <w:p>
      <w:pPr>
        <w:spacing w:beforeLines="20" w:afterLines="20" w:line="360" w:lineRule="auto"/>
        <w:rPr>
          <w:rFonts w:ascii="宋体" w:hAnsi="宋体"/>
          <w:b/>
          <w:color w:val="FF0000"/>
          <w:sz w:val="24"/>
        </w:rPr>
      </w:pPr>
      <w:r>
        <w:rPr>
          <w:rFonts w:hint="eastAsia" w:ascii="宋体" w:hAnsi="宋体"/>
          <w:b/>
          <w:color w:val="FF0000"/>
          <w:sz w:val="24"/>
        </w:rPr>
        <w:t>设备监造：</w:t>
      </w:r>
    </w:p>
    <w:p>
      <w:pPr>
        <w:spacing w:beforeLines="20" w:afterLines="20" w:line="360" w:lineRule="auto"/>
        <w:ind w:left="479" w:leftChars="228"/>
        <w:rPr>
          <w:rFonts w:ascii="宋体" w:hAnsi="宋体"/>
          <w:color w:val="FF0000"/>
          <w:sz w:val="24"/>
        </w:rPr>
      </w:pPr>
      <w:r>
        <w:rPr>
          <w:rFonts w:hint="eastAsia" w:ascii="宋体" w:hAnsi="宋体"/>
          <w:color w:val="FF0000"/>
          <w:sz w:val="24"/>
        </w:rPr>
        <w:t>业主有权派</w:t>
      </w:r>
      <w:r>
        <w:rPr>
          <w:rFonts w:ascii="宋体" w:hAnsi="宋体"/>
          <w:color w:val="FF0000"/>
          <w:sz w:val="24"/>
        </w:rPr>
        <w:t>3-4</w:t>
      </w:r>
      <w:r>
        <w:rPr>
          <w:rFonts w:hint="eastAsia" w:ascii="宋体" w:hAnsi="宋体"/>
          <w:color w:val="FF0000"/>
          <w:sz w:val="24"/>
        </w:rPr>
        <w:t>名监造人员到报价方所供应货物的制造厂或外协厂对货物的制造工艺和加工质量进行检验和监督，相关费用包含在报价中。报价方应在货物具备联检条件前</w:t>
      </w:r>
      <w:r>
        <w:rPr>
          <w:rFonts w:ascii="宋体" w:hAnsi="宋体"/>
          <w:color w:val="FF0000"/>
          <w:sz w:val="24"/>
        </w:rPr>
        <w:t>15</w:t>
      </w:r>
      <w:r>
        <w:rPr>
          <w:rFonts w:hint="eastAsia" w:ascii="宋体" w:hAnsi="宋体"/>
          <w:color w:val="FF0000"/>
          <w:sz w:val="24"/>
        </w:rPr>
        <w:t>天通知业主，以便业主能够及时安排监造人员的行程。监造人员在生产现场参加的质量检验和试车不代替设备运抵工程现场后所进行的检验和试车，也不能免除报价方的质量保证责任。报价方应及时向现场监造人员提供为检验所需的图纸、技术文件、检测记录、检测工具等条件。</w:t>
      </w:r>
    </w:p>
    <w:p>
      <w:pPr>
        <w:jc w:val="center"/>
        <w:rPr>
          <w:b/>
          <w:bCs/>
          <w:sz w:val="30"/>
          <w:szCs w:val="30"/>
        </w:rPr>
      </w:pPr>
      <w:r>
        <w:rPr>
          <w:rFonts w:hint="eastAsia"/>
        </w:rPr>
        <w:t xml:space="preserve">   </w:t>
      </w:r>
      <w:r>
        <w:rPr>
          <w:rFonts w:hint="eastAsia"/>
          <w:b/>
          <w:bCs/>
          <w:sz w:val="30"/>
          <w:szCs w:val="30"/>
        </w:rPr>
        <w:t>第五章 投标文件部分格式</w:t>
      </w:r>
    </w:p>
    <w:p>
      <w:pPr>
        <w:autoSpaceDE w:val="0"/>
        <w:autoSpaceDN w:val="0"/>
        <w:adjustRightInd w:val="0"/>
        <w:spacing w:line="360" w:lineRule="auto"/>
        <w:rPr>
          <w:rFonts w:ascii="宋体" w:hAnsi="宋体" w:cs="仿宋_GB2312"/>
          <w:sz w:val="32"/>
          <w:szCs w:val="32"/>
          <w:lang w:val="zh-CN"/>
        </w:rPr>
      </w:pPr>
      <w:r>
        <w:rPr>
          <w:rFonts w:hint="eastAsia" w:ascii="宋体" w:hAnsi="宋体" w:cs="仿宋_GB2312"/>
          <w:sz w:val="32"/>
          <w:szCs w:val="32"/>
          <w:lang w:val="zh-CN"/>
        </w:rPr>
        <w:t xml:space="preserve">                         投  标  函</w:t>
      </w:r>
    </w:p>
    <w:p>
      <w:pPr>
        <w:autoSpaceDE w:val="0"/>
        <w:autoSpaceDN w:val="0"/>
        <w:adjustRightInd w:val="0"/>
        <w:spacing w:line="360" w:lineRule="auto"/>
        <w:rPr>
          <w:rFonts w:ascii="宋体" w:hAnsi="宋体" w:cs="仿宋_GB2312"/>
          <w:sz w:val="24"/>
          <w:u w:val="single"/>
          <w:lang w:val="zh-CN"/>
        </w:rPr>
      </w:pPr>
      <w:r>
        <w:rPr>
          <w:rFonts w:hint="eastAsia" w:ascii="宋体" w:hAnsi="宋体" w:cs="仿宋_GB2312"/>
          <w:sz w:val="24"/>
          <w:u w:val="single"/>
          <w:lang w:val="zh-CN"/>
        </w:rPr>
        <w:t xml:space="preserve">                ：</w:t>
      </w:r>
    </w:p>
    <w:p>
      <w:pPr>
        <w:autoSpaceDE w:val="0"/>
        <w:autoSpaceDN w:val="0"/>
        <w:adjustRightInd w:val="0"/>
        <w:spacing w:line="360" w:lineRule="auto"/>
        <w:rPr>
          <w:rFonts w:ascii="宋体" w:hAnsi="宋体" w:cs="仿宋_GB2312"/>
          <w:sz w:val="28"/>
          <w:szCs w:val="28"/>
          <w:lang w:val="zh-CN"/>
        </w:rPr>
      </w:pPr>
    </w:p>
    <w:p>
      <w:pPr>
        <w:autoSpaceDE w:val="0"/>
        <w:autoSpaceDN w:val="0"/>
        <w:adjustRightInd w:val="0"/>
        <w:spacing w:line="360" w:lineRule="auto"/>
        <w:rPr>
          <w:rFonts w:ascii="宋体" w:hAnsi="宋体" w:cs="仿宋_GB2312"/>
          <w:sz w:val="24"/>
          <w:lang w:val="zh-CN"/>
        </w:rPr>
      </w:pPr>
      <w:r>
        <w:rPr>
          <w:rFonts w:hint="eastAsia" w:ascii="宋体" w:hAnsi="宋体" w:cs="仿宋_GB2312"/>
          <w:sz w:val="24"/>
          <w:lang w:val="zh-CN"/>
        </w:rPr>
        <w:t xml:space="preserve">    </w:t>
      </w:r>
      <w:r>
        <w:rPr>
          <w:rFonts w:hint="eastAsia" w:ascii="宋体" w:hAnsi="宋体" w:cs="仿宋_GB2312"/>
          <w:sz w:val="24"/>
          <w:u w:val="single"/>
          <w:lang w:val="zh-CN"/>
        </w:rPr>
        <w:t xml:space="preserve">                    </w:t>
      </w:r>
      <w:r>
        <w:rPr>
          <w:rFonts w:hint="eastAsia" w:ascii="宋体" w:hAnsi="宋体" w:cs="仿宋_GB2312"/>
          <w:sz w:val="24"/>
          <w:lang w:val="zh-CN"/>
        </w:rPr>
        <w:t>（供应商全称）授权</w:t>
      </w:r>
      <w:r>
        <w:rPr>
          <w:rFonts w:hint="eastAsia" w:ascii="宋体" w:hAnsi="宋体" w:cs="仿宋_GB2312"/>
          <w:sz w:val="24"/>
          <w:u w:val="single"/>
          <w:lang w:val="zh-CN"/>
        </w:rPr>
        <w:t xml:space="preserve">              </w:t>
      </w:r>
      <w:r>
        <w:rPr>
          <w:rFonts w:hint="eastAsia" w:ascii="宋体" w:hAnsi="宋体" w:cs="仿宋_GB2312"/>
          <w:sz w:val="24"/>
          <w:lang w:val="zh-CN"/>
        </w:rPr>
        <w:t xml:space="preserve"> （全权代表名称）</w:t>
      </w:r>
      <w:r>
        <w:rPr>
          <w:rFonts w:hint="eastAsia" w:ascii="宋体" w:hAnsi="宋体" w:cs="仿宋_GB2312"/>
          <w:sz w:val="24"/>
          <w:u w:val="single"/>
          <w:lang w:val="zh-CN"/>
        </w:rPr>
        <w:t xml:space="preserve">         </w:t>
      </w:r>
      <w:r>
        <w:rPr>
          <w:rFonts w:hint="eastAsia" w:ascii="宋体" w:hAnsi="宋体" w:cs="仿宋_GB2312"/>
          <w:sz w:val="24"/>
          <w:lang w:val="zh-CN"/>
        </w:rPr>
        <w:t>（职务、职称）为全权代表，参加贵方组织的</w:t>
      </w:r>
      <w:r>
        <w:rPr>
          <w:rFonts w:hint="eastAsia" w:ascii="宋体" w:hAnsi="宋体" w:cs="仿宋_GB2312"/>
          <w:sz w:val="24"/>
          <w:u w:val="single"/>
          <w:lang w:val="zh-CN"/>
        </w:rPr>
        <w:t xml:space="preserve">           </w:t>
      </w:r>
      <w:r>
        <w:rPr>
          <w:rFonts w:hint="eastAsia" w:ascii="宋体" w:hAnsi="宋体" w:cs="仿宋_GB2312"/>
          <w:sz w:val="24"/>
          <w:lang w:val="zh-CN"/>
        </w:rPr>
        <w:t>（招标项目名称）（括号内填投标编号）招标的有关活动，并对</w:t>
      </w:r>
      <w:r>
        <w:rPr>
          <w:rFonts w:hint="eastAsia" w:ascii="宋体" w:hAnsi="宋体" w:cs="仿宋_GB2312"/>
          <w:sz w:val="24"/>
          <w:u w:val="single"/>
          <w:lang w:val="zh-CN"/>
        </w:rPr>
        <w:t xml:space="preserve">           </w:t>
      </w:r>
      <w:r>
        <w:rPr>
          <w:rFonts w:hint="eastAsia" w:ascii="宋体" w:hAnsi="宋体" w:cs="仿宋_GB2312"/>
          <w:sz w:val="24"/>
          <w:lang w:val="zh-CN"/>
        </w:rPr>
        <w:t xml:space="preserve">设备进行投标。为此：    </w:t>
      </w:r>
    </w:p>
    <w:p>
      <w:pPr>
        <w:numPr>
          <w:ilvl w:val="0"/>
          <w:numId w:val="5"/>
        </w:numPr>
        <w:autoSpaceDE w:val="0"/>
        <w:autoSpaceDN w:val="0"/>
        <w:adjustRightInd w:val="0"/>
        <w:spacing w:line="360" w:lineRule="auto"/>
        <w:rPr>
          <w:rFonts w:ascii="宋体" w:hAnsi="宋体" w:cs="仿宋_GB2312"/>
          <w:sz w:val="24"/>
          <w:lang w:val="zh-CN"/>
        </w:rPr>
      </w:pPr>
      <w:r>
        <w:rPr>
          <w:rFonts w:hint="eastAsia" w:ascii="宋体" w:hAnsi="宋体" w:cs="仿宋_GB2312"/>
          <w:sz w:val="24"/>
          <w:lang w:val="zh-CN"/>
        </w:rPr>
        <w:t>提供投标须知规定的全部投标文件：投标文件正本一份，副本三份；</w:t>
      </w:r>
    </w:p>
    <w:p>
      <w:pPr>
        <w:autoSpaceDE w:val="0"/>
        <w:autoSpaceDN w:val="0"/>
        <w:adjustRightInd w:val="0"/>
        <w:spacing w:line="360" w:lineRule="auto"/>
        <w:ind w:firstLine="450"/>
        <w:rPr>
          <w:rFonts w:ascii="宋体" w:hAnsi="宋体" w:cs="仿宋_GB2312"/>
          <w:sz w:val="24"/>
          <w:lang w:val="zh-CN"/>
        </w:rPr>
      </w:pPr>
      <w:r>
        <w:rPr>
          <w:rFonts w:hint="eastAsia" w:ascii="宋体" w:hAnsi="宋体" w:cs="仿宋_GB2312"/>
          <w:sz w:val="24"/>
          <w:lang w:val="zh-CN"/>
        </w:rPr>
        <w:t>2、保证遵守招标文件中的有关规定和约定。</w:t>
      </w:r>
    </w:p>
    <w:p>
      <w:pPr>
        <w:autoSpaceDE w:val="0"/>
        <w:autoSpaceDN w:val="0"/>
        <w:adjustRightInd w:val="0"/>
        <w:spacing w:line="360" w:lineRule="auto"/>
        <w:ind w:firstLine="465"/>
        <w:rPr>
          <w:rFonts w:ascii="宋体" w:hAnsi="宋体" w:cs="仿宋_GB2312"/>
          <w:sz w:val="24"/>
          <w:lang w:val="zh-CN"/>
        </w:rPr>
      </w:pPr>
      <w:r>
        <w:rPr>
          <w:rFonts w:hint="eastAsia" w:ascii="宋体" w:hAnsi="宋体" w:cs="仿宋_GB2312"/>
          <w:sz w:val="24"/>
          <w:lang w:val="zh-CN"/>
        </w:rPr>
        <w:t>3、保证忠实地执行采购人、中标人双方所签的合同， 并承担合同规定的责任义务。</w:t>
      </w:r>
    </w:p>
    <w:p>
      <w:pPr>
        <w:autoSpaceDE w:val="0"/>
        <w:autoSpaceDN w:val="0"/>
        <w:adjustRightInd w:val="0"/>
        <w:spacing w:line="360" w:lineRule="auto"/>
        <w:ind w:firstLine="465"/>
        <w:rPr>
          <w:rFonts w:ascii="宋体" w:hAnsi="宋体" w:cs="仿宋_GB2312"/>
          <w:sz w:val="24"/>
          <w:lang w:val="zh-CN"/>
        </w:rPr>
      </w:pPr>
      <w:r>
        <w:rPr>
          <w:rFonts w:hint="eastAsia" w:ascii="宋体" w:hAnsi="宋体" w:cs="仿宋_GB2312"/>
          <w:sz w:val="24"/>
          <w:lang w:val="zh-CN"/>
        </w:rPr>
        <w:t>4、我方已详细审查全部招标文件，包括招标文件补充文件（如果有的话）。我方完全理解并同意放弃对这方面有不明及误解的权力。如果招标文件有相互矛盾之处，我方同意按采购人的理解处理。</w:t>
      </w:r>
    </w:p>
    <w:p>
      <w:pPr>
        <w:autoSpaceDE w:val="0"/>
        <w:autoSpaceDN w:val="0"/>
        <w:adjustRightInd w:val="0"/>
        <w:spacing w:line="360" w:lineRule="auto"/>
        <w:ind w:firstLine="450"/>
        <w:rPr>
          <w:rFonts w:ascii="宋体" w:hAnsi="宋体" w:cs="仿宋_GB2312"/>
          <w:sz w:val="24"/>
          <w:lang w:val="zh-CN"/>
        </w:rPr>
      </w:pPr>
      <w:r>
        <w:rPr>
          <w:rFonts w:hint="eastAsia" w:ascii="宋体" w:hAnsi="宋体" w:cs="仿宋_GB2312"/>
          <w:sz w:val="24"/>
          <w:lang w:val="zh-CN"/>
        </w:rPr>
        <w:t>5、愿意向贵方提供任何与该项投标有关的数据、情况和技术资料，完全理解贵方不一定接受最低价的投标或收到的任何投标。</w:t>
      </w:r>
    </w:p>
    <w:p>
      <w:pPr>
        <w:autoSpaceDE w:val="0"/>
        <w:autoSpaceDN w:val="0"/>
        <w:adjustRightInd w:val="0"/>
        <w:spacing w:line="360" w:lineRule="auto"/>
        <w:ind w:firstLine="450"/>
        <w:rPr>
          <w:rFonts w:ascii="宋体" w:hAnsi="宋体" w:cs="仿宋_GB2312"/>
          <w:sz w:val="24"/>
          <w:lang w:val="zh-CN"/>
        </w:rPr>
      </w:pPr>
      <w:r>
        <w:rPr>
          <w:rFonts w:hint="eastAsia" w:ascii="宋体" w:hAnsi="宋体" w:cs="仿宋_GB2312"/>
          <w:sz w:val="24"/>
          <w:lang w:val="zh-CN"/>
        </w:rPr>
        <w:t>6、本投标自开标之日起60天内有效。</w:t>
      </w:r>
    </w:p>
    <w:p>
      <w:pPr>
        <w:autoSpaceDE w:val="0"/>
        <w:autoSpaceDN w:val="0"/>
        <w:adjustRightInd w:val="0"/>
        <w:spacing w:line="360" w:lineRule="auto"/>
        <w:ind w:firstLine="450"/>
        <w:rPr>
          <w:rFonts w:ascii="宋体" w:hAnsi="宋体" w:cs="仿宋_GB2312"/>
          <w:sz w:val="24"/>
          <w:lang w:val="zh-CN"/>
        </w:rPr>
      </w:pPr>
      <w:r>
        <w:rPr>
          <w:rFonts w:hint="eastAsia" w:ascii="宋体" w:hAnsi="宋体" w:cs="仿宋_GB2312"/>
          <w:sz w:val="24"/>
          <w:lang w:val="zh-CN"/>
        </w:rPr>
        <w:t>7、与本投标有关的一切往来通讯请寄：</w:t>
      </w:r>
    </w:p>
    <w:p>
      <w:pPr>
        <w:autoSpaceDE w:val="0"/>
        <w:autoSpaceDN w:val="0"/>
        <w:adjustRightInd w:val="0"/>
        <w:spacing w:line="360" w:lineRule="auto"/>
        <w:rPr>
          <w:rFonts w:ascii="宋体" w:hAnsi="宋体" w:cs="仿宋_GB2312"/>
          <w:sz w:val="24"/>
          <w:lang w:val="zh-CN"/>
        </w:rPr>
      </w:pPr>
      <w:r>
        <w:rPr>
          <w:rFonts w:hint="eastAsia" w:ascii="宋体" w:hAnsi="宋体" w:cs="仿宋_GB2312"/>
          <w:sz w:val="24"/>
          <w:lang w:val="zh-CN"/>
        </w:rPr>
        <w:t>地址：</w:t>
      </w:r>
      <w:r>
        <w:rPr>
          <w:rFonts w:hint="eastAsia" w:ascii="宋体" w:hAnsi="宋体" w:cs="仿宋_GB2312"/>
          <w:sz w:val="24"/>
          <w:u w:val="single"/>
          <w:lang w:val="zh-CN"/>
        </w:rPr>
        <w:t xml:space="preserve">                                 </w:t>
      </w:r>
    </w:p>
    <w:p>
      <w:pPr>
        <w:autoSpaceDE w:val="0"/>
        <w:autoSpaceDN w:val="0"/>
        <w:adjustRightInd w:val="0"/>
        <w:spacing w:line="360" w:lineRule="auto"/>
        <w:rPr>
          <w:rFonts w:ascii="宋体" w:hAnsi="宋体" w:cs="仿宋_GB2312"/>
          <w:sz w:val="24"/>
          <w:lang w:val="zh-CN"/>
        </w:rPr>
      </w:pPr>
      <w:r>
        <w:rPr>
          <w:rFonts w:hint="eastAsia" w:ascii="宋体" w:hAnsi="宋体" w:cs="仿宋_GB2312"/>
          <w:sz w:val="24"/>
          <w:lang w:val="zh-CN"/>
        </w:rPr>
        <w:t>邮编：</w:t>
      </w:r>
      <w:r>
        <w:rPr>
          <w:rFonts w:hint="eastAsia" w:ascii="宋体" w:hAnsi="宋体" w:cs="仿宋_GB2312"/>
          <w:sz w:val="24"/>
          <w:u w:val="single"/>
          <w:lang w:val="zh-CN"/>
        </w:rPr>
        <w:t xml:space="preserve">               </w:t>
      </w:r>
      <w:r>
        <w:rPr>
          <w:rFonts w:hint="eastAsia" w:ascii="宋体" w:hAnsi="宋体" w:cs="仿宋_GB2312"/>
          <w:sz w:val="24"/>
          <w:lang w:val="zh-CN"/>
        </w:rPr>
        <w:t>电话：</w:t>
      </w:r>
      <w:r>
        <w:rPr>
          <w:rFonts w:hint="eastAsia" w:ascii="宋体" w:hAnsi="宋体" w:cs="仿宋_GB2312"/>
          <w:sz w:val="24"/>
          <w:u w:val="single"/>
          <w:lang w:val="zh-CN"/>
        </w:rPr>
        <w:t xml:space="preserve">                 </w:t>
      </w:r>
      <w:r>
        <w:rPr>
          <w:rFonts w:hint="eastAsia" w:ascii="宋体" w:hAnsi="宋体" w:cs="仿宋_GB2312"/>
          <w:sz w:val="24"/>
          <w:lang w:val="zh-CN"/>
        </w:rPr>
        <w:t>传真：</w:t>
      </w:r>
      <w:r>
        <w:rPr>
          <w:rFonts w:hint="eastAsia" w:ascii="宋体" w:hAnsi="宋体" w:cs="仿宋_GB2312"/>
          <w:sz w:val="24"/>
          <w:u w:val="single"/>
          <w:lang w:val="zh-CN"/>
        </w:rPr>
        <w:t xml:space="preserve">                 </w:t>
      </w:r>
    </w:p>
    <w:p>
      <w:pPr>
        <w:autoSpaceDE w:val="0"/>
        <w:autoSpaceDN w:val="0"/>
        <w:adjustRightInd w:val="0"/>
        <w:spacing w:line="360" w:lineRule="auto"/>
        <w:rPr>
          <w:rFonts w:ascii="宋体" w:hAnsi="宋体" w:cs="仿宋_GB2312"/>
          <w:sz w:val="24"/>
          <w:lang w:val="zh-CN"/>
        </w:rPr>
      </w:pPr>
      <w:r>
        <w:rPr>
          <w:rFonts w:hint="eastAsia" w:ascii="宋体" w:hAnsi="宋体" w:cs="仿宋_GB2312"/>
          <w:sz w:val="24"/>
          <w:lang w:val="zh-CN"/>
        </w:rPr>
        <w:t>供应商全称（盖章）：</w:t>
      </w:r>
    </w:p>
    <w:p>
      <w:pPr>
        <w:autoSpaceDE w:val="0"/>
        <w:autoSpaceDN w:val="0"/>
        <w:adjustRightInd w:val="0"/>
        <w:spacing w:line="360" w:lineRule="auto"/>
        <w:rPr>
          <w:rFonts w:ascii="宋体" w:hAnsi="宋体" w:cs="仿宋_GB2312"/>
          <w:sz w:val="24"/>
          <w:lang w:val="zh-CN"/>
        </w:rPr>
      </w:pPr>
      <w:r>
        <w:rPr>
          <w:rFonts w:hint="eastAsia" w:ascii="宋体" w:hAnsi="宋体" w:cs="仿宋_GB2312"/>
          <w:sz w:val="24"/>
          <w:lang w:val="zh-CN"/>
        </w:rPr>
        <w:t>全权代表（签字）：                               日期</w:t>
      </w:r>
    </w:p>
    <w:p>
      <w:pPr>
        <w:autoSpaceDE w:val="0"/>
        <w:autoSpaceDN w:val="0"/>
        <w:adjustRightInd w:val="0"/>
        <w:spacing w:line="360" w:lineRule="auto"/>
        <w:rPr>
          <w:rFonts w:ascii="宋体" w:hAnsi="宋体" w:cs="仿宋_GB2312"/>
          <w:sz w:val="24"/>
          <w:lang w:val="zh-CN"/>
        </w:rPr>
      </w:pPr>
      <w:r>
        <w:rPr>
          <w:rFonts w:hint="eastAsia" w:ascii="宋体" w:hAnsi="宋体" w:cs="仿宋_GB2312"/>
          <w:sz w:val="24"/>
          <w:lang w:val="zh-CN"/>
        </w:rPr>
        <w:t>：</w:t>
      </w:r>
      <w:r>
        <w:rPr>
          <w:rFonts w:hint="eastAsia" w:ascii="宋体" w:hAnsi="宋体"/>
          <w:sz w:val="24"/>
          <w:u w:val="single"/>
        </w:rPr>
        <w:t>不按此格式提供投标函将视为没有实质性相应招标文件。</w:t>
      </w:r>
    </w:p>
    <w:p>
      <w:pPr>
        <w:autoSpaceDE w:val="0"/>
        <w:autoSpaceDN w:val="0"/>
        <w:adjustRightInd w:val="0"/>
        <w:spacing w:line="360" w:lineRule="auto"/>
        <w:jc w:val="center"/>
        <w:rPr>
          <w:rFonts w:ascii="宋体" w:hAnsi="宋体" w:cs="仿宋_GB2312"/>
          <w:b/>
          <w:sz w:val="30"/>
          <w:szCs w:val="30"/>
          <w:lang w:val="zh-CN"/>
        </w:rPr>
      </w:pPr>
    </w:p>
    <w:p>
      <w:pPr>
        <w:autoSpaceDE w:val="0"/>
        <w:autoSpaceDN w:val="0"/>
        <w:adjustRightInd w:val="0"/>
        <w:spacing w:line="360" w:lineRule="auto"/>
        <w:jc w:val="center"/>
        <w:rPr>
          <w:rFonts w:ascii="宋体" w:hAnsi="宋体" w:cs="仿宋_GB2312"/>
          <w:b/>
          <w:sz w:val="30"/>
          <w:szCs w:val="30"/>
          <w:lang w:val="zh-CN"/>
        </w:rPr>
      </w:pPr>
      <w:r>
        <w:rPr>
          <w:rFonts w:hint="eastAsia" w:ascii="宋体" w:hAnsi="宋体" w:cs="仿宋_GB2312"/>
          <w:b/>
          <w:sz w:val="30"/>
          <w:szCs w:val="30"/>
          <w:lang w:val="zh-CN"/>
        </w:rPr>
        <w:t>技术参数响应表</w:t>
      </w:r>
    </w:p>
    <w:p>
      <w:pPr>
        <w:pStyle w:val="5"/>
        <w:spacing w:line="360" w:lineRule="auto"/>
        <w:rPr>
          <w:rFonts w:hAnsi="宋体"/>
          <w:b/>
          <w:spacing w:val="20"/>
          <w:szCs w:val="21"/>
        </w:rPr>
      </w:pPr>
      <w:r>
        <w:rPr>
          <w:rFonts w:hint="eastAsia" w:hAnsi="宋体"/>
          <w:b/>
          <w:spacing w:val="20"/>
          <w:szCs w:val="21"/>
        </w:rPr>
        <w:t>（表格可以调整延续）</w:t>
      </w:r>
    </w:p>
    <w:p>
      <w:pPr>
        <w:pStyle w:val="5"/>
        <w:spacing w:line="360" w:lineRule="auto"/>
        <w:rPr>
          <w:rFonts w:hAnsi="宋体"/>
          <w:spacing w:val="20"/>
          <w:sz w:val="24"/>
        </w:rPr>
      </w:pPr>
      <w:r>
        <w:rPr>
          <w:rFonts w:hint="eastAsia" w:hAnsi="宋体"/>
          <w:b/>
          <w:spacing w:val="20"/>
          <w:sz w:val="24"/>
        </w:rPr>
        <w:t>投标人盖章</w:t>
      </w:r>
      <w:r>
        <w:rPr>
          <w:rFonts w:hint="eastAsia" w:hAnsi="宋体"/>
          <w:spacing w:val="20"/>
          <w:sz w:val="24"/>
        </w:rPr>
        <w:t>：</w:t>
      </w:r>
      <w:r>
        <w:rPr>
          <w:rFonts w:hint="eastAsia" w:hAnsi="宋体"/>
          <w:spacing w:val="20"/>
          <w:sz w:val="24"/>
          <w:u w:val="single"/>
        </w:rPr>
        <w:t xml:space="preserve">               </w:t>
      </w:r>
      <w:r>
        <w:rPr>
          <w:rFonts w:hint="eastAsia" w:hAnsi="宋体"/>
          <w:spacing w:val="20"/>
          <w:sz w:val="24"/>
        </w:rPr>
        <w:t xml:space="preserve"> </w:t>
      </w:r>
    </w:p>
    <w:tbl>
      <w:tblPr>
        <w:tblStyle w:val="15"/>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1503"/>
        <w:gridCol w:w="2873"/>
        <w:gridCol w:w="19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 w:type="dxa"/>
            <w:vMerge w:val="restart"/>
            <w:vAlign w:val="center"/>
          </w:tcPr>
          <w:p>
            <w:pPr>
              <w:pStyle w:val="5"/>
              <w:spacing w:line="360" w:lineRule="auto"/>
              <w:rPr>
                <w:rFonts w:hAnsi="宋体"/>
                <w:b/>
                <w:spacing w:val="20"/>
                <w:szCs w:val="21"/>
              </w:rPr>
            </w:pPr>
            <w:r>
              <w:rPr>
                <w:rFonts w:hint="eastAsia" w:hAnsi="宋体"/>
                <w:b/>
                <w:spacing w:val="20"/>
                <w:szCs w:val="21"/>
              </w:rPr>
              <w:t>序号</w:t>
            </w:r>
          </w:p>
        </w:tc>
        <w:tc>
          <w:tcPr>
            <w:tcW w:w="4376" w:type="dxa"/>
            <w:gridSpan w:val="2"/>
            <w:vAlign w:val="center"/>
          </w:tcPr>
          <w:p>
            <w:pPr>
              <w:pStyle w:val="5"/>
              <w:spacing w:line="360" w:lineRule="auto"/>
              <w:jc w:val="center"/>
              <w:rPr>
                <w:rFonts w:hAnsi="宋体"/>
                <w:b/>
                <w:spacing w:val="20"/>
                <w:szCs w:val="21"/>
              </w:rPr>
            </w:pPr>
            <w:r>
              <w:rPr>
                <w:rFonts w:hint="eastAsia" w:hAnsi="宋体"/>
                <w:b/>
                <w:spacing w:val="20"/>
                <w:szCs w:val="21"/>
              </w:rPr>
              <w:t>招标人要求</w:t>
            </w:r>
          </w:p>
        </w:tc>
        <w:tc>
          <w:tcPr>
            <w:tcW w:w="3600" w:type="dxa"/>
            <w:gridSpan w:val="2"/>
            <w:vAlign w:val="center"/>
          </w:tcPr>
          <w:p>
            <w:pPr>
              <w:pStyle w:val="5"/>
              <w:spacing w:line="360" w:lineRule="auto"/>
              <w:jc w:val="center"/>
              <w:rPr>
                <w:rFonts w:hAnsi="宋体"/>
                <w:b/>
                <w:spacing w:val="20"/>
                <w:szCs w:val="21"/>
              </w:rPr>
            </w:pPr>
            <w:r>
              <w:rPr>
                <w:rFonts w:hint="eastAsia" w:hAnsi="宋体"/>
                <w:b/>
                <w:spacing w:val="20"/>
                <w:szCs w:val="21"/>
              </w:rPr>
              <w:t>投标人响应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 w:type="dxa"/>
            <w:vMerge w:val="continue"/>
            <w:vAlign w:val="center"/>
          </w:tcPr>
          <w:p>
            <w:pPr>
              <w:pStyle w:val="5"/>
              <w:spacing w:line="360" w:lineRule="auto"/>
              <w:jc w:val="center"/>
              <w:rPr>
                <w:rFonts w:hAnsi="宋体"/>
                <w:b/>
                <w:spacing w:val="20"/>
                <w:szCs w:val="21"/>
              </w:rPr>
            </w:pPr>
          </w:p>
        </w:tc>
        <w:tc>
          <w:tcPr>
            <w:tcW w:w="1503" w:type="dxa"/>
            <w:vAlign w:val="bottom"/>
          </w:tcPr>
          <w:p>
            <w:pPr>
              <w:pStyle w:val="5"/>
              <w:spacing w:line="360" w:lineRule="auto"/>
              <w:jc w:val="center"/>
              <w:rPr>
                <w:rFonts w:hAnsi="宋体"/>
                <w:b/>
                <w:spacing w:val="20"/>
                <w:szCs w:val="21"/>
              </w:rPr>
            </w:pPr>
            <w:r>
              <w:rPr>
                <w:rFonts w:hint="eastAsia" w:hAnsi="宋体"/>
                <w:b/>
                <w:spacing w:val="20"/>
                <w:szCs w:val="21"/>
              </w:rPr>
              <w:t>技术内容</w:t>
            </w:r>
          </w:p>
        </w:tc>
        <w:tc>
          <w:tcPr>
            <w:tcW w:w="2873" w:type="dxa"/>
            <w:vAlign w:val="bottom"/>
          </w:tcPr>
          <w:p>
            <w:pPr>
              <w:pStyle w:val="5"/>
              <w:spacing w:line="360" w:lineRule="auto"/>
              <w:jc w:val="center"/>
              <w:rPr>
                <w:rFonts w:hAnsi="宋体"/>
                <w:b/>
                <w:spacing w:val="20"/>
                <w:szCs w:val="21"/>
              </w:rPr>
            </w:pPr>
            <w:r>
              <w:rPr>
                <w:rFonts w:hint="eastAsia" w:hAnsi="宋体"/>
                <w:b/>
                <w:spacing w:val="20"/>
                <w:szCs w:val="21"/>
              </w:rPr>
              <w:t>招标要求</w:t>
            </w:r>
          </w:p>
        </w:tc>
        <w:tc>
          <w:tcPr>
            <w:tcW w:w="1980" w:type="dxa"/>
            <w:vAlign w:val="center"/>
          </w:tcPr>
          <w:p>
            <w:pPr>
              <w:pStyle w:val="5"/>
              <w:spacing w:line="360" w:lineRule="auto"/>
              <w:jc w:val="center"/>
              <w:rPr>
                <w:rFonts w:hAnsi="宋体"/>
                <w:b/>
                <w:spacing w:val="20"/>
                <w:szCs w:val="21"/>
              </w:rPr>
            </w:pPr>
            <w:r>
              <w:rPr>
                <w:rFonts w:hint="eastAsia" w:hAnsi="宋体"/>
                <w:b/>
                <w:spacing w:val="20"/>
                <w:szCs w:val="21"/>
              </w:rPr>
              <w:t>技术响应情况</w:t>
            </w:r>
          </w:p>
        </w:tc>
        <w:tc>
          <w:tcPr>
            <w:tcW w:w="1620" w:type="dxa"/>
            <w:vAlign w:val="center"/>
          </w:tcPr>
          <w:p>
            <w:pPr>
              <w:pStyle w:val="5"/>
              <w:spacing w:line="360" w:lineRule="auto"/>
              <w:jc w:val="center"/>
              <w:rPr>
                <w:rFonts w:hAnsi="宋体"/>
                <w:b/>
                <w:spacing w:val="20"/>
                <w:szCs w:val="21"/>
              </w:rPr>
            </w:pPr>
            <w:r>
              <w:rPr>
                <w:rFonts w:hint="eastAsia" w:hAnsi="宋体"/>
                <w:b/>
                <w:spacing w:val="2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 w:type="dxa"/>
            <w:vAlign w:val="center"/>
          </w:tcPr>
          <w:p>
            <w:pPr>
              <w:pStyle w:val="5"/>
              <w:spacing w:line="360" w:lineRule="auto"/>
              <w:jc w:val="center"/>
              <w:rPr>
                <w:rFonts w:hAnsi="宋体"/>
                <w:spacing w:val="20"/>
                <w:szCs w:val="21"/>
              </w:rPr>
            </w:pPr>
          </w:p>
        </w:tc>
        <w:tc>
          <w:tcPr>
            <w:tcW w:w="1503" w:type="dxa"/>
            <w:vAlign w:val="center"/>
          </w:tcPr>
          <w:p>
            <w:pPr>
              <w:pStyle w:val="5"/>
              <w:spacing w:line="360" w:lineRule="auto"/>
              <w:jc w:val="center"/>
              <w:rPr>
                <w:rFonts w:hAnsi="宋体"/>
                <w:spacing w:val="20"/>
                <w:szCs w:val="21"/>
              </w:rPr>
            </w:pPr>
          </w:p>
        </w:tc>
        <w:tc>
          <w:tcPr>
            <w:tcW w:w="2873" w:type="dxa"/>
            <w:vAlign w:val="center"/>
          </w:tcPr>
          <w:p>
            <w:pPr>
              <w:pStyle w:val="5"/>
              <w:spacing w:line="360" w:lineRule="auto"/>
              <w:jc w:val="center"/>
              <w:rPr>
                <w:rFonts w:hAnsi="宋体"/>
                <w:spacing w:val="20"/>
                <w:szCs w:val="21"/>
              </w:rPr>
            </w:pPr>
          </w:p>
        </w:tc>
        <w:tc>
          <w:tcPr>
            <w:tcW w:w="1980" w:type="dxa"/>
            <w:vAlign w:val="center"/>
          </w:tcPr>
          <w:p>
            <w:pPr>
              <w:pStyle w:val="5"/>
              <w:spacing w:line="360" w:lineRule="auto"/>
              <w:jc w:val="center"/>
              <w:rPr>
                <w:rFonts w:hAnsi="宋体"/>
                <w:spacing w:val="20"/>
                <w:szCs w:val="21"/>
              </w:rPr>
            </w:pPr>
          </w:p>
        </w:tc>
        <w:tc>
          <w:tcPr>
            <w:tcW w:w="1620" w:type="dxa"/>
            <w:vAlign w:val="center"/>
          </w:tcPr>
          <w:p>
            <w:pPr>
              <w:pStyle w:val="5"/>
              <w:spacing w:line="360" w:lineRule="auto"/>
              <w:jc w:val="center"/>
              <w:rPr>
                <w:rFonts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 w:type="dxa"/>
            <w:vAlign w:val="center"/>
          </w:tcPr>
          <w:p>
            <w:pPr>
              <w:pStyle w:val="5"/>
              <w:spacing w:line="360" w:lineRule="auto"/>
              <w:jc w:val="center"/>
              <w:rPr>
                <w:rFonts w:hAnsi="宋体"/>
                <w:b/>
                <w:spacing w:val="20"/>
                <w:szCs w:val="21"/>
              </w:rPr>
            </w:pPr>
          </w:p>
        </w:tc>
        <w:tc>
          <w:tcPr>
            <w:tcW w:w="1503" w:type="dxa"/>
            <w:vAlign w:val="center"/>
          </w:tcPr>
          <w:p>
            <w:pPr>
              <w:pStyle w:val="5"/>
              <w:spacing w:line="360" w:lineRule="auto"/>
              <w:jc w:val="center"/>
              <w:rPr>
                <w:rFonts w:hAnsi="宋体"/>
                <w:b/>
                <w:spacing w:val="20"/>
                <w:szCs w:val="21"/>
              </w:rPr>
            </w:pPr>
          </w:p>
        </w:tc>
        <w:tc>
          <w:tcPr>
            <w:tcW w:w="2873" w:type="dxa"/>
            <w:vAlign w:val="center"/>
          </w:tcPr>
          <w:p>
            <w:pPr>
              <w:pStyle w:val="5"/>
              <w:spacing w:line="360" w:lineRule="auto"/>
              <w:jc w:val="center"/>
              <w:rPr>
                <w:rFonts w:hAnsi="宋体"/>
                <w:b/>
                <w:spacing w:val="20"/>
                <w:szCs w:val="21"/>
              </w:rPr>
            </w:pPr>
          </w:p>
        </w:tc>
        <w:tc>
          <w:tcPr>
            <w:tcW w:w="1980" w:type="dxa"/>
            <w:vAlign w:val="center"/>
          </w:tcPr>
          <w:p>
            <w:pPr>
              <w:pStyle w:val="5"/>
              <w:spacing w:line="360" w:lineRule="auto"/>
              <w:jc w:val="center"/>
              <w:rPr>
                <w:rFonts w:hAnsi="宋体"/>
                <w:b/>
                <w:spacing w:val="20"/>
                <w:szCs w:val="21"/>
              </w:rPr>
            </w:pPr>
          </w:p>
        </w:tc>
        <w:tc>
          <w:tcPr>
            <w:tcW w:w="1620" w:type="dxa"/>
            <w:vAlign w:val="center"/>
          </w:tcPr>
          <w:p>
            <w:pPr>
              <w:pStyle w:val="5"/>
              <w:spacing w:line="360" w:lineRule="auto"/>
              <w:jc w:val="center"/>
              <w:rPr>
                <w:rFonts w:hAnsi="宋体"/>
                <w:b/>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 w:type="dxa"/>
            <w:vAlign w:val="center"/>
          </w:tcPr>
          <w:p>
            <w:pPr>
              <w:pStyle w:val="5"/>
              <w:spacing w:line="360" w:lineRule="auto"/>
              <w:jc w:val="center"/>
              <w:rPr>
                <w:rFonts w:hAnsi="宋体"/>
                <w:b/>
                <w:spacing w:val="20"/>
                <w:szCs w:val="21"/>
              </w:rPr>
            </w:pPr>
          </w:p>
        </w:tc>
        <w:tc>
          <w:tcPr>
            <w:tcW w:w="1503" w:type="dxa"/>
            <w:vAlign w:val="center"/>
          </w:tcPr>
          <w:p>
            <w:pPr>
              <w:pStyle w:val="5"/>
              <w:spacing w:line="360" w:lineRule="auto"/>
              <w:jc w:val="center"/>
              <w:rPr>
                <w:rFonts w:hAnsi="宋体"/>
                <w:b/>
                <w:spacing w:val="20"/>
                <w:szCs w:val="21"/>
              </w:rPr>
            </w:pPr>
          </w:p>
        </w:tc>
        <w:tc>
          <w:tcPr>
            <w:tcW w:w="2873" w:type="dxa"/>
            <w:vAlign w:val="center"/>
          </w:tcPr>
          <w:p>
            <w:pPr>
              <w:pStyle w:val="5"/>
              <w:spacing w:line="360" w:lineRule="auto"/>
              <w:jc w:val="center"/>
              <w:rPr>
                <w:rFonts w:hAnsi="宋体"/>
                <w:b/>
                <w:spacing w:val="20"/>
                <w:szCs w:val="21"/>
              </w:rPr>
            </w:pPr>
          </w:p>
        </w:tc>
        <w:tc>
          <w:tcPr>
            <w:tcW w:w="1980" w:type="dxa"/>
            <w:vAlign w:val="center"/>
          </w:tcPr>
          <w:p>
            <w:pPr>
              <w:pStyle w:val="5"/>
              <w:spacing w:line="360" w:lineRule="auto"/>
              <w:jc w:val="center"/>
              <w:rPr>
                <w:rFonts w:hAnsi="宋体"/>
                <w:b/>
                <w:spacing w:val="20"/>
                <w:szCs w:val="21"/>
              </w:rPr>
            </w:pPr>
          </w:p>
        </w:tc>
        <w:tc>
          <w:tcPr>
            <w:tcW w:w="1620" w:type="dxa"/>
            <w:vAlign w:val="center"/>
          </w:tcPr>
          <w:p>
            <w:pPr>
              <w:pStyle w:val="5"/>
              <w:spacing w:line="360" w:lineRule="auto"/>
              <w:jc w:val="center"/>
              <w:rPr>
                <w:rFonts w:hAnsi="宋体"/>
                <w:b/>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 w:type="dxa"/>
            <w:vAlign w:val="center"/>
          </w:tcPr>
          <w:p>
            <w:pPr>
              <w:pStyle w:val="5"/>
              <w:spacing w:line="360" w:lineRule="auto"/>
              <w:jc w:val="center"/>
              <w:rPr>
                <w:rFonts w:hAnsi="宋体"/>
                <w:b/>
                <w:spacing w:val="20"/>
                <w:szCs w:val="21"/>
              </w:rPr>
            </w:pPr>
          </w:p>
        </w:tc>
        <w:tc>
          <w:tcPr>
            <w:tcW w:w="1503" w:type="dxa"/>
            <w:vAlign w:val="center"/>
          </w:tcPr>
          <w:p>
            <w:pPr>
              <w:pStyle w:val="5"/>
              <w:spacing w:line="360" w:lineRule="auto"/>
              <w:jc w:val="center"/>
              <w:rPr>
                <w:rFonts w:hAnsi="宋体"/>
                <w:b/>
                <w:spacing w:val="20"/>
                <w:szCs w:val="21"/>
              </w:rPr>
            </w:pPr>
          </w:p>
        </w:tc>
        <w:tc>
          <w:tcPr>
            <w:tcW w:w="2873" w:type="dxa"/>
            <w:vAlign w:val="center"/>
          </w:tcPr>
          <w:p>
            <w:pPr>
              <w:pStyle w:val="5"/>
              <w:spacing w:line="360" w:lineRule="auto"/>
              <w:jc w:val="center"/>
              <w:rPr>
                <w:rFonts w:hAnsi="宋体"/>
                <w:b/>
                <w:spacing w:val="20"/>
                <w:szCs w:val="21"/>
              </w:rPr>
            </w:pPr>
          </w:p>
        </w:tc>
        <w:tc>
          <w:tcPr>
            <w:tcW w:w="1980" w:type="dxa"/>
            <w:vAlign w:val="center"/>
          </w:tcPr>
          <w:p>
            <w:pPr>
              <w:pStyle w:val="5"/>
              <w:spacing w:line="360" w:lineRule="auto"/>
              <w:jc w:val="center"/>
              <w:rPr>
                <w:rFonts w:hAnsi="宋体"/>
                <w:b/>
                <w:spacing w:val="20"/>
                <w:szCs w:val="21"/>
              </w:rPr>
            </w:pPr>
          </w:p>
        </w:tc>
        <w:tc>
          <w:tcPr>
            <w:tcW w:w="1620" w:type="dxa"/>
            <w:vAlign w:val="center"/>
          </w:tcPr>
          <w:p>
            <w:pPr>
              <w:pStyle w:val="5"/>
              <w:spacing w:line="360" w:lineRule="auto"/>
              <w:jc w:val="center"/>
              <w:rPr>
                <w:rFonts w:hAnsi="宋体"/>
                <w:b/>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 w:type="dxa"/>
            <w:vAlign w:val="center"/>
          </w:tcPr>
          <w:p>
            <w:pPr>
              <w:pStyle w:val="5"/>
              <w:spacing w:line="360" w:lineRule="auto"/>
              <w:jc w:val="center"/>
              <w:rPr>
                <w:rFonts w:hAnsi="宋体"/>
                <w:b/>
                <w:spacing w:val="20"/>
                <w:szCs w:val="21"/>
              </w:rPr>
            </w:pPr>
          </w:p>
        </w:tc>
        <w:tc>
          <w:tcPr>
            <w:tcW w:w="1503" w:type="dxa"/>
            <w:vAlign w:val="center"/>
          </w:tcPr>
          <w:p>
            <w:pPr>
              <w:pStyle w:val="5"/>
              <w:spacing w:line="360" w:lineRule="auto"/>
              <w:jc w:val="center"/>
              <w:rPr>
                <w:rFonts w:hAnsi="宋体"/>
                <w:b/>
                <w:spacing w:val="20"/>
                <w:szCs w:val="21"/>
              </w:rPr>
            </w:pPr>
          </w:p>
        </w:tc>
        <w:tc>
          <w:tcPr>
            <w:tcW w:w="2873" w:type="dxa"/>
            <w:vAlign w:val="center"/>
          </w:tcPr>
          <w:p>
            <w:pPr>
              <w:pStyle w:val="5"/>
              <w:spacing w:line="360" w:lineRule="auto"/>
              <w:jc w:val="center"/>
              <w:rPr>
                <w:rFonts w:hAnsi="宋体"/>
                <w:b/>
                <w:spacing w:val="20"/>
                <w:szCs w:val="21"/>
              </w:rPr>
            </w:pPr>
          </w:p>
        </w:tc>
        <w:tc>
          <w:tcPr>
            <w:tcW w:w="1980" w:type="dxa"/>
            <w:vAlign w:val="center"/>
          </w:tcPr>
          <w:p>
            <w:pPr>
              <w:pStyle w:val="5"/>
              <w:spacing w:line="360" w:lineRule="auto"/>
              <w:jc w:val="center"/>
              <w:rPr>
                <w:rFonts w:hAnsi="宋体"/>
                <w:b/>
                <w:spacing w:val="20"/>
                <w:szCs w:val="21"/>
              </w:rPr>
            </w:pPr>
          </w:p>
        </w:tc>
        <w:tc>
          <w:tcPr>
            <w:tcW w:w="1620" w:type="dxa"/>
            <w:vAlign w:val="center"/>
          </w:tcPr>
          <w:p>
            <w:pPr>
              <w:pStyle w:val="5"/>
              <w:spacing w:line="360" w:lineRule="auto"/>
              <w:jc w:val="center"/>
              <w:rPr>
                <w:rFonts w:hAnsi="宋体"/>
                <w:b/>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 w:type="dxa"/>
            <w:vAlign w:val="center"/>
          </w:tcPr>
          <w:p>
            <w:pPr>
              <w:pStyle w:val="5"/>
              <w:spacing w:line="360" w:lineRule="auto"/>
              <w:jc w:val="center"/>
              <w:rPr>
                <w:rFonts w:hAnsi="宋体"/>
                <w:b/>
                <w:spacing w:val="20"/>
                <w:szCs w:val="21"/>
              </w:rPr>
            </w:pPr>
          </w:p>
        </w:tc>
        <w:tc>
          <w:tcPr>
            <w:tcW w:w="1503" w:type="dxa"/>
            <w:vAlign w:val="center"/>
          </w:tcPr>
          <w:p>
            <w:pPr>
              <w:pStyle w:val="5"/>
              <w:spacing w:line="360" w:lineRule="auto"/>
              <w:jc w:val="center"/>
              <w:rPr>
                <w:rFonts w:hAnsi="宋体"/>
                <w:b/>
                <w:spacing w:val="20"/>
                <w:szCs w:val="21"/>
              </w:rPr>
            </w:pPr>
          </w:p>
        </w:tc>
        <w:tc>
          <w:tcPr>
            <w:tcW w:w="2873" w:type="dxa"/>
            <w:vAlign w:val="center"/>
          </w:tcPr>
          <w:p>
            <w:pPr>
              <w:pStyle w:val="5"/>
              <w:spacing w:line="360" w:lineRule="auto"/>
              <w:jc w:val="center"/>
              <w:rPr>
                <w:rFonts w:hAnsi="宋体"/>
                <w:b/>
                <w:spacing w:val="20"/>
                <w:szCs w:val="21"/>
              </w:rPr>
            </w:pPr>
          </w:p>
        </w:tc>
        <w:tc>
          <w:tcPr>
            <w:tcW w:w="1980" w:type="dxa"/>
            <w:vAlign w:val="center"/>
          </w:tcPr>
          <w:p>
            <w:pPr>
              <w:pStyle w:val="5"/>
              <w:spacing w:line="360" w:lineRule="auto"/>
              <w:jc w:val="center"/>
              <w:rPr>
                <w:rFonts w:hAnsi="宋体"/>
                <w:b/>
                <w:spacing w:val="20"/>
                <w:szCs w:val="21"/>
              </w:rPr>
            </w:pPr>
          </w:p>
        </w:tc>
        <w:tc>
          <w:tcPr>
            <w:tcW w:w="1620" w:type="dxa"/>
            <w:vAlign w:val="center"/>
          </w:tcPr>
          <w:p>
            <w:pPr>
              <w:pStyle w:val="5"/>
              <w:spacing w:line="360" w:lineRule="auto"/>
              <w:jc w:val="center"/>
              <w:rPr>
                <w:rFonts w:hAnsi="宋体"/>
                <w:b/>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 w:type="dxa"/>
            <w:vAlign w:val="center"/>
          </w:tcPr>
          <w:p>
            <w:pPr>
              <w:pStyle w:val="5"/>
              <w:spacing w:line="360" w:lineRule="auto"/>
              <w:jc w:val="center"/>
              <w:rPr>
                <w:rFonts w:hAnsi="宋体"/>
                <w:b/>
                <w:spacing w:val="20"/>
                <w:szCs w:val="21"/>
              </w:rPr>
            </w:pPr>
          </w:p>
        </w:tc>
        <w:tc>
          <w:tcPr>
            <w:tcW w:w="1503" w:type="dxa"/>
            <w:vAlign w:val="center"/>
          </w:tcPr>
          <w:p>
            <w:pPr>
              <w:pStyle w:val="5"/>
              <w:spacing w:line="360" w:lineRule="auto"/>
              <w:jc w:val="center"/>
              <w:rPr>
                <w:rFonts w:hAnsi="宋体"/>
                <w:b/>
                <w:spacing w:val="20"/>
                <w:szCs w:val="21"/>
              </w:rPr>
            </w:pPr>
          </w:p>
        </w:tc>
        <w:tc>
          <w:tcPr>
            <w:tcW w:w="2873" w:type="dxa"/>
            <w:vAlign w:val="center"/>
          </w:tcPr>
          <w:p>
            <w:pPr>
              <w:pStyle w:val="5"/>
              <w:spacing w:line="360" w:lineRule="auto"/>
              <w:jc w:val="center"/>
              <w:rPr>
                <w:rFonts w:hAnsi="宋体"/>
                <w:b/>
                <w:spacing w:val="20"/>
                <w:szCs w:val="21"/>
              </w:rPr>
            </w:pPr>
          </w:p>
        </w:tc>
        <w:tc>
          <w:tcPr>
            <w:tcW w:w="1980" w:type="dxa"/>
            <w:vAlign w:val="center"/>
          </w:tcPr>
          <w:p>
            <w:pPr>
              <w:pStyle w:val="5"/>
              <w:spacing w:line="360" w:lineRule="auto"/>
              <w:jc w:val="center"/>
              <w:rPr>
                <w:rFonts w:hAnsi="宋体"/>
                <w:b/>
                <w:spacing w:val="20"/>
                <w:szCs w:val="21"/>
              </w:rPr>
            </w:pPr>
          </w:p>
        </w:tc>
        <w:tc>
          <w:tcPr>
            <w:tcW w:w="1620" w:type="dxa"/>
            <w:vAlign w:val="center"/>
          </w:tcPr>
          <w:p>
            <w:pPr>
              <w:pStyle w:val="5"/>
              <w:spacing w:line="360" w:lineRule="auto"/>
              <w:jc w:val="center"/>
              <w:rPr>
                <w:rFonts w:hAnsi="宋体"/>
                <w:b/>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 w:type="dxa"/>
            <w:vAlign w:val="center"/>
          </w:tcPr>
          <w:p>
            <w:pPr>
              <w:pStyle w:val="5"/>
              <w:spacing w:line="360" w:lineRule="auto"/>
              <w:jc w:val="center"/>
              <w:rPr>
                <w:rFonts w:hAnsi="宋体"/>
                <w:b/>
                <w:spacing w:val="20"/>
                <w:szCs w:val="21"/>
              </w:rPr>
            </w:pPr>
          </w:p>
        </w:tc>
        <w:tc>
          <w:tcPr>
            <w:tcW w:w="1503" w:type="dxa"/>
            <w:vAlign w:val="center"/>
          </w:tcPr>
          <w:p>
            <w:pPr>
              <w:pStyle w:val="5"/>
              <w:spacing w:line="360" w:lineRule="auto"/>
              <w:jc w:val="center"/>
              <w:rPr>
                <w:rFonts w:hAnsi="宋体"/>
                <w:b/>
                <w:spacing w:val="20"/>
                <w:szCs w:val="21"/>
              </w:rPr>
            </w:pPr>
          </w:p>
        </w:tc>
        <w:tc>
          <w:tcPr>
            <w:tcW w:w="2873" w:type="dxa"/>
            <w:vAlign w:val="center"/>
          </w:tcPr>
          <w:p>
            <w:pPr>
              <w:pStyle w:val="5"/>
              <w:spacing w:line="360" w:lineRule="auto"/>
              <w:jc w:val="center"/>
              <w:rPr>
                <w:rFonts w:hAnsi="宋体"/>
                <w:b/>
                <w:spacing w:val="20"/>
                <w:szCs w:val="21"/>
              </w:rPr>
            </w:pPr>
          </w:p>
        </w:tc>
        <w:tc>
          <w:tcPr>
            <w:tcW w:w="1980" w:type="dxa"/>
            <w:vAlign w:val="center"/>
          </w:tcPr>
          <w:p>
            <w:pPr>
              <w:pStyle w:val="5"/>
              <w:spacing w:line="360" w:lineRule="auto"/>
              <w:jc w:val="center"/>
              <w:rPr>
                <w:rFonts w:hAnsi="宋体"/>
                <w:b/>
                <w:spacing w:val="20"/>
                <w:szCs w:val="21"/>
              </w:rPr>
            </w:pPr>
          </w:p>
        </w:tc>
        <w:tc>
          <w:tcPr>
            <w:tcW w:w="1620" w:type="dxa"/>
            <w:vAlign w:val="center"/>
          </w:tcPr>
          <w:p>
            <w:pPr>
              <w:pStyle w:val="5"/>
              <w:spacing w:line="360" w:lineRule="auto"/>
              <w:jc w:val="center"/>
              <w:rPr>
                <w:rFonts w:hAnsi="宋体"/>
                <w:b/>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 w:type="dxa"/>
            <w:vAlign w:val="center"/>
          </w:tcPr>
          <w:p>
            <w:pPr>
              <w:pStyle w:val="5"/>
              <w:spacing w:line="360" w:lineRule="auto"/>
              <w:jc w:val="center"/>
              <w:rPr>
                <w:rFonts w:hAnsi="宋体"/>
                <w:b/>
                <w:spacing w:val="20"/>
                <w:szCs w:val="21"/>
              </w:rPr>
            </w:pPr>
          </w:p>
        </w:tc>
        <w:tc>
          <w:tcPr>
            <w:tcW w:w="1503" w:type="dxa"/>
            <w:vAlign w:val="center"/>
          </w:tcPr>
          <w:p>
            <w:pPr>
              <w:pStyle w:val="5"/>
              <w:spacing w:line="360" w:lineRule="auto"/>
              <w:jc w:val="center"/>
              <w:rPr>
                <w:rFonts w:hAnsi="宋体"/>
                <w:b/>
                <w:spacing w:val="20"/>
                <w:szCs w:val="21"/>
              </w:rPr>
            </w:pPr>
          </w:p>
        </w:tc>
        <w:tc>
          <w:tcPr>
            <w:tcW w:w="2873" w:type="dxa"/>
            <w:vAlign w:val="center"/>
          </w:tcPr>
          <w:p>
            <w:pPr>
              <w:pStyle w:val="5"/>
              <w:spacing w:line="360" w:lineRule="auto"/>
              <w:jc w:val="center"/>
              <w:rPr>
                <w:rFonts w:hAnsi="宋体"/>
                <w:b/>
                <w:spacing w:val="20"/>
                <w:szCs w:val="21"/>
              </w:rPr>
            </w:pPr>
          </w:p>
        </w:tc>
        <w:tc>
          <w:tcPr>
            <w:tcW w:w="1980" w:type="dxa"/>
            <w:vAlign w:val="center"/>
          </w:tcPr>
          <w:p>
            <w:pPr>
              <w:pStyle w:val="5"/>
              <w:spacing w:line="360" w:lineRule="auto"/>
              <w:jc w:val="center"/>
              <w:rPr>
                <w:rFonts w:hAnsi="宋体"/>
                <w:b/>
                <w:spacing w:val="20"/>
                <w:szCs w:val="21"/>
              </w:rPr>
            </w:pPr>
          </w:p>
        </w:tc>
        <w:tc>
          <w:tcPr>
            <w:tcW w:w="1620" w:type="dxa"/>
            <w:vAlign w:val="center"/>
          </w:tcPr>
          <w:p>
            <w:pPr>
              <w:pStyle w:val="5"/>
              <w:spacing w:line="360" w:lineRule="auto"/>
              <w:jc w:val="center"/>
              <w:rPr>
                <w:rFonts w:hAnsi="宋体"/>
                <w:b/>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 w:type="dxa"/>
            <w:vAlign w:val="center"/>
          </w:tcPr>
          <w:p>
            <w:pPr>
              <w:pStyle w:val="5"/>
              <w:spacing w:line="360" w:lineRule="auto"/>
              <w:jc w:val="center"/>
              <w:rPr>
                <w:rFonts w:hAnsi="宋体"/>
                <w:b/>
                <w:spacing w:val="20"/>
                <w:szCs w:val="21"/>
              </w:rPr>
            </w:pPr>
          </w:p>
        </w:tc>
        <w:tc>
          <w:tcPr>
            <w:tcW w:w="1503" w:type="dxa"/>
            <w:vAlign w:val="center"/>
          </w:tcPr>
          <w:p>
            <w:pPr>
              <w:pStyle w:val="5"/>
              <w:spacing w:line="360" w:lineRule="auto"/>
              <w:jc w:val="center"/>
              <w:rPr>
                <w:rFonts w:hAnsi="宋体"/>
                <w:b/>
                <w:spacing w:val="20"/>
                <w:szCs w:val="21"/>
              </w:rPr>
            </w:pPr>
          </w:p>
        </w:tc>
        <w:tc>
          <w:tcPr>
            <w:tcW w:w="2873" w:type="dxa"/>
            <w:vAlign w:val="center"/>
          </w:tcPr>
          <w:p>
            <w:pPr>
              <w:pStyle w:val="5"/>
              <w:spacing w:line="360" w:lineRule="auto"/>
              <w:jc w:val="center"/>
              <w:rPr>
                <w:rFonts w:hAnsi="宋体"/>
                <w:b/>
                <w:spacing w:val="20"/>
                <w:szCs w:val="21"/>
              </w:rPr>
            </w:pPr>
          </w:p>
        </w:tc>
        <w:tc>
          <w:tcPr>
            <w:tcW w:w="1980" w:type="dxa"/>
            <w:vAlign w:val="center"/>
          </w:tcPr>
          <w:p>
            <w:pPr>
              <w:pStyle w:val="5"/>
              <w:spacing w:line="360" w:lineRule="auto"/>
              <w:jc w:val="center"/>
              <w:rPr>
                <w:rFonts w:hAnsi="宋体"/>
                <w:b/>
                <w:spacing w:val="20"/>
                <w:szCs w:val="21"/>
              </w:rPr>
            </w:pPr>
          </w:p>
        </w:tc>
        <w:tc>
          <w:tcPr>
            <w:tcW w:w="1620" w:type="dxa"/>
            <w:vAlign w:val="center"/>
          </w:tcPr>
          <w:p>
            <w:pPr>
              <w:pStyle w:val="5"/>
              <w:spacing w:line="360" w:lineRule="auto"/>
              <w:jc w:val="center"/>
              <w:rPr>
                <w:rFonts w:hAnsi="宋体"/>
                <w:b/>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 w:type="dxa"/>
            <w:vAlign w:val="center"/>
          </w:tcPr>
          <w:p>
            <w:pPr>
              <w:pStyle w:val="5"/>
              <w:spacing w:line="360" w:lineRule="auto"/>
              <w:rPr>
                <w:rFonts w:hAnsi="宋体"/>
                <w:b/>
                <w:spacing w:val="20"/>
                <w:szCs w:val="21"/>
              </w:rPr>
            </w:pPr>
          </w:p>
        </w:tc>
        <w:tc>
          <w:tcPr>
            <w:tcW w:w="1503" w:type="dxa"/>
            <w:vAlign w:val="center"/>
          </w:tcPr>
          <w:p>
            <w:pPr>
              <w:pStyle w:val="5"/>
              <w:spacing w:line="360" w:lineRule="auto"/>
              <w:jc w:val="center"/>
              <w:rPr>
                <w:rFonts w:hAnsi="宋体"/>
                <w:b/>
                <w:spacing w:val="20"/>
                <w:szCs w:val="21"/>
              </w:rPr>
            </w:pPr>
          </w:p>
        </w:tc>
        <w:tc>
          <w:tcPr>
            <w:tcW w:w="2873" w:type="dxa"/>
            <w:vAlign w:val="center"/>
          </w:tcPr>
          <w:p>
            <w:pPr>
              <w:pStyle w:val="5"/>
              <w:spacing w:line="360" w:lineRule="auto"/>
              <w:jc w:val="center"/>
              <w:rPr>
                <w:rFonts w:hAnsi="宋体"/>
                <w:b/>
                <w:spacing w:val="20"/>
                <w:szCs w:val="21"/>
              </w:rPr>
            </w:pPr>
          </w:p>
        </w:tc>
        <w:tc>
          <w:tcPr>
            <w:tcW w:w="1980" w:type="dxa"/>
            <w:vAlign w:val="center"/>
          </w:tcPr>
          <w:p>
            <w:pPr>
              <w:pStyle w:val="5"/>
              <w:spacing w:line="360" w:lineRule="auto"/>
              <w:jc w:val="center"/>
              <w:rPr>
                <w:rFonts w:hAnsi="宋体"/>
                <w:b/>
                <w:spacing w:val="20"/>
                <w:szCs w:val="21"/>
              </w:rPr>
            </w:pPr>
          </w:p>
        </w:tc>
        <w:tc>
          <w:tcPr>
            <w:tcW w:w="1620" w:type="dxa"/>
            <w:vAlign w:val="center"/>
          </w:tcPr>
          <w:p>
            <w:pPr>
              <w:pStyle w:val="5"/>
              <w:spacing w:line="360" w:lineRule="auto"/>
              <w:jc w:val="center"/>
              <w:rPr>
                <w:rFonts w:hAnsi="宋体"/>
                <w:b/>
                <w:spacing w:val="20"/>
                <w:szCs w:val="21"/>
              </w:rPr>
            </w:pPr>
          </w:p>
        </w:tc>
      </w:tr>
    </w:tbl>
    <w:p>
      <w:pPr>
        <w:pStyle w:val="5"/>
        <w:spacing w:line="360" w:lineRule="auto"/>
        <w:rPr>
          <w:rFonts w:hAnsi="宋体"/>
          <w:spacing w:val="20"/>
          <w:sz w:val="24"/>
        </w:rPr>
      </w:pPr>
    </w:p>
    <w:p>
      <w:pPr>
        <w:rPr>
          <w:rFonts w:ascii="宋体" w:hAnsi="宋体"/>
          <w:sz w:val="24"/>
          <w:szCs w:val="20"/>
        </w:rPr>
      </w:pPr>
      <w:r>
        <w:rPr>
          <w:rFonts w:hint="eastAsia" w:ascii="宋体" w:hAnsi="宋体"/>
          <w:sz w:val="24"/>
          <w:szCs w:val="20"/>
        </w:rPr>
        <w:t>根据项目情况编制工程预算明细作为响应依据和报价基础。</w:t>
      </w:r>
    </w:p>
    <w:p>
      <w:pPr>
        <w:rPr>
          <w:rFonts w:ascii="宋体" w:hAnsi="宋体"/>
          <w:sz w:val="24"/>
          <w:szCs w:val="20"/>
        </w:rPr>
      </w:pPr>
    </w:p>
    <w:p>
      <w:pPr>
        <w:autoSpaceDE w:val="0"/>
        <w:autoSpaceDN w:val="0"/>
        <w:adjustRightInd w:val="0"/>
        <w:spacing w:line="360" w:lineRule="auto"/>
        <w:jc w:val="center"/>
        <w:rPr>
          <w:rFonts w:ascii="宋体" w:hAnsi="宋体" w:cs="仿宋_GB2312"/>
          <w:b/>
          <w:sz w:val="30"/>
          <w:szCs w:val="30"/>
          <w:lang w:val="zh-CN"/>
        </w:rPr>
      </w:pPr>
      <w:r>
        <w:rPr>
          <w:rFonts w:hint="eastAsia" w:ascii="宋体" w:hAnsi="宋体" w:cs="仿宋_GB2312"/>
          <w:b/>
          <w:sz w:val="30"/>
          <w:szCs w:val="30"/>
          <w:lang w:val="zh-CN"/>
        </w:rPr>
        <w:t>资格、资质证明文件</w:t>
      </w:r>
    </w:p>
    <w:p>
      <w:pPr>
        <w:tabs>
          <w:tab w:val="left" w:pos="1080"/>
        </w:tabs>
        <w:autoSpaceDE w:val="0"/>
        <w:autoSpaceDN w:val="0"/>
        <w:adjustRightInd w:val="0"/>
        <w:spacing w:line="360" w:lineRule="auto"/>
        <w:jc w:val="center"/>
        <w:rPr>
          <w:rFonts w:ascii="宋体" w:hAnsi="宋体" w:cs="仿宋_GB2312"/>
          <w:sz w:val="30"/>
          <w:szCs w:val="30"/>
          <w:lang w:val="zh-CN"/>
        </w:rPr>
      </w:pPr>
      <w:r>
        <w:rPr>
          <w:rFonts w:hint="eastAsia" w:ascii="宋体" w:hAnsi="宋体" w:cs="仿宋_GB2312"/>
          <w:sz w:val="30"/>
          <w:szCs w:val="30"/>
          <w:lang w:val="zh-CN"/>
        </w:rPr>
        <w:t>（一）法定代表人授权书</w:t>
      </w:r>
    </w:p>
    <w:p>
      <w:pPr>
        <w:autoSpaceDE w:val="0"/>
        <w:autoSpaceDN w:val="0"/>
        <w:adjustRightInd w:val="0"/>
        <w:snapToGrid w:val="0"/>
        <w:spacing w:line="360" w:lineRule="auto"/>
        <w:jc w:val="center"/>
        <w:rPr>
          <w:rFonts w:ascii="宋体" w:hAnsi="宋体" w:cs="仿宋_GB2312"/>
          <w:sz w:val="36"/>
          <w:szCs w:val="36"/>
          <w:lang w:val="zh-CN"/>
        </w:rPr>
      </w:pPr>
    </w:p>
    <w:p>
      <w:pPr>
        <w:autoSpaceDE w:val="0"/>
        <w:autoSpaceDN w:val="0"/>
        <w:adjustRightInd w:val="0"/>
        <w:snapToGrid w:val="0"/>
        <w:spacing w:line="360" w:lineRule="auto"/>
        <w:rPr>
          <w:rFonts w:ascii="宋体" w:hAnsi="宋体" w:cs="仿宋_GB2312"/>
          <w:sz w:val="28"/>
          <w:szCs w:val="28"/>
          <w:lang w:val="zh-CN"/>
        </w:rPr>
      </w:pPr>
      <w:r>
        <w:rPr>
          <w:rFonts w:hint="eastAsia" w:ascii="宋体" w:hAnsi="宋体" w:cs="仿宋_GB2312"/>
          <w:sz w:val="28"/>
          <w:szCs w:val="28"/>
          <w:u w:val="single"/>
          <w:lang w:val="zh-CN"/>
        </w:rPr>
        <w:t xml:space="preserve">                  </w:t>
      </w:r>
      <w:r>
        <w:rPr>
          <w:rFonts w:hint="eastAsia" w:ascii="宋体" w:hAnsi="宋体" w:cs="仿宋_GB2312"/>
          <w:sz w:val="28"/>
          <w:szCs w:val="28"/>
          <w:lang w:val="zh-CN"/>
        </w:rPr>
        <w:t xml:space="preserve"> ：</w:t>
      </w:r>
    </w:p>
    <w:p>
      <w:pPr>
        <w:autoSpaceDE w:val="0"/>
        <w:autoSpaceDN w:val="0"/>
        <w:adjustRightInd w:val="0"/>
        <w:snapToGrid w:val="0"/>
        <w:spacing w:line="360" w:lineRule="auto"/>
        <w:rPr>
          <w:rFonts w:ascii="宋体" w:hAnsi="宋体" w:cs="仿宋_GB2312"/>
          <w:sz w:val="24"/>
          <w:lang w:val="zh-CN"/>
        </w:rPr>
      </w:pPr>
      <w:r>
        <w:rPr>
          <w:rFonts w:hint="eastAsia" w:ascii="宋体" w:hAnsi="宋体" w:cs="仿宋_GB2312"/>
          <w:sz w:val="24"/>
          <w:lang w:val="zh-CN"/>
        </w:rPr>
        <w:t xml:space="preserve">   </w:t>
      </w:r>
      <w:r>
        <w:rPr>
          <w:rFonts w:hint="eastAsia" w:ascii="宋体" w:hAnsi="宋体" w:cs="仿宋_GB2312"/>
          <w:sz w:val="24"/>
          <w:u w:val="single"/>
          <w:lang w:val="zh-CN"/>
        </w:rPr>
        <w:t xml:space="preserve">                         </w:t>
      </w:r>
      <w:r>
        <w:rPr>
          <w:rFonts w:hint="eastAsia" w:ascii="宋体" w:hAnsi="宋体" w:cs="仿宋_GB2312"/>
          <w:sz w:val="24"/>
          <w:lang w:val="zh-CN"/>
        </w:rPr>
        <w:t>（供应商全称）法定代表人授权</w:t>
      </w:r>
      <w:r>
        <w:rPr>
          <w:rFonts w:hint="eastAsia" w:ascii="宋体" w:hAnsi="宋体" w:cs="仿宋_GB2312"/>
          <w:sz w:val="24"/>
          <w:u w:val="single"/>
          <w:lang w:val="zh-CN"/>
        </w:rPr>
        <w:t xml:space="preserve">             </w:t>
      </w:r>
      <w:r>
        <w:rPr>
          <w:rFonts w:hint="eastAsia" w:ascii="宋体" w:hAnsi="宋体" w:cs="仿宋_GB2312"/>
          <w:sz w:val="24"/>
          <w:lang w:val="zh-CN"/>
        </w:rPr>
        <w:t>（全权代表名称,身份证号码:）为全权代表，参加贵处组织的</w:t>
      </w:r>
      <w:r>
        <w:rPr>
          <w:rFonts w:hint="eastAsia" w:ascii="宋体" w:hAnsi="宋体" w:cs="仿宋_GB2312"/>
          <w:sz w:val="24"/>
          <w:u w:val="single"/>
          <w:lang w:val="zh-CN"/>
        </w:rPr>
        <w:t xml:space="preserve">                      </w:t>
      </w:r>
      <w:r>
        <w:rPr>
          <w:rFonts w:hint="eastAsia" w:ascii="宋体" w:hAnsi="宋体" w:cs="仿宋_GB2312"/>
          <w:sz w:val="24"/>
          <w:lang w:val="zh-CN"/>
        </w:rPr>
        <w:t xml:space="preserve"> 项目（招标编号：</w:t>
      </w:r>
      <w:r>
        <w:rPr>
          <w:rFonts w:hint="eastAsia" w:ascii="宋体" w:hAnsi="宋体" w:cs="仿宋_GB2312"/>
          <w:sz w:val="24"/>
          <w:u w:val="single"/>
          <w:lang w:val="zh-CN"/>
        </w:rPr>
        <w:t xml:space="preserve">    </w:t>
      </w:r>
      <w:r>
        <w:rPr>
          <w:rFonts w:hint="eastAsia" w:ascii="宋体" w:hAnsi="宋体" w:cs="仿宋_GB2312"/>
          <w:sz w:val="24"/>
          <w:lang w:val="zh-CN"/>
        </w:rPr>
        <w:t>），全权处理招标活动中的一切事宜。</w:t>
      </w:r>
    </w:p>
    <w:p>
      <w:pPr>
        <w:autoSpaceDE w:val="0"/>
        <w:autoSpaceDN w:val="0"/>
        <w:adjustRightInd w:val="0"/>
        <w:snapToGrid w:val="0"/>
        <w:spacing w:line="360" w:lineRule="auto"/>
        <w:rPr>
          <w:rFonts w:ascii="宋体" w:hAnsi="宋体" w:cs="仿宋_GB2312"/>
          <w:sz w:val="24"/>
          <w:lang w:val="zh-CN"/>
        </w:rPr>
      </w:pPr>
      <w:r>
        <w:rPr>
          <w:rFonts w:hint="eastAsia" w:ascii="宋体" w:hAnsi="宋体" w:cs="仿宋_GB2312"/>
          <w:sz w:val="24"/>
          <w:lang w:val="zh-CN"/>
        </w:rPr>
        <w:tab/>
      </w:r>
      <w:r>
        <w:rPr>
          <w:rFonts w:hint="eastAsia" w:ascii="宋体" w:hAnsi="宋体" w:cs="仿宋_GB2312"/>
          <w:sz w:val="24"/>
          <w:lang w:val="zh-CN"/>
        </w:rPr>
        <w:tab/>
      </w:r>
      <w:r>
        <w:rPr>
          <w:rFonts w:hint="eastAsia" w:ascii="宋体" w:hAnsi="宋体" w:cs="仿宋_GB2312"/>
          <w:sz w:val="24"/>
          <w:lang w:val="zh-CN"/>
        </w:rPr>
        <w:t xml:space="preserve">   法定代表人签字：</w:t>
      </w:r>
    </w:p>
    <w:p>
      <w:pPr>
        <w:autoSpaceDE w:val="0"/>
        <w:autoSpaceDN w:val="0"/>
        <w:adjustRightInd w:val="0"/>
        <w:snapToGrid w:val="0"/>
        <w:spacing w:line="360" w:lineRule="auto"/>
        <w:ind w:firstLine="1080" w:firstLineChars="450"/>
        <w:rPr>
          <w:rFonts w:ascii="宋体" w:hAnsi="宋体" w:cs="仿宋_GB2312"/>
          <w:sz w:val="24"/>
          <w:lang w:val="zh-CN"/>
        </w:rPr>
      </w:pPr>
      <w:r>
        <w:rPr>
          <w:rFonts w:hint="eastAsia" w:ascii="宋体" w:hAnsi="宋体" w:cs="仿宋_GB2312"/>
          <w:sz w:val="24"/>
          <w:lang w:val="zh-CN"/>
        </w:rPr>
        <w:t xml:space="preserve"> 投标人全称（公章）：</w:t>
      </w:r>
    </w:p>
    <w:p>
      <w:pPr>
        <w:autoSpaceDE w:val="0"/>
        <w:autoSpaceDN w:val="0"/>
        <w:adjustRightInd w:val="0"/>
        <w:snapToGrid w:val="0"/>
        <w:spacing w:line="360" w:lineRule="auto"/>
        <w:ind w:firstLine="1200" w:firstLineChars="500"/>
        <w:rPr>
          <w:rFonts w:ascii="宋体" w:hAnsi="宋体" w:cs="仿宋_GB2312"/>
          <w:sz w:val="24"/>
          <w:lang w:val="zh-CN"/>
        </w:rPr>
      </w:pPr>
      <w:r>
        <w:rPr>
          <w:rFonts w:hint="eastAsia" w:ascii="宋体" w:hAnsi="宋体" w:cs="仿宋_GB2312"/>
          <w:sz w:val="24"/>
          <w:lang w:val="zh-CN"/>
        </w:rPr>
        <w:t>日期：</w:t>
      </w:r>
    </w:p>
    <w:p>
      <w:pPr>
        <w:autoSpaceDE w:val="0"/>
        <w:autoSpaceDN w:val="0"/>
        <w:adjustRightInd w:val="0"/>
        <w:snapToGrid w:val="0"/>
        <w:spacing w:line="360" w:lineRule="auto"/>
        <w:rPr>
          <w:rFonts w:ascii="宋体" w:hAnsi="宋体" w:cs="仿宋_GB2312"/>
          <w:sz w:val="24"/>
          <w:lang w:val="zh-CN"/>
        </w:rPr>
      </w:pPr>
    </w:p>
    <w:p>
      <w:pPr>
        <w:autoSpaceDE w:val="0"/>
        <w:autoSpaceDN w:val="0"/>
        <w:adjustRightInd w:val="0"/>
        <w:snapToGrid w:val="0"/>
        <w:spacing w:line="360" w:lineRule="auto"/>
        <w:rPr>
          <w:rFonts w:ascii="宋体" w:hAnsi="宋体" w:cs="仿宋_GB2312"/>
          <w:sz w:val="24"/>
          <w:lang w:val="zh-CN"/>
        </w:rPr>
      </w:pPr>
      <w:r>
        <w:rPr>
          <w:rFonts w:hint="eastAsia" w:ascii="宋体" w:hAnsi="宋体" w:cs="仿宋_GB2312"/>
          <w:sz w:val="24"/>
          <w:lang w:val="zh-CN"/>
        </w:rPr>
        <w:t>附：</w:t>
      </w:r>
    </w:p>
    <w:p>
      <w:pPr>
        <w:autoSpaceDE w:val="0"/>
        <w:autoSpaceDN w:val="0"/>
        <w:adjustRightInd w:val="0"/>
        <w:snapToGrid w:val="0"/>
        <w:spacing w:line="360" w:lineRule="auto"/>
        <w:rPr>
          <w:rFonts w:ascii="宋体" w:hAnsi="宋体" w:cs="仿宋_GB2312"/>
          <w:sz w:val="24"/>
          <w:lang w:val="zh-CN"/>
        </w:rPr>
      </w:pPr>
      <w:r>
        <w:rPr>
          <w:rFonts w:hint="eastAsia" w:ascii="宋体" w:hAnsi="宋体" w:cs="仿宋_GB2312"/>
          <w:sz w:val="24"/>
          <w:lang w:val="zh-CN"/>
        </w:rPr>
        <w:t xml:space="preserve">  全权代表姓名：</w:t>
      </w:r>
    </w:p>
    <w:p>
      <w:pPr>
        <w:autoSpaceDE w:val="0"/>
        <w:autoSpaceDN w:val="0"/>
        <w:adjustRightInd w:val="0"/>
        <w:snapToGrid w:val="0"/>
        <w:spacing w:line="360" w:lineRule="auto"/>
        <w:rPr>
          <w:rFonts w:ascii="宋体" w:hAnsi="宋体" w:cs="仿宋_GB2312"/>
          <w:sz w:val="24"/>
          <w:lang w:val="zh-CN"/>
        </w:rPr>
      </w:pPr>
      <w:r>
        <w:rPr>
          <w:rFonts w:hint="eastAsia" w:ascii="宋体" w:hAnsi="宋体" w:cs="仿宋_GB2312"/>
          <w:sz w:val="24"/>
          <w:lang w:val="zh-CN"/>
        </w:rPr>
        <w:t xml:space="preserve">  职  务：</w:t>
      </w:r>
    </w:p>
    <w:p>
      <w:pPr>
        <w:autoSpaceDE w:val="0"/>
        <w:autoSpaceDN w:val="0"/>
        <w:adjustRightInd w:val="0"/>
        <w:snapToGrid w:val="0"/>
        <w:spacing w:line="360" w:lineRule="auto"/>
        <w:rPr>
          <w:rFonts w:ascii="宋体" w:hAnsi="宋体" w:cs="仿宋_GB2312"/>
          <w:sz w:val="24"/>
          <w:lang w:val="zh-CN"/>
        </w:rPr>
      </w:pPr>
      <w:r>
        <w:rPr>
          <w:rFonts w:hint="eastAsia" w:ascii="宋体" w:hAnsi="宋体" w:cs="仿宋_GB2312"/>
          <w:sz w:val="24"/>
          <w:lang w:val="zh-CN"/>
        </w:rPr>
        <w:t xml:space="preserve">  详细通讯地址：</w:t>
      </w:r>
    </w:p>
    <w:p>
      <w:pPr>
        <w:autoSpaceDE w:val="0"/>
        <w:autoSpaceDN w:val="0"/>
        <w:adjustRightInd w:val="0"/>
        <w:snapToGrid w:val="0"/>
        <w:spacing w:line="360" w:lineRule="auto"/>
        <w:rPr>
          <w:rFonts w:ascii="宋体" w:hAnsi="宋体" w:cs="仿宋_GB2312"/>
          <w:sz w:val="24"/>
          <w:lang w:val="zh-CN"/>
        </w:rPr>
      </w:pPr>
      <w:r>
        <w:rPr>
          <w:rFonts w:hint="eastAsia" w:ascii="宋体" w:hAnsi="宋体" w:cs="仿宋_GB2312"/>
          <w:sz w:val="24"/>
          <w:lang w:val="zh-CN"/>
        </w:rPr>
        <w:t xml:space="preserve">  传  真：</w:t>
      </w:r>
    </w:p>
    <w:p>
      <w:pPr>
        <w:autoSpaceDE w:val="0"/>
        <w:autoSpaceDN w:val="0"/>
        <w:adjustRightInd w:val="0"/>
        <w:snapToGrid w:val="0"/>
        <w:spacing w:line="360" w:lineRule="auto"/>
        <w:rPr>
          <w:rFonts w:ascii="宋体" w:hAnsi="宋体" w:cs="仿宋_GB2312"/>
          <w:sz w:val="24"/>
          <w:lang w:val="zh-CN"/>
        </w:rPr>
      </w:pPr>
      <w:r>
        <w:rPr>
          <w:rFonts w:hint="eastAsia" w:ascii="宋体" w:hAnsi="宋体" w:cs="仿宋_GB2312"/>
          <w:sz w:val="24"/>
          <w:lang w:val="zh-CN"/>
        </w:rPr>
        <w:t xml:space="preserve">  电  话：</w:t>
      </w:r>
    </w:p>
    <w:p>
      <w:pPr>
        <w:autoSpaceDE w:val="0"/>
        <w:autoSpaceDN w:val="0"/>
        <w:adjustRightInd w:val="0"/>
        <w:snapToGrid w:val="0"/>
        <w:spacing w:line="360" w:lineRule="auto"/>
        <w:rPr>
          <w:rFonts w:ascii="宋体" w:hAnsi="宋体" w:cs="仿宋_GB2312"/>
          <w:sz w:val="24"/>
          <w:lang w:val="zh-CN"/>
        </w:rPr>
      </w:pPr>
      <w:r>
        <w:rPr>
          <w:rFonts w:hint="eastAsia" w:ascii="宋体" w:hAnsi="宋体"/>
          <w:lang w:val="zh-CN"/>
        </w:rPr>
        <w:t xml:space="preserve"> </w:t>
      </w:r>
      <w:r>
        <w:rPr>
          <w:rFonts w:hint="eastAsia" w:ascii="宋体" w:hAnsi="宋体"/>
          <w:sz w:val="24"/>
          <w:lang w:val="zh-CN"/>
        </w:rPr>
        <w:t xml:space="preserve"> 邮政编码：</w:t>
      </w:r>
    </w:p>
    <w:p>
      <w:pPr>
        <w:rPr>
          <w:rFonts w:ascii="宋体" w:hAnsi="宋体"/>
          <w:sz w:val="24"/>
          <w:szCs w:val="20"/>
        </w:rPr>
      </w:pPr>
    </w:p>
    <w:p>
      <w:pPr>
        <w:tabs>
          <w:tab w:val="left" w:pos="1080"/>
        </w:tabs>
        <w:autoSpaceDE w:val="0"/>
        <w:autoSpaceDN w:val="0"/>
        <w:adjustRightInd w:val="0"/>
        <w:spacing w:line="360" w:lineRule="auto"/>
        <w:jc w:val="center"/>
        <w:rPr>
          <w:rFonts w:ascii="宋体" w:hAnsi="宋体" w:cs="仿宋_GB2312"/>
          <w:sz w:val="30"/>
          <w:szCs w:val="30"/>
          <w:lang w:val="zh-CN"/>
        </w:rPr>
      </w:pPr>
      <w:r>
        <w:rPr>
          <w:rFonts w:hint="eastAsia" w:ascii="宋体" w:hAnsi="宋体" w:cs="仿宋_GB2312"/>
          <w:sz w:val="30"/>
          <w:szCs w:val="30"/>
          <w:lang w:val="zh-CN"/>
        </w:rPr>
        <w:t>（二）投 标 人 情 况 声  明</w:t>
      </w:r>
    </w:p>
    <w:p>
      <w:pPr>
        <w:snapToGrid w:val="0"/>
        <w:spacing w:line="360" w:lineRule="auto"/>
        <w:rPr>
          <w:rFonts w:ascii="宋体" w:hAnsi="宋体"/>
          <w:sz w:val="24"/>
        </w:rPr>
      </w:pPr>
      <w:r>
        <w:rPr>
          <w:rFonts w:hint="eastAsia" w:ascii="宋体" w:hAnsi="宋体"/>
          <w:sz w:val="24"/>
        </w:rPr>
        <w:t>供应商资格声明</w:t>
      </w:r>
    </w:p>
    <w:p>
      <w:pPr>
        <w:snapToGrid w:val="0"/>
        <w:spacing w:line="360" w:lineRule="auto"/>
        <w:rPr>
          <w:rFonts w:ascii="宋体" w:hAnsi="宋体"/>
          <w:sz w:val="24"/>
        </w:rPr>
      </w:pPr>
      <w:r>
        <w:rPr>
          <w:rFonts w:hint="eastAsia" w:ascii="宋体" w:hAnsi="宋体"/>
          <w:sz w:val="24"/>
        </w:rPr>
        <w:t>1、名称及其它情况：</w:t>
      </w:r>
    </w:p>
    <w:p>
      <w:pPr>
        <w:snapToGrid w:val="0"/>
        <w:spacing w:line="360" w:lineRule="auto"/>
        <w:rPr>
          <w:rFonts w:ascii="宋体" w:hAnsi="宋体"/>
          <w:sz w:val="24"/>
        </w:rPr>
      </w:pPr>
      <w:r>
        <w:rPr>
          <w:rFonts w:hint="eastAsia" w:ascii="宋体" w:hAnsi="宋体"/>
          <w:sz w:val="24"/>
        </w:rPr>
        <w:t xml:space="preserve">（1）供应商名称：                            </w:t>
      </w:r>
    </w:p>
    <w:p>
      <w:pPr>
        <w:snapToGrid w:val="0"/>
        <w:spacing w:line="360" w:lineRule="auto"/>
        <w:rPr>
          <w:rFonts w:ascii="宋体" w:hAnsi="宋体"/>
          <w:sz w:val="24"/>
        </w:rPr>
      </w:pPr>
      <w:r>
        <w:rPr>
          <w:rFonts w:hint="eastAsia" w:ascii="宋体" w:hAnsi="宋体"/>
          <w:sz w:val="24"/>
        </w:rPr>
        <w:t xml:space="preserve">（2）地址：                                      电话：        传真：      </w:t>
      </w:r>
    </w:p>
    <w:p>
      <w:pPr>
        <w:snapToGrid w:val="0"/>
        <w:spacing w:line="360" w:lineRule="auto"/>
        <w:rPr>
          <w:rFonts w:ascii="宋体" w:hAnsi="宋体"/>
          <w:sz w:val="24"/>
        </w:rPr>
      </w:pPr>
      <w:r>
        <w:rPr>
          <w:rFonts w:hint="eastAsia" w:ascii="宋体" w:hAnsi="宋体"/>
          <w:sz w:val="24"/>
        </w:rPr>
        <w:t xml:space="preserve">（3）成立和/或注册日期：                         </w:t>
      </w:r>
    </w:p>
    <w:p>
      <w:pPr>
        <w:snapToGrid w:val="0"/>
        <w:spacing w:line="360" w:lineRule="auto"/>
        <w:rPr>
          <w:rFonts w:ascii="宋体" w:hAnsi="宋体"/>
          <w:sz w:val="24"/>
        </w:rPr>
      </w:pPr>
      <w:r>
        <w:rPr>
          <w:rFonts w:hint="eastAsia" w:ascii="宋体" w:hAnsi="宋体"/>
          <w:sz w:val="24"/>
        </w:rPr>
        <w:t xml:space="preserve">（4）注册资本：                                 </w:t>
      </w:r>
    </w:p>
    <w:p>
      <w:pPr>
        <w:snapToGrid w:val="0"/>
        <w:spacing w:line="360" w:lineRule="auto"/>
        <w:rPr>
          <w:rFonts w:ascii="宋体" w:hAnsi="宋体"/>
          <w:sz w:val="24"/>
        </w:rPr>
      </w:pPr>
      <w:r>
        <w:rPr>
          <w:rFonts w:hint="eastAsia" w:ascii="宋体" w:hAnsi="宋体"/>
          <w:sz w:val="24"/>
        </w:rPr>
        <w:t xml:space="preserve">（5）实收资本：                                 </w:t>
      </w:r>
    </w:p>
    <w:p>
      <w:pPr>
        <w:snapToGrid w:val="0"/>
        <w:spacing w:line="360" w:lineRule="auto"/>
        <w:rPr>
          <w:rFonts w:ascii="宋体" w:hAnsi="宋体"/>
          <w:sz w:val="24"/>
        </w:rPr>
      </w:pPr>
      <w:r>
        <w:rPr>
          <w:rFonts w:hint="eastAsia" w:ascii="宋体" w:hAnsi="宋体"/>
          <w:sz w:val="24"/>
        </w:rPr>
        <w:t>（6）主要负责人姓名：</w:t>
      </w:r>
    </w:p>
    <w:p>
      <w:pPr>
        <w:snapToGrid w:val="0"/>
        <w:spacing w:line="360" w:lineRule="auto"/>
        <w:rPr>
          <w:rFonts w:ascii="宋体" w:hAnsi="宋体"/>
          <w:sz w:val="24"/>
        </w:rPr>
      </w:pPr>
      <w:r>
        <w:rPr>
          <w:rFonts w:hint="eastAsia" w:ascii="宋体" w:hAnsi="宋体"/>
          <w:sz w:val="24"/>
        </w:rPr>
        <w:t>2、近二年同类投标产品的主要销售业绩（主要针对政府采购的合同）：</w:t>
      </w:r>
    </w:p>
    <w:p>
      <w:pPr>
        <w:snapToGrid w:val="0"/>
        <w:spacing w:line="360" w:lineRule="auto"/>
        <w:rPr>
          <w:rFonts w:ascii="宋体" w:hAnsi="宋体"/>
          <w:sz w:val="24"/>
        </w:rPr>
      </w:pPr>
      <w:r>
        <w:rPr>
          <w:rFonts w:hint="eastAsia" w:ascii="宋体" w:hAnsi="宋体"/>
          <w:sz w:val="24"/>
        </w:rPr>
        <w:t xml:space="preserve">       合同采购人名称和地址         销售内容           服务内容                                                                </w:t>
      </w:r>
    </w:p>
    <w:p>
      <w:pPr>
        <w:snapToGrid w:val="0"/>
        <w:spacing w:line="360" w:lineRule="auto"/>
        <w:rPr>
          <w:rFonts w:ascii="宋体" w:hAnsi="宋体"/>
          <w:sz w:val="24"/>
        </w:rPr>
      </w:pPr>
      <w:r>
        <w:rPr>
          <w:rFonts w:hint="eastAsia" w:ascii="宋体" w:hAnsi="宋体"/>
          <w:sz w:val="24"/>
        </w:rPr>
        <w:t>3、投标文件中已提供以下资信及资格证书文件：</w:t>
      </w:r>
    </w:p>
    <w:p>
      <w:pPr>
        <w:snapToGrid w:val="0"/>
        <w:spacing w:line="360" w:lineRule="auto"/>
        <w:ind w:firstLine="360" w:firstLineChars="150"/>
        <w:rPr>
          <w:rFonts w:ascii="宋体" w:hAnsi="宋体"/>
          <w:sz w:val="24"/>
        </w:rPr>
      </w:pPr>
      <w:r>
        <w:rPr>
          <w:rFonts w:hint="eastAsia" w:ascii="宋体" w:hAnsi="宋体"/>
          <w:sz w:val="24"/>
        </w:rPr>
        <w:t>营业执照副本（复印件）。</w:t>
      </w:r>
    </w:p>
    <w:p>
      <w:pPr>
        <w:snapToGrid w:val="0"/>
        <w:spacing w:line="360" w:lineRule="auto"/>
        <w:ind w:firstLine="360" w:firstLineChars="150"/>
        <w:rPr>
          <w:rFonts w:ascii="宋体" w:hAnsi="宋体"/>
          <w:sz w:val="24"/>
        </w:rPr>
      </w:pPr>
      <w:r>
        <w:rPr>
          <w:rFonts w:hint="eastAsia" w:ascii="宋体" w:hAnsi="宋体"/>
          <w:sz w:val="24"/>
        </w:rPr>
        <w:t>投标产品生产许可证、产品鉴定（认证）证书（复印件）。</w:t>
      </w:r>
    </w:p>
    <w:p>
      <w:pPr>
        <w:snapToGrid w:val="0"/>
        <w:spacing w:line="360" w:lineRule="auto"/>
        <w:ind w:firstLine="360" w:firstLineChars="150"/>
        <w:rPr>
          <w:rFonts w:ascii="宋体" w:hAnsi="宋体"/>
          <w:sz w:val="24"/>
        </w:rPr>
      </w:pPr>
      <w:r>
        <w:rPr>
          <w:rFonts w:hint="eastAsia" w:ascii="宋体" w:hAnsi="宋体"/>
          <w:sz w:val="24"/>
        </w:rPr>
        <w:t>生产性质量认证证书和/或销售、服务投标产品的商业服务质量认证证书和/或环保认证证书（复印件）。</w:t>
      </w:r>
    </w:p>
    <w:p>
      <w:pPr>
        <w:snapToGrid w:val="0"/>
        <w:spacing w:line="360" w:lineRule="auto"/>
        <w:ind w:firstLine="360" w:firstLineChars="150"/>
        <w:rPr>
          <w:rFonts w:ascii="宋体" w:hAnsi="宋体"/>
          <w:sz w:val="24"/>
        </w:rPr>
      </w:pPr>
      <w:r>
        <w:rPr>
          <w:rFonts w:hint="eastAsia" w:ascii="宋体" w:hAnsi="宋体"/>
          <w:sz w:val="24"/>
        </w:rPr>
        <w:t>供应商开户银行出具的银行资信证明（复印件应加盖供应商公章）。</w:t>
      </w:r>
    </w:p>
    <w:p>
      <w:pPr>
        <w:snapToGrid w:val="0"/>
        <w:spacing w:line="360" w:lineRule="auto"/>
        <w:ind w:firstLine="360" w:firstLineChars="150"/>
        <w:rPr>
          <w:rFonts w:ascii="宋体" w:hAnsi="宋体"/>
          <w:sz w:val="24"/>
        </w:rPr>
      </w:pPr>
      <w:r>
        <w:rPr>
          <w:rFonts w:hint="eastAsia" w:ascii="宋体" w:hAnsi="宋体"/>
          <w:sz w:val="24"/>
        </w:rPr>
        <w:t>投标文件正本中应为开户银行开具的资信证明原件（若为复印件应加盖供应商公章），资信证明至少应满足以下要求：</w:t>
      </w:r>
    </w:p>
    <w:p>
      <w:pPr>
        <w:snapToGrid w:val="0"/>
        <w:spacing w:line="360" w:lineRule="auto"/>
        <w:ind w:firstLine="360" w:firstLineChars="150"/>
        <w:rPr>
          <w:rFonts w:ascii="宋体" w:hAnsi="宋体"/>
          <w:sz w:val="24"/>
        </w:rPr>
      </w:pPr>
      <w:r>
        <w:rPr>
          <w:rFonts w:hint="eastAsia" w:ascii="宋体" w:hAnsi="宋体"/>
          <w:sz w:val="24"/>
        </w:rPr>
        <w:t>供应商基本帐户开户行或其上级银行提供；</w:t>
      </w:r>
    </w:p>
    <w:p>
      <w:pPr>
        <w:snapToGrid w:val="0"/>
        <w:spacing w:line="360" w:lineRule="auto"/>
        <w:ind w:firstLine="360" w:firstLineChars="150"/>
        <w:rPr>
          <w:rFonts w:ascii="宋体" w:hAnsi="宋体"/>
          <w:sz w:val="24"/>
        </w:rPr>
      </w:pPr>
      <w:r>
        <w:rPr>
          <w:rFonts w:hint="eastAsia" w:ascii="宋体" w:hAnsi="宋体"/>
          <w:sz w:val="24"/>
        </w:rPr>
        <w:t>证明供应商资信状况良好，往来帐款正常，无透支行为；</w:t>
      </w:r>
    </w:p>
    <w:p>
      <w:pPr>
        <w:snapToGrid w:val="0"/>
        <w:spacing w:line="360" w:lineRule="auto"/>
        <w:ind w:firstLine="360" w:firstLineChars="150"/>
        <w:rPr>
          <w:rFonts w:ascii="宋体" w:hAnsi="宋体"/>
          <w:sz w:val="24"/>
        </w:rPr>
      </w:pPr>
      <w:r>
        <w:rPr>
          <w:rFonts w:hint="eastAsia" w:ascii="宋体" w:hAnsi="宋体"/>
          <w:sz w:val="24"/>
        </w:rPr>
        <w:t>具有资信证明开出行有效公章。</w:t>
      </w:r>
    </w:p>
    <w:p>
      <w:pPr>
        <w:snapToGrid w:val="0"/>
        <w:spacing w:line="360" w:lineRule="auto"/>
        <w:rPr>
          <w:rFonts w:ascii="宋体" w:hAnsi="宋体"/>
          <w:sz w:val="24"/>
        </w:rPr>
      </w:pPr>
      <w:r>
        <w:rPr>
          <w:rFonts w:hint="eastAsia" w:ascii="宋体" w:hAnsi="宋体"/>
          <w:sz w:val="24"/>
        </w:rPr>
        <w:t xml:space="preserve">    兹证明上述声明是真实的、正确的，并提供了全部能提供的资料和数据，我们同意遵照贵方要求出示有关证明文件。</w:t>
      </w:r>
    </w:p>
    <w:p>
      <w:pPr>
        <w:snapToGrid w:val="0"/>
        <w:spacing w:line="360" w:lineRule="auto"/>
        <w:rPr>
          <w:rFonts w:ascii="宋体" w:hAnsi="宋体"/>
          <w:sz w:val="24"/>
        </w:rPr>
      </w:pPr>
      <w:r>
        <w:rPr>
          <w:rFonts w:hint="eastAsia" w:ascii="宋体" w:hAnsi="宋体"/>
          <w:sz w:val="24"/>
        </w:rPr>
        <w:t xml:space="preserve">       日期：    年  月  日            </w:t>
      </w:r>
    </w:p>
    <w:p>
      <w:pPr>
        <w:snapToGrid w:val="0"/>
        <w:spacing w:line="360" w:lineRule="auto"/>
        <w:rPr>
          <w:rFonts w:ascii="宋体" w:hAnsi="宋体"/>
          <w:sz w:val="24"/>
        </w:rPr>
      </w:pPr>
      <w:r>
        <w:rPr>
          <w:rFonts w:hint="eastAsia" w:ascii="宋体" w:hAnsi="宋体"/>
          <w:sz w:val="24"/>
        </w:rPr>
        <w:t xml:space="preserve">       供应商名称：                          </w:t>
      </w:r>
    </w:p>
    <w:p>
      <w:pPr>
        <w:snapToGrid w:val="0"/>
        <w:spacing w:line="360" w:lineRule="auto"/>
        <w:rPr>
          <w:rFonts w:ascii="宋体" w:hAnsi="宋体"/>
          <w:sz w:val="24"/>
        </w:rPr>
      </w:pPr>
      <w:r>
        <w:rPr>
          <w:rFonts w:hint="eastAsia" w:ascii="宋体" w:hAnsi="宋体"/>
          <w:sz w:val="24"/>
        </w:rPr>
        <w:t xml:space="preserve">      全权代表签字：                          </w:t>
      </w:r>
    </w:p>
    <w:p>
      <w:pPr>
        <w:snapToGrid w:val="0"/>
        <w:spacing w:line="360" w:lineRule="auto"/>
        <w:rPr>
          <w:rFonts w:ascii="宋体" w:hAnsi="宋体"/>
          <w:sz w:val="24"/>
        </w:rPr>
      </w:pPr>
      <w:r>
        <w:rPr>
          <w:rFonts w:hint="eastAsia" w:ascii="宋体" w:hAnsi="宋体"/>
          <w:sz w:val="24"/>
        </w:rPr>
        <w:t xml:space="preserve">    全权代表的职务：                          </w:t>
      </w:r>
    </w:p>
    <w:p>
      <w:pPr>
        <w:rPr>
          <w:rFonts w:ascii="宋体" w:hAnsi="宋体"/>
          <w:sz w:val="24"/>
          <w:szCs w:val="20"/>
        </w:rPr>
      </w:pPr>
      <w:r>
        <w:rPr>
          <w:rFonts w:hint="eastAsia" w:ascii="宋体" w:hAnsi="宋体"/>
          <w:sz w:val="24"/>
        </w:rPr>
        <w:t xml:space="preserve">    电话：                          传真：              公章：     </w:t>
      </w:r>
    </w:p>
    <w:p>
      <w:pPr>
        <w:snapToGrid w:val="0"/>
        <w:spacing w:line="360" w:lineRule="auto"/>
        <w:rPr>
          <w:rFonts w:ascii="宋体" w:hAnsi="宋体"/>
          <w:sz w:val="24"/>
        </w:rPr>
      </w:pPr>
      <w:r>
        <w:rPr>
          <w:rFonts w:hint="eastAsia" w:ascii="宋体" w:hAnsi="宋体"/>
          <w:sz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 w:name="Shruti">
    <w:panose1 w:val="02000500000000000000"/>
    <w:charset w:val="00"/>
    <w:family w:val="auto"/>
    <w:pitch w:val="default"/>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etween w:val="none" w:color="auto" w:sz="0" w:space="0"/>
      </w:pBdr>
    </w:pPr>
    <w:r>
      <w:pict>
        <v:shape id="_x0000_s1025" o:spid="_x0000_s1025"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rFonts w:eastAsia="宋体"/>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22</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22</w:t>
                </w:r>
                <w:r>
                  <w:rPr>
                    <w:sz w:val="18"/>
                  </w:rPr>
                  <w:fldChar w:fldCharType="end"/>
                </w:r>
                <w:r>
                  <w:rPr>
                    <w:rFonts w:hint="eastAsia"/>
                    <w:sz w:val="18"/>
                  </w:rPr>
                  <w:t xml:space="preserve"> 页</w:t>
                </w:r>
              </w:p>
            </w:txbxContent>
          </v:textbox>
        </v:shape>
      </w:pict>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rPr>
      <w:t>1</w:t>
    </w:r>
    <w: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3"/>
      </w:rPr>
    </w:pPr>
    <w:r>
      <w:fldChar w:fldCharType="begin"/>
    </w:r>
    <w:r>
      <w:rPr>
        <w:rStyle w:val="13"/>
      </w:rPr>
      <w:instrText xml:space="preserve">PAGE  </w:instrText>
    </w:r>
    <w:r>
      <w:fldChar w:fldCharType="separate"/>
    </w:r>
    <w:r>
      <w:rPr>
        <w:rStyle w:val="13"/>
      </w:rPr>
      <w:t>1</w:t>
    </w:r>
    <w:r>
      <w:fldChar w:fldCharType="end"/>
    </w:r>
  </w:p>
  <w:p>
    <w:pPr>
      <w:ind w:right="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u w:val="thick"/>
      </w:rPr>
    </w:pPr>
    <w:r>
      <w:rPr>
        <w:rFonts w:hint="eastAsia" w:ascii="黑体" w:eastAsia="黑体"/>
        <w:i/>
        <w:szCs w:val="21"/>
        <w:u w:val="double"/>
      </w:rPr>
      <w:t xml:space="preserve">鄂尔多斯市国泰商务广场配电箱采购招标文件                   </w:t>
    </w:r>
    <w:r>
      <w:rPr>
        <w:rFonts w:hint="eastAsia" w:ascii="黑体" w:eastAsia="黑体"/>
        <w:i/>
        <w:u w:val="double"/>
      </w:rPr>
      <w:t>内蒙古益泰工程建设监理有限责任公司招标代理部</w:t>
    </w:r>
  </w:p>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decimal"/>
      <w:suff w:val="nothing"/>
      <w:lvlText w:val="%1、"/>
      <w:lvlJc w:val="left"/>
    </w:lvl>
  </w:abstractNum>
  <w:abstractNum w:abstractNumId="1">
    <w:nsid w:val="00000004"/>
    <w:multiLevelType w:val="multilevel"/>
    <w:tmpl w:val="00000004"/>
    <w:lvl w:ilvl="0" w:tentative="0">
      <w:start w:val="1"/>
      <w:numFmt w:val="decimal"/>
      <w:lvlText w:val="%1、"/>
      <w:lvlJc w:val="left"/>
      <w:pPr>
        <w:tabs>
          <w:tab w:val="left" w:pos="803"/>
        </w:tabs>
        <w:ind w:left="803" w:hanging="360"/>
      </w:pPr>
      <w:rPr>
        <w:rFonts w:hint="default"/>
      </w:rPr>
    </w:lvl>
    <w:lvl w:ilvl="1" w:tentative="0">
      <w:start w:val="1"/>
      <w:numFmt w:val="lowerLetter"/>
      <w:lvlText w:val="%2)"/>
      <w:lvlJc w:val="left"/>
      <w:pPr>
        <w:tabs>
          <w:tab w:val="left" w:pos="1283"/>
        </w:tabs>
        <w:ind w:left="1283" w:hanging="420"/>
      </w:pPr>
    </w:lvl>
    <w:lvl w:ilvl="2" w:tentative="0">
      <w:start w:val="1"/>
      <w:numFmt w:val="lowerRoman"/>
      <w:lvlText w:val="%3."/>
      <w:lvlJc w:val="right"/>
      <w:pPr>
        <w:tabs>
          <w:tab w:val="left" w:pos="1703"/>
        </w:tabs>
        <w:ind w:left="1703" w:hanging="420"/>
      </w:pPr>
    </w:lvl>
    <w:lvl w:ilvl="3" w:tentative="0">
      <w:start w:val="1"/>
      <w:numFmt w:val="decimal"/>
      <w:lvlText w:val="%4."/>
      <w:lvlJc w:val="left"/>
      <w:pPr>
        <w:tabs>
          <w:tab w:val="left" w:pos="2123"/>
        </w:tabs>
        <w:ind w:left="2123" w:hanging="420"/>
      </w:pPr>
    </w:lvl>
    <w:lvl w:ilvl="4" w:tentative="0">
      <w:start w:val="1"/>
      <w:numFmt w:val="lowerLetter"/>
      <w:lvlText w:val="%5)"/>
      <w:lvlJc w:val="left"/>
      <w:pPr>
        <w:tabs>
          <w:tab w:val="left" w:pos="2543"/>
        </w:tabs>
        <w:ind w:left="2543" w:hanging="420"/>
      </w:pPr>
    </w:lvl>
    <w:lvl w:ilvl="5" w:tentative="0">
      <w:start w:val="1"/>
      <w:numFmt w:val="lowerRoman"/>
      <w:lvlText w:val="%6."/>
      <w:lvlJc w:val="right"/>
      <w:pPr>
        <w:tabs>
          <w:tab w:val="left" w:pos="2963"/>
        </w:tabs>
        <w:ind w:left="2963" w:hanging="420"/>
      </w:pPr>
    </w:lvl>
    <w:lvl w:ilvl="6" w:tentative="0">
      <w:start w:val="1"/>
      <w:numFmt w:val="decimal"/>
      <w:lvlText w:val="%7."/>
      <w:lvlJc w:val="left"/>
      <w:pPr>
        <w:tabs>
          <w:tab w:val="left" w:pos="3383"/>
        </w:tabs>
        <w:ind w:left="3383" w:hanging="420"/>
      </w:pPr>
    </w:lvl>
    <w:lvl w:ilvl="7" w:tentative="0">
      <w:start w:val="1"/>
      <w:numFmt w:val="lowerLetter"/>
      <w:lvlText w:val="%8)"/>
      <w:lvlJc w:val="left"/>
      <w:pPr>
        <w:tabs>
          <w:tab w:val="left" w:pos="3803"/>
        </w:tabs>
        <w:ind w:left="3803" w:hanging="420"/>
      </w:pPr>
    </w:lvl>
    <w:lvl w:ilvl="8" w:tentative="0">
      <w:start w:val="1"/>
      <w:numFmt w:val="lowerRoman"/>
      <w:lvlText w:val="%9."/>
      <w:lvlJc w:val="right"/>
      <w:pPr>
        <w:tabs>
          <w:tab w:val="left" w:pos="4223"/>
        </w:tabs>
        <w:ind w:left="4223" w:hanging="420"/>
      </w:pPr>
    </w:lvl>
  </w:abstractNum>
  <w:abstractNum w:abstractNumId="2">
    <w:nsid w:val="00000005"/>
    <w:multiLevelType w:val="multilevel"/>
    <w:tmpl w:val="00000005"/>
    <w:lvl w:ilvl="0" w:tentative="0">
      <w:start w:val="1"/>
      <w:numFmt w:val="decimal"/>
      <w:lvlText w:val="%1)"/>
      <w:lvlJc w:val="left"/>
      <w:pPr>
        <w:tabs>
          <w:tab w:val="left" w:pos="630"/>
        </w:tabs>
        <w:ind w:left="630" w:hanging="420"/>
      </w:p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3">
    <w:nsid w:val="00000007"/>
    <w:multiLevelType w:val="multilevel"/>
    <w:tmpl w:val="00000007"/>
    <w:lvl w:ilvl="0" w:tentative="0">
      <w:start w:val="1"/>
      <w:numFmt w:val="decimal"/>
      <w:lvlText w:val="%1)"/>
      <w:lvlJc w:val="left"/>
      <w:pPr>
        <w:tabs>
          <w:tab w:val="left" w:pos="630"/>
        </w:tabs>
        <w:ind w:left="630" w:hanging="420"/>
      </w:pPr>
    </w:lvl>
    <w:lvl w:ilvl="1" w:tentative="0">
      <w:start w:val="1"/>
      <w:numFmt w:val="upp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780"/>
        </w:tabs>
        <w:ind w:left="78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4">
    <w:nsid w:val="00000008"/>
    <w:multiLevelType w:val="singleLevel"/>
    <w:tmpl w:val="00000008"/>
    <w:lvl w:ilvl="0" w:tentative="0">
      <w:start w:val="1"/>
      <w:numFmt w:val="lowerLetter"/>
      <w:suff w:val="nothing"/>
      <w:lvlText w:val="%1、"/>
      <w:lvlJc w:val="left"/>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A5F7E"/>
    <w:rsid w:val="001110CF"/>
    <w:rsid w:val="001A5F7E"/>
    <w:rsid w:val="0023461F"/>
    <w:rsid w:val="0032367B"/>
    <w:rsid w:val="00326987"/>
    <w:rsid w:val="00646CF4"/>
    <w:rsid w:val="006731EF"/>
    <w:rsid w:val="006E057B"/>
    <w:rsid w:val="006F36C5"/>
    <w:rsid w:val="006F4431"/>
    <w:rsid w:val="007C29B3"/>
    <w:rsid w:val="007E5B60"/>
    <w:rsid w:val="008F3A5F"/>
    <w:rsid w:val="00BA09EC"/>
    <w:rsid w:val="00BA22C5"/>
    <w:rsid w:val="00C236A5"/>
    <w:rsid w:val="00D55E83"/>
    <w:rsid w:val="00EC7673"/>
    <w:rsid w:val="54C35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0"/>
    <w:pPr>
      <w:keepNext/>
      <w:keepLines/>
      <w:spacing w:line="360" w:lineRule="auto"/>
      <w:outlineLvl w:val="0"/>
    </w:pPr>
    <w:rPr>
      <w:rFonts w:ascii="Times New Roman" w:hAnsi="Times New Roman" w:eastAsia="宋体" w:cs="Times New Roman"/>
      <w:b/>
      <w:bCs/>
      <w:kern w:val="44"/>
      <w:sz w:val="32"/>
      <w:szCs w:val="44"/>
    </w:rPr>
  </w:style>
  <w:style w:type="paragraph" w:styleId="3">
    <w:name w:val="heading 2"/>
    <w:basedOn w:val="1"/>
    <w:next w:val="1"/>
    <w:link w:val="19"/>
    <w:qFormat/>
    <w:uiPriority w:val="0"/>
    <w:pPr>
      <w:keepNext/>
      <w:keepLines/>
      <w:spacing w:before="260" w:after="260" w:line="413" w:lineRule="auto"/>
      <w:outlineLvl w:val="1"/>
    </w:pPr>
    <w:rPr>
      <w:rFonts w:ascii="Arial" w:hAnsi="Arial" w:eastAsia="黑体" w:cs="Times New Roman"/>
      <w:b/>
      <w:bCs/>
      <w:sz w:val="32"/>
      <w:szCs w:val="32"/>
    </w:rPr>
  </w:style>
  <w:style w:type="paragraph" w:styleId="4">
    <w:name w:val="heading 4"/>
    <w:basedOn w:val="1"/>
    <w:next w:val="1"/>
    <w:link w:val="20"/>
    <w:qFormat/>
    <w:uiPriority w:val="0"/>
    <w:pPr>
      <w:keepNext/>
      <w:keepLines/>
      <w:spacing w:before="280" w:after="290" w:line="372" w:lineRule="auto"/>
      <w:outlineLvl w:val="3"/>
    </w:pPr>
    <w:rPr>
      <w:rFonts w:ascii="Arial" w:hAnsi="Arial" w:eastAsia="黑体" w:cs="Times New Roman"/>
      <w:b/>
      <w:bCs/>
      <w:sz w:val="28"/>
      <w:szCs w:val="28"/>
    </w:rPr>
  </w:style>
  <w:style w:type="character" w:default="1" w:styleId="12">
    <w:name w:val="Default Paragraph Font"/>
    <w:unhideWhenUsed/>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5">
    <w:name w:val="Plain Text"/>
    <w:basedOn w:val="1"/>
    <w:link w:val="21"/>
    <w:uiPriority w:val="0"/>
    <w:rPr>
      <w:rFonts w:ascii="宋体" w:hAnsi="Courier New" w:eastAsia="宋体" w:cs="Times New Roman"/>
      <w:szCs w:val="20"/>
    </w:rPr>
  </w:style>
  <w:style w:type="paragraph" w:styleId="6">
    <w:name w:val="Date"/>
    <w:basedOn w:val="1"/>
    <w:next w:val="1"/>
    <w:link w:val="22"/>
    <w:uiPriority w:val="0"/>
    <w:pPr>
      <w:ind w:left="100" w:leftChars="2500"/>
    </w:pPr>
    <w:rPr>
      <w:rFonts w:ascii="Times New Roman" w:hAnsi="Times New Roman" w:eastAsia="宋体" w:cs="Times New Roman"/>
      <w:szCs w:val="24"/>
    </w:rPr>
  </w:style>
  <w:style w:type="paragraph" w:styleId="7">
    <w:name w:val="footer"/>
    <w:basedOn w:val="1"/>
    <w:link w:val="17"/>
    <w:unhideWhenUsed/>
    <w:uiPriority w:val="0"/>
    <w:pPr>
      <w:tabs>
        <w:tab w:val="center" w:pos="4153"/>
        <w:tab w:val="right" w:pos="8306"/>
      </w:tabs>
      <w:snapToGrid w:val="0"/>
      <w:jc w:val="left"/>
    </w:pPr>
    <w:rPr>
      <w:sz w:val="18"/>
      <w:szCs w:val="18"/>
    </w:rPr>
  </w:style>
  <w:style w:type="paragraph" w:styleId="8">
    <w:name w:val="header"/>
    <w:basedOn w:val="1"/>
    <w:link w:val="16"/>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uiPriority w:val="0"/>
    <w:pPr>
      <w:tabs>
        <w:tab w:val="right" w:leader="dot" w:pos="9180"/>
      </w:tabs>
      <w:spacing w:line="400" w:lineRule="atLeast"/>
      <w:ind w:firstLine="413" w:firstLineChars="196"/>
      <w:jc w:val="center"/>
    </w:pPr>
    <w:rPr>
      <w:rFonts w:ascii="Times New Roman" w:hAnsi="Times New Roman" w:eastAsia="宋体" w:cs="Times New Roman"/>
      <w:szCs w:val="20"/>
    </w:rPr>
  </w:style>
  <w:style w:type="paragraph" w:styleId="10">
    <w:name w:val="toc 2"/>
    <w:basedOn w:val="1"/>
    <w:next w:val="1"/>
    <w:uiPriority w:val="0"/>
    <w:pPr>
      <w:tabs>
        <w:tab w:val="right" w:leader="dot" w:pos="9180"/>
      </w:tabs>
      <w:spacing w:line="400" w:lineRule="atLeast"/>
      <w:ind w:left="359" w:leftChars="171" w:firstLine="59" w:firstLineChars="28"/>
    </w:pPr>
    <w:rPr>
      <w:rFonts w:ascii="Times New Roman" w:hAnsi="Times New Roman" w:eastAsia="宋体" w:cs="Times New Roman"/>
      <w:b/>
      <w:szCs w:val="20"/>
    </w:rPr>
  </w:style>
  <w:style w:type="paragraph" w:styleId="11">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3">
    <w:name w:val="page number"/>
    <w:basedOn w:val="12"/>
    <w:uiPriority w:val="0"/>
  </w:style>
  <w:style w:type="character" w:styleId="14">
    <w:name w:val="Hyperlink"/>
    <w:uiPriority w:val="0"/>
    <w:rPr>
      <w:color w:val="0000FF"/>
      <w:u w:val="single"/>
    </w:rPr>
  </w:style>
  <w:style w:type="character" w:customStyle="1" w:styleId="16">
    <w:name w:val="页眉 Char"/>
    <w:basedOn w:val="12"/>
    <w:link w:val="8"/>
    <w:semiHidden/>
    <w:uiPriority w:val="99"/>
    <w:rPr>
      <w:sz w:val="18"/>
      <w:szCs w:val="18"/>
    </w:rPr>
  </w:style>
  <w:style w:type="character" w:customStyle="1" w:styleId="17">
    <w:name w:val="页脚 Char"/>
    <w:basedOn w:val="12"/>
    <w:link w:val="7"/>
    <w:semiHidden/>
    <w:uiPriority w:val="99"/>
    <w:rPr>
      <w:sz w:val="18"/>
      <w:szCs w:val="18"/>
    </w:rPr>
  </w:style>
  <w:style w:type="character" w:customStyle="1" w:styleId="18">
    <w:name w:val="标题 1 Char"/>
    <w:basedOn w:val="12"/>
    <w:link w:val="2"/>
    <w:uiPriority w:val="0"/>
    <w:rPr>
      <w:rFonts w:ascii="Times New Roman" w:hAnsi="Times New Roman" w:eastAsia="宋体" w:cs="Times New Roman"/>
      <w:b/>
      <w:bCs/>
      <w:kern w:val="44"/>
      <w:sz w:val="32"/>
      <w:szCs w:val="44"/>
    </w:rPr>
  </w:style>
  <w:style w:type="character" w:customStyle="1" w:styleId="19">
    <w:name w:val="标题 2 Char"/>
    <w:basedOn w:val="12"/>
    <w:link w:val="3"/>
    <w:uiPriority w:val="0"/>
    <w:rPr>
      <w:rFonts w:ascii="Arial" w:hAnsi="Arial" w:eastAsia="黑体" w:cs="Times New Roman"/>
      <w:b/>
      <w:bCs/>
      <w:sz w:val="32"/>
      <w:szCs w:val="32"/>
    </w:rPr>
  </w:style>
  <w:style w:type="character" w:customStyle="1" w:styleId="20">
    <w:name w:val="标题 4 Char"/>
    <w:basedOn w:val="12"/>
    <w:link w:val="4"/>
    <w:uiPriority w:val="0"/>
    <w:rPr>
      <w:rFonts w:ascii="Arial" w:hAnsi="Arial" w:eastAsia="黑体" w:cs="Times New Roman"/>
      <w:b/>
      <w:bCs/>
      <w:sz w:val="28"/>
      <w:szCs w:val="28"/>
    </w:rPr>
  </w:style>
  <w:style w:type="character" w:customStyle="1" w:styleId="21">
    <w:name w:val="纯文本 Char"/>
    <w:basedOn w:val="12"/>
    <w:link w:val="5"/>
    <w:uiPriority w:val="0"/>
    <w:rPr>
      <w:rFonts w:ascii="宋体" w:hAnsi="Courier New" w:eastAsia="宋体" w:cs="Times New Roman"/>
      <w:szCs w:val="20"/>
    </w:rPr>
  </w:style>
  <w:style w:type="character" w:customStyle="1" w:styleId="22">
    <w:name w:val="日期 Char"/>
    <w:basedOn w:val="12"/>
    <w:link w:val="6"/>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2024</Words>
  <Characters>11543</Characters>
  <Lines>96</Lines>
  <Paragraphs>27</Paragraphs>
  <TotalTime>0</TotalTime>
  <ScaleCrop>false</ScaleCrop>
  <LinksUpToDate>false</LinksUpToDate>
  <CharactersWithSpaces>13540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2017-09-15T00:58:00Z</dcterms:created>
  <dc:creator>admin</dc:creator>
  <cp:lastModifiedBy>Administrator</cp:lastModifiedBy>
  <dcterms:modified xsi:type="dcterms:W3CDTF">2017-09-20T01:58:45Z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